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1.0 0.0 1.0 72.2</w:t>
                    <w:br w:type="textWrapping"/>
                    <w:t xml:space="preserve">1.0 0.0 2.0 13.9</w:t>
                    <w:br w:type="textWrapping"/>
                    <w:t xml:space="preserve">1.0 0.0 3.0 9.3</w:t>
                    <w:br w:type="textWrapping"/>
                    <w:t xml:space="preserve">2.0 0.0 1.0 51.8</w:t>
                    <w:br w:type="textWrapping"/>
                    <w:t xml:space="preserve">2.0 0.0 2.0 28.0</w:t>
                    <w:br w:type="textWrapping"/>
                    <w:t xml:space="preserve">2.0 0.0 3.0 73.8</w:t>
                    <w:br w:type="textWrapping"/>
                    <w:t xml:space="preserve">3.0 0.0 1.0 76.5</w:t>
                    <w:br w:type="textWrapping"/>
                    <w:t xml:space="preserve">3.0 0.0 2.0 85.9</w:t>
                    <w:br w:type="textWrapping"/>
                    <w:t xml:space="preserve">3.0 0.0 3.0 60.3</w:t>
                    <w:br w:type="textWrapping"/>
                    <w:t xml:space="preserve">4.0 1.0 1.0 39.0</w:t>
                    <w:br w:type="textWrapping"/>
                    <w:t xml:space="preserve">4.0 1.0 2.0 94.8</w:t>
                    <w:br w:type="textWrapping"/>
                    <w:t xml:space="preserve">4.0 1.0 3.0 18.5</w:t>
                    <w:br w:type="textWrapping"/>
                    <w:t xml:space="preserve">5.0 1.0 1.0 69.1</w:t>
                    <w:br w:type="textWrapping"/>
                    <w:t xml:space="preserve">5.0 1.0 2.0 50.9</w:t>
                    <w:br w:type="textWrapping"/>
                    <w:t xml:space="preserve">5.0 1.0 3.0 54.1</w:t>
                    <w:br w:type="textWrapping"/>
                    <w:t xml:space="preserve">6.0 1.0 1.0 15.6</w:t>
                    <w:br w:type="textWrapping"/>
                    <w:t xml:space="preserve">6.0 1.0 2.0 4.5</w:t>
                    <w:br w:type="textWrapping"/>
                    <w:t xml:space="preserve">6.0 1.0 3.0 50.9</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739.30</w:t>
                    <w:br w:type="textWrapping"/>
                    <w:t xml:space="preserve">5</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LWIEJaEGXeQZc9izBIHP7OMAOA==">AMUW2mVVeJOYJrQcZfdKH6jQGdhCzot/Ea2iY0tlo7vf1r03XskYacafQAX3YFRTivx6+RPx2ZOutK4BPkbJ4K612tz57+Bun430MW+lplgo/gqqaxVZQH4=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