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1B8B" w14:textId="373E6EE5" w:rsidR="00D848CF" w:rsidRPr="00D848CF" w:rsidRDefault="00881AD7" w:rsidP="00D848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D848CF" w:rsidRPr="00D848CF">
        <w:rPr>
          <w:rFonts w:ascii="Calibri" w:eastAsia="Times New Roman" w:hAnsi="Calibri" w:cs="Calibri"/>
          <w:b/>
          <w:bCs/>
          <w:color w:val="000000"/>
        </w:rPr>
        <w:t>RETO 1.63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D848CF" w:rsidRPr="00647A23" w14:paraId="0D1199D2" w14:textId="77777777" w:rsidTr="00D848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7791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8CF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D848CF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D848CF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D848CF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C7E0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848CF" w:rsidRPr="00647A23" w14:paraId="761EB008" w14:textId="77777777" w:rsidTr="00D848C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1992" w14:textId="77777777" w:rsidR="00D848CF" w:rsidRPr="00D848CF" w:rsidRDefault="00D848CF" w:rsidP="00D8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D848CF" w:rsidRPr="00D848CF" w14:paraId="3CCFD335" w14:textId="77777777" w:rsidTr="00D848CF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1360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781614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F3CCB1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7006A74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600E146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3ACEFAF2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74F434F" w14:textId="68067DFB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16D60E82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D848CF" w:rsidRPr="00D848CF" w14:paraId="6615B32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F75EC7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FBD20F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65427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739AD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25FC9610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D848CF" w:rsidRPr="00D848CF" w14:paraId="752CB3D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71371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01D74C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27AD8B7A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CC8D61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5895B6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1A7427EF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848CF" w:rsidRPr="00D848CF" w14:paraId="3532578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D46C1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9044BC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A9CC57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F1122F7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770CCA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D848CF" w:rsidRPr="00D848CF" w14:paraId="4B2F7D4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55C8F0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0A7DAC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840B32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6397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D848CF" w:rsidRPr="00D848CF" w14:paraId="1EB051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E7174A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558AE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81381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712549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848CF" w:rsidRPr="00647A23" w14:paraId="6907118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296454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FADC2E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DBFAF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5F0F506C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D33BF" w14:textId="77777777" w:rsidR="00D848CF" w:rsidRPr="00D848CF" w:rsidRDefault="00D848CF" w:rsidP="00D848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4F3884DE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64E1928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D27EB93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F852A4A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72B42216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848C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38C9198" w14:textId="77777777" w:rsidR="00D848CF" w:rsidRPr="00D848CF" w:rsidRDefault="00D848CF" w:rsidP="00D848C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42BA2167" w14:textId="77777777" w:rsidR="00D848CF" w:rsidRPr="00D848CF" w:rsidRDefault="00D848CF" w:rsidP="00D848C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¿Cuál es la entidad a la que más se recurre según los datos leídos? En caso de haber dos o más entidades a las que se recurra igual cantidad de veces tomar la que corresponda al nivel de riesgo más bajo.</w:t>
            </w:r>
          </w:p>
          <w:p w14:paraId="79A03432" w14:textId="77777777" w:rsidR="00D848CF" w:rsidRPr="00D848CF" w:rsidRDefault="00D848CF" w:rsidP="00D848CF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848CF">
              <w:rPr>
                <w:rFonts w:ascii="Calibri" w:eastAsia="Times New Roman" w:hAnsi="Calibri" w:cs="Calibri"/>
                <w:color w:val="000000"/>
                <w:lang w:val="es-CO"/>
              </w:rPr>
              <w:t>¿Se recurrió a “CONTINUAR VIGILANCIA”?</w:t>
            </w:r>
          </w:p>
          <w:p w14:paraId="11FF62D2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28DE28B" w14:textId="77777777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8CF">
              <w:rPr>
                <w:rFonts w:ascii="Calibri" w:eastAsia="Times New Roman" w:hAnsi="Calibri" w:cs="Calibri"/>
                <w:color w:val="000000"/>
              </w:rPr>
              <w:lastRenderedPageBreak/>
              <w:t>Ejemplos</w:t>
            </w:r>
            <w:proofErr w:type="spellEnd"/>
            <w:r w:rsidRPr="00D848CF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0838CBDC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2327"/>
            </w:tblGrid>
            <w:tr w:rsidR="00D848CF" w:rsidRPr="00D848CF" w14:paraId="1DB10ED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F176D7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Entrada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68C743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Salida </w:t>
                  </w:r>
                  <w:proofErr w:type="spellStart"/>
                  <w:r w:rsidRPr="00D848C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</w:tr>
            <w:tr w:rsidR="00D848CF" w:rsidRPr="00D848CF" w14:paraId="0057C1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920141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7846DD39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5 7 25 70 80 90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A1BFE7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  <w:p w14:paraId="454BE5D9" w14:textId="40BB880D" w:rsidR="00D848CF" w:rsidRPr="00D848CF" w:rsidRDefault="001876EE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  <w:p w14:paraId="0BBD8303" w14:textId="77777777" w:rsidR="00D848CF" w:rsidRPr="00D848CF" w:rsidRDefault="00D848CF" w:rsidP="00D848C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48CF">
                    <w:rPr>
                      <w:rFonts w:ascii="Calibri" w:eastAsia="Times New Roman" w:hAnsi="Calibri" w:cs="Calibri"/>
                      <w:color w:val="000000"/>
                    </w:rPr>
                    <w:t>SI</w:t>
                  </w:r>
                </w:p>
              </w:tc>
            </w:tr>
          </w:tbl>
          <w:p w14:paraId="41946F66" w14:textId="77777777" w:rsidR="00D848CF" w:rsidRPr="00D848CF" w:rsidRDefault="00D848CF" w:rsidP="00D84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A526D7" w14:textId="50DD02A4" w:rsidR="00D848CF" w:rsidRPr="00D848CF" w:rsidRDefault="00D848CF" w:rsidP="00D84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4057E9" w14:textId="77777777" w:rsidR="00994C51" w:rsidRDefault="00994C51"/>
    <w:sectPr w:rsidR="00994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37B88"/>
    <w:multiLevelType w:val="multilevel"/>
    <w:tmpl w:val="C79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B5"/>
    <w:rsid w:val="001876EE"/>
    <w:rsid w:val="00647A23"/>
    <w:rsid w:val="00782AB5"/>
    <w:rsid w:val="00881AD7"/>
    <w:rsid w:val="00994C51"/>
    <w:rsid w:val="009E6A98"/>
    <w:rsid w:val="009F20EC"/>
    <w:rsid w:val="00D848CF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0211"/>
  <w15:chartTrackingRefBased/>
  <w15:docId w15:val="{451C5A88-79AA-4C8F-A6E0-F18184C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2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2021-07-03T00:20:00Z</dcterms:created>
  <dcterms:modified xsi:type="dcterms:W3CDTF">2021-07-08T02:08:00Z</dcterms:modified>
</cp:coreProperties>
</file>