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1.0 0.0 1.0 81.8</w:t>
                    <w:br w:type="textWrapping"/>
                    <w:t xml:space="preserve">1.0 0.0 2.0 18.7</w:t>
                    <w:br w:type="textWrapping"/>
                    <w:t xml:space="preserve">1.0 0.0 3.0 95.9</w:t>
                    <w:br w:type="textWrapping"/>
                    <w:t xml:space="preserve">2.0 0.0 1.0 97.5</w:t>
                    <w:br w:type="textWrapping"/>
                    <w:t xml:space="preserve">2.0 0.0 2.0 66.3</w:t>
                    <w:br w:type="textWrapping"/>
                    <w:t xml:space="preserve">2.0 0.0 3.0 41.1</w:t>
                    <w:br w:type="textWrapping"/>
                    <w:t xml:space="preserve">3.0 0.0 1.0 77.4</w:t>
                    <w:br w:type="textWrapping"/>
                    <w:t xml:space="preserve">3.0 0.0 2.0 45.1</w:t>
                    <w:br w:type="textWrapping"/>
                    <w:t xml:space="preserve">3.0 0.0 3.0 74.6</w:t>
                    <w:br w:type="textWrapping"/>
                    <w:t xml:space="preserve">4.0 1.0 1.0 41.8</w:t>
                    <w:br w:type="textWrapping"/>
                    <w:t xml:space="preserve">4.0 1.0 2.0 33.3</w:t>
                    <w:br w:type="textWrapping"/>
                    <w:t xml:space="preserve">4.0 1.0 3.0 51.9</w:t>
                    <w:br w:type="textWrapping"/>
                    <w:t xml:space="preserve">5.0 1.0 1.0 37.0</w:t>
                    <w:br w:type="textWrapping"/>
                    <w:t xml:space="preserve">5.0 1.0 2.0 32.6</w:t>
                    <w:br w:type="textWrapping"/>
                    <w:t xml:space="preserve">5.0 1.0 3.0 46.8</w:t>
                    <w:br w:type="textWrapping"/>
                    <w:t xml:space="preserve">6.0 1.0 1.0 0.6</w:t>
                    <w:br w:type="textWrapping"/>
                    <w:t xml:space="preserve">6.0 1.0 2.0 89.1</w:t>
                    <w:br w:type="textWrapping"/>
                    <w:t xml:space="preserve">6.0 1.0 3.0 67.2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55.48</w:t>
                    <w:br w:type="textWrapping"/>
                    <w:t xml:space="preserve">2</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HU6CfzigNwG7BoWUrfs648vEuw==">AMUW2mUb7hGtj+6JRriOJ+U8p7u/JCcnEQagMD+yMf0yJs0xP4GTJxmV6e0FCAuUdMA2ZBsUbSuUKleynGPahXIhAwWxdIlfIPnOZecq4BLvBnhdBGhosQA=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