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química?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1.0 0.0 1.0 76.3</w:t>
                    <w:br w:type="textWrapping"/>
                    <w:t xml:space="preserve">1.0 0.0 2.0 54.4</w:t>
                    <w:br w:type="textWrapping"/>
                    <w:t xml:space="preserve">1.0 0.0 3.0 17.5</w:t>
                    <w:br w:type="textWrapping"/>
                    <w:t xml:space="preserve">2.0 0.0 1.0 3.6</w:t>
                    <w:br w:type="textWrapping"/>
                    <w:t xml:space="preserve">2.0 0.0 2.0 76.7</w:t>
                    <w:br w:type="textWrapping"/>
                    <w:t xml:space="preserve">2.0 0.0 3.0 46.4</w:t>
                    <w:br w:type="textWrapping"/>
                    <w:t xml:space="preserve">3.0 0.0 1.0 56.0</w:t>
                    <w:br w:type="textWrapping"/>
                    <w:t xml:space="preserve">3.0 0.0 2.0 50.0</w:t>
                    <w:br w:type="textWrapping"/>
                    <w:t xml:space="preserve">3.0 0.0 3.0 5.2</w:t>
                    <w:br w:type="textWrapping"/>
                    <w:t xml:space="preserve">4.0 1.0 1.0 88.5</w:t>
                    <w:br w:type="textWrapping"/>
                    <w:t xml:space="preserve">4.0 1.0 2.0 91.1</w:t>
                    <w:br w:type="textWrapping"/>
                    <w:t xml:space="preserve">4.0 1.0 3.0 58.2</w:t>
                    <w:br w:type="textWrapping"/>
                    <w:t xml:space="preserve">5.0 1.0 1.0 22.2</w:t>
                    <w:br w:type="textWrapping"/>
                    <w:t xml:space="preserve">5.0 1.0 2.0 19.1</w:t>
                    <w:br w:type="textWrapping"/>
                    <w:t xml:space="preserve">5.0 1.0 3.0 11.9</w:t>
                    <w:br w:type="textWrapping"/>
                    <w:t xml:space="preserve">6.0 1.0 1.0 74.0</w:t>
                    <w:br w:type="textWrapping"/>
                    <w:t xml:space="preserve">6.0 1.0 2.0 13.7</w:t>
                    <w:br w:type="textWrapping"/>
                    <w:t xml:space="preserve">6.0 1.0 3.0 88.8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910.37</w:t>
                    <w:br w:type="textWrapping"/>
                    <w:t xml:space="preserve">0.17</w:t>
                    <w:br w:type="textWrapping"/>
                    <w:t xml:space="preserve">quimica</w:t>
                    <w:br w:type="textWrapping"/>
                    <w:t xml:space="preserve">maria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oODJvUpWWX8+2grsc7QZASENdg==">AMUW2mVzgkhwysaki75VgzWUSU8WK5eEylLCc3CYokuoko+anSrzbX0g9ug2xpAz2FQi1LkTGjNSQKILVVZiuyEKeEAVSH0mA7tYgBpZ/SxDBquzet28/p8=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