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género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1.0 0.0 1.0 1.1</w:t>
                    <w:br w:type="textWrapping"/>
                    <w:t xml:space="preserve">1.0 0.0 2.0 0.7</w:t>
                    <w:br w:type="textWrapping"/>
                    <w:t xml:space="preserve">1.0 0.0 3.0 0.7</w:t>
                    <w:br w:type="textWrapping"/>
                    <w:t xml:space="preserve">2.0 0.0 1.0 3.4</w:t>
                    <w:br w:type="textWrapping"/>
                    <w:t xml:space="preserve">2.0 0.0 2.0 1.1</w:t>
                    <w:br w:type="textWrapping"/>
                    <w:t xml:space="preserve">2.0 0.0 3.0 2.8</w:t>
                    <w:br w:type="textWrapping"/>
                    <w:t xml:space="preserve">3.0 0.0 1.0 4.0</w:t>
                    <w:br w:type="textWrapping"/>
                    <w:t xml:space="preserve">3.0 0.0 2.0 3.3</w:t>
                    <w:br w:type="textWrapping"/>
                    <w:t xml:space="preserve">3.0 0.0 3.0 3.4</w:t>
                    <w:br w:type="textWrapping"/>
                    <w:t xml:space="preserve">4.0 1.0 1.0 3.9</w:t>
                    <w:br w:type="textWrapping"/>
                    <w:t xml:space="preserve">4.0 1.0 2.0 3.6</w:t>
                    <w:br w:type="textWrapping"/>
                    <w:t xml:space="preserve">4.0 1.0 3.0 4.2</w:t>
                    <w:br w:type="textWrapping"/>
                    <w:t xml:space="preserve">5.0 1.0 1.0 5.0</w:t>
                    <w:br w:type="textWrapping"/>
                    <w:t xml:space="preserve">5.0 1.0 2.0 0.9</w:t>
                    <w:br w:type="textWrapping"/>
                    <w:t xml:space="preserve">5.0 1.0 3.0 4.9</w:t>
                    <w:br w:type="textWrapping"/>
                    <w:t xml:space="preserve">6.0 1.0 1.0 4.0</w:t>
                    <w:br w:type="textWrapping"/>
                    <w:t xml:space="preserve">6.0 1.0 2.0 3.4</w:t>
                    <w:br w:type="textWrapping"/>
                    <w:t xml:space="preserve">6.0 1.0 3.0 3.1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br w:type="textWrapping"/>
                    <w:t xml:space="preserve">0.33</w:t>
                    <w:br w:type="textWrapping"/>
                    <w:t xml:space="preserve">f</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MjvNFJ/0zM2/sLKnD0Xt+pXQA==">AMUW2mUwTGzDwQdPTfb2GPwRTXMNbAS6Ya5wPujf8W0GU4xU3pVxQAWBZfabl7t1MI2BKR2i7aeYdfO/U2zazHeYNYyE/bsd6BLBPg557lbcpGJTNTLAOx8=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