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bbuCxqBkO1xv26aOPjkei6YIg==">AMUW2mUscaj8Fw/yYf1Yos1nCBwny3hFsv7UPG+cDXeb1Tdde2JYx5OkJTmlnnjsSOxw8LxSPVlQC0glKUWMIm4r0LpAT59H54y4yI7XBmGuoRA37ovGCsM=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