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6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química?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quimica</w:t>
                    <w:br w:type="textWrapping"/>
                    <w:t xml:space="preserve">maria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3">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5">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6">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7">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D">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E">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91803" cy="2922761"/>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2991803" cy="292276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6">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4Os84j69cm0fGMecalBSnfIaQ==">AMUW2mWEujhLfJenCuMkufIxP7EVegeQLhu9pqsANRb49sk/BdUSPfGDgSFziazYnEGymOhvJIoWIxBns9qv22lhtsYyu/dDw3u76/bzyOomxI0X31HEoaE=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