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masculino?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1.0 0.0 1.0 2.6</w:t>
                    <w:br w:type="textWrapping"/>
                    <w:t xml:space="preserve">1.0 0.0 2.0 2.9</w:t>
                    <w:br w:type="textWrapping"/>
                    <w:t xml:space="preserve">1.0 0.0 3.0 2.0</w:t>
                    <w:br w:type="textWrapping"/>
                    <w:t xml:space="preserve">2.0 0.0 1.0 1.4</w:t>
                    <w:br w:type="textWrapping"/>
                    <w:t xml:space="preserve">2.0 0.0 2.0 3.1</w:t>
                    <w:br w:type="textWrapping"/>
                    <w:t xml:space="preserve">2.0 0.0 3.0 2.5</w:t>
                    <w:br w:type="textWrapping"/>
                    <w:t xml:space="preserve">3.0 0.0 1.0 3.5</w:t>
                    <w:br w:type="textWrapping"/>
                    <w:t xml:space="preserve">3.0 0.0 2.0 2.7</w:t>
                    <w:br w:type="textWrapping"/>
                    <w:t xml:space="preserve">3.0 0.0 3.0 3.7</w:t>
                    <w:br w:type="textWrapping"/>
                    <w:t xml:space="preserve">4.0 1.0 1.0 2.6</w:t>
                    <w:br w:type="textWrapping"/>
                    <w:t xml:space="preserve">4.0 1.0 2.0 3.3</w:t>
                    <w:br w:type="textWrapping"/>
                    <w:t xml:space="preserve">4.0 1.0 3.0 4.1</w:t>
                    <w:br w:type="textWrapping"/>
                    <w:t xml:space="preserve">5.0 1.0 1.0 4.5</w:t>
                    <w:br w:type="textWrapping"/>
                    <w:t xml:space="preserve">5.0 1.0 2.0 3.8</w:t>
                    <w:br w:type="textWrapping"/>
                    <w:t xml:space="preserve">5.0 1.0 3.0 4.7</w:t>
                    <w:br w:type="textWrapping"/>
                    <w:t xml:space="preserve">6.0 1.0 1.0 0.6</w:t>
                    <w:br w:type="textWrapping"/>
                    <w:t xml:space="preserve">6.0 1.0 2.0 3.5</w:t>
                    <w:br w:type="textWrapping"/>
                    <w:t xml:space="preserve">6.0 1.0 3.0 2.8</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br w:type="textWrapping"/>
                    <w:t xml:space="preserve">1</w:t>
                    <w:br w:type="textWrapping"/>
                    <w:t xml:space="preserve">literatura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BBN+CXd1xsmbgTZIuVYXl37Nw==">AMUW2mVlkwYsjClxnPJOyyqPIJgDGy2Blnep7sv2IFFhdfILMEa3abIWeZwQIqjKvhNByIHTiNqDbmB8VSaPJdKV0KqdAlBNVJh+QfnZm9Q/GG9zR2mSfMw=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