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sobresalientes?</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física?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1.0 0.0 1.0 1.3</w:t>
                    <w:br w:type="textWrapping"/>
                    <w:t xml:space="preserve">1.0 0.0 2.0 0.9</w:t>
                    <w:br w:type="textWrapping"/>
                    <w:t xml:space="preserve">1.0 0.0 3.0 1.1</w:t>
                    <w:br w:type="textWrapping"/>
                    <w:t xml:space="preserve">2.0 0.0 1.0 4.3</w:t>
                    <w:br w:type="textWrapping"/>
                    <w:t xml:space="preserve">2.0 0.0 2.0 2.6</w:t>
                    <w:br w:type="textWrapping"/>
                    <w:t xml:space="preserve">2.0 0.0 3.0 4.8</w:t>
                    <w:br w:type="textWrapping"/>
                    <w:t xml:space="preserve">3.0 0.0 1.0 0.2</w:t>
                    <w:br w:type="textWrapping"/>
                    <w:t xml:space="preserve">3.0 0.0 2.0 0.1</w:t>
                    <w:br w:type="textWrapping"/>
                    <w:t xml:space="preserve">3.0 0.0 3.0 3.8</w:t>
                    <w:br w:type="textWrapping"/>
                    <w:t xml:space="preserve">4.0 1.0 1.0 1.5</w:t>
                    <w:br w:type="textWrapping"/>
                    <w:t xml:space="preserve">4.0 1.0 2.0 3.8</w:t>
                    <w:br w:type="textWrapping"/>
                    <w:t xml:space="preserve">4.0 1.0 3.0 2.1</w:t>
                    <w:br w:type="textWrapping"/>
                    <w:t xml:space="preserve">5.0 1.0 1.0 1.4</w:t>
                    <w:br w:type="textWrapping"/>
                    <w:t xml:space="preserve">5.0 1.0 2.0 0.8</w:t>
                    <w:br w:type="textWrapping"/>
                    <w:t xml:space="preserve">5.0 1.0 3.0 2.7</w:t>
                    <w:br w:type="textWrapping"/>
                    <w:t xml:space="preserve">6.0 1.0 1.0 0.9</w:t>
                    <w:br w:type="textWrapping"/>
                    <w:t xml:space="preserve">6.0 1.0 2.0 3.6</w:t>
                    <w:br w:type="textWrapping"/>
                    <w:t xml:space="preserve">6.0 1.0 3.0 1.9</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0.39</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0.22</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5">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6">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7">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8">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A">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B">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C">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D">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E">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F">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70">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2">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3">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4">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5">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7">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8">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GqQLrs/DhckQ3TidxHyz6WKL1w==">AMUW2mVwH9tQ5P1e5dVdC3L96sXkXeH1trYZvOSrcTvoEOamDqU/20oTV63UCsmf7OwVlsOLFpI/2V5+rGcArtUb+ZgN+pyzTLOyxv2JU1VrJul2OsD+Kyk=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