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5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acuerdo a lo aprendido en el componente teórico, practiquemos algunos tests unitarios.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 en Flutter una aplicación que calcule la conversión de números decimales a binarios y números binarios en decimales. Crea una página ‘Converter’ donde añadas los estados correspondientes. Sigue las instrucciones del profesor y desarrolla los siguientes tests unitarios para validar la correcta conversión de tus datos: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Ejemplo calculadora: 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https://github.com/EjemplosMisionTic2022/ejemplos_unit_testing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/converter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para que al iniciar la conversión se elimine el 0 a la izquierda de un dato recibido. Ejemplo si tienes 07, al validar debe quedarte: 7.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para incluir dígitos a tu número: ejemplo: si tenías 12 y añades un 3, la validación debe retornar 123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para conversión de binario a decimal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para conversión de decimal a binario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/convertion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de conversiones en los campos asignados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Inicialización de conversiones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Validación del reset de valores a 0 cuando el usuario lo desea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0-adjustment -&gt; verifica que al iniciar la conversión s e elimine el 0 inicial, ejemplo si tienes 07, al validar debe quedarte 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non-0-adjustment -&gt; actualiza el valor de tu número ejemplo: si tenias 12 y añades un 3, te añade 123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binary-to-decimal -&gt; valida conversión de binario a decimal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decimal-to-binary -&gt; valida conversión de decimal a binario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/convertion mas amigable la interfaz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realiza tests de la clase convertion que usa converter.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válida conversiones en el lugar que 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inicialización de conversiones en el lugar correspondiente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convert con la clase más general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highlight w:val="white"/>
          <w:rtl w:val="0"/>
        </w:rPr>
        <w:t xml:space="preserve">reset - convierte valores en 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jemplosMisionTic2022/ejemplos_unit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