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Capcom es una empresa de desarrollo, la cual no tiene de una forma organizada con la que realizar sus proyectos. Por lo que Capcom</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