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La Gas le provee gasolina a sus diversos clientes. Actualmente la gestión de la gasolina se hace de forma manual. Por lo que la La Gas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