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Popular ofrece un servicio de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Popular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Popular lo contacta a usted y su equipo para el desarrollo de la plataforma para la gestión del servicio de credito de libre inversion.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libre inversion,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