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Codere apuestas es una empresa que se dedica a realizar apuestas relacionadas con partidos de balon mano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Codere apuestas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