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Peajes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gobernación del departamento del Casanare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encarga de la gestión de consorcios y recolección de peajes (ventanilla/electrónicos/mixto), en el cual debe realizar el cobro por categoría de vehículo. Existen 6 categorías de cobro estipuladas por ley, las cuales se detallan a continuación: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9"/>
        <w:gridCol w:w="4419"/>
        <w:tblGridChange w:id="0">
          <w:tblGrid>
            <w:gridCol w:w="4419"/>
            <w:gridCol w:w="44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Automóviles, camperos, camionetas, microbuses con ejes de llanta sencilla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Buses, busetas, microbuses con eje trasero de doble llanta y camiones de dos ejes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III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Vehículos de pasajeros y de carga de tres y cuatro ejes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Categoria 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Vehículos de carga de cinco ejes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Vehículos de carga de seis ejes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Un peaje pertenece a un único consorcio y este debe tener la opción de realizar pagos por ventanilla, en efectivo, o tarjeta. Adicionalmente, el usuario externo puede realizar la compra de una tarjeta RFID que le permita hacer uso del peaje electrónico, el cual solo debe pasar, siempre y cuando cuente con saldo en la tarjeta. Igualmente, se debe llevar registro de la placa del vehículo y disminuir el saldo. Un vehículo solo puede tener una tarjeta asignada.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Para realizar la recarga, debe dirigirse al sitio web y realizar la recarga que requiera a través de su cuenta bancaria (simular). 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 consorcio, indicando un nombre y una descripción.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 peaje en un consorcio, indicando un nombre, la latitud y longitud de su ubicación y el valor correspondiente de cada una de las categorías.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el cobro del peaje de acuerdo a la categoría del vehículo.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realizar el cobro del peaje se debe indicar lo siguiente: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Medio de pago (efectivo, tarjeta)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Placa del vehículo.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Recargar una tarjeta RFID.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reporte con el total del dinero recaudado en un rango de fechas en un peaje en específico.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Indicar el código de la tarjeta adquirida en caso tal tenga.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Recargar tarjeta por medio de la cuenta bancaria (simular).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reporte con los movimientos de la tarjeta dado un rango de fecha, se debe incluir el lugar donde se generó el movimiento.</w:t>
      </w:r>
    </w:p>
    <w:p w:rsidR="00000000" w:rsidDel="00000000" w:rsidP="00000000" w:rsidRDefault="00000000" w:rsidRPr="00000000" w14:paraId="0000002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Requerimiento del sistema: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se realiza un pago con tarjeta, y no posee el saldo disponible, el excedente debe ser pagado en efectivo.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NDWKaW+Q8wOtuZ8Gxlu0qPgFcQ==">AMUW2mUKuJnwOLGz8iRjsiHK3lUld7AFohyN+sU2X2bRNSIL9tC8qEF1ztu/HMKGunkmsdvD4J/EssJr/WnPsD48grtIadU426dSAIbMeb3RqTUcPlI6jys=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