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Cannon tiene una línea de producción para producir productos textiles. Cannon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Cannon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