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Agroindustrias Nuevo Horizonte Uraba Zomac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