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How to predict long-term information integrity.</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wps:wsp>
                  </a:graphicData>
                </a:graphic>
              </wp:inline>
            </w:drawing>
          </mc:Choice>
          <mc:Fallback>
            <w:drawing>
              <wp:inline distB="0" distT="0" distL="0" distR="0">
                <wp:extent cx="2383155" cy="417764"/>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wps:wsp>
                  </a:graphicData>
                </a:graphic>
              </wp:inline>
            </w:drawing>
          </mc:Choice>
          <mc:Fallback>
            <w:drawing>
              <wp:inline distB="0" distT="0" distL="0" distR="0">
                <wp:extent cx="2383155" cy="417764"/>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operational preservation policies that ensure bit-level information integrity over long periods, and in the presence of a diverse range of real-world technical, legal, organizational, and economic threats. We employ a systematic, quantitative prediction framework that combines formal modeling, discrete-event-based simulation, hierarchical modeling, and sensitivity analysis.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their budget constraint. To estimate preservation loss under different policy conditions optimal policies, we develop a statistical hierarchical risk model -- that integrated threats at four levels: the (abstracted) storage hardware; the physical environment; the curating institution; and the global (legal, economic and policy) environment. We then employ a general discrete event-based simulation framework to evaluate the results (loss and cost) of employing varying preservation strategies under specific parameterization of risks.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  An analysis, based on hundreds of thousands of simulations using this framework, yields the following results. </w:t>
      </w:r>
    </w:p>
    <w:p w:rsidR="00000000" w:rsidDel="00000000" w:rsidP="00000000" w:rsidRDefault="00000000" w:rsidRPr="00000000" w14:paraId="00000007">
      <w:pPr>
        <w:spacing w:after="100" w:lineRule="auto"/>
        <w:ind w:left="720" w:right="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Furthermore, by using a sensitivity analysis, to summarize the results of hundreds of thousands of simulations using this framework, we identify a number of robust and broadly applicable operational preservation policies. This analysis provides additional confirmation for the efficacy of some accepted preservation practices (such as diversifying replicas); provides novel insights into specific preservation tactics (e.g. we find that systematic fixity checking is far more effective than random sampling), and provides evidence that contradicts received wisdom (e.g. we find that the widespread use of compression strongly reduces risks and costs, when optimally integrated with other strategies.).</w:t>
      </w:r>
      <w:r w:rsidDel="00000000" w:rsidR="00000000" w:rsidRPr="00000000">
        <w:rPr>
          <w:rtl w:val="0"/>
        </w:rPr>
      </w:r>
    </w:p>
    <w:p w:rsidR="00000000" w:rsidDel="00000000" w:rsidP="00000000" w:rsidRDefault="00000000" w:rsidRPr="00000000" w14:paraId="00000008">
      <w:pPr>
        <w:pStyle w:val="Heading1"/>
        <w:numPr>
          <w:ilvl w:val="0"/>
          <w:numId w:val="2"/>
        </w:numPr>
        <w:ind w:left="432" w:hanging="432"/>
        <w:rPr/>
      </w:pPr>
      <w:r w:rsidDel="00000000" w:rsidR="00000000" w:rsidRPr="00000000">
        <w:rPr>
          <w:rtl w:val="0"/>
        </w:rPr>
        <w:t xml:space="preserve">Significance</w:t>
      </w:r>
      <w:r w:rsidDel="00000000" w:rsidR="00000000" w:rsidRPr="00000000">
        <w:rPr>
          <w:rtl w:val="0"/>
        </w:rPr>
      </w:r>
    </w:p>
    <w:p w:rsidR="00000000" w:rsidDel="00000000" w:rsidP="00000000" w:rsidRDefault="00000000" w:rsidRPr="00000000" w14:paraId="00000009">
      <w:pPr>
        <w:pStyle w:val="Heading1"/>
        <w:numPr>
          <w:ilvl w:val="0"/>
          <w:numId w:val="2"/>
        </w:numPr>
        <w:ind w:left="432" w:hanging="432"/>
        <w:rPr/>
      </w:pPr>
      <w:commentRangeStart w:id="0"/>
      <w:r w:rsidDel="00000000" w:rsidR="00000000" w:rsidRPr="00000000">
        <w:rPr>
          <w:rtl w:val="0"/>
        </w:rPr>
        <w:t xml:space="preserve">Prior 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Heading1"/>
        <w:numPr>
          <w:ilvl w:val="0"/>
          <w:numId w:val="2"/>
        </w:numPr>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Overall goals for methodology -- replicability, transparency, flexibility, quantitative, systematic, scalable</w:t>
      </w:r>
      <w:r w:rsidDel="00000000" w:rsidR="00000000" w:rsidRPr="00000000">
        <w:rPr>
          <w:rtl w:val="0"/>
        </w:rPr>
      </w:r>
    </w:p>
    <w:p w:rsidR="00000000" w:rsidDel="00000000" w:rsidP="00000000" w:rsidRDefault="00000000" w:rsidRPr="00000000" w14:paraId="0000000C">
      <w:pPr>
        <w:pStyle w:val="Heading2"/>
        <w:numPr>
          <w:ilvl w:val="1"/>
          <w:numId w:val="2"/>
        </w:numPr>
        <w:ind w:left="576" w:hanging="576"/>
        <w:rPr/>
      </w:pPr>
      <w:r w:rsidDel="00000000" w:rsidR="00000000" w:rsidRPr="00000000">
        <w:rPr>
          <w:rtl w:val="0"/>
        </w:rPr>
        <w:t xml:space="preserve">A Formal Cost-Loss Characterization of Long-Term Preservation Objectives</w:t>
      </w:r>
    </w:p>
    <w:p w:rsidR="00000000" w:rsidDel="00000000" w:rsidP="00000000" w:rsidRDefault="00000000" w:rsidRPr="00000000" w14:paraId="0000000D">
      <w:pPr>
        <w:numPr>
          <w:ilvl w:val="1"/>
          <w:numId w:val="2"/>
        </w:numPr>
        <w:ind w:left="576"/>
      </w:pPr>
      <w:r w:rsidDel="00000000" w:rsidR="00000000" w:rsidRPr="00000000">
        <w:rPr>
          <w:rtl w:val="0"/>
        </w:rPr>
      </w:r>
    </w:p>
    <w:p w:rsidR="00000000" w:rsidDel="00000000" w:rsidP="00000000" w:rsidRDefault="00000000" w:rsidRPr="00000000" w14:paraId="0000000E">
      <w:pPr>
        <w:pStyle w:val="Heading2"/>
        <w:numPr>
          <w:ilvl w:val="1"/>
          <w:numId w:val="2"/>
        </w:numPr>
        <w:ind w:left="576"/>
        <w:rPr>
          <w:b w:val="1"/>
        </w:rPr>
      </w:pPr>
      <w:bookmarkStart w:colFirst="0" w:colLast="0" w:name="_3r69h5mlqbm2" w:id="1"/>
      <w:bookmarkEnd w:id="1"/>
      <w:r w:rsidDel="00000000" w:rsidR="00000000" w:rsidRPr="00000000">
        <w:rPr>
          <w:rtl w:val="0"/>
        </w:rPr>
        <w:t xml:space="preserve">Documents, Colllections and Storage</w:t>
      </w:r>
    </w:p>
    <w:p w:rsidR="00000000" w:rsidDel="00000000" w:rsidP="00000000" w:rsidRDefault="00000000" w:rsidRPr="00000000" w14:paraId="0000000F">
      <w:pPr>
        <w:numPr>
          <w:ilvl w:val="1"/>
          <w:numId w:val="2"/>
        </w:numPr>
        <w:ind w:left="576"/>
        <w:rPr>
          <w:u w:val="none"/>
        </w:rPr>
      </w:pPr>
      <w:r w:rsidDel="00000000" w:rsidR="00000000" w:rsidRPr="00000000">
        <w:rPr>
          <w:rtl w:val="0"/>
        </w:rPr>
      </w:r>
    </w:p>
    <w:p w:rsidR="00000000" w:rsidDel="00000000" w:rsidP="00000000" w:rsidRDefault="00000000" w:rsidRPr="00000000" w14:paraId="00000010">
      <w:pPr>
        <w:numPr>
          <w:ilvl w:val="1"/>
          <w:numId w:val="2"/>
        </w:numPr>
        <w:ind w:left="576"/>
        <w:rPr>
          <w:b w:val="1"/>
        </w:rPr>
      </w:pPr>
      <w:r w:rsidDel="00000000" w:rsidR="00000000" w:rsidRPr="00000000">
        <w:rPr/>
        <w:drawing>
          <wp:inline distB="19050" distT="19050" distL="19050" distR="19050">
            <wp:extent cx="3842850" cy="2120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2850" cy="2120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spacing w:after="435" w:before="145" w:lineRule="auto"/>
        <w:ind w:left="576"/>
        <w:rPr>
          <w:b w:val="1"/>
        </w:rPr>
      </w:pPr>
      <w:r w:rsidDel="00000000" w:rsidR="00000000" w:rsidRPr="00000000">
        <w:rPr>
          <w:rFonts w:ascii="Cambria" w:cs="Cambria" w:eastAsia="Cambria" w:hAnsi="Cambria"/>
          <w:b w:val="1"/>
          <w:rtl w:val="0"/>
        </w:rPr>
        <w:t xml:space="preserve">Figure 1.</w:t>
      </w:r>
      <w:r w:rsidDel="00000000" w:rsidR="00000000" w:rsidRPr="00000000">
        <w:rPr>
          <w:rFonts w:ascii="Cambria" w:cs="Cambria" w:eastAsia="Cambria" w:hAnsi="Cambria"/>
          <w:rtl w:val="0"/>
        </w:rPr>
        <w:t xml:space="preserve"> Conceptual model of sector-induced document failure.  </w:t>
      </w:r>
      <w:r w:rsidDel="00000000" w:rsidR="00000000" w:rsidRPr="00000000">
        <w:rPr>
          <w:rtl w:val="0"/>
        </w:rPr>
      </w:r>
    </w:p>
    <w:p w:rsidR="00000000" w:rsidDel="00000000" w:rsidP="00000000" w:rsidRDefault="00000000" w:rsidRPr="00000000" w14:paraId="00000012">
      <w:pPr>
        <w:pStyle w:val="Heading2"/>
        <w:ind w:left="576" w:firstLine="0"/>
        <w:rPr/>
      </w:pPr>
      <w:bookmarkStart w:colFirst="0" w:colLast="0" w:name="_34cjbshwgkic" w:id="2"/>
      <w:bookmarkEnd w:id="2"/>
      <w:r w:rsidDel="00000000" w:rsidR="00000000" w:rsidRPr="00000000">
        <w:rPr>
          <w:rtl w:val="0"/>
        </w:rPr>
        <w:t xml:space="preserve">A Hierarchical Statistical Model that Approximates Local, Institutional and Global Risks</w:t>
      </w:r>
    </w:p>
    <w:p w:rsidR="00000000" w:rsidDel="00000000" w:rsidP="00000000" w:rsidRDefault="00000000" w:rsidRPr="00000000" w14:paraId="00000013">
      <w:pPr>
        <w:spacing w:after="145" w:before="435" w:lineRule="auto"/>
        <w:ind w:left="936"/>
        <w:rPr>
          <w:rFonts w:ascii="Cambria" w:cs="Cambria" w:eastAsia="Cambria" w:hAnsi="Cambria"/>
        </w:rPr>
      </w:pPr>
      <w:r w:rsidDel="00000000" w:rsidR="00000000" w:rsidRPr="00000000">
        <w:rPr>
          <w:rFonts w:ascii="Cambria" w:cs="Cambria" w:eastAsia="Cambria" w:hAnsi="Cambria"/>
          <w:b w:val="1"/>
          <w:rtl w:val="0"/>
        </w:rPr>
        <w:t xml:space="preserve">Table 1.</w:t>
      </w:r>
      <w:r w:rsidDel="00000000" w:rsidR="00000000" w:rsidRPr="00000000">
        <w:rPr>
          <w:rFonts w:ascii="Cambria" w:cs="Cambria" w:eastAsia="Cambria" w:hAnsi="Cambria"/>
          <w:rtl w:val="0"/>
        </w:rPr>
        <w:tab/>
        <w:t xml:space="preserve">A Hierarchical Typology of Preservation Threats</w:t>
      </w:r>
    </w:p>
    <w:tbl>
      <w:tblPr>
        <w:tblStyle w:val="Table1"/>
        <w:tblW w:w="8505.0" w:type="dxa"/>
        <w:jc w:val="center"/>
        <w:tblLayout w:type="fixed"/>
        <w:tblLook w:val="0000"/>
      </w:tblPr>
      <w:tblGrid>
        <w:gridCol w:w="1560"/>
        <w:gridCol w:w="975"/>
        <w:gridCol w:w="3465"/>
        <w:gridCol w:w="2235"/>
        <w:gridCol w:w="270"/>
        <w:tblGridChange w:id="0">
          <w:tblGrid>
            <w:gridCol w:w="1560"/>
            <w:gridCol w:w="975"/>
            <w:gridCol w:w="3465"/>
            <w:gridCol w:w="2235"/>
            <w:gridCol w:w="270"/>
          </w:tblGrid>
        </w:tblGridChange>
      </w:tblGrid>
      <w:tr>
        <w:tc>
          <w:tcPr>
            <w:tcBorders>
              <w:top w:color="000000" w:space="0" w:sz="8" w:val="single"/>
            </w:tcBorders>
            <w:shd w:fill="auto" w:val="clear"/>
          </w:tcPr>
          <w:p w:rsidR="00000000" w:rsidDel="00000000" w:rsidP="00000000" w:rsidRDefault="00000000" w:rsidRPr="00000000" w14:paraId="00000014">
            <w:pPr>
              <w:spacing w:after="60" w:before="60" w:lineRule="auto"/>
              <w:jc w:val="center"/>
              <w:rPr>
                <w:rFonts w:ascii="Cambria" w:cs="Cambria" w:eastAsia="Cambria" w:hAnsi="Cambria"/>
              </w:rPr>
            </w:pPr>
            <w:r w:rsidDel="00000000" w:rsidR="00000000" w:rsidRPr="00000000">
              <w:rPr>
                <w:rtl w:val="0"/>
              </w:rPr>
            </w:r>
          </w:p>
        </w:tc>
        <w:tc>
          <w:tcPr>
            <w:gridSpan w:val="3"/>
            <w:tcBorders>
              <w:top w:color="000000" w:space="0" w:sz="8" w:val="single"/>
              <w:bottom w:color="000000" w:space="0" w:sz="4" w:val="single"/>
            </w:tcBorders>
            <w:shd w:fill="auto" w:val="clear"/>
          </w:tcPr>
          <w:p w:rsidR="00000000" w:rsidDel="00000000" w:rsidP="00000000" w:rsidRDefault="00000000" w:rsidRPr="00000000" w14:paraId="00000015">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tcBorders>
              <w:top w:color="000000" w:space="0" w:sz="8" w:val="single"/>
            </w:tcBorders>
            <w:shd w:fill="auto" w:val="clear"/>
          </w:tcPr>
          <w:p w:rsidR="00000000" w:rsidDel="00000000" w:rsidP="00000000" w:rsidRDefault="00000000" w:rsidRPr="00000000" w14:paraId="00000018">
            <w:pPr>
              <w:spacing w:after="60" w:before="60" w:lineRule="auto"/>
              <w:jc w:val="center"/>
              <w:rPr>
                <w:rFonts w:ascii="Cambria" w:cs="Cambria" w:eastAsia="Cambria" w:hAnsi="Cambria"/>
              </w:rPr>
            </w:pPr>
            <w:r w:rsidDel="00000000" w:rsidR="00000000" w:rsidRPr="00000000">
              <w:rPr>
                <w:rtl w:val="0"/>
              </w:rPr>
            </w:r>
          </w:p>
        </w:tc>
      </w:tr>
      <w:tr>
        <w:trPr>
          <w:trHeight w:val="300" w:hRule="atLeast"/>
        </w:trPr>
        <w:tc>
          <w:tcPr>
            <w:tcBorders>
              <w:bottom w:color="000000" w:space="0" w:sz="4" w:val="single"/>
            </w:tcBorders>
            <w:shd w:fill="auto" w:val="clear"/>
          </w:tcPr>
          <w:p w:rsidR="00000000" w:rsidDel="00000000" w:rsidP="00000000" w:rsidRDefault="00000000" w:rsidRPr="00000000" w14:paraId="00000019">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tcBorders>
              <w:top w:color="000000" w:space="0" w:sz="4" w:val="single"/>
              <w:bottom w:color="000000" w:space="0" w:sz="4" w:val="single"/>
            </w:tcBorders>
            <w:shd w:fill="auto" w:val="clear"/>
          </w:tcPr>
          <w:p w:rsidR="00000000" w:rsidDel="00000000" w:rsidP="00000000" w:rsidRDefault="00000000" w:rsidRPr="00000000" w14:paraId="0000001A">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Label</w:t>
            </w:r>
          </w:p>
        </w:tc>
        <w:tc>
          <w:tcPr>
            <w:tcBorders>
              <w:top w:color="000000" w:space="0" w:sz="4" w:val="single"/>
              <w:bottom w:color="000000" w:space="0" w:sz="4" w:val="single"/>
            </w:tcBorders>
            <w:shd w:fill="auto" w:val="clear"/>
          </w:tcPr>
          <w:p w:rsidR="00000000" w:rsidDel="00000000" w:rsidP="00000000" w:rsidRDefault="00000000" w:rsidRPr="00000000" w14:paraId="0000001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Role</w:t>
            </w:r>
          </w:p>
        </w:tc>
        <w:tc>
          <w:tcPr>
            <w:tcBorders>
              <w:top w:color="000000" w:space="0" w:sz="4" w:val="single"/>
              <w:bottom w:color="000000" w:space="0" w:sz="4" w:val="single"/>
            </w:tcBorders>
            <w:shd w:fill="auto" w:val="clear"/>
          </w:tcPr>
          <w:p w:rsidR="00000000" w:rsidDel="00000000" w:rsidP="00000000" w:rsidRDefault="00000000" w:rsidRPr="00000000" w14:paraId="0000001C">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tcBorders>
              <w:bottom w:color="000000" w:space="0" w:sz="4" w:val="single"/>
            </w:tcBorders>
            <w:shd w:fill="auto" w:val="clear"/>
          </w:tcPr>
          <w:p w:rsidR="00000000" w:rsidDel="00000000" w:rsidP="00000000" w:rsidRDefault="00000000" w:rsidRPr="00000000" w14:paraId="0000001D">
            <w:pPr>
              <w:spacing w:after="60" w:before="60" w:lineRule="auto"/>
              <w:jc w:val="center"/>
              <w:rPr>
                <w:rFonts w:ascii="Cambria" w:cs="Cambria" w:eastAsia="Cambria" w:hAnsi="Cambria"/>
              </w:rPr>
            </w:pPr>
            <w:r w:rsidDel="00000000" w:rsidR="00000000" w:rsidRPr="00000000">
              <w:rPr>
                <w:rtl w:val="0"/>
              </w:rPr>
            </w:r>
          </w:p>
        </w:tc>
      </w:tr>
      <w:tr>
        <w:tc>
          <w:tcPr>
            <w:tcBorders>
              <w:top w:color="000000" w:space="0" w:sz="4" w:val="single"/>
            </w:tcBorders>
            <w:shd w:fill="auto" w:val="clear"/>
          </w:tcPr>
          <w:p w:rsidR="00000000" w:rsidDel="00000000" w:rsidP="00000000" w:rsidRDefault="00000000" w:rsidRPr="00000000" w14:paraId="0000001E">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Hardware Storage </w:t>
            </w:r>
          </w:p>
        </w:tc>
        <w:tc>
          <w:tcPr>
            <w:tcBorders>
              <w:top w:color="000000" w:space="0" w:sz="4" w:val="single"/>
            </w:tcBorders>
            <w:shd w:fill="auto" w:val="clear"/>
          </w:tcPr>
          <w:p w:rsidR="00000000" w:rsidDel="00000000" w:rsidP="00000000" w:rsidRDefault="00000000" w:rsidRPr="00000000" w14:paraId="0000001F">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Sector</w:t>
            </w:r>
          </w:p>
        </w:tc>
        <w:tc>
          <w:tcPr>
            <w:tcBorders>
              <w:top w:color="000000" w:space="0" w:sz="4" w:val="single"/>
            </w:tcBorders>
            <w:shd w:fill="auto" w:val="clear"/>
          </w:tcPr>
          <w:p w:rsidR="00000000" w:rsidDel="00000000" w:rsidP="00000000" w:rsidRDefault="00000000" w:rsidRPr="00000000" w14:paraId="0000002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single document loss</w:t>
            </w:r>
          </w:p>
        </w:tc>
        <w:tc>
          <w:tcPr>
            <w:tcBorders>
              <w:top w:color="000000" w:space="0" w:sz="4" w:val="single"/>
            </w:tcBorders>
            <w:shd w:fill="auto" w:val="clear"/>
          </w:tcPr>
          <w:p w:rsidR="00000000" w:rsidDel="00000000" w:rsidP="00000000" w:rsidRDefault="00000000" w:rsidRPr="00000000" w14:paraId="00000021">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event</w:t>
            </w:r>
          </w:p>
        </w:tc>
        <w:tc>
          <w:tcPr>
            <w:tcBorders>
              <w:top w:color="000000" w:space="0" w:sz="4" w:val="single"/>
            </w:tcBorders>
            <w:shd w:fill="auto" w:val="clear"/>
          </w:tcPr>
          <w:p w:rsidR="00000000" w:rsidDel="00000000" w:rsidP="00000000" w:rsidRDefault="00000000" w:rsidRPr="00000000" w14:paraId="00000022">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Local environment</w:t>
            </w:r>
          </w:p>
        </w:tc>
        <w:tc>
          <w:tcPr>
            <w:shd w:fill="auto" w:val="clear"/>
          </w:tcPr>
          <w:p w:rsidR="00000000" w:rsidDel="00000000" w:rsidP="00000000" w:rsidRDefault="00000000" w:rsidRPr="00000000" w14:paraId="00000024">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Glitch</w:t>
            </w:r>
          </w:p>
        </w:tc>
        <w:tc>
          <w:tcPr>
            <w:shd w:fill="auto" w:val="clear"/>
          </w:tcPr>
          <w:p w:rsidR="00000000" w:rsidDel="00000000" w:rsidP="00000000" w:rsidRDefault="00000000" w:rsidRPr="00000000" w14:paraId="00000025">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Increase rate of sector error</w:t>
            </w:r>
          </w:p>
        </w:tc>
        <w:tc>
          <w:tcPr>
            <w:shd w:fill="auto" w:val="clear"/>
          </w:tcPr>
          <w:p w:rsidR="00000000" w:rsidDel="00000000" w:rsidP="00000000" w:rsidRDefault="00000000" w:rsidRPr="00000000" w14:paraId="00000026">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27">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8">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Institution</w:t>
            </w:r>
          </w:p>
        </w:tc>
        <w:tc>
          <w:tcPr>
            <w:shd w:fill="auto" w:val="clear"/>
          </w:tcPr>
          <w:p w:rsidR="00000000" w:rsidDel="00000000" w:rsidP="00000000" w:rsidRDefault="00000000" w:rsidRPr="00000000" w14:paraId="00000029">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Server</w:t>
            </w:r>
          </w:p>
        </w:tc>
        <w:tc>
          <w:tcPr>
            <w:shd w:fill="auto" w:val="clear"/>
          </w:tcPr>
          <w:p w:rsidR="00000000" w:rsidDel="00000000" w:rsidP="00000000" w:rsidRDefault="00000000" w:rsidRPr="00000000" w14:paraId="0000002A">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loss of single replica</w:t>
            </w:r>
          </w:p>
        </w:tc>
        <w:tc>
          <w:tcPr>
            <w:shd w:fill="auto" w:val="clear"/>
          </w:tcPr>
          <w:p w:rsidR="00000000" w:rsidDel="00000000" w:rsidP="00000000" w:rsidRDefault="00000000" w:rsidRPr="00000000" w14:paraId="0000002B">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Exponential life</w:t>
            </w:r>
          </w:p>
        </w:tc>
        <w:tc>
          <w:tcPr>
            <w:shd w:fill="auto" w:val="clear"/>
          </w:tcPr>
          <w:p w:rsidR="00000000" w:rsidDel="00000000" w:rsidP="00000000" w:rsidRDefault="00000000" w:rsidRPr="00000000" w14:paraId="0000002C">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D">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Institutional Environment</w:t>
            </w:r>
          </w:p>
        </w:tc>
        <w:tc>
          <w:tcPr>
            <w:shd w:fill="auto" w:val="clear"/>
          </w:tcPr>
          <w:p w:rsidR="00000000" w:rsidDel="00000000" w:rsidP="00000000" w:rsidRDefault="00000000" w:rsidRPr="00000000" w14:paraId="0000002E">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Shock</w:t>
            </w:r>
          </w:p>
        </w:tc>
        <w:tc>
          <w:tcPr>
            <w:shd w:fill="auto" w:val="clear"/>
          </w:tcPr>
          <w:p w:rsidR="00000000" w:rsidDel="00000000" w:rsidP="00000000" w:rsidRDefault="00000000" w:rsidRPr="00000000" w14:paraId="0000002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loss of multiple replicas; increases the rate of server failure</w:t>
            </w:r>
          </w:p>
        </w:tc>
        <w:tc>
          <w:tcPr>
            <w:shd w:fill="auto" w:val="clear"/>
          </w:tcPr>
          <w:p w:rsidR="00000000" w:rsidDel="00000000" w:rsidP="00000000" w:rsidRDefault="00000000" w:rsidRPr="00000000" w14:paraId="0000003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event/duration</w:t>
            </w:r>
          </w:p>
        </w:tc>
        <w:tc>
          <w:tcPr>
            <w:shd w:fill="auto" w:val="clear"/>
          </w:tcPr>
          <w:p w:rsidR="00000000" w:rsidDel="00000000" w:rsidP="00000000" w:rsidRDefault="00000000" w:rsidRPr="00000000" w14:paraId="00000031">
            <w:pPr>
              <w:spacing w:after="60" w:before="60" w:lineRule="auto"/>
              <w:rPr>
                <w:rFonts w:ascii="Cambria" w:cs="Cambria" w:eastAsia="Cambria" w:hAnsi="Cambria"/>
              </w:rPr>
            </w:pPr>
            <w:r w:rsidDel="00000000" w:rsidR="00000000" w:rsidRPr="00000000">
              <w:rPr>
                <w:rtl w:val="0"/>
              </w:rPr>
            </w:r>
          </w:p>
        </w:tc>
      </w:tr>
      <w:tr>
        <w:tc>
          <w:tcPr>
            <w:tcBorders>
              <w:bottom w:color="000000" w:space="0" w:sz="8" w:val="single"/>
            </w:tcBorders>
            <w:shd w:fill="auto" w:val="clear"/>
          </w:tcPr>
          <w:p w:rsidR="00000000" w:rsidDel="00000000" w:rsidP="00000000" w:rsidRDefault="00000000" w:rsidRPr="00000000" w14:paraId="00000032">
            <w:pPr>
              <w:spacing w:after="60" w:before="60" w:lineRule="auto"/>
              <w:jc w:val="center"/>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3">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4">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5">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6">
            <w:pPr>
              <w:spacing w:after="60" w:before="6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435" w:before="145" w:lineRule="auto"/>
        <w:ind w:left="936"/>
        <w:rPr>
          <w:rFonts w:ascii="Cambria" w:cs="Cambria" w:eastAsia="Cambria" w:hAnsi="Cambria"/>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ind w:left="576" w:firstLine="0"/>
        <w:rPr/>
      </w:pPr>
      <w:bookmarkStart w:colFirst="0" w:colLast="0" w:name="_d5pcr0t0et0i" w:id="3"/>
      <w:bookmarkEnd w:id="3"/>
      <w:r w:rsidDel="00000000" w:rsidR="00000000" w:rsidRPr="00000000">
        <w:rPr>
          <w:rtl w:val="0"/>
        </w:rPr>
        <w:t xml:space="preserve">Estimating Loss through Discrete Event-Based Simulation </w:t>
      </w:r>
    </w:p>
    <w:p w:rsidR="00000000" w:rsidDel="00000000" w:rsidP="00000000" w:rsidRDefault="00000000" w:rsidRPr="00000000" w14:paraId="0000003C">
      <w:pPr>
        <w:pStyle w:val="Heading1"/>
        <w:numPr>
          <w:ilvl w:val="0"/>
          <w:numId w:val="2"/>
        </w:numPr>
        <w:ind w:left="432"/>
        <w:rPr>
          <w:b w:val="1"/>
          <w:sz w:val="34"/>
          <w:szCs w:val="34"/>
        </w:rPr>
      </w:pPr>
      <w:bookmarkStart w:colFirst="0" w:colLast="0" w:name="_uaksfscj5a1k" w:id="4"/>
      <w:bookmarkEnd w:id="4"/>
      <w:r w:rsidDel="00000000" w:rsidR="00000000" w:rsidRPr="00000000">
        <w:rPr>
          <w:rtl w:val="0"/>
        </w:rPr>
        <w:t xml:space="preserve">Selected Results</w:t>
      </w:r>
    </w:p>
    <w:p w:rsidR="00000000" w:rsidDel="00000000" w:rsidP="00000000" w:rsidRDefault="00000000" w:rsidRPr="00000000" w14:paraId="0000003D">
      <w:pPr>
        <w:pStyle w:val="Heading2"/>
        <w:numPr>
          <w:ilvl w:val="0"/>
          <w:numId w:val="2"/>
        </w:numPr>
        <w:ind w:left="432"/>
      </w:pPr>
      <w:bookmarkStart w:colFirst="0" w:colLast="0" w:name="_lxv7ugc028b1" w:id="5"/>
      <w:bookmarkEnd w:id="5"/>
      <w:r w:rsidDel="00000000" w:rsidR="00000000" w:rsidRPr="00000000">
        <w:rPr>
          <w:rtl w:val="0"/>
        </w:rPr>
        <w:t xml:space="preserve">Selecting Preservation Policies that Are Robust to Storage Conditions</w:t>
      </w:r>
    </w:p>
    <w:p w:rsidR="00000000" w:rsidDel="00000000" w:rsidP="00000000" w:rsidRDefault="00000000" w:rsidRPr="00000000" w14:paraId="0000003E">
      <w:pPr>
        <w:pStyle w:val="Heading2"/>
        <w:numPr>
          <w:ilvl w:val="0"/>
          <w:numId w:val="2"/>
        </w:numPr>
        <w:ind w:left="432"/>
        <w:rPr>
          <w:b w:val="1"/>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before="290" w:lineRule="auto"/>
        <w:jc w:val="center"/>
        <w:rPr>
          <w:rFonts w:ascii="Cambria" w:cs="Cambria" w:eastAsia="Cambria" w:hAnsi="Cambria"/>
          <w:b w:val="1"/>
        </w:rPr>
      </w:pPr>
      <w:r w:rsidDel="00000000" w:rsidR="00000000" w:rsidRPr="00000000">
        <w:rPr>
          <w:rFonts w:ascii="Cambria" w:cs="Cambria" w:eastAsia="Cambria" w:hAnsi="Cambria"/>
        </w:rPr>
        <w:drawing>
          <wp:inline distB="19050" distT="19050" distL="19050" distR="19050">
            <wp:extent cx="5258753" cy="329251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8753" cy="32925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435" w:before="145" w:lineRule="auto"/>
        <w:ind w:left="936"/>
        <w:rPr>
          <w:rFonts w:ascii="Cambria" w:cs="Cambria" w:eastAsia="Cambria" w:hAnsi="Cambria"/>
        </w:rPr>
      </w:pPr>
      <w:r w:rsidDel="00000000" w:rsidR="00000000" w:rsidRPr="00000000">
        <w:rPr>
          <w:rFonts w:ascii="Cambria" w:cs="Cambria" w:eastAsia="Cambria" w:hAnsi="Cambria"/>
          <w:b w:val="1"/>
          <w:rtl w:val="0"/>
        </w:rPr>
        <w:t xml:space="preserve">Figure 2.</w:t>
      </w:r>
      <w:r w:rsidDel="00000000" w:rsidR="00000000" w:rsidRPr="00000000">
        <w:rPr>
          <w:rFonts w:ascii="Cambria" w:cs="Cambria" w:eastAsia="Cambria" w:hAnsi="Cambria"/>
          <w:rtl w:val="0"/>
        </w:rPr>
        <w:tab/>
        <w:t xml:space="preserve">Analysis from discrete event simulations. Deploying five independent replicas and annual auditing is sufficient to maintain the integrity of collections across a wide range of storage level conditions. </w:t>
      </w:r>
    </w:p>
    <w:p w:rsidR="00000000" w:rsidDel="00000000" w:rsidP="00000000" w:rsidRDefault="00000000" w:rsidRPr="00000000" w14:paraId="00000042">
      <w:pPr>
        <w:pStyle w:val="Heading2"/>
        <w:numPr>
          <w:ilvl w:val="0"/>
          <w:numId w:val="2"/>
        </w:numPr>
        <w:ind w:left="432"/>
        <w:rPr>
          <w:b w:val="1"/>
        </w:rPr>
      </w:pPr>
      <w:bookmarkStart w:colFirst="0" w:colLast="0" w:name="_5kpulj5xgz2z" w:id="6"/>
      <w:bookmarkEnd w:id="6"/>
      <w:r w:rsidDel="00000000" w:rsidR="00000000" w:rsidRPr="00000000">
        <w:rPr>
          <w:rtl w:val="0"/>
        </w:rPr>
        <w:t xml:space="preserve">Selecting Preservation Policies that Are Robust to Institutional Failures</w:t>
      </w:r>
    </w:p>
    <w:p w:rsidR="00000000" w:rsidDel="00000000" w:rsidP="00000000" w:rsidRDefault="00000000" w:rsidRPr="00000000" w14:paraId="00000043">
      <w:pPr>
        <w:ind w:left="0" w:firstLine="0"/>
        <w:rPr>
          <w:rFonts w:ascii="Cambria" w:cs="Cambria" w:eastAsia="Cambria" w:hAnsi="Cambria"/>
        </w:rPr>
      </w:pPr>
      <w:r w:rsidDel="00000000" w:rsidR="00000000" w:rsidRPr="00000000">
        <w:rPr>
          <w:rFonts w:ascii="Cambria" w:cs="Cambria" w:eastAsia="Cambria" w:hAnsi="Cambria"/>
          <w:rtl w:val="0"/>
        </w:rPr>
        <w:t xml:space="preserve">Characterizing institutional threats.</w:t>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after="145" w:before="435" w:lineRule="auto"/>
        <w:ind w:left="936"/>
        <w:rPr>
          <w:rFonts w:ascii="Cambria" w:cs="Cambria" w:eastAsia="Cambria" w:hAnsi="Cambria"/>
        </w:rPr>
      </w:pPr>
      <w:r w:rsidDel="00000000" w:rsidR="00000000" w:rsidRPr="00000000">
        <w:rPr>
          <w:rFonts w:ascii="Cambria" w:cs="Cambria" w:eastAsia="Cambria" w:hAnsi="Cambria"/>
          <w:b w:val="1"/>
          <w:rtl w:val="0"/>
        </w:rPr>
        <w:t xml:space="preserve">Table 2.</w:t>
      </w:r>
      <w:r w:rsidDel="00000000" w:rsidR="00000000" w:rsidRPr="00000000">
        <w:rPr>
          <w:rFonts w:ascii="Cambria" w:cs="Cambria" w:eastAsia="Cambria" w:hAnsi="Cambria"/>
          <w:rtl w:val="0"/>
        </w:rPr>
        <w:tab/>
        <w:t xml:space="preserve">Modeling Scenarios</w:t>
      </w:r>
    </w:p>
    <w:tbl>
      <w:tblPr>
        <w:tblStyle w:val="Table2"/>
        <w:tblW w:w="6270.0" w:type="dxa"/>
        <w:jc w:val="center"/>
        <w:tblLayout w:type="fixed"/>
        <w:tblLook w:val="0000"/>
      </w:tblPr>
      <w:tblGrid>
        <w:gridCol w:w="1260"/>
        <w:gridCol w:w="1785"/>
        <w:gridCol w:w="1620"/>
        <w:gridCol w:w="1605"/>
        <w:tblGridChange w:id="0">
          <w:tblGrid>
            <w:gridCol w:w="1260"/>
            <w:gridCol w:w="1785"/>
            <w:gridCol w:w="1620"/>
            <w:gridCol w:w="1605"/>
          </w:tblGrid>
        </w:tblGridChange>
      </w:tblGrid>
      <w:tr>
        <w:tc>
          <w:tcPr>
            <w:tcBorders>
              <w:top w:color="000000" w:space="0" w:sz="8" w:val="single"/>
            </w:tcBorders>
            <w:shd w:fill="auto" w:val="clear"/>
          </w:tcPr>
          <w:p w:rsidR="00000000" w:rsidDel="00000000" w:rsidP="00000000" w:rsidRDefault="00000000" w:rsidRPr="00000000" w14:paraId="00000046">
            <w:pPr>
              <w:spacing w:after="60" w:before="60" w:lineRule="auto"/>
              <w:jc w:val="center"/>
              <w:rPr>
                <w:rFonts w:ascii="Cambria" w:cs="Cambria" w:eastAsia="Cambria" w:hAnsi="Cambria"/>
              </w:rPr>
            </w:pPr>
            <w:r w:rsidDel="00000000" w:rsidR="00000000" w:rsidRPr="00000000">
              <w:rPr>
                <w:rtl w:val="0"/>
              </w:rPr>
            </w:r>
          </w:p>
        </w:tc>
        <w:tc>
          <w:tcPr>
            <w:gridSpan w:val="2"/>
            <w:tcBorders>
              <w:top w:color="000000" w:space="0" w:sz="8" w:val="single"/>
              <w:bottom w:color="000000" w:space="0" w:sz="4" w:val="single"/>
            </w:tcBorders>
            <w:shd w:fill="auto" w:val="clear"/>
          </w:tcPr>
          <w:p w:rsidR="00000000" w:rsidDel="00000000" w:rsidP="00000000" w:rsidRDefault="00000000" w:rsidRPr="00000000" w14:paraId="00000047">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Failure Frequency</w:t>
            </w:r>
          </w:p>
        </w:tc>
        <w:tc>
          <w:tcPr>
            <w:tcBorders>
              <w:top w:color="000000" w:space="0" w:sz="8" w:val="single"/>
            </w:tcBorders>
            <w:shd w:fill="auto" w:val="clear"/>
          </w:tcPr>
          <w:p w:rsidR="00000000" w:rsidDel="00000000" w:rsidP="00000000" w:rsidRDefault="00000000" w:rsidRPr="00000000" w14:paraId="00000049">
            <w:pPr>
              <w:spacing w:after="60" w:before="60" w:lineRule="auto"/>
              <w:jc w:val="center"/>
              <w:rPr>
                <w:rFonts w:ascii="Cambria" w:cs="Cambria" w:eastAsia="Cambria" w:hAnsi="Cambria"/>
              </w:rPr>
            </w:pPr>
            <w:r w:rsidDel="00000000" w:rsidR="00000000" w:rsidRPr="00000000">
              <w:rPr>
                <w:rtl w:val="0"/>
              </w:rPr>
            </w:r>
          </w:p>
        </w:tc>
      </w:tr>
      <w:tr>
        <w:trPr>
          <w:trHeight w:val="300" w:hRule="atLeast"/>
        </w:trPr>
        <w:tc>
          <w:tcPr>
            <w:tcBorders>
              <w:bottom w:color="000000" w:space="0" w:sz="4" w:val="single"/>
            </w:tcBorders>
            <w:shd w:fill="auto" w:val="clear"/>
          </w:tcPr>
          <w:p w:rsidR="00000000" w:rsidDel="00000000" w:rsidP="00000000" w:rsidRDefault="00000000" w:rsidRPr="00000000" w14:paraId="0000004A">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Error</w:t>
            </w:r>
          </w:p>
        </w:tc>
        <w:tc>
          <w:tcPr>
            <w:tcBorders>
              <w:top w:color="000000" w:space="0" w:sz="4" w:val="single"/>
              <w:bottom w:color="000000" w:space="0" w:sz="4" w:val="single"/>
            </w:tcBorders>
            <w:shd w:fill="auto" w:val="clear"/>
          </w:tcPr>
          <w:p w:rsidR="00000000" w:rsidDel="00000000" w:rsidP="00000000" w:rsidRDefault="00000000" w:rsidRPr="00000000" w14:paraId="0000004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Moderate</w:t>
            </w:r>
          </w:p>
        </w:tc>
        <w:tc>
          <w:tcPr>
            <w:tcBorders>
              <w:top w:color="000000" w:space="0" w:sz="4" w:val="single"/>
              <w:bottom w:color="000000" w:space="0" w:sz="4" w:val="single"/>
            </w:tcBorders>
            <w:shd w:fill="auto" w:val="clear"/>
          </w:tcPr>
          <w:p w:rsidR="00000000" w:rsidDel="00000000" w:rsidP="00000000" w:rsidRDefault="00000000" w:rsidRPr="00000000" w14:paraId="0000004C">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Severe</w:t>
            </w:r>
          </w:p>
        </w:tc>
        <w:tc>
          <w:tcPr>
            <w:tcBorders>
              <w:bottom w:color="000000" w:space="0" w:sz="4" w:val="single"/>
            </w:tcBorders>
            <w:shd w:fill="auto" w:val="clear"/>
          </w:tcPr>
          <w:p w:rsidR="00000000" w:rsidDel="00000000" w:rsidP="00000000" w:rsidRDefault="00000000" w:rsidRPr="00000000" w14:paraId="0000004D">
            <w:pPr>
              <w:spacing w:after="60" w:before="60" w:lineRule="auto"/>
              <w:jc w:val="center"/>
              <w:rPr>
                <w:rFonts w:ascii="Cambria" w:cs="Cambria" w:eastAsia="Cambria" w:hAnsi="Cambria"/>
              </w:rPr>
            </w:pPr>
            <w:r w:rsidDel="00000000" w:rsidR="00000000" w:rsidRPr="00000000">
              <w:rPr>
                <w:rtl w:val="0"/>
              </w:rPr>
            </w:r>
          </w:p>
        </w:tc>
      </w:tr>
      <w:tr>
        <w:tc>
          <w:tcPr>
            <w:tcBorders>
              <w:top w:color="000000" w:space="0" w:sz="4" w:val="single"/>
            </w:tcBorders>
            <w:shd w:fill="auto" w:val="clear"/>
          </w:tcPr>
          <w:p w:rsidR="00000000" w:rsidDel="00000000" w:rsidP="00000000" w:rsidRDefault="00000000" w:rsidRPr="00000000" w14:paraId="0000004E">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Sector</w:t>
            </w:r>
          </w:p>
        </w:tc>
        <w:tc>
          <w:tcPr>
            <w:tcBorders>
              <w:top w:color="000000" w:space="0" w:sz="4" w:val="single"/>
            </w:tcBorders>
            <w:shd w:fill="auto" w:val="clear"/>
          </w:tcPr>
          <w:p w:rsidR="00000000" w:rsidDel="00000000" w:rsidP="00000000" w:rsidRDefault="00000000" w:rsidRPr="00000000" w14:paraId="0000004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Media error</w:t>
            </w:r>
          </w:p>
        </w:tc>
        <w:tc>
          <w:tcPr>
            <w:tcBorders>
              <w:top w:color="000000" w:space="0" w:sz="4" w:val="single"/>
            </w:tcBorders>
            <w:shd w:fill="auto" w:val="clear"/>
          </w:tcPr>
          <w:p w:rsidR="00000000" w:rsidDel="00000000" w:rsidP="00000000" w:rsidRDefault="00000000" w:rsidRPr="00000000" w14:paraId="0000005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Hardware storage controller failure</w:t>
            </w:r>
          </w:p>
        </w:tc>
        <w:tc>
          <w:tcPr>
            <w:tcBorders>
              <w:top w:color="000000" w:space="0" w:sz="4" w:val="single"/>
            </w:tcBorders>
            <w:shd w:fill="auto" w:val="clear"/>
          </w:tcPr>
          <w:p w:rsidR="00000000" w:rsidDel="00000000" w:rsidP="00000000" w:rsidRDefault="00000000" w:rsidRPr="00000000" w14:paraId="00000051">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2">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Glitch</w:t>
            </w:r>
          </w:p>
        </w:tc>
        <w:tc>
          <w:tcPr>
            <w:shd w:fill="auto" w:val="clear"/>
          </w:tcPr>
          <w:p w:rsidR="00000000" w:rsidDel="00000000" w:rsidP="00000000" w:rsidRDefault="00000000" w:rsidRPr="00000000" w14:paraId="00000053">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HVAC faults</w:t>
            </w:r>
          </w:p>
        </w:tc>
        <w:tc>
          <w:tcPr>
            <w:shd w:fill="auto" w:val="clear"/>
          </w:tcPr>
          <w:p w:rsidR="00000000" w:rsidDel="00000000" w:rsidP="00000000" w:rsidRDefault="00000000" w:rsidRPr="00000000" w14:paraId="00000054">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Fire, flood, earthquake</w:t>
            </w:r>
          </w:p>
        </w:tc>
        <w:tc>
          <w:tcPr>
            <w:shd w:fill="auto" w:val="clear"/>
          </w:tcPr>
          <w:p w:rsidR="00000000" w:rsidDel="00000000" w:rsidP="00000000" w:rsidRDefault="00000000" w:rsidRPr="00000000" w14:paraId="00000055">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6">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Server</w:t>
            </w:r>
          </w:p>
        </w:tc>
        <w:tc>
          <w:tcPr>
            <w:shd w:fill="auto" w:val="clear"/>
          </w:tcPr>
          <w:p w:rsidR="00000000" w:rsidDel="00000000" w:rsidP="00000000" w:rsidRDefault="00000000" w:rsidRPr="00000000" w14:paraId="00000057">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Curator Error</w:t>
            </w:r>
          </w:p>
        </w:tc>
        <w:tc>
          <w:tcPr>
            <w:shd w:fill="auto" w:val="clear"/>
          </w:tcPr>
          <w:p w:rsidR="00000000" w:rsidDel="00000000" w:rsidP="00000000" w:rsidRDefault="00000000" w:rsidRPr="00000000" w14:paraId="00000058">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Cyber-attack</w:t>
            </w:r>
          </w:p>
          <w:p w:rsidR="00000000" w:rsidDel="00000000" w:rsidP="00000000" w:rsidRDefault="00000000" w:rsidRPr="00000000" w14:paraId="00000059">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Bankruptcy</w:t>
            </w:r>
          </w:p>
        </w:tc>
        <w:tc>
          <w:tcPr>
            <w:shd w:fill="auto" w:val="clear"/>
          </w:tcPr>
          <w:p w:rsidR="00000000" w:rsidDel="00000000" w:rsidP="00000000" w:rsidRDefault="00000000" w:rsidRPr="00000000" w14:paraId="0000005A">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Shock</w:t>
            </w:r>
          </w:p>
        </w:tc>
        <w:tc>
          <w:tcPr>
            <w:shd w:fill="auto" w:val="clear"/>
          </w:tcPr>
          <w:p w:rsidR="00000000" w:rsidDel="00000000" w:rsidP="00000000" w:rsidRDefault="00000000" w:rsidRPr="00000000" w14:paraId="0000005C">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Recession</w:t>
            </w:r>
          </w:p>
        </w:tc>
        <w:tc>
          <w:tcPr>
            <w:shd w:fill="auto" w:val="clear"/>
          </w:tcPr>
          <w:p w:rsidR="00000000" w:rsidDel="00000000" w:rsidP="00000000" w:rsidRDefault="00000000" w:rsidRPr="00000000" w14:paraId="0000005D">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Regional War</w:t>
              <w:br w:type="textWrapping"/>
              <w:t xml:space="preserve">Government Suppression</w:t>
            </w:r>
          </w:p>
        </w:tc>
        <w:tc>
          <w:tcPr>
            <w:shd w:fill="auto" w:val="clear"/>
          </w:tcPr>
          <w:p w:rsidR="00000000" w:rsidDel="00000000" w:rsidP="00000000" w:rsidRDefault="00000000" w:rsidRPr="00000000" w14:paraId="0000005E">
            <w:pPr>
              <w:spacing w:after="60" w:before="60" w:lineRule="auto"/>
              <w:rPr>
                <w:rFonts w:ascii="Cambria" w:cs="Cambria" w:eastAsia="Cambria" w:hAnsi="Cambria"/>
              </w:rPr>
            </w:pPr>
            <w:r w:rsidDel="00000000" w:rsidR="00000000" w:rsidRPr="00000000">
              <w:rPr>
                <w:rtl w:val="0"/>
              </w:rPr>
            </w:r>
          </w:p>
        </w:tc>
      </w:tr>
      <w:tr>
        <w:tc>
          <w:tcPr>
            <w:tcBorders>
              <w:bottom w:color="000000" w:space="0" w:sz="8" w:val="single"/>
            </w:tcBorders>
            <w:shd w:fill="auto" w:val="clear"/>
          </w:tcPr>
          <w:p w:rsidR="00000000" w:rsidDel="00000000" w:rsidP="00000000" w:rsidRDefault="00000000" w:rsidRPr="00000000" w14:paraId="0000005F">
            <w:pPr>
              <w:spacing w:after="60" w:before="60" w:lineRule="auto"/>
              <w:jc w:val="center"/>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0">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1">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2">
            <w:pPr>
              <w:spacing w:after="60" w:before="6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Even with infinitely-lived storage, institutional-life, and global shocks matter.</w:t>
      </w:r>
    </w:p>
    <w:p w:rsidR="00000000" w:rsidDel="00000000" w:rsidP="00000000" w:rsidRDefault="00000000" w:rsidRPr="00000000" w14:paraId="00000065">
      <w:pPr>
        <w:ind w:left="0" w:firstLine="0"/>
        <w:rPr/>
      </w:pPr>
      <w:r w:rsidDel="00000000" w:rsidR="00000000" w:rsidRPr="00000000">
        <w:rPr/>
        <w:drawing>
          <wp:inline distB="19050" distT="19050" distL="19050" distR="19050">
            <wp:extent cx="3774426" cy="2830826"/>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4426" cy="283082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2"/>
        </w:numPr>
        <w:ind w:left="432"/>
      </w:pPr>
      <w:bookmarkStart w:colFirst="0" w:colLast="0" w:name="_30o2fdizvr7o" w:id="7"/>
      <w:bookmarkEnd w:id="7"/>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Summary of our contribution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Invitation to others to use code/parameterize for their risk and cost profile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Summary Recommendations for Memory Institutions</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Multiple copies. In most conditions 5-7. Systematic auditing -- sample without replacement; higher-frequency -- x times yearly.</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This is highly robust -- will survive a major recession or minor war</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Use compression -- with a well-documented oSS implemented</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Audit vendors to ensure diversification across platforms -- avoid correlated legal/physical/technological exposure.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Regularly monitor measure failures.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Community, Vendors, and Research Recommendations</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Support auditing primitives</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Collect and share  loss rates</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Forget 11 nines … reveal replication strategy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acknowledgements should be placed in a separate section immediately before the reference list.</w:t>
      </w:r>
    </w:p>
    <w:p w:rsidR="00000000" w:rsidDel="00000000" w:rsidP="00000000" w:rsidRDefault="00000000" w:rsidRPr="00000000" w14:paraId="00000078">
      <w:pPr>
        <w:pStyle w:val="Heading1"/>
        <w:numPr>
          <w:ilvl w:val="0"/>
          <w:numId w:val="2"/>
        </w:numPr>
        <w:ind w:left="432" w:hanging="432"/>
        <w:rPr/>
      </w:pPr>
      <w:r w:rsidDel="00000000" w:rsidR="00000000" w:rsidRPr="00000000">
        <w:rPr>
          <w:rtl w:val="0"/>
        </w:rPr>
        <w:t xml:space="preserve">References</w:t>
      </w:r>
    </w:p>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29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304" w:top="1418" w:left="1701" w:right="1701"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ah Altman" w:id="0" w:date="2019-06-17T17:08:4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Extended Abstract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dd Month yyyy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Author Name, Postal Address. Email: email@ddress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14th International Digital Curation Conference takes place on 17 - 20 February 2020 in Dublin, Ireland URL: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http://www.dcc.ac.uk/events/idcc</w:t>
      </w:r>
    </w:hyperlink>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20</w:t>
    </w:r>
    <w:r w:rsidDel="00000000" w:rsidR="00000000" w:rsidRPr="00000000">
      <w:rPr>
        <w:rtl w:val="0"/>
      </w:rPr>
    </w:r>
  </w:p>
  <w:tbl>
    <w:tblPr>
      <w:tblStyle w:val="Table3"/>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Copyright rests with the authors. This work is released under a Creative Commons Attribution 4.0 International Licence. For details please see </w:t>
          </w:r>
          <w:hyperlink r:id="rId2">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9">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Author names (short form)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8080"/>
        <w:sz w:val="40"/>
        <w:szCs w:val="40"/>
        <w:u w:val="none"/>
        <w:shd w:fill="auto" w:val="clear"/>
        <w:vertAlign w:val="baseline"/>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Extended Abstract</w:t>
    </w:r>
  </w:p>
  <w:p w:rsidR="00000000" w:rsidDel="00000000" w:rsidP="00000000" w:rsidRDefault="00000000" w:rsidRPr="00000000" w14:paraId="0000008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Title (short form)</w:t>
      <w:tab/>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dcc.ac.uk/events/idcc" TargetMode="External"/><Relationship Id="rId2" Type="http://schemas.openxmlformats.org/officeDocument/2006/relationships/hyperlink" Target="http://creativecommons.org/licenses/by/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