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AA3298" w14:textId="77777777" w:rsidR="00A10443" w:rsidRPr="00E35DF8" w:rsidRDefault="00A10443" w:rsidP="002B1D96">
      <w:pPr>
        <w:spacing w:after="200" w:line="312" w:lineRule="auto"/>
        <w:jc w:val="both"/>
        <w:rPr>
          <w:rFonts w:ascii="Century Gothic" w:hAnsi="Century Gothic" w:cs="Arial"/>
          <w:sz w:val="22"/>
          <w:szCs w:val="22"/>
          <w:lang w:val="es-ES"/>
        </w:rPr>
      </w:pPr>
    </w:p>
    <w:p w14:paraId="7263C031" w14:textId="77777777" w:rsidR="00A10443" w:rsidRPr="00E35DF8" w:rsidRDefault="00A10443" w:rsidP="002B1D96">
      <w:pPr>
        <w:suppressAutoHyphens/>
        <w:spacing w:after="200" w:line="312" w:lineRule="auto"/>
        <w:jc w:val="both"/>
        <w:rPr>
          <w:rFonts w:ascii="Century Gothic" w:hAnsi="Century Gothic" w:cs="Arial"/>
          <w:sz w:val="22"/>
          <w:szCs w:val="22"/>
          <w:lang w:val="es-ES"/>
        </w:rPr>
      </w:pPr>
    </w:p>
    <w:p w14:paraId="77D102DF" w14:textId="77777777" w:rsidR="00A10443" w:rsidRPr="00E35DF8" w:rsidRDefault="00A10443" w:rsidP="002B1D96">
      <w:pPr>
        <w:tabs>
          <w:tab w:val="left" w:pos="8865"/>
        </w:tabs>
        <w:suppressAutoHyphens/>
        <w:spacing w:after="200" w:line="312" w:lineRule="auto"/>
        <w:jc w:val="both"/>
        <w:rPr>
          <w:rFonts w:ascii="Century Gothic" w:hAnsi="Century Gothic" w:cs="Arial"/>
          <w:sz w:val="22"/>
          <w:szCs w:val="22"/>
          <w:lang w:val="es-ES"/>
        </w:rPr>
      </w:pPr>
    </w:p>
    <w:p w14:paraId="28681495" w14:textId="77777777" w:rsidR="00A10443" w:rsidRPr="00E35DF8" w:rsidRDefault="00A10443" w:rsidP="002B1D96">
      <w:pPr>
        <w:tabs>
          <w:tab w:val="left" w:pos="8865"/>
        </w:tabs>
        <w:suppressAutoHyphens/>
        <w:spacing w:after="200" w:line="312" w:lineRule="auto"/>
        <w:jc w:val="both"/>
        <w:rPr>
          <w:rFonts w:ascii="Century Gothic" w:hAnsi="Century Gothic" w:cs="Arial"/>
          <w:sz w:val="22"/>
          <w:szCs w:val="22"/>
          <w:lang w:val="es-ES"/>
        </w:rPr>
      </w:pPr>
    </w:p>
    <w:p w14:paraId="3BEA5D70" w14:textId="2F813302" w:rsidR="00A10443" w:rsidRPr="00617A96" w:rsidRDefault="00617A96" w:rsidP="00617A96">
      <w:pPr>
        <w:tabs>
          <w:tab w:val="left" w:pos="5160"/>
        </w:tabs>
        <w:suppressAutoHyphens/>
        <w:spacing w:after="200" w:line="312" w:lineRule="auto"/>
        <w:jc w:val="center"/>
        <w:rPr>
          <w:rFonts w:ascii="Century Gothic" w:hAnsi="Century Gothic" w:cs="Arial"/>
          <w:b/>
          <w:sz w:val="56"/>
          <w:szCs w:val="56"/>
          <w:lang w:val="es-ES"/>
        </w:rPr>
      </w:pPr>
      <w:r w:rsidRPr="00617A96">
        <w:rPr>
          <w:rFonts w:ascii="Century Gothic" w:hAnsi="Century Gothic" w:cs="Arial"/>
          <w:b/>
          <w:sz w:val="56"/>
          <w:szCs w:val="56"/>
          <w:lang w:val="es-ES"/>
        </w:rPr>
        <w:t>ANEXO 1</w:t>
      </w:r>
    </w:p>
    <w:p w14:paraId="4FB6CA8D" w14:textId="77777777" w:rsidR="00897337" w:rsidRPr="00E35DF8" w:rsidRDefault="002B1D96" w:rsidP="002B1D96">
      <w:pPr>
        <w:tabs>
          <w:tab w:val="left" w:pos="8865"/>
        </w:tabs>
        <w:suppressAutoHyphens/>
        <w:spacing w:after="200" w:line="312" w:lineRule="auto"/>
        <w:jc w:val="both"/>
        <w:rPr>
          <w:rFonts w:ascii="Century Gothic" w:hAnsi="Century Gothic" w:cs="Arial"/>
          <w:sz w:val="22"/>
          <w:szCs w:val="22"/>
          <w:lang w:val="es-ES"/>
        </w:rPr>
      </w:pPr>
      <w:r w:rsidRPr="002B1D96">
        <w:rPr>
          <w:rFonts w:ascii="Century Gothic" w:hAnsi="Century Gothic" w:cs="Arial"/>
          <w:noProof/>
          <w:color w:val="660033"/>
          <w:sz w:val="22"/>
          <w:szCs w:val="22"/>
        </w:rPr>
        <mc:AlternateContent>
          <mc:Choice Requires="wps">
            <w:drawing>
              <wp:anchor distT="0" distB="0" distL="114300" distR="114300" simplePos="0" relativeHeight="251661312" behindDoc="1" locked="0" layoutInCell="1" allowOverlap="1" wp14:anchorId="18616D71" wp14:editId="2E47D1AA">
                <wp:simplePos x="0" y="0"/>
                <wp:positionH relativeFrom="column">
                  <wp:posOffset>-1134688</wp:posOffset>
                </wp:positionH>
                <wp:positionV relativeFrom="paragraph">
                  <wp:posOffset>308898</wp:posOffset>
                </wp:positionV>
                <wp:extent cx="7839075" cy="2528570"/>
                <wp:effectExtent l="38100" t="57150" r="47625" b="43180"/>
                <wp:wrapNone/>
                <wp:docPr id="8" name="Redondear rectángulo de esquina diagonal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39075" cy="2528570"/>
                        </a:xfrm>
                        <a:prstGeom prst="round2DiagRect">
                          <a:avLst>
                            <a:gd name="adj1" fmla="val 0"/>
                            <a:gd name="adj2" fmla="val 0"/>
                          </a:avLst>
                        </a:prstGeom>
                        <a:solidFill>
                          <a:srgbClr val="641345"/>
                        </a:solidFill>
                        <a:ln w="15875" cap="flat" cmpd="sng" algn="ctr">
                          <a:noFill/>
                          <a:prstDash val="solid"/>
                          <a:miter/>
                        </a:ln>
                        <a:effectLst>
                          <a:innerShdw blurRad="127000">
                            <a:srgbClr val="FFFFFF">
                              <a:alpha val="35000"/>
                            </a:srgbClr>
                          </a:innerShdw>
                        </a:effectLst>
                        <a:scene3d>
                          <a:camera prst="orthographicFront">
                            <a:rot lat="0" lon="0" rev="0"/>
                          </a:camera>
                          <a:lightRig rig="chilly" dir="tl">
                            <a:rot lat="0" lon="0" rev="5400000"/>
                          </a:lightRig>
                        </a:scene3d>
                        <a:sp3d prstMaterial="softEdge">
                          <a:bevelT w="0" h="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1071DDB3" id="Redondear rectángulo de esquina diagonal 29" o:spid="_x0000_s1026" style="position:absolute;margin-left:-89.35pt;margin-top:24.3pt;width:617.25pt;height:199.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coordsize="7839075,2528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" path="m,l7839075,r,l7839075,2528570r,l,2528570r,l,,,xe" fillcolor="#641345" stroked="f" strokeweight="1.25pt">
                <v:stroke joinstyle="miter"/>
                <v:path arrowok="t" o:connecttype="custom" o:connectlocs="0,0;7839075,0;7839075,0;7839075,2528570;7839075,2528570;0,2528570;0,2528570;0,0;0,0" o:connectangles="0,0,0,0,0,0,0,0,0"/>
              </v:shape>
            </w:pict>
          </mc:Fallback>
        </mc:AlternateContent>
      </w:r>
    </w:p>
    <w:p w14:paraId="32855DE3" w14:textId="2251C39D" w:rsidR="00F20707" w:rsidRPr="002222C9" w:rsidRDefault="00D94EA4" w:rsidP="002B1D96">
      <w:pPr>
        <w:suppressAutoHyphens/>
        <w:ind w:left="-567" w:right="-516"/>
        <w:jc w:val="both"/>
        <w:rPr>
          <w:rFonts w:ascii="Century Gothic" w:hAnsi="Century Gothic" w:cs="Arial"/>
          <w:b/>
          <w:bCs/>
          <w:iCs/>
          <w:color w:val="FFFFFF" w:themeColor="background1"/>
          <w:sz w:val="40"/>
          <w:szCs w:val="40"/>
          <w:lang w:val="es-ES" w:eastAsia="es-ES"/>
        </w:rPr>
      </w:pPr>
      <w:r w:rsidRPr="002B1D96">
        <w:rPr>
          <w:rFonts w:ascii="Century Gothic" w:hAnsi="Century Gothic" w:cs="Arial"/>
          <w:b/>
          <w:bCs/>
          <w:iCs/>
          <w:color w:val="FFFFFF" w:themeColor="background1"/>
          <w:sz w:val="40"/>
          <w:szCs w:val="40"/>
          <w:lang w:val="es-ES" w:eastAsia="es-ES"/>
        </w:rPr>
        <w:t xml:space="preserve">DIAGNÓSTICO </w:t>
      </w:r>
      <w:r w:rsidR="00C415A8" w:rsidRPr="002B1D96">
        <w:rPr>
          <w:rFonts w:ascii="Century Gothic" w:hAnsi="Century Gothic" w:cs="Arial"/>
          <w:b/>
          <w:bCs/>
          <w:iCs/>
          <w:color w:val="FFFFFF" w:themeColor="background1"/>
          <w:sz w:val="40"/>
          <w:szCs w:val="40"/>
          <w:lang w:val="es-ES" w:eastAsia="es-ES"/>
        </w:rPr>
        <w:t xml:space="preserve">DE LAS </w:t>
      </w:r>
      <w:proofErr w:type="spellStart"/>
      <w:r w:rsidR="00897337" w:rsidRPr="002B1D96">
        <w:rPr>
          <w:rFonts w:ascii="Century Gothic" w:hAnsi="Century Gothic" w:cs="Arial"/>
          <w:b/>
          <w:bCs/>
          <w:iCs/>
          <w:color w:val="FFFFFF" w:themeColor="background1"/>
          <w:sz w:val="40"/>
          <w:szCs w:val="40"/>
          <w:lang w:val="es-ES" w:eastAsia="es-ES"/>
        </w:rPr>
        <w:t>DISTRITACIONES</w:t>
      </w:r>
      <w:proofErr w:type="spellEnd"/>
      <w:r w:rsidR="00897337" w:rsidRPr="002B1D96">
        <w:rPr>
          <w:rFonts w:ascii="Century Gothic" w:hAnsi="Century Gothic" w:cs="Arial"/>
          <w:b/>
          <w:bCs/>
          <w:iCs/>
          <w:color w:val="FFFFFF" w:themeColor="background1"/>
          <w:sz w:val="40"/>
          <w:szCs w:val="40"/>
          <w:lang w:val="es-ES" w:eastAsia="es-ES"/>
        </w:rPr>
        <w:t xml:space="preserve"> ELECTORALES </w:t>
      </w:r>
      <w:r w:rsidR="00C415A8" w:rsidRPr="002B1D96">
        <w:rPr>
          <w:rFonts w:ascii="Century Gothic" w:hAnsi="Century Gothic" w:cs="Arial"/>
          <w:b/>
          <w:bCs/>
          <w:iCs/>
          <w:color w:val="FFFFFF" w:themeColor="background1"/>
          <w:sz w:val="40"/>
          <w:szCs w:val="40"/>
          <w:lang w:val="es-ES" w:eastAsia="es-ES"/>
        </w:rPr>
        <w:t>VIGENTES</w:t>
      </w:r>
      <w:r w:rsidRPr="002B1D96">
        <w:rPr>
          <w:rFonts w:ascii="Century Gothic" w:hAnsi="Century Gothic" w:cs="Arial"/>
          <w:b/>
          <w:bCs/>
          <w:iCs/>
          <w:color w:val="FFFFFF" w:themeColor="background1"/>
          <w:sz w:val="40"/>
          <w:szCs w:val="40"/>
          <w:lang w:val="es-ES" w:eastAsia="es-ES"/>
        </w:rPr>
        <w:t xml:space="preserve"> </w:t>
      </w:r>
      <w:r w:rsidR="00897337" w:rsidRPr="002B1D96">
        <w:rPr>
          <w:rFonts w:ascii="Century Gothic" w:hAnsi="Century Gothic" w:cs="Arial"/>
          <w:b/>
          <w:bCs/>
          <w:iCs/>
          <w:color w:val="FFFFFF" w:themeColor="background1"/>
          <w:sz w:val="40"/>
          <w:szCs w:val="40"/>
          <w:lang w:val="es-ES" w:eastAsia="es-ES"/>
        </w:rPr>
        <w:t>EN</w:t>
      </w:r>
      <w:r w:rsidR="00C415A8" w:rsidRPr="002B1D96">
        <w:rPr>
          <w:rFonts w:ascii="Century Gothic" w:hAnsi="Century Gothic" w:cs="Arial"/>
          <w:b/>
          <w:bCs/>
          <w:iCs/>
          <w:color w:val="FFFFFF" w:themeColor="background1"/>
          <w:sz w:val="40"/>
          <w:szCs w:val="40"/>
          <w:lang w:val="es-ES" w:eastAsia="es-ES"/>
        </w:rPr>
        <w:t xml:space="preserve"> LAS ENTIDADES FEDERATIVAS DE</w:t>
      </w:r>
      <w:r w:rsidR="00897337" w:rsidRPr="002B1D96">
        <w:rPr>
          <w:rFonts w:ascii="Century Gothic" w:hAnsi="Century Gothic" w:cs="Arial"/>
          <w:b/>
          <w:bCs/>
          <w:iCs/>
          <w:color w:val="FFFFFF" w:themeColor="background1"/>
          <w:sz w:val="40"/>
          <w:szCs w:val="40"/>
          <w:lang w:val="es-ES" w:eastAsia="es-ES"/>
        </w:rPr>
        <w:t xml:space="preserve"> </w:t>
      </w:r>
      <w:r w:rsidR="002222C9" w:rsidRPr="002222C9">
        <w:rPr>
          <w:rFonts w:ascii="Century Gothic" w:hAnsi="Century Gothic" w:cs="Arial"/>
          <w:b/>
          <w:bCs/>
          <w:iCs/>
          <w:color w:val="FFFFFF" w:themeColor="background1"/>
          <w:sz w:val="40"/>
          <w:szCs w:val="40"/>
          <w:lang w:val="es-ES" w:eastAsia="es-ES"/>
        </w:rPr>
        <w:t xml:space="preserve">BAJA CALIFORNIA SUR, CAMPECHE, </w:t>
      </w:r>
      <w:r w:rsidR="004E219B">
        <w:rPr>
          <w:rFonts w:ascii="Century Gothic" w:hAnsi="Century Gothic" w:cs="Arial"/>
          <w:b/>
          <w:bCs/>
          <w:iCs/>
          <w:color w:val="FFFFFF" w:themeColor="background1"/>
          <w:sz w:val="40"/>
          <w:szCs w:val="40"/>
          <w:lang w:val="es-ES" w:eastAsia="es-ES"/>
        </w:rPr>
        <w:t>CIUDAD DE M</w:t>
      </w:r>
      <w:r w:rsidR="00617A96">
        <w:rPr>
          <w:rFonts w:ascii="Century Gothic" w:hAnsi="Century Gothic" w:cs="Arial"/>
          <w:b/>
          <w:bCs/>
          <w:iCs/>
          <w:color w:val="FFFFFF" w:themeColor="background1"/>
          <w:sz w:val="40"/>
          <w:szCs w:val="40"/>
          <w:lang w:val="es-ES" w:eastAsia="es-ES"/>
        </w:rPr>
        <w:t>ÉXICO</w:t>
      </w:r>
      <w:r w:rsidR="004E219B">
        <w:rPr>
          <w:rFonts w:ascii="Century Gothic" w:hAnsi="Century Gothic" w:cs="Arial"/>
          <w:b/>
          <w:bCs/>
          <w:iCs/>
          <w:color w:val="FFFFFF" w:themeColor="background1"/>
          <w:sz w:val="40"/>
          <w:szCs w:val="40"/>
          <w:lang w:val="es-ES" w:eastAsia="es-ES"/>
        </w:rPr>
        <w:t xml:space="preserve">, </w:t>
      </w:r>
      <w:r w:rsidR="002222C9" w:rsidRPr="002222C9">
        <w:rPr>
          <w:rFonts w:ascii="Century Gothic" w:hAnsi="Century Gothic" w:cs="Arial"/>
          <w:b/>
          <w:bCs/>
          <w:iCs/>
          <w:color w:val="FFFFFF" w:themeColor="background1"/>
          <w:sz w:val="40"/>
          <w:szCs w:val="40"/>
          <w:lang w:val="es-ES" w:eastAsia="es-ES"/>
        </w:rPr>
        <w:t>C</w:t>
      </w:r>
      <w:r w:rsidR="004E219B">
        <w:rPr>
          <w:rFonts w:ascii="Century Gothic" w:hAnsi="Century Gothic" w:cs="Arial"/>
          <w:b/>
          <w:bCs/>
          <w:iCs/>
          <w:color w:val="FFFFFF" w:themeColor="background1"/>
          <w:sz w:val="40"/>
          <w:szCs w:val="40"/>
          <w:lang w:val="es-ES" w:eastAsia="es-ES"/>
        </w:rPr>
        <w:t xml:space="preserve">OLIMA, CHIAPAS, </w:t>
      </w:r>
      <w:r w:rsidR="002222C9" w:rsidRPr="002222C9">
        <w:rPr>
          <w:rFonts w:ascii="Century Gothic" w:hAnsi="Century Gothic" w:cs="Arial"/>
          <w:b/>
          <w:bCs/>
          <w:iCs/>
          <w:color w:val="FFFFFF" w:themeColor="background1"/>
          <w:sz w:val="40"/>
          <w:szCs w:val="40"/>
          <w:lang w:val="es-ES" w:eastAsia="es-ES"/>
        </w:rPr>
        <w:t>GUANAJUATO, GUERRERO, JALISCO, MÉXICO, MICHOACÁN, MORELOS, NUEVO LEÓN, QUERÉTARO, SAN LUIS POTOSÍ, SONORA, TABASCO Y YUCATÁN.</w:t>
      </w:r>
    </w:p>
    <w:p w14:paraId="416F9F10" w14:textId="77777777" w:rsidR="00FE25EF" w:rsidRPr="00E35DF8" w:rsidRDefault="00FE25EF" w:rsidP="002B1D96">
      <w:pPr>
        <w:tabs>
          <w:tab w:val="left" w:pos="8865"/>
        </w:tabs>
        <w:suppressAutoHyphens/>
        <w:spacing w:after="200" w:line="312" w:lineRule="auto"/>
        <w:jc w:val="center"/>
        <w:rPr>
          <w:rFonts w:ascii="Century Gothic" w:hAnsi="Century Gothic" w:cs="Arial"/>
          <w:sz w:val="22"/>
          <w:szCs w:val="22"/>
          <w:lang w:val="es-ES"/>
        </w:rPr>
      </w:pPr>
    </w:p>
    <w:p w14:paraId="7235FB3B" w14:textId="77777777" w:rsidR="00FE25EF" w:rsidRPr="00E35DF8" w:rsidRDefault="00FE25EF" w:rsidP="002B1D96">
      <w:pPr>
        <w:tabs>
          <w:tab w:val="left" w:pos="8865"/>
        </w:tabs>
        <w:suppressAutoHyphens/>
        <w:spacing w:after="200" w:line="312" w:lineRule="auto"/>
        <w:jc w:val="both"/>
        <w:rPr>
          <w:rFonts w:ascii="Century Gothic" w:hAnsi="Century Gothic" w:cs="Arial"/>
          <w:sz w:val="22"/>
          <w:szCs w:val="22"/>
          <w:lang w:val="es-ES"/>
        </w:rPr>
      </w:pPr>
    </w:p>
    <w:p w14:paraId="1BF3FF25" w14:textId="77777777" w:rsidR="00FE25EF" w:rsidRPr="00E35DF8" w:rsidRDefault="00FE25EF" w:rsidP="002B1D96">
      <w:pPr>
        <w:tabs>
          <w:tab w:val="left" w:pos="8865"/>
        </w:tabs>
        <w:suppressAutoHyphens/>
        <w:spacing w:after="200" w:line="312" w:lineRule="auto"/>
        <w:jc w:val="both"/>
        <w:rPr>
          <w:rFonts w:ascii="Century Gothic" w:hAnsi="Century Gothic" w:cs="Arial"/>
          <w:sz w:val="22"/>
          <w:szCs w:val="22"/>
          <w:lang w:val="es-ES"/>
        </w:rPr>
      </w:pPr>
    </w:p>
    <w:p w14:paraId="7A8FF9E4" w14:textId="77777777" w:rsidR="00FE25EF" w:rsidRDefault="00FE25EF" w:rsidP="002B1D96">
      <w:pPr>
        <w:tabs>
          <w:tab w:val="left" w:pos="8865"/>
        </w:tabs>
        <w:suppressAutoHyphens/>
        <w:spacing w:after="200" w:line="312" w:lineRule="auto"/>
        <w:jc w:val="both"/>
        <w:rPr>
          <w:rFonts w:ascii="Century Gothic" w:hAnsi="Century Gothic" w:cs="Arial"/>
          <w:sz w:val="22"/>
          <w:szCs w:val="22"/>
          <w:lang w:val="es-ES"/>
        </w:rPr>
      </w:pPr>
    </w:p>
    <w:p w14:paraId="00729CAA" w14:textId="77777777" w:rsidR="00897337" w:rsidRDefault="00897337" w:rsidP="002B1D96">
      <w:pPr>
        <w:tabs>
          <w:tab w:val="left" w:pos="8865"/>
        </w:tabs>
        <w:suppressAutoHyphens/>
        <w:spacing w:after="200" w:line="312" w:lineRule="auto"/>
        <w:jc w:val="both"/>
        <w:rPr>
          <w:rFonts w:ascii="Century Gothic" w:hAnsi="Century Gothic" w:cs="Arial"/>
          <w:sz w:val="22"/>
          <w:szCs w:val="22"/>
          <w:lang w:val="es-ES"/>
        </w:rPr>
      </w:pPr>
    </w:p>
    <w:p w14:paraId="47F0CA8C" w14:textId="77777777" w:rsidR="00FE25EF" w:rsidRPr="00E35DF8" w:rsidRDefault="00FE25EF" w:rsidP="002B1D96">
      <w:pPr>
        <w:tabs>
          <w:tab w:val="left" w:pos="8865"/>
        </w:tabs>
        <w:suppressAutoHyphens/>
        <w:spacing w:after="200" w:line="312" w:lineRule="auto"/>
        <w:jc w:val="both"/>
        <w:rPr>
          <w:rFonts w:ascii="Century Gothic" w:hAnsi="Century Gothic" w:cs="Arial"/>
          <w:sz w:val="22"/>
          <w:szCs w:val="22"/>
          <w:lang w:val="es-ES"/>
        </w:rPr>
      </w:pPr>
    </w:p>
    <w:p w14:paraId="7B973DD0" w14:textId="77777777" w:rsidR="00FE25EF" w:rsidRPr="00E35DF8" w:rsidRDefault="00FE25EF" w:rsidP="002B1D96">
      <w:pPr>
        <w:tabs>
          <w:tab w:val="left" w:pos="8865"/>
        </w:tabs>
        <w:suppressAutoHyphens/>
        <w:spacing w:after="200" w:line="312" w:lineRule="auto"/>
        <w:jc w:val="both"/>
        <w:rPr>
          <w:rFonts w:ascii="Century Gothic" w:hAnsi="Century Gothic" w:cs="Arial"/>
          <w:sz w:val="22"/>
          <w:szCs w:val="22"/>
          <w:lang w:val="es-ES"/>
        </w:rPr>
      </w:pPr>
    </w:p>
    <w:p w14:paraId="742B61E0" w14:textId="5742FB27" w:rsidR="00A10443" w:rsidRPr="00E35DF8" w:rsidRDefault="004E219B" w:rsidP="002B1D96">
      <w:pPr>
        <w:pStyle w:val="Textoindependiente"/>
        <w:suppressAutoHyphens/>
        <w:spacing w:after="200" w:line="312" w:lineRule="auto"/>
        <w:jc w:val="center"/>
        <w:rPr>
          <w:rFonts w:ascii="Century Gothic" w:hAnsi="Century Gothic" w:cs="Arial"/>
          <w:b/>
          <w:bCs/>
          <w:color w:val="660033"/>
          <w:sz w:val="22"/>
          <w:szCs w:val="22"/>
          <w:lang w:val="es-ES"/>
        </w:rPr>
      </w:pPr>
      <w:r>
        <w:rPr>
          <w:rFonts w:ascii="Century Gothic" w:hAnsi="Century Gothic" w:cs="Arial"/>
          <w:b/>
          <w:bCs/>
          <w:color w:val="660033"/>
          <w:sz w:val="22"/>
          <w:szCs w:val="22"/>
          <w:lang w:val="es-ES"/>
        </w:rPr>
        <w:t>Abril de 2016</w:t>
      </w:r>
    </w:p>
    <w:p w14:paraId="3F56BE65" w14:textId="77777777" w:rsidR="00AA3E34" w:rsidRPr="007805EB" w:rsidRDefault="002B1D96" w:rsidP="002B1D96">
      <w:pPr>
        <w:rPr>
          <w:rFonts w:ascii="Century Gothic" w:hAnsi="Century Gothic" w:cs="Arial"/>
          <w:b/>
          <w:bCs/>
          <w:iCs/>
          <w:color w:val="FFFFFF" w:themeColor="background1"/>
          <w:sz w:val="28"/>
          <w:szCs w:val="28"/>
          <w:lang w:val="es-ES" w:eastAsia="es-ES"/>
        </w:rPr>
      </w:pPr>
      <w:r>
        <w:rPr>
          <w:rFonts w:ascii="Century Gothic" w:hAnsi="Century Gothic" w:cs="Arial"/>
          <w:b/>
          <w:bCs/>
          <w:iCs/>
          <w:sz w:val="22"/>
          <w:szCs w:val="22"/>
          <w:lang w:val="es-ES" w:eastAsia="es-ES"/>
        </w:rPr>
        <w:br w:type="page"/>
      </w:r>
      <w:r w:rsidR="00E35DF8" w:rsidRPr="007805EB">
        <w:rPr>
          <w:rFonts w:ascii="Century Gothic" w:hAnsi="Century Gothic" w:cs="Arial"/>
          <w:b/>
          <w:bCs/>
          <w:iCs/>
          <w:color w:val="FFFFFF" w:themeColor="background1"/>
          <w:sz w:val="28"/>
          <w:szCs w:val="28"/>
          <w:lang w:val="es-ES" w:eastAsia="es-ES"/>
        </w:rPr>
        <w:lastRenderedPageBreak/>
        <w:t>Contenido</w:t>
      </w:r>
    </w:p>
    <w:p w14:paraId="7DD2F171" w14:textId="77777777" w:rsidR="00AA3E34" w:rsidRPr="00507A7E" w:rsidRDefault="002B1D96" w:rsidP="002B1D96">
      <w:pPr>
        <w:spacing w:after="200" w:line="312" w:lineRule="auto"/>
        <w:jc w:val="both"/>
        <w:rPr>
          <w:rFonts w:ascii="Century Gothic" w:hAnsi="Century Gothic" w:cs="Arial"/>
          <w:bCs/>
          <w:iCs/>
          <w:sz w:val="22"/>
          <w:szCs w:val="22"/>
          <w:lang w:val="es-ES" w:eastAsia="es-ES"/>
        </w:rPr>
      </w:pPr>
      <w:r>
        <w:rPr>
          <w:rFonts w:ascii="Century Gothic" w:hAnsi="Century Gothic" w:cs="Arial"/>
          <w:b/>
          <w:bCs/>
          <w:iCs/>
          <w:noProof/>
          <w:sz w:val="22"/>
          <w:szCs w:val="22"/>
        </w:rPr>
        <mc:AlternateContent>
          <mc:Choice Requires="wps">
            <w:drawing>
              <wp:anchor distT="0" distB="0" distL="114300" distR="114300" simplePos="0" relativeHeight="251662336" behindDoc="1" locked="0" layoutInCell="1" allowOverlap="1" wp14:anchorId="425B1F86" wp14:editId="3CD52109">
                <wp:simplePos x="0" y="0"/>
                <wp:positionH relativeFrom="column">
                  <wp:posOffset>-1101725</wp:posOffset>
                </wp:positionH>
                <wp:positionV relativeFrom="paragraph">
                  <wp:posOffset>-303530</wp:posOffset>
                </wp:positionV>
                <wp:extent cx="3430270" cy="346710"/>
                <wp:effectExtent l="38100" t="57150" r="55880" b="53340"/>
                <wp:wrapNone/>
                <wp:docPr id="7" name="Redondear rectángulo de esquina diagonal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30270" cy="346710"/>
                        </a:xfrm>
                        <a:prstGeom prst="round2DiagRect">
                          <a:avLst>
                            <a:gd name="adj1" fmla="val 0"/>
                            <a:gd name="adj2" fmla="val 0"/>
                          </a:avLst>
                        </a:prstGeom>
                        <a:solidFill>
                          <a:srgbClr val="641345"/>
                        </a:solidFill>
                        <a:ln w="15875" cap="flat" cmpd="sng" algn="ctr">
                          <a:noFill/>
                          <a:prstDash val="solid"/>
                          <a:miter/>
                        </a:ln>
                        <a:effectLst>
                          <a:innerShdw blurRad="127000">
                            <a:srgbClr val="FFFFFF">
                              <a:alpha val="35000"/>
                            </a:srgbClr>
                          </a:innerShdw>
                        </a:effectLst>
                        <a:scene3d>
                          <a:camera prst="orthographicFront">
                            <a:rot lat="0" lon="0" rev="0"/>
                          </a:camera>
                          <a:lightRig rig="chilly" dir="tl">
                            <a:rot lat="0" lon="0" rev="5400000"/>
                          </a:lightRig>
                        </a:scene3d>
                        <a:sp3d prstMaterial="softEdge">
                          <a:bevelT w="0" h="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315D2159" id="Redondear rectángulo de esquina diagonal 29" o:spid="_x0000_s1026" style="position:absolute;margin-left:-86.75pt;margin-top:-23.9pt;width:270.1pt;height:27.3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coordsize="3430270,346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" path="m,l3430270,r,l3430270,346710r,l,346710r,l,,,xe" fillcolor="#641345" stroked="f" strokeweight="1.25pt">
                <v:stroke joinstyle="miter"/>
                <v:path arrowok="t" o:connecttype="custom" o:connectlocs="0,0;3430270,0;3430270,0;3430270,346710;3430270,346710;0,346710;0,346710;0,0;0,0" o:connectangles="0,0,0,0,0,0,0,0,0"/>
              </v:shape>
            </w:pict>
          </mc:Fallback>
        </mc:AlternateContent>
      </w:r>
    </w:p>
    <w:p w14:paraId="20858A91" w14:textId="77777777" w:rsidR="00E35DF8" w:rsidRDefault="00E35DF8" w:rsidP="002B1D96">
      <w:pPr>
        <w:spacing w:after="200" w:line="312" w:lineRule="auto"/>
        <w:jc w:val="both"/>
        <w:rPr>
          <w:rFonts w:ascii="Century Gothic" w:hAnsi="Century Gothic" w:cs="Arial"/>
          <w:sz w:val="22"/>
          <w:szCs w:val="22"/>
          <w:lang w:val="es-ES"/>
        </w:rPr>
      </w:pPr>
    </w:p>
    <w:p w14:paraId="3E21A2BC" w14:textId="77777777" w:rsidR="002B1D96" w:rsidRDefault="002B1D96" w:rsidP="002B1D96">
      <w:pPr>
        <w:spacing w:after="200" w:line="312" w:lineRule="auto"/>
        <w:jc w:val="both"/>
        <w:rPr>
          <w:rFonts w:ascii="Century Gothic" w:hAnsi="Century Gothic" w:cs="Arial"/>
          <w:sz w:val="22"/>
          <w:szCs w:val="22"/>
          <w:lang w:val="es-ES"/>
        </w:rPr>
      </w:pPr>
    </w:p>
    <w:p w14:paraId="2B6CD9C5" w14:textId="77777777" w:rsidR="002B1D96" w:rsidRDefault="002B1D96" w:rsidP="002B1D96">
      <w:pPr>
        <w:spacing w:after="200" w:line="312" w:lineRule="auto"/>
        <w:jc w:val="both"/>
        <w:rPr>
          <w:rFonts w:ascii="Century Gothic" w:hAnsi="Century Gothic" w:cs="Arial"/>
          <w:sz w:val="22"/>
          <w:szCs w:val="22"/>
          <w:lang w:val="es-ES"/>
        </w:rPr>
      </w:pPr>
    </w:p>
    <w:p w14:paraId="4C612751" w14:textId="77777777" w:rsidR="00D626C9" w:rsidRDefault="00D626C9" w:rsidP="002B1D96">
      <w:pPr>
        <w:spacing w:after="200" w:line="312" w:lineRule="auto"/>
        <w:jc w:val="both"/>
        <w:rPr>
          <w:rFonts w:ascii="Century Gothic" w:hAnsi="Century Gothic" w:cs="Arial"/>
          <w:sz w:val="22"/>
          <w:szCs w:val="22"/>
          <w:lang w:val="es-ES"/>
        </w:rPr>
      </w:pPr>
    </w:p>
    <w:p w14:paraId="1B8636A7" w14:textId="77777777" w:rsidR="00E35DF8" w:rsidRPr="00507A7E" w:rsidRDefault="00E35DF8" w:rsidP="002B1D96">
      <w:pPr>
        <w:spacing w:after="200" w:line="312" w:lineRule="auto"/>
        <w:jc w:val="both"/>
        <w:rPr>
          <w:rFonts w:ascii="Century Gothic" w:hAnsi="Century Gothic" w:cs="Arial"/>
          <w:sz w:val="22"/>
          <w:szCs w:val="22"/>
          <w:lang w:val="es-ES"/>
        </w:rPr>
      </w:pPr>
      <w:r w:rsidRPr="00507A7E">
        <w:rPr>
          <w:rFonts w:ascii="Century Gothic" w:hAnsi="Century Gothic" w:cs="Arial"/>
          <w:sz w:val="22"/>
          <w:szCs w:val="22"/>
          <w:lang w:val="es-ES"/>
        </w:rPr>
        <w:t>Presentación</w:t>
      </w:r>
      <w:r w:rsidR="002B1D96">
        <w:rPr>
          <w:rFonts w:ascii="Century Gothic" w:hAnsi="Century Gothic" w:cs="Arial"/>
          <w:sz w:val="22"/>
          <w:szCs w:val="22"/>
          <w:lang w:val="es-ES"/>
        </w:rPr>
        <w:t>…………………………………………………………………………………....... 3</w:t>
      </w:r>
      <w:r w:rsidR="00F85F1B">
        <w:rPr>
          <w:rFonts w:ascii="Century Gothic" w:hAnsi="Century Gothic" w:cs="Arial"/>
          <w:sz w:val="22"/>
          <w:szCs w:val="22"/>
          <w:lang w:val="es-ES"/>
        </w:rPr>
        <w:tab/>
      </w:r>
    </w:p>
    <w:p w14:paraId="06EB530D" w14:textId="77777777" w:rsidR="00E35DF8" w:rsidRPr="00507A7E" w:rsidRDefault="00947D6D" w:rsidP="002B1D96">
      <w:pPr>
        <w:pStyle w:val="Prrafodelista"/>
        <w:numPr>
          <w:ilvl w:val="0"/>
          <w:numId w:val="5"/>
        </w:numPr>
        <w:spacing w:line="312" w:lineRule="auto"/>
        <w:ind w:left="426" w:hanging="426"/>
        <w:contextualSpacing w:val="0"/>
        <w:jc w:val="both"/>
        <w:rPr>
          <w:rFonts w:ascii="Century Gothic" w:hAnsi="Century Gothic" w:cs="Arial"/>
          <w:sz w:val="22"/>
          <w:szCs w:val="22"/>
          <w:lang w:val="es-ES"/>
        </w:rPr>
      </w:pPr>
      <w:r w:rsidRPr="00507A7E">
        <w:rPr>
          <w:rFonts w:ascii="Century Gothic" w:hAnsi="Century Gothic" w:cs="Arial"/>
          <w:sz w:val="22"/>
          <w:szCs w:val="22"/>
          <w:lang w:val="es-ES"/>
        </w:rPr>
        <w:t>Antecedentes</w:t>
      </w:r>
      <w:r w:rsidR="002B1D96">
        <w:rPr>
          <w:rFonts w:ascii="Century Gothic" w:hAnsi="Century Gothic" w:cs="Arial"/>
          <w:sz w:val="22"/>
          <w:szCs w:val="22"/>
          <w:lang w:val="es-ES"/>
        </w:rPr>
        <w:t xml:space="preserve">…………………………………………………………………………….… </w:t>
      </w:r>
      <w:r w:rsidR="00A65645">
        <w:rPr>
          <w:rFonts w:ascii="Century Gothic" w:hAnsi="Century Gothic" w:cs="Arial"/>
          <w:sz w:val="22"/>
          <w:szCs w:val="22"/>
          <w:lang w:val="es-ES"/>
        </w:rPr>
        <w:t>4</w:t>
      </w:r>
    </w:p>
    <w:p w14:paraId="0CDDDDE9" w14:textId="77777777" w:rsidR="006359B4" w:rsidRPr="00507A7E" w:rsidRDefault="006359B4" w:rsidP="002B1D96">
      <w:pPr>
        <w:pStyle w:val="Prrafodelista"/>
        <w:spacing w:line="312" w:lineRule="auto"/>
        <w:ind w:left="851"/>
        <w:contextualSpacing w:val="0"/>
        <w:jc w:val="both"/>
        <w:rPr>
          <w:rFonts w:ascii="Century Gothic" w:hAnsi="Century Gothic" w:cs="Arial"/>
          <w:sz w:val="22"/>
          <w:szCs w:val="22"/>
          <w:lang w:val="es-ES"/>
        </w:rPr>
      </w:pPr>
    </w:p>
    <w:p w14:paraId="3696F25C" w14:textId="77777777" w:rsidR="006359B4" w:rsidRPr="00A65645" w:rsidRDefault="006359B4" w:rsidP="002B1D96">
      <w:pPr>
        <w:pStyle w:val="Prrafodelista"/>
        <w:numPr>
          <w:ilvl w:val="0"/>
          <w:numId w:val="5"/>
        </w:numPr>
        <w:spacing w:line="312" w:lineRule="auto"/>
        <w:ind w:left="426" w:hanging="426"/>
        <w:contextualSpacing w:val="0"/>
        <w:jc w:val="both"/>
        <w:rPr>
          <w:rFonts w:ascii="Century Gothic" w:hAnsi="Century Gothic" w:cs="Arial"/>
          <w:sz w:val="22"/>
          <w:szCs w:val="22"/>
          <w:lang w:val="es-ES"/>
        </w:rPr>
      </w:pPr>
      <w:r w:rsidRPr="00507A7E">
        <w:rPr>
          <w:rFonts w:ascii="Century Gothic" w:hAnsi="Century Gothic" w:cs="Arial"/>
          <w:sz w:val="22"/>
          <w:szCs w:val="22"/>
          <w:lang w:val="es-ES"/>
        </w:rPr>
        <w:t>Marco Jurídico</w:t>
      </w:r>
      <w:r w:rsidR="002B1D96">
        <w:rPr>
          <w:rFonts w:ascii="Century Gothic" w:hAnsi="Century Gothic" w:cs="Arial"/>
          <w:sz w:val="22"/>
          <w:szCs w:val="22"/>
          <w:lang w:val="es-ES"/>
        </w:rPr>
        <w:t xml:space="preserve">……………………………………………………………………………… </w:t>
      </w:r>
      <w:r w:rsidR="00A65645" w:rsidRPr="00A65645">
        <w:rPr>
          <w:rFonts w:ascii="Century Gothic" w:hAnsi="Century Gothic" w:cs="Arial"/>
          <w:sz w:val="22"/>
          <w:szCs w:val="22"/>
          <w:lang w:val="es-ES"/>
        </w:rPr>
        <w:t>6</w:t>
      </w:r>
    </w:p>
    <w:p w14:paraId="57DC8E89" w14:textId="77777777" w:rsidR="00F85F1B" w:rsidRDefault="00F85F1B" w:rsidP="002B1D96">
      <w:pPr>
        <w:tabs>
          <w:tab w:val="left" w:pos="426"/>
        </w:tabs>
        <w:spacing w:after="200" w:line="312" w:lineRule="auto"/>
        <w:jc w:val="both"/>
        <w:rPr>
          <w:rFonts w:ascii="Century Gothic" w:hAnsi="Century Gothic" w:cs="Arial"/>
          <w:sz w:val="22"/>
          <w:szCs w:val="22"/>
          <w:lang w:val="es-ES"/>
        </w:rPr>
      </w:pPr>
    </w:p>
    <w:p w14:paraId="4354F2D0" w14:textId="1DC0DF19" w:rsidR="00C81E44" w:rsidRDefault="00F85F1B" w:rsidP="00C81E44">
      <w:pPr>
        <w:pStyle w:val="Prrafodelista"/>
        <w:numPr>
          <w:ilvl w:val="0"/>
          <w:numId w:val="5"/>
        </w:numPr>
        <w:tabs>
          <w:tab w:val="left" w:pos="426"/>
        </w:tabs>
        <w:spacing w:after="0" w:line="240" w:lineRule="auto"/>
        <w:ind w:right="476"/>
        <w:contextualSpacing w:val="0"/>
        <w:jc w:val="both"/>
        <w:rPr>
          <w:rFonts w:ascii="Century Gothic" w:hAnsi="Century Gothic" w:cs="Arial"/>
          <w:sz w:val="22"/>
          <w:szCs w:val="22"/>
          <w:lang w:val="es-ES"/>
        </w:rPr>
      </w:pPr>
      <w:r w:rsidRPr="00C81E44">
        <w:rPr>
          <w:rFonts w:ascii="Century Gothic" w:hAnsi="Century Gothic" w:cs="Arial"/>
          <w:sz w:val="22"/>
          <w:szCs w:val="22"/>
          <w:lang w:val="es-ES"/>
        </w:rPr>
        <w:t xml:space="preserve">Análisis de la </w:t>
      </w:r>
      <w:proofErr w:type="spellStart"/>
      <w:r w:rsidRPr="00C81E44">
        <w:rPr>
          <w:rFonts w:ascii="Century Gothic" w:hAnsi="Century Gothic" w:cs="Arial"/>
          <w:sz w:val="22"/>
          <w:szCs w:val="22"/>
          <w:lang w:val="es-ES"/>
        </w:rPr>
        <w:t>distritación</w:t>
      </w:r>
      <w:proofErr w:type="spellEnd"/>
      <w:r w:rsidRPr="00C81E44">
        <w:rPr>
          <w:rFonts w:ascii="Century Gothic" w:hAnsi="Century Gothic" w:cs="Arial"/>
          <w:sz w:val="22"/>
          <w:szCs w:val="22"/>
          <w:lang w:val="es-ES"/>
        </w:rPr>
        <w:t xml:space="preserve"> </w:t>
      </w:r>
      <w:r w:rsidR="00C415A8" w:rsidRPr="00C81E44">
        <w:rPr>
          <w:rFonts w:ascii="Century Gothic" w:hAnsi="Century Gothic" w:cs="Arial"/>
          <w:sz w:val="22"/>
          <w:szCs w:val="22"/>
          <w:lang w:val="es-ES"/>
        </w:rPr>
        <w:t>vigente en la</w:t>
      </w:r>
      <w:r w:rsidRPr="00C81E44">
        <w:rPr>
          <w:rFonts w:ascii="Century Gothic" w:hAnsi="Century Gothic" w:cs="Arial"/>
          <w:sz w:val="22"/>
          <w:szCs w:val="22"/>
          <w:lang w:val="es-ES"/>
        </w:rPr>
        <w:t xml:space="preserve">s </w:t>
      </w:r>
      <w:r w:rsidR="00C415A8" w:rsidRPr="00C81E44">
        <w:rPr>
          <w:rFonts w:ascii="Century Gothic" w:hAnsi="Century Gothic" w:cs="Arial"/>
          <w:sz w:val="22"/>
          <w:szCs w:val="22"/>
          <w:lang w:val="es-ES"/>
        </w:rPr>
        <w:t xml:space="preserve">entidades federativas de </w:t>
      </w:r>
      <w:r w:rsidR="00C81E44" w:rsidRPr="00C81E44">
        <w:rPr>
          <w:rFonts w:ascii="Century Gothic" w:hAnsi="Century Gothic" w:cs="Arial"/>
          <w:sz w:val="22"/>
          <w:szCs w:val="22"/>
          <w:lang w:val="es-ES"/>
        </w:rPr>
        <w:t xml:space="preserve">Baja California Sur, Campeche, </w:t>
      </w:r>
      <w:r w:rsidR="004E219B">
        <w:rPr>
          <w:rFonts w:ascii="Century Gothic" w:hAnsi="Century Gothic" w:cs="Arial"/>
          <w:sz w:val="22"/>
          <w:szCs w:val="22"/>
          <w:lang w:val="es-ES"/>
        </w:rPr>
        <w:t>Ciudad de Méxi</w:t>
      </w:r>
      <w:r w:rsidR="0070056B">
        <w:rPr>
          <w:rFonts w:ascii="Century Gothic" w:hAnsi="Century Gothic" w:cs="Arial"/>
          <w:sz w:val="22"/>
          <w:szCs w:val="22"/>
          <w:lang w:val="es-ES"/>
        </w:rPr>
        <w:t>co</w:t>
      </w:r>
      <w:r w:rsidR="004E219B">
        <w:rPr>
          <w:rFonts w:ascii="Century Gothic" w:hAnsi="Century Gothic" w:cs="Arial"/>
          <w:sz w:val="22"/>
          <w:szCs w:val="22"/>
          <w:lang w:val="es-ES"/>
        </w:rPr>
        <w:t xml:space="preserve">, </w:t>
      </w:r>
      <w:r w:rsidR="00C81E44" w:rsidRPr="00C81E44">
        <w:rPr>
          <w:rFonts w:ascii="Century Gothic" w:hAnsi="Century Gothic" w:cs="Arial"/>
          <w:sz w:val="22"/>
          <w:szCs w:val="22"/>
          <w:lang w:val="es-ES"/>
        </w:rPr>
        <w:t>Colima, Chiapas, Guanajuato, Guerrero, Jalisco, México, Michoacán, Morelos, Nuevo León, Querétaro,</w:t>
      </w:r>
      <w:r w:rsidR="00617A96">
        <w:rPr>
          <w:rFonts w:ascii="Century Gothic" w:hAnsi="Century Gothic" w:cs="Arial"/>
          <w:sz w:val="22"/>
          <w:szCs w:val="22"/>
          <w:lang w:val="es-ES"/>
        </w:rPr>
        <w:t xml:space="preserve"> San Luis Potosí, Sonora, Tabasco y </w:t>
      </w:r>
    </w:p>
    <w:p w14:paraId="2CF3F59F" w14:textId="274100A5" w:rsidR="00C81E44" w:rsidRPr="00C81E44" w:rsidRDefault="00617A96" w:rsidP="00C81E44">
      <w:pPr>
        <w:tabs>
          <w:tab w:val="left" w:pos="426"/>
        </w:tabs>
        <w:ind w:right="51"/>
        <w:jc w:val="both"/>
        <w:rPr>
          <w:rFonts w:ascii="Century Gothic" w:hAnsi="Century Gothic" w:cs="Arial"/>
          <w:sz w:val="22"/>
          <w:szCs w:val="22"/>
          <w:lang w:val="es-ES"/>
        </w:rPr>
      </w:pPr>
      <w:r>
        <w:rPr>
          <w:rFonts w:ascii="Century Gothic" w:hAnsi="Century Gothic" w:cs="Arial"/>
          <w:sz w:val="22"/>
          <w:szCs w:val="22"/>
          <w:lang w:val="es-ES"/>
        </w:rPr>
        <w:t xml:space="preserve">      </w:t>
      </w:r>
      <w:r w:rsidR="00C81E44" w:rsidRPr="00C81E44">
        <w:rPr>
          <w:rFonts w:ascii="Century Gothic" w:hAnsi="Century Gothic" w:cs="Arial"/>
          <w:sz w:val="22"/>
          <w:szCs w:val="22"/>
          <w:lang w:val="es-ES"/>
        </w:rPr>
        <w:t>Yucatán………………</w:t>
      </w:r>
      <w:r w:rsidR="00C81E44">
        <w:rPr>
          <w:rFonts w:ascii="Century Gothic" w:hAnsi="Century Gothic" w:cs="Arial"/>
          <w:sz w:val="22"/>
          <w:szCs w:val="22"/>
          <w:lang w:val="es-ES"/>
        </w:rPr>
        <w:t>…………………………</w:t>
      </w:r>
      <w:r>
        <w:rPr>
          <w:rFonts w:ascii="Century Gothic" w:hAnsi="Century Gothic" w:cs="Arial"/>
          <w:sz w:val="22"/>
          <w:szCs w:val="22"/>
          <w:lang w:val="es-ES"/>
        </w:rPr>
        <w:t>……………………………………………</w:t>
      </w:r>
      <w:r w:rsidR="00D626C9">
        <w:rPr>
          <w:rFonts w:ascii="Century Gothic" w:hAnsi="Century Gothic" w:cs="Arial"/>
          <w:sz w:val="22"/>
          <w:szCs w:val="22"/>
          <w:lang w:val="es-ES"/>
        </w:rPr>
        <w:t xml:space="preserve"> 7</w:t>
      </w:r>
    </w:p>
    <w:p w14:paraId="2622A95C" w14:textId="77777777" w:rsidR="00C81E44" w:rsidRPr="00C81E44" w:rsidRDefault="00C81E44" w:rsidP="00C81E44">
      <w:pPr>
        <w:pStyle w:val="Prrafodelista"/>
        <w:rPr>
          <w:rFonts w:ascii="Century Gothic" w:hAnsi="Century Gothic" w:cs="Arial"/>
          <w:sz w:val="22"/>
          <w:szCs w:val="22"/>
          <w:lang w:val="es-ES"/>
        </w:rPr>
      </w:pPr>
    </w:p>
    <w:p w14:paraId="1AC7E4AC" w14:textId="77777777" w:rsidR="0049716B" w:rsidRDefault="00C81E44" w:rsidP="00C81E44">
      <w:pPr>
        <w:tabs>
          <w:tab w:val="left" w:pos="426"/>
        </w:tabs>
        <w:spacing w:line="312" w:lineRule="auto"/>
        <w:ind w:right="902"/>
        <w:jc w:val="both"/>
        <w:rPr>
          <w:rFonts w:ascii="Century Gothic" w:hAnsi="Century Gothic" w:cs="Arial"/>
          <w:sz w:val="22"/>
          <w:szCs w:val="22"/>
          <w:lang w:val="es-ES"/>
        </w:rPr>
      </w:pPr>
      <w:r w:rsidRPr="00C81E44">
        <w:rPr>
          <w:rFonts w:ascii="Century Gothic" w:hAnsi="Century Gothic" w:cs="Arial"/>
          <w:sz w:val="22"/>
          <w:szCs w:val="22"/>
          <w:lang w:val="es-ES"/>
        </w:rPr>
        <w:t xml:space="preserve"> </w:t>
      </w:r>
      <w:r w:rsidR="0049716B">
        <w:rPr>
          <w:rFonts w:ascii="Century Gothic" w:hAnsi="Century Gothic" w:cs="Arial"/>
          <w:sz w:val="22"/>
          <w:szCs w:val="22"/>
          <w:lang w:val="es-ES"/>
        </w:rPr>
        <w:br w:type="page"/>
      </w:r>
    </w:p>
    <w:p w14:paraId="019C6172" w14:textId="77777777" w:rsidR="00614698" w:rsidRDefault="002B1D96" w:rsidP="002B1D96">
      <w:pPr>
        <w:spacing w:after="200" w:line="312" w:lineRule="auto"/>
        <w:jc w:val="both"/>
        <w:rPr>
          <w:rFonts w:ascii="Century Gothic" w:hAnsi="Century Gothic" w:cs="Arial"/>
          <w:sz w:val="22"/>
          <w:szCs w:val="22"/>
          <w:lang w:val="es-ES"/>
        </w:rPr>
      </w:pPr>
      <w:r>
        <w:rPr>
          <w:rFonts w:ascii="Century Gothic" w:hAnsi="Century Gothic" w:cs="Arial"/>
          <w:noProof/>
          <w:sz w:val="22"/>
          <w:szCs w:val="22"/>
        </w:rPr>
        <w:lastRenderedPageBreak/>
        <mc:AlternateContent>
          <mc:Choice Requires="wps">
            <w:drawing>
              <wp:anchor distT="0" distB="0" distL="114300" distR="114300" simplePos="0" relativeHeight="251663360" behindDoc="1" locked="0" layoutInCell="1" allowOverlap="1" wp14:anchorId="57612970" wp14:editId="457F9F5B">
                <wp:simplePos x="0" y="0"/>
                <wp:positionH relativeFrom="column">
                  <wp:posOffset>-1082675</wp:posOffset>
                </wp:positionH>
                <wp:positionV relativeFrom="paragraph">
                  <wp:posOffset>267335</wp:posOffset>
                </wp:positionV>
                <wp:extent cx="3430270" cy="333375"/>
                <wp:effectExtent l="38100" t="57150" r="55880" b="47625"/>
                <wp:wrapNone/>
                <wp:docPr id="6" name="Redondear rectángulo de esquina diagonal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30270" cy="333375"/>
                        </a:xfrm>
                        <a:prstGeom prst="round2DiagRect">
                          <a:avLst>
                            <a:gd name="adj1" fmla="val 0"/>
                            <a:gd name="adj2" fmla="val 0"/>
                          </a:avLst>
                        </a:prstGeom>
                        <a:solidFill>
                          <a:srgbClr val="641345"/>
                        </a:solidFill>
                        <a:ln w="15875" cap="flat" cmpd="sng" algn="ctr">
                          <a:noFill/>
                          <a:prstDash val="solid"/>
                          <a:miter/>
                        </a:ln>
                        <a:effectLst>
                          <a:innerShdw blurRad="127000">
                            <a:srgbClr val="FFFFFF">
                              <a:alpha val="35000"/>
                            </a:srgbClr>
                          </a:innerShdw>
                        </a:effectLst>
                        <a:scene3d>
                          <a:camera prst="orthographicFront">
                            <a:rot lat="0" lon="0" rev="0"/>
                          </a:camera>
                          <a:lightRig rig="chilly" dir="tl">
                            <a:rot lat="0" lon="0" rev="5400000"/>
                          </a:lightRig>
                        </a:scene3d>
                        <a:sp3d prstMaterial="softEdge">
                          <a:bevelT w="0" h="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0D4EAD74" id="Redondear rectángulo de esquina diagonal 29" o:spid="_x0000_s1026" style="position:absolute;margin-left:-85.25pt;margin-top:21.05pt;width:270.1pt;height:26.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coordsize="3430270,33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" path="m,l3430270,r,l3430270,333375r,l,333375r,l,,,xe" fillcolor="#641345" stroked="f" strokeweight="1.25pt">
                <v:stroke joinstyle="miter"/>
                <v:path arrowok="t" o:connecttype="custom" o:connectlocs="0,0;3430270,0;3430270,0;3430270,333375;3430270,333375;0,333375;0,333375;0,0;0,0" o:connectangles="0,0,0,0,0,0,0,0,0"/>
              </v:shape>
            </w:pict>
          </mc:Fallback>
        </mc:AlternateContent>
      </w:r>
    </w:p>
    <w:p w14:paraId="6753066A" w14:textId="77777777" w:rsidR="00F20707" w:rsidRPr="007805EB" w:rsidRDefault="007805EB" w:rsidP="00A36F61">
      <w:pPr>
        <w:spacing w:after="200" w:line="312" w:lineRule="auto"/>
        <w:jc w:val="both"/>
        <w:rPr>
          <w:rFonts w:ascii="Century Gothic" w:hAnsi="Century Gothic" w:cs="Arial"/>
          <w:b/>
          <w:color w:val="FFFFFF" w:themeColor="background1"/>
          <w:sz w:val="28"/>
          <w:szCs w:val="28"/>
          <w:lang w:val="es-ES"/>
        </w:rPr>
      </w:pPr>
      <w:r w:rsidRPr="007805EB">
        <w:rPr>
          <w:rFonts w:ascii="Century Gothic" w:hAnsi="Century Gothic" w:cs="Arial"/>
          <w:b/>
          <w:color w:val="FFFFFF" w:themeColor="background1"/>
          <w:sz w:val="28"/>
          <w:szCs w:val="28"/>
          <w:lang w:val="es-ES"/>
        </w:rPr>
        <w:t>Presentación</w:t>
      </w:r>
    </w:p>
    <w:p w14:paraId="7729EC98" w14:textId="77777777" w:rsidR="00F20707" w:rsidRPr="00E35DF8" w:rsidRDefault="00F20707" w:rsidP="00A36F61">
      <w:pPr>
        <w:spacing w:after="200" w:line="312" w:lineRule="auto"/>
        <w:jc w:val="both"/>
        <w:rPr>
          <w:rFonts w:ascii="Century Gothic" w:hAnsi="Century Gothic" w:cs="Arial"/>
          <w:sz w:val="22"/>
          <w:szCs w:val="22"/>
          <w:lang w:val="es-ES"/>
        </w:rPr>
      </w:pPr>
    </w:p>
    <w:p w14:paraId="1E667197" w14:textId="3207282C" w:rsidR="00194C8F" w:rsidRPr="00C81E44" w:rsidRDefault="00F2654D" w:rsidP="00A36F61">
      <w:pPr>
        <w:tabs>
          <w:tab w:val="left" w:pos="8865"/>
        </w:tabs>
        <w:suppressAutoHyphens/>
        <w:spacing w:after="200" w:line="312" w:lineRule="auto"/>
        <w:jc w:val="both"/>
        <w:rPr>
          <w:rFonts w:ascii="Century Gothic" w:hAnsi="Century Gothic" w:cs="Arial"/>
          <w:sz w:val="22"/>
          <w:szCs w:val="22"/>
          <w:lang w:val="es-ES"/>
        </w:rPr>
      </w:pPr>
      <w:r w:rsidRPr="00194C8F">
        <w:rPr>
          <w:rFonts w:ascii="Century Gothic" w:hAnsi="Century Gothic" w:cs="Arial"/>
          <w:sz w:val="22"/>
          <w:szCs w:val="22"/>
          <w:lang w:val="es-ES"/>
        </w:rPr>
        <w:t xml:space="preserve">De </w:t>
      </w:r>
      <w:r w:rsidR="00194C8F" w:rsidRPr="00194C8F">
        <w:rPr>
          <w:rFonts w:ascii="Century Gothic" w:hAnsi="Century Gothic" w:cs="Arial"/>
          <w:sz w:val="22"/>
          <w:szCs w:val="22"/>
          <w:lang w:val="es-ES"/>
        </w:rPr>
        <w:t>conformidad</w:t>
      </w:r>
      <w:r w:rsidRPr="00194C8F">
        <w:rPr>
          <w:rFonts w:ascii="Century Gothic" w:hAnsi="Century Gothic" w:cs="Arial"/>
          <w:sz w:val="22"/>
          <w:szCs w:val="22"/>
          <w:lang w:val="es-ES"/>
        </w:rPr>
        <w:t xml:space="preserve"> con las actividades </w:t>
      </w:r>
      <w:r w:rsidR="005943ED">
        <w:rPr>
          <w:rFonts w:ascii="Century Gothic" w:hAnsi="Century Gothic" w:cs="Arial"/>
          <w:sz w:val="22"/>
          <w:szCs w:val="22"/>
          <w:lang w:val="es-ES"/>
        </w:rPr>
        <w:t xml:space="preserve">contempladas en el Plan de Trabajo del Proyecto </w:t>
      </w:r>
      <w:r w:rsidR="00C81E44">
        <w:rPr>
          <w:rFonts w:ascii="Century Gothic" w:hAnsi="Century Gothic" w:cs="Arial"/>
          <w:sz w:val="22"/>
          <w:szCs w:val="22"/>
          <w:lang w:val="es-ES"/>
        </w:rPr>
        <w:t>de Distritación para el periodo de septiembre de 2015 a agosto de 2016: segundo bloque de entidades federativas</w:t>
      </w:r>
      <w:r w:rsidR="005943ED">
        <w:rPr>
          <w:rFonts w:ascii="Century Gothic" w:hAnsi="Century Gothic" w:cs="Arial"/>
          <w:sz w:val="22"/>
          <w:szCs w:val="22"/>
          <w:lang w:val="es-ES"/>
        </w:rPr>
        <w:t xml:space="preserve">, </w:t>
      </w:r>
      <w:r w:rsidRPr="00194C8F">
        <w:rPr>
          <w:rFonts w:ascii="Century Gothic" w:hAnsi="Century Gothic" w:cs="Arial"/>
          <w:sz w:val="22"/>
          <w:szCs w:val="22"/>
          <w:lang w:val="es-ES"/>
        </w:rPr>
        <w:t xml:space="preserve">que ha venido desempeñando la Dirección Ejecutiva del Registro Federal de Electores </w:t>
      </w:r>
      <w:r w:rsidR="00194C8F" w:rsidRPr="00194C8F">
        <w:rPr>
          <w:rFonts w:ascii="Century Gothic" w:hAnsi="Century Gothic" w:cs="Arial"/>
          <w:sz w:val="22"/>
          <w:szCs w:val="22"/>
          <w:lang w:val="es-ES"/>
        </w:rPr>
        <w:t xml:space="preserve"> </w:t>
      </w:r>
      <w:r w:rsidR="005A6D5D" w:rsidRPr="00994E54">
        <w:rPr>
          <w:rFonts w:ascii="Century Gothic" w:hAnsi="Century Gothic" w:cs="Arial"/>
          <w:sz w:val="22"/>
          <w:szCs w:val="22"/>
          <w:lang w:val="es-ES"/>
        </w:rPr>
        <w:t>con la asesoría</w:t>
      </w:r>
      <w:r w:rsidR="005A6D5D">
        <w:rPr>
          <w:rFonts w:ascii="Century Gothic" w:hAnsi="Century Gothic" w:cs="Arial"/>
          <w:sz w:val="22"/>
          <w:szCs w:val="22"/>
          <w:lang w:val="es-ES"/>
        </w:rPr>
        <w:t xml:space="preserve"> del</w:t>
      </w:r>
      <w:r w:rsidR="00194C8F" w:rsidRPr="00194C8F">
        <w:rPr>
          <w:rFonts w:ascii="Century Gothic" w:hAnsi="Century Gothic" w:cs="Arial"/>
          <w:sz w:val="22"/>
          <w:szCs w:val="22"/>
          <w:lang w:val="es-ES"/>
        </w:rPr>
        <w:t xml:space="preserve"> </w:t>
      </w:r>
      <w:r w:rsidR="00194C8F" w:rsidRPr="00194C8F">
        <w:rPr>
          <w:rFonts w:ascii="Century Gothic" w:hAnsi="Century Gothic" w:cs="Arial"/>
          <w:sz w:val="22"/>
          <w:szCs w:val="22"/>
        </w:rPr>
        <w:t>Comité Técnico para el Seguimiento y Evaluación de los Trabajos de Distritación</w:t>
      </w:r>
      <w:r w:rsidR="00194C8F">
        <w:rPr>
          <w:rFonts w:ascii="Century Gothic" w:hAnsi="Century Gothic" w:cs="Arial"/>
          <w:sz w:val="22"/>
          <w:szCs w:val="22"/>
          <w:lang w:val="es-ES"/>
        </w:rPr>
        <w:t xml:space="preserve">, </w:t>
      </w:r>
      <w:r w:rsidR="005943ED">
        <w:rPr>
          <w:rFonts w:ascii="Century Gothic" w:hAnsi="Century Gothic" w:cs="Arial"/>
          <w:sz w:val="22"/>
          <w:szCs w:val="22"/>
          <w:lang w:val="es-ES"/>
        </w:rPr>
        <w:t xml:space="preserve">se </w:t>
      </w:r>
      <w:r w:rsidR="00194C8F" w:rsidRPr="00194C8F">
        <w:rPr>
          <w:rFonts w:ascii="Century Gothic" w:hAnsi="Century Gothic" w:cs="Arial"/>
          <w:sz w:val="22"/>
          <w:szCs w:val="22"/>
          <w:lang w:val="es-ES"/>
        </w:rPr>
        <w:t xml:space="preserve">elaboró un diagnóstico sobre el estado actual de las </w:t>
      </w:r>
      <w:proofErr w:type="spellStart"/>
      <w:r w:rsidR="00194C8F" w:rsidRPr="00194C8F">
        <w:rPr>
          <w:rFonts w:ascii="Century Gothic" w:hAnsi="Century Gothic" w:cs="Arial"/>
          <w:sz w:val="22"/>
          <w:szCs w:val="22"/>
          <w:lang w:val="es-ES"/>
        </w:rPr>
        <w:t>distritaciones</w:t>
      </w:r>
      <w:proofErr w:type="spellEnd"/>
      <w:r w:rsidR="00194C8F" w:rsidRPr="00194C8F">
        <w:rPr>
          <w:rFonts w:ascii="Century Gothic" w:hAnsi="Century Gothic" w:cs="Arial"/>
          <w:sz w:val="22"/>
          <w:szCs w:val="22"/>
          <w:lang w:val="es-ES"/>
        </w:rPr>
        <w:t xml:space="preserve"> electorales </w:t>
      </w:r>
      <w:r w:rsidR="00C81E44">
        <w:rPr>
          <w:rFonts w:ascii="Century Gothic" w:hAnsi="Century Gothic" w:cs="Arial"/>
          <w:sz w:val="22"/>
          <w:szCs w:val="22"/>
          <w:lang w:val="es-ES"/>
        </w:rPr>
        <w:t xml:space="preserve">locales </w:t>
      </w:r>
      <w:r w:rsidR="00194C8F" w:rsidRPr="00194C8F">
        <w:rPr>
          <w:rFonts w:ascii="Century Gothic" w:hAnsi="Century Gothic" w:cs="Arial"/>
          <w:sz w:val="22"/>
          <w:szCs w:val="22"/>
          <w:lang w:val="es-ES"/>
        </w:rPr>
        <w:t xml:space="preserve">en </w:t>
      </w:r>
      <w:r w:rsidR="00C81E44">
        <w:rPr>
          <w:rFonts w:ascii="Century Gothic" w:hAnsi="Century Gothic" w:cs="Arial"/>
          <w:sz w:val="22"/>
          <w:szCs w:val="22"/>
          <w:lang w:val="es-ES"/>
        </w:rPr>
        <w:t xml:space="preserve">las entidades federativas de </w:t>
      </w:r>
      <w:r w:rsidR="00C81E44" w:rsidRPr="00C81E44">
        <w:rPr>
          <w:rFonts w:ascii="Century Gothic" w:hAnsi="Century Gothic" w:cs="Arial"/>
          <w:sz w:val="22"/>
          <w:szCs w:val="22"/>
          <w:lang w:val="es-ES"/>
        </w:rPr>
        <w:t xml:space="preserve">Baja California Sur, Campeche, </w:t>
      </w:r>
      <w:r w:rsidR="00D944B4">
        <w:rPr>
          <w:rFonts w:ascii="Century Gothic" w:hAnsi="Century Gothic" w:cs="Arial"/>
          <w:sz w:val="22"/>
          <w:szCs w:val="22"/>
          <w:lang w:val="es-ES"/>
        </w:rPr>
        <w:t xml:space="preserve">Ciudad de México, </w:t>
      </w:r>
      <w:r w:rsidR="00C81E44" w:rsidRPr="00C81E44">
        <w:rPr>
          <w:rFonts w:ascii="Century Gothic" w:hAnsi="Century Gothic" w:cs="Arial"/>
          <w:sz w:val="22"/>
          <w:szCs w:val="22"/>
          <w:lang w:val="es-ES"/>
        </w:rPr>
        <w:t>Colima, Chiapas, Guanajuato, Guerrero, Jalisco, México, Michoacán, Morelos, Nuevo León, Querétaro, San Luis Potosí, Sonora, Tabasco y Yucatán</w:t>
      </w:r>
      <w:r w:rsidR="00194C8F" w:rsidRPr="00C81E44">
        <w:rPr>
          <w:rFonts w:ascii="Century Gothic" w:hAnsi="Century Gothic" w:cs="Arial"/>
          <w:sz w:val="22"/>
          <w:szCs w:val="22"/>
          <w:lang w:val="es-ES"/>
        </w:rPr>
        <w:t>.</w:t>
      </w:r>
    </w:p>
    <w:p w14:paraId="5B2076C2" w14:textId="77777777" w:rsidR="00194C8F" w:rsidRDefault="00035270" w:rsidP="00A36F61">
      <w:pPr>
        <w:tabs>
          <w:tab w:val="left" w:pos="8865"/>
        </w:tabs>
        <w:suppressAutoHyphens/>
        <w:spacing w:after="200" w:line="312" w:lineRule="auto"/>
        <w:jc w:val="both"/>
        <w:rPr>
          <w:rFonts w:ascii="Century Gothic" w:hAnsi="Century Gothic" w:cs="Arial"/>
          <w:bCs/>
          <w:iCs/>
          <w:sz w:val="22"/>
          <w:szCs w:val="22"/>
          <w:lang w:val="es-ES" w:eastAsia="es-ES"/>
        </w:rPr>
      </w:pPr>
      <w:r>
        <w:rPr>
          <w:rFonts w:ascii="Century Gothic" w:hAnsi="Century Gothic" w:cs="Arial"/>
          <w:bCs/>
          <w:iCs/>
          <w:sz w:val="22"/>
          <w:szCs w:val="22"/>
          <w:lang w:val="es-ES" w:eastAsia="es-ES"/>
        </w:rPr>
        <w:t xml:space="preserve">Ahora bien, </w:t>
      </w:r>
      <w:r w:rsidR="00D94EA4">
        <w:rPr>
          <w:rFonts w:ascii="Century Gothic" w:hAnsi="Century Gothic" w:cs="Arial"/>
          <w:bCs/>
          <w:iCs/>
          <w:sz w:val="22"/>
          <w:szCs w:val="22"/>
          <w:lang w:val="es-ES" w:eastAsia="es-ES"/>
        </w:rPr>
        <w:t>el presente documento</w:t>
      </w:r>
      <w:r w:rsidR="00194C8F">
        <w:rPr>
          <w:rFonts w:ascii="Century Gothic" w:hAnsi="Century Gothic" w:cs="Arial"/>
          <w:bCs/>
          <w:iCs/>
          <w:sz w:val="22"/>
          <w:szCs w:val="22"/>
          <w:lang w:val="es-ES" w:eastAsia="es-ES"/>
        </w:rPr>
        <w:t xml:space="preserve"> está conformado por una primera parte que contiene los ant</w:t>
      </w:r>
      <w:r w:rsidR="005943ED">
        <w:rPr>
          <w:rFonts w:ascii="Century Gothic" w:hAnsi="Century Gothic" w:cs="Arial"/>
          <w:bCs/>
          <w:iCs/>
          <w:sz w:val="22"/>
          <w:szCs w:val="22"/>
          <w:lang w:val="es-ES" w:eastAsia="es-ES"/>
        </w:rPr>
        <w:t xml:space="preserve">ecedentes, </w:t>
      </w:r>
      <w:r w:rsidR="00FD562F">
        <w:rPr>
          <w:rFonts w:ascii="Century Gothic" w:hAnsi="Century Gothic" w:cs="Arial"/>
          <w:bCs/>
          <w:iCs/>
          <w:sz w:val="22"/>
          <w:szCs w:val="22"/>
          <w:lang w:val="es-ES" w:eastAsia="es-ES"/>
        </w:rPr>
        <w:t xml:space="preserve">donde se </w:t>
      </w:r>
      <w:r w:rsidR="005943ED">
        <w:rPr>
          <w:rFonts w:ascii="Century Gothic" w:hAnsi="Century Gothic" w:cs="Arial"/>
          <w:bCs/>
          <w:iCs/>
          <w:sz w:val="22"/>
          <w:szCs w:val="22"/>
          <w:lang w:val="es-ES" w:eastAsia="es-ES"/>
        </w:rPr>
        <w:t>exponen</w:t>
      </w:r>
      <w:r w:rsidR="00194C8F">
        <w:rPr>
          <w:rFonts w:ascii="Century Gothic" w:hAnsi="Century Gothic" w:cs="Arial"/>
          <w:bCs/>
          <w:iCs/>
          <w:sz w:val="22"/>
          <w:szCs w:val="22"/>
          <w:lang w:val="es-ES" w:eastAsia="es-ES"/>
        </w:rPr>
        <w:t xml:space="preserve"> las actividades que ha desempeñado el Instituto Nacional Electoral pa</w:t>
      </w:r>
      <w:r w:rsidR="007564D6">
        <w:rPr>
          <w:rFonts w:ascii="Century Gothic" w:hAnsi="Century Gothic" w:cs="Arial"/>
          <w:bCs/>
          <w:iCs/>
          <w:sz w:val="22"/>
          <w:szCs w:val="22"/>
          <w:lang w:val="es-ES" w:eastAsia="es-ES"/>
        </w:rPr>
        <w:t>ra iniciar con los trabajos de D</w:t>
      </w:r>
      <w:r w:rsidR="00194C8F">
        <w:rPr>
          <w:rFonts w:ascii="Century Gothic" w:hAnsi="Century Gothic" w:cs="Arial"/>
          <w:bCs/>
          <w:iCs/>
          <w:sz w:val="22"/>
          <w:szCs w:val="22"/>
          <w:lang w:val="es-ES" w:eastAsia="es-ES"/>
        </w:rPr>
        <w:t xml:space="preserve">istritación </w:t>
      </w:r>
      <w:r w:rsidR="00C81E44">
        <w:rPr>
          <w:rFonts w:ascii="Century Gothic" w:hAnsi="Century Gothic" w:cs="Arial"/>
          <w:bCs/>
          <w:iCs/>
          <w:sz w:val="22"/>
          <w:szCs w:val="22"/>
          <w:lang w:val="es-ES" w:eastAsia="es-ES"/>
        </w:rPr>
        <w:t xml:space="preserve">Local </w:t>
      </w:r>
      <w:r w:rsidR="00194C8F">
        <w:rPr>
          <w:rFonts w:ascii="Century Gothic" w:hAnsi="Century Gothic" w:cs="Arial"/>
          <w:bCs/>
          <w:iCs/>
          <w:sz w:val="22"/>
          <w:szCs w:val="22"/>
          <w:lang w:val="es-ES" w:eastAsia="es-ES"/>
        </w:rPr>
        <w:t xml:space="preserve">en las </w:t>
      </w:r>
      <w:r w:rsidR="00C81E44">
        <w:rPr>
          <w:rFonts w:ascii="Century Gothic" w:hAnsi="Century Gothic" w:cs="Arial"/>
          <w:bCs/>
          <w:iCs/>
          <w:sz w:val="22"/>
          <w:szCs w:val="22"/>
          <w:lang w:val="es-ES" w:eastAsia="es-ES"/>
        </w:rPr>
        <w:t>e</w:t>
      </w:r>
      <w:r w:rsidR="00194C8F">
        <w:rPr>
          <w:rFonts w:ascii="Century Gothic" w:hAnsi="Century Gothic" w:cs="Arial"/>
          <w:bCs/>
          <w:iCs/>
          <w:sz w:val="22"/>
          <w:szCs w:val="22"/>
          <w:lang w:val="es-ES" w:eastAsia="es-ES"/>
        </w:rPr>
        <w:t>ntidades federativas</w:t>
      </w:r>
      <w:r w:rsidR="00C81E44">
        <w:rPr>
          <w:rFonts w:ascii="Century Gothic" w:hAnsi="Century Gothic" w:cs="Arial"/>
          <w:bCs/>
          <w:iCs/>
          <w:sz w:val="22"/>
          <w:szCs w:val="22"/>
          <w:lang w:val="es-ES" w:eastAsia="es-ES"/>
        </w:rPr>
        <w:t xml:space="preserve">, en acatamiento de la instrucción del Consejo General a la </w:t>
      </w:r>
      <w:r w:rsidR="00D94EA4">
        <w:rPr>
          <w:rFonts w:ascii="Century Gothic" w:hAnsi="Century Gothic" w:cs="Arial"/>
          <w:bCs/>
          <w:iCs/>
          <w:sz w:val="22"/>
          <w:szCs w:val="22"/>
          <w:lang w:val="es-ES" w:eastAsia="es-ES"/>
        </w:rPr>
        <w:t>Junta General Ejecutiva</w:t>
      </w:r>
      <w:r w:rsidR="00C81E44">
        <w:rPr>
          <w:rFonts w:ascii="Century Gothic" w:hAnsi="Century Gothic" w:cs="Arial"/>
          <w:bCs/>
          <w:iCs/>
          <w:sz w:val="22"/>
          <w:szCs w:val="22"/>
          <w:lang w:val="es-ES" w:eastAsia="es-ES"/>
        </w:rPr>
        <w:t>.</w:t>
      </w:r>
    </w:p>
    <w:p w14:paraId="0778E691" w14:textId="77777777" w:rsidR="00194C8F" w:rsidRDefault="00035270" w:rsidP="00A36F61">
      <w:pPr>
        <w:tabs>
          <w:tab w:val="left" w:pos="8865"/>
        </w:tabs>
        <w:suppressAutoHyphens/>
        <w:spacing w:after="200" w:line="312" w:lineRule="auto"/>
        <w:jc w:val="both"/>
        <w:rPr>
          <w:rFonts w:ascii="Century Gothic" w:hAnsi="Century Gothic" w:cs="Arial"/>
          <w:bCs/>
          <w:iCs/>
          <w:sz w:val="22"/>
          <w:szCs w:val="22"/>
          <w:lang w:val="es-ES" w:eastAsia="es-ES"/>
        </w:rPr>
      </w:pPr>
      <w:r>
        <w:rPr>
          <w:rFonts w:ascii="Century Gothic" w:hAnsi="Century Gothic" w:cs="Arial"/>
          <w:bCs/>
          <w:iCs/>
          <w:sz w:val="22"/>
          <w:szCs w:val="22"/>
          <w:lang w:val="es-ES" w:eastAsia="es-ES"/>
        </w:rPr>
        <w:t>Posteriormente</w:t>
      </w:r>
      <w:r w:rsidR="00194C8F">
        <w:rPr>
          <w:rFonts w:ascii="Century Gothic" w:hAnsi="Century Gothic" w:cs="Arial"/>
          <w:bCs/>
          <w:iCs/>
          <w:sz w:val="22"/>
          <w:szCs w:val="22"/>
          <w:lang w:val="es-ES" w:eastAsia="es-ES"/>
        </w:rPr>
        <w:t xml:space="preserve">, por una segunda parte </w:t>
      </w:r>
      <w:r w:rsidR="005943ED">
        <w:rPr>
          <w:rFonts w:ascii="Century Gothic" w:hAnsi="Century Gothic" w:cs="Arial"/>
          <w:bCs/>
          <w:iCs/>
          <w:sz w:val="22"/>
          <w:szCs w:val="22"/>
          <w:lang w:val="es-ES" w:eastAsia="es-ES"/>
        </w:rPr>
        <w:t xml:space="preserve">que </w:t>
      </w:r>
      <w:r w:rsidR="00D94EA4">
        <w:rPr>
          <w:rFonts w:ascii="Century Gothic" w:hAnsi="Century Gothic" w:cs="Arial"/>
          <w:bCs/>
          <w:iCs/>
          <w:sz w:val="22"/>
          <w:szCs w:val="22"/>
          <w:lang w:val="es-ES" w:eastAsia="es-ES"/>
        </w:rPr>
        <w:t>se integra por</w:t>
      </w:r>
      <w:r w:rsidR="00194C8F">
        <w:rPr>
          <w:rFonts w:ascii="Century Gothic" w:hAnsi="Century Gothic" w:cs="Arial"/>
          <w:bCs/>
          <w:iCs/>
          <w:sz w:val="22"/>
          <w:szCs w:val="22"/>
          <w:lang w:val="es-ES" w:eastAsia="es-ES"/>
        </w:rPr>
        <w:t xml:space="preserve"> el marco jurídico aplicable </w:t>
      </w:r>
      <w:r>
        <w:rPr>
          <w:rFonts w:ascii="Century Gothic" w:hAnsi="Century Gothic" w:cs="Arial"/>
          <w:bCs/>
          <w:iCs/>
          <w:sz w:val="22"/>
          <w:szCs w:val="22"/>
          <w:lang w:val="es-ES" w:eastAsia="es-ES"/>
        </w:rPr>
        <w:t xml:space="preserve">para los trabajos de </w:t>
      </w:r>
      <w:proofErr w:type="spellStart"/>
      <w:r>
        <w:rPr>
          <w:rFonts w:ascii="Century Gothic" w:hAnsi="Century Gothic" w:cs="Arial"/>
          <w:bCs/>
          <w:iCs/>
          <w:sz w:val="22"/>
          <w:szCs w:val="22"/>
          <w:lang w:val="es-ES" w:eastAsia="es-ES"/>
        </w:rPr>
        <w:t>distritación</w:t>
      </w:r>
      <w:proofErr w:type="spellEnd"/>
      <w:r>
        <w:rPr>
          <w:rFonts w:ascii="Century Gothic" w:hAnsi="Century Gothic" w:cs="Arial"/>
          <w:bCs/>
          <w:iCs/>
          <w:sz w:val="22"/>
          <w:szCs w:val="22"/>
          <w:lang w:val="es-ES" w:eastAsia="es-ES"/>
        </w:rPr>
        <w:t>, mismo que debe atender este Instituto para hacer estudios y formular los proyectos para la división del territorio en los distritos electorales uninominales.</w:t>
      </w:r>
    </w:p>
    <w:p w14:paraId="44320658" w14:textId="77777777" w:rsidR="00F20707" w:rsidRDefault="00035270" w:rsidP="00A36F61">
      <w:pPr>
        <w:tabs>
          <w:tab w:val="left" w:pos="8865"/>
        </w:tabs>
        <w:suppressAutoHyphens/>
        <w:spacing w:after="200" w:line="312" w:lineRule="auto"/>
        <w:jc w:val="both"/>
        <w:rPr>
          <w:rFonts w:ascii="Century Gothic" w:hAnsi="Century Gothic" w:cs="Arial"/>
          <w:sz w:val="22"/>
          <w:szCs w:val="22"/>
        </w:rPr>
      </w:pPr>
      <w:r>
        <w:rPr>
          <w:rFonts w:ascii="Century Gothic" w:hAnsi="Century Gothic" w:cs="Arial"/>
          <w:bCs/>
          <w:iCs/>
          <w:sz w:val="22"/>
          <w:szCs w:val="22"/>
          <w:lang w:val="es-ES" w:eastAsia="es-ES"/>
        </w:rPr>
        <w:t xml:space="preserve">En ese sentido, </w:t>
      </w:r>
      <w:r w:rsidR="001F1F49">
        <w:rPr>
          <w:rFonts w:ascii="Century Gothic" w:hAnsi="Century Gothic" w:cs="Arial"/>
          <w:bCs/>
          <w:iCs/>
          <w:sz w:val="22"/>
          <w:szCs w:val="22"/>
          <w:lang w:val="es-ES" w:eastAsia="es-ES"/>
        </w:rPr>
        <w:t xml:space="preserve">en la tercera </w:t>
      </w:r>
      <w:r w:rsidR="005943ED">
        <w:rPr>
          <w:rFonts w:ascii="Century Gothic" w:hAnsi="Century Gothic" w:cs="Arial"/>
          <w:bCs/>
          <w:iCs/>
          <w:sz w:val="22"/>
          <w:szCs w:val="22"/>
          <w:lang w:val="es-ES" w:eastAsia="es-ES"/>
        </w:rPr>
        <w:t>parte se da cuenta</w:t>
      </w:r>
      <w:r w:rsidR="001F1F49">
        <w:rPr>
          <w:rFonts w:ascii="Century Gothic" w:hAnsi="Century Gothic" w:cs="Arial"/>
          <w:bCs/>
          <w:iCs/>
          <w:sz w:val="22"/>
          <w:szCs w:val="22"/>
          <w:lang w:val="es-ES" w:eastAsia="es-ES"/>
        </w:rPr>
        <w:t xml:space="preserve"> </w:t>
      </w:r>
      <w:r w:rsidR="005943ED">
        <w:rPr>
          <w:rFonts w:ascii="Century Gothic" w:hAnsi="Century Gothic" w:cs="Arial"/>
          <w:bCs/>
          <w:iCs/>
          <w:sz w:val="22"/>
          <w:szCs w:val="22"/>
          <w:lang w:val="es-ES" w:eastAsia="es-ES"/>
        </w:rPr>
        <w:t>d</w:t>
      </w:r>
      <w:r w:rsidR="001F1F49">
        <w:rPr>
          <w:rFonts w:ascii="Century Gothic" w:hAnsi="Century Gothic" w:cs="Arial"/>
          <w:bCs/>
          <w:iCs/>
          <w:sz w:val="22"/>
          <w:szCs w:val="22"/>
          <w:lang w:val="es-ES" w:eastAsia="es-ES"/>
        </w:rPr>
        <w:t xml:space="preserve">el </w:t>
      </w:r>
      <w:r w:rsidR="001F1F49">
        <w:rPr>
          <w:rFonts w:ascii="Century Gothic" w:hAnsi="Century Gothic" w:cs="Arial"/>
          <w:sz w:val="22"/>
          <w:szCs w:val="22"/>
        </w:rPr>
        <w:t xml:space="preserve">análisis que realizó  la </w:t>
      </w:r>
      <w:r w:rsidR="001F1F49" w:rsidRPr="00194C8F">
        <w:rPr>
          <w:rFonts w:ascii="Century Gothic" w:hAnsi="Century Gothic" w:cs="Arial"/>
          <w:sz w:val="22"/>
          <w:szCs w:val="22"/>
          <w:lang w:val="es-ES"/>
        </w:rPr>
        <w:t>Dirección Ejecutiva del Registro Federal de Electores</w:t>
      </w:r>
      <w:r w:rsidR="00465312">
        <w:rPr>
          <w:rFonts w:ascii="Century Gothic" w:hAnsi="Century Gothic" w:cs="Arial"/>
          <w:sz w:val="22"/>
          <w:szCs w:val="22"/>
          <w:lang w:val="es-ES"/>
        </w:rPr>
        <w:t>,</w:t>
      </w:r>
      <w:r w:rsidR="001F1F49" w:rsidRPr="00194C8F">
        <w:rPr>
          <w:rFonts w:ascii="Century Gothic" w:hAnsi="Century Gothic" w:cs="Arial"/>
          <w:sz w:val="22"/>
          <w:szCs w:val="22"/>
          <w:lang w:val="es-ES"/>
        </w:rPr>
        <w:t xml:space="preserve"> </w:t>
      </w:r>
      <w:r w:rsidR="00995C47">
        <w:rPr>
          <w:rFonts w:ascii="Century Gothic" w:hAnsi="Century Gothic" w:cs="Arial"/>
          <w:sz w:val="22"/>
          <w:szCs w:val="22"/>
          <w:lang w:val="es-ES"/>
        </w:rPr>
        <w:t>con la asesoría d</w:t>
      </w:r>
      <w:r w:rsidR="001F1F49" w:rsidRPr="00194C8F">
        <w:rPr>
          <w:rFonts w:ascii="Century Gothic" w:hAnsi="Century Gothic" w:cs="Arial"/>
          <w:sz w:val="22"/>
          <w:szCs w:val="22"/>
          <w:lang w:val="es-ES"/>
        </w:rPr>
        <w:t xml:space="preserve">el </w:t>
      </w:r>
      <w:r w:rsidR="001F1F49" w:rsidRPr="00194C8F">
        <w:rPr>
          <w:rFonts w:ascii="Century Gothic" w:hAnsi="Century Gothic" w:cs="Arial"/>
          <w:sz w:val="22"/>
          <w:szCs w:val="22"/>
        </w:rPr>
        <w:t>Comité Técnico para el Seguimiento y Evaluación de los Trabajos de Distritación</w:t>
      </w:r>
      <w:r w:rsidR="00465312">
        <w:rPr>
          <w:rFonts w:ascii="Century Gothic" w:hAnsi="Century Gothic" w:cs="Arial"/>
          <w:sz w:val="22"/>
          <w:szCs w:val="22"/>
        </w:rPr>
        <w:t>,</w:t>
      </w:r>
      <w:r w:rsidR="00C81E44">
        <w:rPr>
          <w:rFonts w:ascii="Century Gothic" w:hAnsi="Century Gothic" w:cs="Arial"/>
          <w:sz w:val="22"/>
          <w:szCs w:val="22"/>
        </w:rPr>
        <w:t xml:space="preserve"> a cada una de las 17</w:t>
      </w:r>
      <w:r w:rsidR="001F1F49">
        <w:rPr>
          <w:rFonts w:ascii="Century Gothic" w:hAnsi="Century Gothic" w:cs="Arial"/>
          <w:sz w:val="22"/>
          <w:szCs w:val="22"/>
        </w:rPr>
        <w:t xml:space="preserve"> entidades federativas contempladas en </w:t>
      </w:r>
      <w:r w:rsidR="001F1F49">
        <w:rPr>
          <w:rFonts w:ascii="Century Gothic" w:hAnsi="Century Gothic" w:cs="Arial"/>
          <w:sz w:val="22"/>
          <w:szCs w:val="22"/>
          <w:lang w:val="es-ES"/>
        </w:rPr>
        <w:t xml:space="preserve">el </w:t>
      </w:r>
      <w:r w:rsidR="00C81E44">
        <w:rPr>
          <w:rFonts w:ascii="Century Gothic" w:hAnsi="Century Gothic" w:cs="Arial"/>
          <w:sz w:val="22"/>
          <w:szCs w:val="22"/>
          <w:lang w:val="es-ES"/>
        </w:rPr>
        <w:t xml:space="preserve">mencionado plan de trabajo, </w:t>
      </w:r>
      <w:r>
        <w:rPr>
          <w:rFonts w:ascii="Century Gothic" w:hAnsi="Century Gothic" w:cs="Arial"/>
          <w:sz w:val="22"/>
          <w:szCs w:val="22"/>
          <w:lang w:val="es-ES"/>
        </w:rPr>
        <w:t xml:space="preserve">con la finalidad de determinar la situación actual de cada una de ellas en el ámbito de su territorio, </w:t>
      </w:r>
      <w:r w:rsidR="00426048">
        <w:rPr>
          <w:rFonts w:ascii="Century Gothic" w:hAnsi="Century Gothic" w:cs="Arial"/>
          <w:sz w:val="22"/>
          <w:szCs w:val="22"/>
          <w:lang w:val="es-ES"/>
        </w:rPr>
        <w:t xml:space="preserve">cuyas conclusiones indican </w:t>
      </w:r>
      <w:r w:rsidR="001F1F49">
        <w:rPr>
          <w:rFonts w:ascii="Century Gothic" w:hAnsi="Century Gothic" w:cs="Arial"/>
          <w:sz w:val="22"/>
          <w:szCs w:val="22"/>
          <w:lang w:val="es-ES"/>
        </w:rPr>
        <w:t xml:space="preserve">que </w:t>
      </w:r>
      <w:r w:rsidR="006471F5">
        <w:rPr>
          <w:rFonts w:ascii="Century Gothic" w:hAnsi="Century Gothic" w:cs="Arial"/>
          <w:sz w:val="22"/>
          <w:szCs w:val="22"/>
          <w:lang w:val="es-ES"/>
        </w:rPr>
        <w:t xml:space="preserve">en todas ellas </w:t>
      </w:r>
      <w:r w:rsidR="001F1F49" w:rsidRPr="004464CF">
        <w:rPr>
          <w:rFonts w:ascii="Century Gothic" w:hAnsi="Century Gothic" w:cs="Arial"/>
          <w:sz w:val="22"/>
          <w:szCs w:val="22"/>
        </w:rPr>
        <w:t>resulta procedente realizar una nueva delimitación de los distritos electorales locales</w:t>
      </w:r>
      <w:r w:rsidR="001F1F49">
        <w:rPr>
          <w:rFonts w:ascii="Century Gothic" w:hAnsi="Century Gothic" w:cs="Arial"/>
          <w:sz w:val="22"/>
          <w:szCs w:val="22"/>
        </w:rPr>
        <w:t>.</w:t>
      </w:r>
    </w:p>
    <w:p w14:paraId="4E2A2440" w14:textId="77777777" w:rsidR="00C81E44" w:rsidRPr="00194C8F" w:rsidRDefault="00C81E44" w:rsidP="00A36F61">
      <w:pPr>
        <w:tabs>
          <w:tab w:val="left" w:pos="8865"/>
        </w:tabs>
        <w:suppressAutoHyphens/>
        <w:spacing w:after="200" w:line="312" w:lineRule="auto"/>
        <w:jc w:val="both"/>
        <w:rPr>
          <w:rFonts w:ascii="Century Gothic" w:hAnsi="Century Gothic" w:cs="Arial"/>
          <w:sz w:val="22"/>
          <w:szCs w:val="22"/>
          <w:lang w:val="es-ES"/>
        </w:rPr>
      </w:pPr>
    </w:p>
    <w:p w14:paraId="41BD93A0" w14:textId="77777777" w:rsidR="007805EB" w:rsidRPr="00A36F61" w:rsidRDefault="005059D3" w:rsidP="00A36F61">
      <w:pPr>
        <w:pStyle w:val="Prrafodelista"/>
        <w:numPr>
          <w:ilvl w:val="0"/>
          <w:numId w:val="14"/>
        </w:numPr>
        <w:spacing w:line="312" w:lineRule="auto"/>
        <w:ind w:left="284"/>
        <w:jc w:val="both"/>
        <w:rPr>
          <w:rFonts w:ascii="Century Gothic" w:hAnsi="Century Gothic" w:cs="Arial"/>
          <w:b/>
          <w:bCs/>
          <w:color w:val="FFFFFF" w:themeColor="background1"/>
          <w:sz w:val="28"/>
          <w:szCs w:val="28"/>
        </w:rPr>
      </w:pPr>
      <w:r>
        <w:rPr>
          <w:noProof/>
          <w:sz w:val="22"/>
          <w:szCs w:val="22"/>
        </w:rPr>
        <w:lastRenderedPageBreak/>
        <mc:AlternateContent>
          <mc:Choice Requires="wps">
            <w:drawing>
              <wp:anchor distT="0" distB="0" distL="114300" distR="114300" simplePos="0" relativeHeight="251664384" behindDoc="1" locked="0" layoutInCell="1" allowOverlap="1" wp14:anchorId="4C112E97" wp14:editId="4A352A1A">
                <wp:simplePos x="0" y="0"/>
                <wp:positionH relativeFrom="column">
                  <wp:posOffset>-1092200</wp:posOffset>
                </wp:positionH>
                <wp:positionV relativeFrom="paragraph">
                  <wp:posOffset>-44450</wp:posOffset>
                </wp:positionV>
                <wp:extent cx="3430270" cy="325755"/>
                <wp:effectExtent l="38100" t="57150" r="55880" b="55245"/>
                <wp:wrapNone/>
                <wp:docPr id="5" name="Redondear rectángulo de esquina diagonal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30270" cy="325755"/>
                        </a:xfrm>
                        <a:prstGeom prst="round2DiagRect">
                          <a:avLst>
                            <a:gd name="adj1" fmla="val 0"/>
                            <a:gd name="adj2" fmla="val 0"/>
                          </a:avLst>
                        </a:prstGeom>
                        <a:solidFill>
                          <a:srgbClr val="641345"/>
                        </a:solidFill>
                        <a:ln w="15875" cap="flat" cmpd="sng" algn="ctr">
                          <a:noFill/>
                          <a:prstDash val="solid"/>
                          <a:miter/>
                        </a:ln>
                        <a:effectLst>
                          <a:innerShdw blurRad="127000">
                            <a:srgbClr val="FFFFFF">
                              <a:alpha val="35000"/>
                            </a:srgbClr>
                          </a:innerShdw>
                        </a:effectLst>
                        <a:scene3d>
                          <a:camera prst="orthographicFront">
                            <a:rot lat="0" lon="0" rev="0"/>
                          </a:camera>
                          <a:lightRig rig="chilly" dir="tl">
                            <a:rot lat="0" lon="0" rev="5400000"/>
                          </a:lightRig>
                        </a:scene3d>
                        <a:sp3d prstMaterial="softEdge">
                          <a:bevelT w="0" h="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154E7A5A" id="Redondear rectángulo de esquina diagonal 29" o:spid="_x0000_s1026" style="position:absolute;margin-left:-86pt;margin-top:-3.5pt;width:270.1pt;height:25.6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coordsize="3430270,325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" path="m,l3430270,r,l3430270,325755r,l,325755r,l,,,xe" fillcolor="#641345" stroked="f" strokeweight="1.25pt">
                <v:stroke joinstyle="miter"/>
                <v:path arrowok="t" o:connecttype="custom" o:connectlocs="0,0;3430270,0;3430270,0;3430270,325755;3430270,325755;0,325755;0,325755;0,0;0,0" o:connectangles="0,0,0,0,0,0,0,0,0"/>
              </v:shape>
            </w:pict>
          </mc:Fallback>
        </mc:AlternateContent>
      </w:r>
      <w:r w:rsidR="007805EB" w:rsidRPr="00A36F61">
        <w:rPr>
          <w:rFonts w:ascii="Century Gothic" w:hAnsi="Century Gothic" w:cs="Arial"/>
          <w:b/>
          <w:bCs/>
          <w:color w:val="FFFFFF" w:themeColor="background1"/>
          <w:sz w:val="28"/>
          <w:szCs w:val="28"/>
        </w:rPr>
        <w:t>Antecedentes</w:t>
      </w:r>
    </w:p>
    <w:p w14:paraId="20D53BF1" w14:textId="77777777" w:rsidR="007805EB" w:rsidRPr="007805EB" w:rsidRDefault="007805EB" w:rsidP="00A36F61">
      <w:pPr>
        <w:pStyle w:val="NormalWeb"/>
        <w:spacing w:before="0" w:beforeAutospacing="0" w:after="200" w:afterAutospacing="0" w:line="312" w:lineRule="auto"/>
        <w:jc w:val="both"/>
        <w:rPr>
          <w:rFonts w:ascii="Century Gothic" w:hAnsi="Century Gothic" w:cs="Arial"/>
          <w:b/>
          <w:bCs/>
          <w:sz w:val="22"/>
          <w:szCs w:val="22"/>
        </w:rPr>
      </w:pPr>
    </w:p>
    <w:p w14:paraId="2F6945B9" w14:textId="77777777" w:rsidR="00F20707" w:rsidRPr="00E35DF8" w:rsidRDefault="00F20707" w:rsidP="00A36F61">
      <w:pPr>
        <w:pStyle w:val="NormalWeb"/>
        <w:spacing w:before="0" w:beforeAutospacing="0" w:after="200" w:afterAutospacing="0" w:line="312" w:lineRule="auto"/>
        <w:jc w:val="both"/>
        <w:rPr>
          <w:rFonts w:ascii="Century Gothic" w:hAnsi="Century Gothic" w:cs="Arial"/>
          <w:b/>
          <w:bCs/>
          <w:sz w:val="22"/>
          <w:szCs w:val="22"/>
        </w:rPr>
      </w:pPr>
      <w:r w:rsidRPr="00E35DF8">
        <w:rPr>
          <w:rFonts w:ascii="Century Gothic" w:hAnsi="Century Gothic" w:cs="Arial"/>
          <w:sz w:val="22"/>
          <w:szCs w:val="22"/>
        </w:rPr>
        <w:t xml:space="preserve">El 10 de febrero de 2014, se publicó en el Diario Oficial de la Federación, el </w:t>
      </w:r>
      <w:r w:rsidRPr="00E35DF8">
        <w:rPr>
          <w:rFonts w:ascii="Century Gothic" w:hAnsi="Century Gothic" w:cs="Arial"/>
          <w:i/>
          <w:sz w:val="22"/>
          <w:szCs w:val="22"/>
        </w:rPr>
        <w:t>“Decreto por el que se reforman, adicionan y derogan diversas disposiciones de la Constitución Política de los Estados Unidos Mexicanos, en materia político-electoral”</w:t>
      </w:r>
      <w:r w:rsidRPr="00E35DF8">
        <w:rPr>
          <w:rFonts w:ascii="Century Gothic" w:hAnsi="Century Gothic" w:cs="Arial"/>
          <w:sz w:val="22"/>
          <w:szCs w:val="22"/>
        </w:rPr>
        <w:t>.</w:t>
      </w:r>
    </w:p>
    <w:p w14:paraId="74A49462" w14:textId="77777777" w:rsidR="00F20707" w:rsidRPr="00E35DF8" w:rsidRDefault="00F20707" w:rsidP="00A36F61">
      <w:pPr>
        <w:pStyle w:val="NormalWeb"/>
        <w:spacing w:before="0" w:beforeAutospacing="0" w:after="200" w:afterAutospacing="0" w:line="312" w:lineRule="auto"/>
        <w:jc w:val="both"/>
        <w:rPr>
          <w:rFonts w:ascii="Century Gothic" w:hAnsi="Century Gothic" w:cs="Arial"/>
          <w:b/>
          <w:bCs/>
          <w:sz w:val="22"/>
          <w:szCs w:val="22"/>
        </w:rPr>
      </w:pPr>
      <w:r w:rsidRPr="00E35DF8">
        <w:rPr>
          <w:rFonts w:ascii="Century Gothic" w:hAnsi="Century Gothic" w:cs="Arial"/>
          <w:sz w:val="22"/>
          <w:szCs w:val="22"/>
        </w:rPr>
        <w:t>El 23 de mayo de 2014, se publicó en el Diario Oficial de la Federación, el Decreto por el que se expide la Ley General de Instituciones y P</w:t>
      </w:r>
      <w:r w:rsidR="007564D6">
        <w:rPr>
          <w:rFonts w:ascii="Century Gothic" w:hAnsi="Century Gothic" w:cs="Arial"/>
          <w:sz w:val="22"/>
          <w:szCs w:val="22"/>
        </w:rPr>
        <w:t>rocedimientos Electorales, misma</w:t>
      </w:r>
      <w:r w:rsidRPr="00E35DF8">
        <w:rPr>
          <w:rFonts w:ascii="Century Gothic" w:hAnsi="Century Gothic" w:cs="Arial"/>
          <w:sz w:val="22"/>
          <w:szCs w:val="22"/>
        </w:rPr>
        <w:t xml:space="preserve"> que abrogó al Código Federal de Instituciones y Procedimientos Electorales.</w:t>
      </w:r>
    </w:p>
    <w:p w14:paraId="68DD6D0F" w14:textId="77777777" w:rsidR="00F20707" w:rsidRPr="00E35DF8" w:rsidRDefault="00897337" w:rsidP="00A36F61">
      <w:pPr>
        <w:pStyle w:val="NormalWeb"/>
        <w:spacing w:before="0" w:beforeAutospacing="0" w:after="200" w:afterAutospacing="0" w:line="312" w:lineRule="auto"/>
        <w:jc w:val="both"/>
        <w:rPr>
          <w:rFonts w:ascii="Century Gothic" w:hAnsi="Century Gothic" w:cs="Arial"/>
          <w:b/>
          <w:bCs/>
          <w:sz w:val="22"/>
          <w:szCs w:val="22"/>
        </w:rPr>
      </w:pPr>
      <w:r>
        <w:rPr>
          <w:rFonts w:ascii="Century Gothic" w:hAnsi="Century Gothic" w:cs="Arial"/>
          <w:sz w:val="22"/>
          <w:szCs w:val="22"/>
        </w:rPr>
        <w:t>El 20 de junio de 2014, el</w:t>
      </w:r>
      <w:r w:rsidR="00F20707" w:rsidRPr="00E35DF8">
        <w:rPr>
          <w:rFonts w:ascii="Century Gothic" w:hAnsi="Century Gothic" w:cs="Arial"/>
          <w:sz w:val="22"/>
          <w:szCs w:val="22"/>
        </w:rPr>
        <w:t xml:space="preserve"> Consejo General</w:t>
      </w:r>
      <w:r w:rsidR="00A65645">
        <w:rPr>
          <w:rFonts w:ascii="Century Gothic" w:hAnsi="Century Gothic" w:cs="Arial"/>
          <w:sz w:val="22"/>
          <w:szCs w:val="22"/>
        </w:rPr>
        <w:t xml:space="preserve"> de este Instituto</w:t>
      </w:r>
      <w:r>
        <w:rPr>
          <w:rFonts w:ascii="Century Gothic" w:hAnsi="Century Gothic" w:cs="Arial"/>
          <w:sz w:val="22"/>
          <w:szCs w:val="22"/>
        </w:rPr>
        <w:t xml:space="preserve"> </w:t>
      </w:r>
      <w:r w:rsidR="007564D6">
        <w:rPr>
          <w:rFonts w:ascii="Century Gothic" w:hAnsi="Century Gothic" w:cs="Arial"/>
          <w:sz w:val="22"/>
          <w:szCs w:val="22"/>
        </w:rPr>
        <w:t xml:space="preserve">Nacional Electoral </w:t>
      </w:r>
      <w:r w:rsidR="00F20707" w:rsidRPr="00E35DF8">
        <w:rPr>
          <w:rFonts w:ascii="Century Gothic" w:hAnsi="Century Gothic" w:cs="Arial"/>
          <w:sz w:val="22"/>
          <w:szCs w:val="22"/>
        </w:rPr>
        <w:t>aprobó, mediante Acuerdo INE/</w:t>
      </w:r>
      <w:proofErr w:type="spellStart"/>
      <w:r w:rsidR="00F20707" w:rsidRPr="00E35DF8">
        <w:rPr>
          <w:rFonts w:ascii="Century Gothic" w:hAnsi="Century Gothic" w:cs="Arial"/>
          <w:sz w:val="22"/>
          <w:szCs w:val="22"/>
        </w:rPr>
        <w:t>CG48</w:t>
      </w:r>
      <w:proofErr w:type="spellEnd"/>
      <w:r w:rsidR="00F20707" w:rsidRPr="00E35DF8">
        <w:rPr>
          <w:rFonts w:ascii="Century Gothic" w:hAnsi="Century Gothic" w:cs="Arial"/>
          <w:sz w:val="22"/>
          <w:szCs w:val="22"/>
        </w:rPr>
        <w:t>/2014, pronunciarse sobre la demarcación geográfica de las entidades federativas con Proceso Electoral Local 2014-2015, en el sentido de que con base en los plazos que contempla la refor</w:t>
      </w:r>
      <w:r w:rsidR="007564D6">
        <w:rPr>
          <w:rFonts w:ascii="Century Gothic" w:hAnsi="Century Gothic" w:cs="Arial"/>
          <w:sz w:val="22"/>
          <w:szCs w:val="22"/>
        </w:rPr>
        <w:t>ma constitucional y legal, no era</w:t>
      </w:r>
      <w:r w:rsidR="00F20707" w:rsidRPr="00E35DF8">
        <w:rPr>
          <w:rFonts w:ascii="Century Gothic" w:hAnsi="Century Gothic" w:cs="Arial"/>
          <w:sz w:val="22"/>
          <w:szCs w:val="22"/>
        </w:rPr>
        <w:t xml:space="preserve"> posible realizar las activida</w:t>
      </w:r>
      <w:r w:rsidR="007564D6">
        <w:rPr>
          <w:rFonts w:ascii="Century Gothic" w:hAnsi="Century Gothic" w:cs="Arial"/>
          <w:sz w:val="22"/>
          <w:szCs w:val="22"/>
        </w:rPr>
        <w:t>des para efectuar cambios a su D</w:t>
      </w:r>
      <w:r w:rsidR="00F20707" w:rsidRPr="00E35DF8">
        <w:rPr>
          <w:rFonts w:ascii="Century Gothic" w:hAnsi="Century Gothic" w:cs="Arial"/>
          <w:sz w:val="22"/>
          <w:szCs w:val="22"/>
        </w:rPr>
        <w:t>istritación actual.</w:t>
      </w:r>
    </w:p>
    <w:p w14:paraId="11ADC33A" w14:textId="77777777" w:rsidR="00F20707" w:rsidRPr="00E35DF8" w:rsidRDefault="00897337" w:rsidP="00A36F61">
      <w:pPr>
        <w:spacing w:after="200" w:line="312" w:lineRule="auto"/>
        <w:jc w:val="both"/>
        <w:rPr>
          <w:rFonts w:ascii="Century Gothic" w:hAnsi="Century Gothic" w:cs="Arial"/>
          <w:sz w:val="22"/>
          <w:szCs w:val="22"/>
          <w:lang w:val="es-ES"/>
        </w:rPr>
      </w:pPr>
      <w:r>
        <w:rPr>
          <w:rFonts w:ascii="Century Gothic" w:hAnsi="Century Gothic" w:cs="Arial"/>
          <w:sz w:val="22"/>
          <w:szCs w:val="22"/>
          <w:lang w:val="es-ES"/>
        </w:rPr>
        <w:t xml:space="preserve">Asimismo, el Consejo General mediante el </w:t>
      </w:r>
      <w:r w:rsidR="00F20707" w:rsidRPr="00E35DF8">
        <w:rPr>
          <w:rFonts w:ascii="Century Gothic" w:hAnsi="Century Gothic" w:cs="Arial"/>
          <w:sz w:val="22"/>
          <w:szCs w:val="22"/>
          <w:lang w:val="es-ES"/>
        </w:rPr>
        <w:t>Acuerdo referido en el párrafo que precede, instruyó a la Junta General Ejecutiva de este Instituto, inicie los trabajos tendientes a formular los proyectos para la nueva demarcación territorial de la geografía electoral nacional, en términos de la nueva legislación.</w:t>
      </w:r>
    </w:p>
    <w:p w14:paraId="52273554" w14:textId="77777777" w:rsidR="00F20707" w:rsidRPr="00897337" w:rsidRDefault="00F20707" w:rsidP="00A36F61">
      <w:pPr>
        <w:spacing w:after="200" w:line="312" w:lineRule="auto"/>
        <w:jc w:val="both"/>
        <w:rPr>
          <w:rFonts w:ascii="Century Gothic" w:hAnsi="Century Gothic" w:cs="Arial"/>
          <w:sz w:val="22"/>
          <w:szCs w:val="22"/>
          <w:lang w:val="es-ES"/>
        </w:rPr>
      </w:pPr>
      <w:r w:rsidRPr="00897337">
        <w:rPr>
          <w:rFonts w:ascii="Century Gothic" w:hAnsi="Century Gothic" w:cs="Arial"/>
          <w:sz w:val="22"/>
          <w:szCs w:val="22"/>
        </w:rPr>
        <w:t>El 19 de noviembre de 2014, el Consejo General de este Instituto expidió, mediante Acuerdo INE/</w:t>
      </w:r>
      <w:proofErr w:type="spellStart"/>
      <w:r w:rsidRPr="00897337">
        <w:rPr>
          <w:rFonts w:ascii="Century Gothic" w:hAnsi="Century Gothic" w:cs="Arial"/>
          <w:sz w:val="22"/>
          <w:szCs w:val="22"/>
        </w:rPr>
        <w:t>CG268</w:t>
      </w:r>
      <w:proofErr w:type="spellEnd"/>
      <w:r w:rsidRPr="00897337">
        <w:rPr>
          <w:rFonts w:ascii="Century Gothic" w:hAnsi="Century Gothic" w:cs="Arial"/>
          <w:sz w:val="22"/>
          <w:szCs w:val="22"/>
        </w:rPr>
        <w:t>/2014, el Reglamento Interior del Instituto Nacional Electoral.</w:t>
      </w:r>
    </w:p>
    <w:p w14:paraId="4535A644" w14:textId="77777777" w:rsidR="00AA3E34" w:rsidRPr="00897337" w:rsidRDefault="007564D6" w:rsidP="00A36F61">
      <w:pPr>
        <w:spacing w:after="200" w:line="312" w:lineRule="auto"/>
        <w:jc w:val="both"/>
        <w:rPr>
          <w:rFonts w:ascii="Century Gothic" w:hAnsi="Century Gothic" w:cs="Arial"/>
          <w:sz w:val="22"/>
          <w:szCs w:val="22"/>
          <w:lang w:val="es-ES"/>
        </w:rPr>
      </w:pPr>
      <w:r>
        <w:rPr>
          <w:rFonts w:ascii="Century Gothic" w:hAnsi="Century Gothic" w:cs="Arial"/>
          <w:sz w:val="22"/>
          <w:szCs w:val="22"/>
        </w:rPr>
        <w:t>En la fecha indicada en el párrafo anterior</w:t>
      </w:r>
      <w:r w:rsidR="00F20707" w:rsidRPr="00897337">
        <w:rPr>
          <w:rFonts w:ascii="Century Gothic" w:hAnsi="Century Gothic" w:cs="Arial"/>
          <w:sz w:val="22"/>
          <w:szCs w:val="22"/>
        </w:rPr>
        <w:t>, el Consejo General aprobó, mediante Acuerdo INE/</w:t>
      </w:r>
      <w:proofErr w:type="spellStart"/>
      <w:r w:rsidR="00F20707" w:rsidRPr="00897337">
        <w:rPr>
          <w:rFonts w:ascii="Century Gothic" w:hAnsi="Century Gothic" w:cs="Arial"/>
          <w:sz w:val="22"/>
          <w:szCs w:val="22"/>
        </w:rPr>
        <w:t>CG258</w:t>
      </w:r>
      <w:proofErr w:type="spellEnd"/>
      <w:r w:rsidR="00F20707" w:rsidRPr="00897337">
        <w:rPr>
          <w:rFonts w:ascii="Century Gothic" w:hAnsi="Century Gothic" w:cs="Arial"/>
          <w:sz w:val="22"/>
          <w:szCs w:val="22"/>
        </w:rPr>
        <w:t xml:space="preserve">/2014, la creación del </w:t>
      </w:r>
      <w:r w:rsidR="00F20707" w:rsidRPr="00A65645">
        <w:rPr>
          <w:rFonts w:ascii="Century Gothic" w:hAnsi="Century Gothic" w:cs="Arial"/>
          <w:i/>
          <w:sz w:val="22"/>
          <w:szCs w:val="22"/>
        </w:rPr>
        <w:t>“Comité Técnico para el Seguimiento y Evaluación de los Trabajos de Distritación”.</w:t>
      </w:r>
    </w:p>
    <w:p w14:paraId="363854DF" w14:textId="77777777" w:rsidR="00F20707" w:rsidRPr="00897337" w:rsidRDefault="00A65645" w:rsidP="00A36F61">
      <w:pPr>
        <w:spacing w:after="200" w:line="312" w:lineRule="auto"/>
        <w:jc w:val="both"/>
        <w:rPr>
          <w:rFonts w:ascii="Century Gothic" w:hAnsi="Century Gothic" w:cs="Arial"/>
          <w:sz w:val="22"/>
          <w:szCs w:val="22"/>
          <w:lang w:val="es-ES"/>
        </w:rPr>
      </w:pPr>
      <w:r>
        <w:rPr>
          <w:rFonts w:ascii="Century Gothic" w:hAnsi="Century Gothic" w:cs="Arial"/>
          <w:sz w:val="22"/>
          <w:szCs w:val="22"/>
        </w:rPr>
        <w:t xml:space="preserve">De igual forma, </w:t>
      </w:r>
      <w:r w:rsidRPr="00897337">
        <w:rPr>
          <w:rFonts w:ascii="Century Gothic" w:hAnsi="Century Gothic" w:cs="Arial"/>
          <w:sz w:val="22"/>
          <w:szCs w:val="22"/>
        </w:rPr>
        <w:t xml:space="preserve">el Consejo General </w:t>
      </w:r>
      <w:r>
        <w:rPr>
          <w:rFonts w:ascii="Century Gothic" w:hAnsi="Century Gothic" w:cs="Arial"/>
          <w:sz w:val="22"/>
          <w:szCs w:val="22"/>
        </w:rPr>
        <w:t xml:space="preserve">en el </w:t>
      </w:r>
      <w:r w:rsidR="00F20707" w:rsidRPr="00897337">
        <w:rPr>
          <w:rFonts w:ascii="Century Gothic" w:hAnsi="Century Gothic" w:cs="Arial"/>
          <w:sz w:val="22"/>
          <w:szCs w:val="22"/>
        </w:rPr>
        <w:t xml:space="preserve">Acuerdo referido en el párrafo anterior, señaló como atribución del Comité Técnico para el Seguimiento y Evaluación de los Trabajos de Distritación, analizar la propuesta de criterios a utilizarse en la realización de los estudios y proyectos para la delimitación territorial de los distritos </w:t>
      </w:r>
      <w:r w:rsidR="00F20707" w:rsidRPr="00897337">
        <w:rPr>
          <w:rFonts w:ascii="Century Gothic" w:hAnsi="Century Gothic" w:cs="Arial"/>
          <w:sz w:val="22"/>
          <w:szCs w:val="22"/>
        </w:rPr>
        <w:lastRenderedPageBreak/>
        <w:t>electorales en las entidades federativas, que será sometida a la consideración de este Consejo General.</w:t>
      </w:r>
    </w:p>
    <w:p w14:paraId="2A1CC482" w14:textId="77777777" w:rsidR="00AA3E34" w:rsidRPr="00897337" w:rsidRDefault="00F20707" w:rsidP="00A36F61">
      <w:pPr>
        <w:spacing w:after="200" w:line="312" w:lineRule="auto"/>
        <w:jc w:val="both"/>
        <w:rPr>
          <w:rFonts w:ascii="Century Gothic" w:hAnsi="Century Gothic" w:cs="Arial"/>
          <w:sz w:val="22"/>
          <w:szCs w:val="22"/>
        </w:rPr>
      </w:pPr>
      <w:r w:rsidRPr="00897337">
        <w:rPr>
          <w:rFonts w:ascii="Century Gothic" w:hAnsi="Century Gothic" w:cs="Arial"/>
          <w:sz w:val="22"/>
          <w:szCs w:val="22"/>
        </w:rPr>
        <w:t>El 2 de diciembre de 2014, se instaló de manera formal el Comité Técnico para el Seguimiento y Evaluación de los Trabajos de Distritación.</w:t>
      </w:r>
    </w:p>
    <w:p w14:paraId="2CAB6C5F" w14:textId="77777777" w:rsidR="00F20707" w:rsidRPr="00897337" w:rsidRDefault="00F20707" w:rsidP="00A36F61">
      <w:pPr>
        <w:spacing w:after="200" w:line="312" w:lineRule="auto"/>
        <w:jc w:val="both"/>
        <w:rPr>
          <w:rFonts w:ascii="Century Gothic" w:hAnsi="Century Gothic" w:cs="Arial"/>
          <w:b/>
          <w:sz w:val="22"/>
          <w:szCs w:val="22"/>
        </w:rPr>
      </w:pPr>
      <w:r w:rsidRPr="00897337">
        <w:rPr>
          <w:rFonts w:ascii="Century Gothic" w:hAnsi="Century Gothic" w:cs="Arial"/>
          <w:bCs/>
          <w:iCs/>
          <w:sz w:val="22"/>
          <w:szCs w:val="22"/>
          <w:lang w:val="es-ES"/>
        </w:rPr>
        <w:t>El 26 de marzo de 2015, la Junta Gener</w:t>
      </w:r>
      <w:r w:rsidR="00A65645">
        <w:rPr>
          <w:rFonts w:ascii="Century Gothic" w:hAnsi="Century Gothic" w:cs="Arial"/>
          <w:bCs/>
          <w:iCs/>
          <w:sz w:val="22"/>
          <w:szCs w:val="22"/>
          <w:lang w:val="es-ES"/>
        </w:rPr>
        <w:t>al Ejecutiva de este Instituto, mediante Acuerdo INE/</w:t>
      </w:r>
      <w:proofErr w:type="spellStart"/>
      <w:r w:rsidR="00A65645">
        <w:rPr>
          <w:rFonts w:ascii="Century Gothic" w:hAnsi="Century Gothic" w:cs="Arial"/>
          <w:bCs/>
          <w:iCs/>
          <w:sz w:val="22"/>
          <w:szCs w:val="22"/>
          <w:lang w:val="es-ES"/>
        </w:rPr>
        <w:t>JGE45</w:t>
      </w:r>
      <w:proofErr w:type="spellEnd"/>
      <w:r w:rsidR="00A65645">
        <w:rPr>
          <w:rFonts w:ascii="Century Gothic" w:hAnsi="Century Gothic" w:cs="Arial"/>
          <w:bCs/>
          <w:iCs/>
          <w:sz w:val="22"/>
          <w:szCs w:val="22"/>
          <w:lang w:val="es-ES"/>
        </w:rPr>
        <w:t xml:space="preserve">/2015, </w:t>
      </w:r>
      <w:r w:rsidRPr="00897337">
        <w:rPr>
          <w:rFonts w:ascii="Century Gothic" w:hAnsi="Century Gothic" w:cs="Arial"/>
          <w:bCs/>
          <w:iCs/>
          <w:sz w:val="22"/>
          <w:szCs w:val="22"/>
          <w:lang w:val="es-ES"/>
        </w:rPr>
        <w:t xml:space="preserve">aprobó el </w:t>
      </w:r>
      <w:r w:rsidRPr="00897337">
        <w:rPr>
          <w:rFonts w:ascii="Century Gothic" w:hAnsi="Century Gothic" w:cs="Arial"/>
          <w:bCs/>
          <w:i/>
          <w:iCs/>
          <w:sz w:val="22"/>
          <w:szCs w:val="22"/>
          <w:lang w:val="es-ES"/>
        </w:rPr>
        <w:t>“Plan de Trabajo del Proyecto de Distritación para las entidades federativas con Procesos Electorales Locales 2015-2016 y 2016-2017”</w:t>
      </w:r>
      <w:r w:rsidRPr="00897337">
        <w:rPr>
          <w:rFonts w:ascii="Century Gothic" w:hAnsi="Century Gothic" w:cs="Arial"/>
          <w:bCs/>
          <w:iCs/>
          <w:sz w:val="22"/>
          <w:szCs w:val="22"/>
          <w:lang w:val="es-ES"/>
        </w:rPr>
        <w:t>.</w:t>
      </w:r>
      <w:r w:rsidR="006471F5">
        <w:rPr>
          <w:rFonts w:ascii="Century Gothic" w:hAnsi="Century Gothic" w:cs="Arial"/>
          <w:bCs/>
          <w:iCs/>
          <w:sz w:val="22"/>
          <w:szCs w:val="22"/>
          <w:lang w:val="es-ES"/>
        </w:rPr>
        <w:t xml:space="preserve"> En este documento quedaron contempladas las </w:t>
      </w:r>
      <w:proofErr w:type="spellStart"/>
      <w:r w:rsidR="006471F5">
        <w:rPr>
          <w:rFonts w:ascii="Century Gothic" w:hAnsi="Century Gothic" w:cs="Arial"/>
          <w:bCs/>
          <w:iCs/>
          <w:sz w:val="22"/>
          <w:szCs w:val="22"/>
          <w:lang w:val="es-ES"/>
        </w:rPr>
        <w:t>distritaciones</w:t>
      </w:r>
      <w:proofErr w:type="spellEnd"/>
      <w:r w:rsidR="006471F5">
        <w:rPr>
          <w:rFonts w:ascii="Century Gothic" w:hAnsi="Century Gothic" w:cs="Arial"/>
          <w:bCs/>
          <w:iCs/>
          <w:sz w:val="22"/>
          <w:szCs w:val="22"/>
          <w:lang w:val="es-ES"/>
        </w:rPr>
        <w:t xml:space="preserve"> de Aguascalientes, Baja California, Chihuahua, </w:t>
      </w:r>
      <w:r w:rsidR="0004458A">
        <w:rPr>
          <w:rFonts w:ascii="Century Gothic" w:hAnsi="Century Gothic" w:cs="Arial"/>
          <w:bCs/>
          <w:iCs/>
          <w:sz w:val="22"/>
          <w:szCs w:val="22"/>
          <w:lang w:val="es-ES"/>
        </w:rPr>
        <w:t xml:space="preserve">Coahuila, </w:t>
      </w:r>
      <w:r w:rsidR="006471F5">
        <w:rPr>
          <w:rFonts w:ascii="Century Gothic" w:hAnsi="Century Gothic" w:cs="Arial"/>
          <w:bCs/>
          <w:iCs/>
          <w:sz w:val="22"/>
          <w:szCs w:val="22"/>
          <w:lang w:val="es-ES"/>
        </w:rPr>
        <w:t xml:space="preserve">Durango, Hidalgo, </w:t>
      </w:r>
      <w:r w:rsidR="0004458A">
        <w:rPr>
          <w:rFonts w:ascii="Century Gothic" w:hAnsi="Century Gothic" w:cs="Arial"/>
          <w:bCs/>
          <w:iCs/>
          <w:sz w:val="22"/>
          <w:szCs w:val="22"/>
          <w:lang w:val="es-ES"/>
        </w:rPr>
        <w:t xml:space="preserve">Nayarit, </w:t>
      </w:r>
      <w:r w:rsidR="006471F5">
        <w:rPr>
          <w:rFonts w:ascii="Century Gothic" w:hAnsi="Century Gothic" w:cs="Arial"/>
          <w:bCs/>
          <w:iCs/>
          <w:sz w:val="22"/>
          <w:szCs w:val="22"/>
          <w:lang w:val="es-ES"/>
        </w:rPr>
        <w:t>Oaxaca, Puebla, Quintana Roo, Sinaloa, Tamaulipas, Tlaxcala, Veracruz y Zacatecas.</w:t>
      </w:r>
    </w:p>
    <w:p w14:paraId="47693461" w14:textId="77777777" w:rsidR="00F20707" w:rsidRPr="00E35DF8" w:rsidRDefault="00F20707" w:rsidP="00A36F61">
      <w:pPr>
        <w:spacing w:after="200" w:line="312" w:lineRule="auto"/>
        <w:jc w:val="both"/>
        <w:rPr>
          <w:rFonts w:ascii="Century Gothic" w:hAnsi="Century Gothic" w:cs="Arial"/>
          <w:sz w:val="22"/>
          <w:szCs w:val="22"/>
        </w:rPr>
      </w:pPr>
      <w:r w:rsidRPr="00E35DF8">
        <w:rPr>
          <w:rFonts w:ascii="Century Gothic" w:hAnsi="Century Gothic" w:cs="Arial"/>
          <w:sz w:val="22"/>
          <w:szCs w:val="22"/>
        </w:rPr>
        <w:t xml:space="preserve">En el Acuerdo referido, se ordenó a la Dirección Ejecutiva del Registro Federal de Electores realizar las acciones de su competencia descritas en el mencionado plan. </w:t>
      </w:r>
    </w:p>
    <w:p w14:paraId="2A0B4C19" w14:textId="77777777" w:rsidR="00F20707" w:rsidRPr="00897337" w:rsidRDefault="00F20707" w:rsidP="00A36F61">
      <w:pPr>
        <w:spacing w:after="200" w:line="312" w:lineRule="auto"/>
        <w:jc w:val="both"/>
        <w:rPr>
          <w:rFonts w:ascii="Century Gothic" w:hAnsi="Century Gothic" w:cs="Arial"/>
          <w:b/>
          <w:sz w:val="22"/>
          <w:szCs w:val="22"/>
        </w:rPr>
      </w:pPr>
      <w:r w:rsidRPr="00897337">
        <w:rPr>
          <w:rFonts w:ascii="Century Gothic" w:hAnsi="Century Gothic" w:cs="Arial"/>
          <w:sz w:val="22"/>
          <w:szCs w:val="22"/>
        </w:rPr>
        <w:t xml:space="preserve">En las reuniones de trabajo del Comité Técnico para el Seguimiento y Evaluación de los Trabajos de Distritación realizadas los días 26 </w:t>
      </w:r>
      <w:r w:rsidR="007564D6">
        <w:rPr>
          <w:rFonts w:ascii="Century Gothic" w:hAnsi="Century Gothic" w:cs="Arial"/>
          <w:sz w:val="22"/>
          <w:szCs w:val="22"/>
        </w:rPr>
        <w:t>de febrero, 5, 12 y 18 de marzo</w:t>
      </w:r>
      <w:r w:rsidRPr="00897337">
        <w:rPr>
          <w:rFonts w:ascii="Century Gothic" w:hAnsi="Century Gothic" w:cs="Arial"/>
          <w:sz w:val="22"/>
          <w:szCs w:val="22"/>
        </w:rPr>
        <w:t xml:space="preserve"> y el 9 de abril </w:t>
      </w:r>
      <w:r w:rsidR="00A65645">
        <w:rPr>
          <w:rFonts w:ascii="Century Gothic" w:hAnsi="Century Gothic" w:cs="Arial"/>
          <w:sz w:val="22"/>
          <w:szCs w:val="22"/>
        </w:rPr>
        <w:t>de</w:t>
      </w:r>
      <w:r w:rsidR="007564D6">
        <w:rPr>
          <w:rFonts w:ascii="Century Gothic" w:hAnsi="Century Gothic" w:cs="Arial"/>
          <w:sz w:val="22"/>
          <w:szCs w:val="22"/>
        </w:rPr>
        <w:t xml:space="preserve"> 2015</w:t>
      </w:r>
      <w:r w:rsidR="00A65645">
        <w:rPr>
          <w:rFonts w:ascii="Century Gothic" w:hAnsi="Century Gothic" w:cs="Arial"/>
          <w:sz w:val="22"/>
          <w:szCs w:val="22"/>
        </w:rPr>
        <w:t xml:space="preserve">, </w:t>
      </w:r>
      <w:r w:rsidRPr="00897337">
        <w:rPr>
          <w:rFonts w:ascii="Century Gothic" w:hAnsi="Century Gothic" w:cs="Arial"/>
          <w:sz w:val="22"/>
          <w:szCs w:val="22"/>
        </w:rPr>
        <w:t xml:space="preserve">se analizaron los indicadores y los resultados parciales de la evaluación sobre las </w:t>
      </w:r>
      <w:proofErr w:type="spellStart"/>
      <w:r w:rsidRPr="00897337">
        <w:rPr>
          <w:rFonts w:ascii="Century Gothic" w:hAnsi="Century Gothic" w:cs="Arial"/>
          <w:sz w:val="22"/>
          <w:szCs w:val="22"/>
        </w:rPr>
        <w:t>distritaciones</w:t>
      </w:r>
      <w:proofErr w:type="spellEnd"/>
      <w:r w:rsidRPr="00897337">
        <w:rPr>
          <w:rFonts w:ascii="Century Gothic" w:hAnsi="Century Gothic" w:cs="Arial"/>
          <w:sz w:val="22"/>
          <w:szCs w:val="22"/>
        </w:rPr>
        <w:t xml:space="preserve"> electorales locales.</w:t>
      </w:r>
    </w:p>
    <w:p w14:paraId="0E733347" w14:textId="77777777" w:rsidR="00A65645" w:rsidRDefault="00A65645" w:rsidP="00A36F61">
      <w:pPr>
        <w:spacing w:after="200" w:line="312" w:lineRule="auto"/>
        <w:jc w:val="both"/>
        <w:rPr>
          <w:rFonts w:ascii="Century Gothic" w:hAnsi="Century Gothic" w:cs="Arial"/>
          <w:bCs/>
          <w:iCs/>
          <w:sz w:val="22"/>
          <w:szCs w:val="22"/>
          <w:lang w:val="es-ES" w:eastAsia="es-ES"/>
        </w:rPr>
      </w:pPr>
      <w:r w:rsidRPr="00897337">
        <w:rPr>
          <w:rFonts w:ascii="Century Gothic" w:hAnsi="Century Gothic" w:cs="Arial"/>
          <w:bCs/>
          <w:iCs/>
          <w:sz w:val="22"/>
          <w:szCs w:val="22"/>
          <w:lang w:val="es-ES" w:eastAsia="es-ES"/>
        </w:rPr>
        <w:t>El 15 de abril</w:t>
      </w:r>
      <w:r>
        <w:rPr>
          <w:rFonts w:ascii="Century Gothic" w:hAnsi="Century Gothic" w:cs="Arial"/>
          <w:bCs/>
          <w:iCs/>
          <w:sz w:val="22"/>
          <w:szCs w:val="22"/>
          <w:lang w:val="es-ES" w:eastAsia="es-ES"/>
        </w:rPr>
        <w:t xml:space="preserve"> del año en curso, </w:t>
      </w:r>
      <w:r w:rsidRPr="00897337">
        <w:rPr>
          <w:rFonts w:ascii="Century Gothic" w:hAnsi="Century Gothic" w:cs="Arial"/>
          <w:bCs/>
          <w:iCs/>
          <w:sz w:val="22"/>
          <w:szCs w:val="22"/>
          <w:lang w:val="es-ES" w:eastAsia="es-ES"/>
        </w:rPr>
        <w:t xml:space="preserve">el Consejo General del Instituto Nacional Electoral aprobó los criterios y reglas operativas que deberán aplicarse para el análisis y la delimitación territorial de los distritos en </w:t>
      </w:r>
      <w:r w:rsidR="006471F5">
        <w:rPr>
          <w:rFonts w:ascii="Century Gothic" w:hAnsi="Century Gothic" w:cs="Arial"/>
          <w:bCs/>
          <w:iCs/>
          <w:sz w:val="22"/>
          <w:szCs w:val="22"/>
          <w:lang w:val="es-ES" w:eastAsia="es-ES"/>
        </w:rPr>
        <w:t>las entidades federativas previa</w:t>
      </w:r>
      <w:r w:rsidRPr="00897337">
        <w:rPr>
          <w:rFonts w:ascii="Century Gothic" w:hAnsi="Century Gothic" w:cs="Arial"/>
          <w:bCs/>
          <w:iCs/>
          <w:sz w:val="22"/>
          <w:szCs w:val="22"/>
          <w:lang w:val="es-ES" w:eastAsia="es-ES"/>
        </w:rPr>
        <w:t xml:space="preserve"> a sus respectivos Procesos Electorales Locales</w:t>
      </w:r>
      <w:r w:rsidR="008D27DB">
        <w:rPr>
          <w:rFonts w:ascii="Century Gothic" w:hAnsi="Century Gothic" w:cs="Arial"/>
          <w:bCs/>
          <w:iCs/>
          <w:sz w:val="22"/>
          <w:szCs w:val="22"/>
          <w:lang w:val="es-ES" w:eastAsia="es-ES"/>
        </w:rPr>
        <w:t>, mediante el acuerdo INE/</w:t>
      </w:r>
      <w:proofErr w:type="spellStart"/>
      <w:r w:rsidR="008D27DB">
        <w:rPr>
          <w:rFonts w:ascii="Century Gothic" w:hAnsi="Century Gothic" w:cs="Arial"/>
          <w:bCs/>
          <w:iCs/>
          <w:sz w:val="22"/>
          <w:szCs w:val="22"/>
          <w:lang w:val="es-ES" w:eastAsia="es-ES"/>
        </w:rPr>
        <w:t>CG195</w:t>
      </w:r>
      <w:proofErr w:type="spellEnd"/>
      <w:r w:rsidR="008D27DB">
        <w:rPr>
          <w:rFonts w:ascii="Century Gothic" w:hAnsi="Century Gothic" w:cs="Arial"/>
          <w:bCs/>
          <w:iCs/>
          <w:sz w:val="22"/>
          <w:szCs w:val="22"/>
          <w:lang w:val="es-ES" w:eastAsia="es-ES"/>
        </w:rPr>
        <w:t>/2015</w:t>
      </w:r>
      <w:r w:rsidRPr="00897337">
        <w:rPr>
          <w:rFonts w:ascii="Century Gothic" w:hAnsi="Century Gothic" w:cs="Arial"/>
          <w:bCs/>
          <w:iCs/>
          <w:sz w:val="22"/>
          <w:szCs w:val="22"/>
          <w:lang w:val="es-ES" w:eastAsia="es-ES"/>
        </w:rPr>
        <w:t>.</w:t>
      </w:r>
      <w:r w:rsidR="00C91028">
        <w:rPr>
          <w:rFonts w:ascii="Century Gothic" w:hAnsi="Century Gothic" w:cs="Arial"/>
          <w:bCs/>
          <w:iCs/>
          <w:sz w:val="22"/>
          <w:szCs w:val="22"/>
          <w:lang w:val="es-ES" w:eastAsia="es-ES"/>
        </w:rPr>
        <w:t xml:space="preserve"> Asimismo, en cumplimiento de ese acuerdo, </w:t>
      </w:r>
      <w:r w:rsidR="00B63528">
        <w:rPr>
          <w:rFonts w:ascii="Century Gothic" w:hAnsi="Century Gothic" w:cs="Arial"/>
          <w:bCs/>
          <w:iCs/>
          <w:sz w:val="22"/>
          <w:szCs w:val="22"/>
          <w:lang w:val="es-ES" w:eastAsia="es-ES"/>
        </w:rPr>
        <w:t xml:space="preserve">el pasado 30 de abril </w:t>
      </w:r>
      <w:r w:rsidR="00C91028">
        <w:rPr>
          <w:rFonts w:ascii="Century Gothic" w:hAnsi="Century Gothic" w:cs="Arial"/>
          <w:bCs/>
          <w:iCs/>
          <w:sz w:val="22"/>
          <w:szCs w:val="22"/>
          <w:lang w:val="es-ES" w:eastAsia="es-ES"/>
        </w:rPr>
        <w:t xml:space="preserve">la Comisión del Registro Federal de </w:t>
      </w:r>
      <w:r w:rsidR="00B63528">
        <w:rPr>
          <w:rFonts w:ascii="Century Gothic" w:hAnsi="Century Gothic" w:cs="Arial"/>
          <w:bCs/>
          <w:iCs/>
          <w:sz w:val="22"/>
          <w:szCs w:val="22"/>
          <w:lang w:val="es-ES" w:eastAsia="es-ES"/>
        </w:rPr>
        <w:t>Electore</w:t>
      </w:r>
      <w:r w:rsidR="00C91028">
        <w:rPr>
          <w:rFonts w:ascii="Century Gothic" w:hAnsi="Century Gothic" w:cs="Arial"/>
          <w:bCs/>
          <w:iCs/>
          <w:sz w:val="22"/>
          <w:szCs w:val="22"/>
          <w:lang w:val="es-ES" w:eastAsia="es-ES"/>
        </w:rPr>
        <w:t>s</w:t>
      </w:r>
      <w:r w:rsidR="00B63528">
        <w:rPr>
          <w:rFonts w:ascii="Century Gothic" w:hAnsi="Century Gothic" w:cs="Arial"/>
          <w:bCs/>
          <w:iCs/>
          <w:sz w:val="22"/>
          <w:szCs w:val="22"/>
          <w:lang w:val="es-ES" w:eastAsia="es-ES"/>
        </w:rPr>
        <w:t xml:space="preserve"> aprobó, mediante el acuerdo INE/</w:t>
      </w:r>
      <w:proofErr w:type="spellStart"/>
      <w:r w:rsidR="00B63528">
        <w:rPr>
          <w:rFonts w:ascii="Century Gothic" w:hAnsi="Century Gothic" w:cs="Arial"/>
          <w:bCs/>
          <w:iCs/>
          <w:sz w:val="22"/>
          <w:szCs w:val="22"/>
          <w:lang w:val="es-ES" w:eastAsia="es-ES"/>
        </w:rPr>
        <w:t>CRFE-03SE</w:t>
      </w:r>
      <w:proofErr w:type="spellEnd"/>
      <w:r w:rsidR="00B63528">
        <w:rPr>
          <w:rFonts w:ascii="Century Gothic" w:hAnsi="Century Gothic" w:cs="Arial"/>
          <w:bCs/>
          <w:iCs/>
          <w:sz w:val="22"/>
          <w:szCs w:val="22"/>
          <w:lang w:val="es-ES" w:eastAsia="es-ES"/>
        </w:rPr>
        <w:t>: 30/04/2015, la matriz que establece la jerarquía de los criterios y su participación en el modelo matemático para su aplicación en la delimitación de los distritos electorales locales.</w:t>
      </w:r>
    </w:p>
    <w:p w14:paraId="7482D640" w14:textId="41A53855" w:rsidR="008D27DB" w:rsidRDefault="008D27DB" w:rsidP="00A36F61">
      <w:pPr>
        <w:spacing w:after="200" w:line="312" w:lineRule="auto"/>
        <w:jc w:val="both"/>
        <w:rPr>
          <w:rFonts w:ascii="Century Gothic" w:hAnsi="Century Gothic" w:cs="Arial"/>
          <w:bCs/>
          <w:iCs/>
          <w:sz w:val="22"/>
          <w:szCs w:val="22"/>
          <w:lang w:val="es-ES" w:eastAsia="es-ES"/>
        </w:rPr>
      </w:pPr>
      <w:r>
        <w:rPr>
          <w:rFonts w:ascii="Century Gothic" w:hAnsi="Century Gothic" w:cs="Arial"/>
          <w:bCs/>
          <w:iCs/>
          <w:sz w:val="22"/>
          <w:szCs w:val="22"/>
          <w:lang w:val="es-ES" w:eastAsia="es-ES"/>
        </w:rPr>
        <w:t>El 24 de junio de 2015, el Consejo General del Instituto Nacional Electoral aprobó la demarcación territorial de los distritos electorales locales en que se dividen las entidades federativas de Aguascalientes, Durango, Baja California, Tamaulipas y Zacatecas, mediante los acuerdos INE/</w:t>
      </w:r>
      <w:proofErr w:type="spellStart"/>
      <w:r>
        <w:rPr>
          <w:rFonts w:ascii="Century Gothic" w:hAnsi="Century Gothic" w:cs="Arial"/>
          <w:bCs/>
          <w:iCs/>
          <w:sz w:val="22"/>
          <w:szCs w:val="22"/>
          <w:lang w:val="es-ES" w:eastAsia="es-ES"/>
        </w:rPr>
        <w:t>CG400</w:t>
      </w:r>
      <w:proofErr w:type="spellEnd"/>
      <w:r>
        <w:rPr>
          <w:rFonts w:ascii="Century Gothic" w:hAnsi="Century Gothic" w:cs="Arial"/>
          <w:bCs/>
          <w:iCs/>
          <w:sz w:val="22"/>
          <w:szCs w:val="22"/>
          <w:lang w:val="es-ES" w:eastAsia="es-ES"/>
        </w:rPr>
        <w:t>/2015, INE/</w:t>
      </w:r>
      <w:proofErr w:type="spellStart"/>
      <w:r>
        <w:rPr>
          <w:rFonts w:ascii="Century Gothic" w:hAnsi="Century Gothic" w:cs="Arial"/>
          <w:bCs/>
          <w:iCs/>
          <w:sz w:val="22"/>
          <w:szCs w:val="22"/>
          <w:lang w:val="es-ES" w:eastAsia="es-ES"/>
        </w:rPr>
        <w:t>CG401</w:t>
      </w:r>
      <w:proofErr w:type="spellEnd"/>
      <w:r>
        <w:rPr>
          <w:rFonts w:ascii="Century Gothic" w:hAnsi="Century Gothic" w:cs="Arial"/>
          <w:bCs/>
          <w:iCs/>
          <w:sz w:val="22"/>
          <w:szCs w:val="22"/>
          <w:lang w:val="es-ES" w:eastAsia="es-ES"/>
        </w:rPr>
        <w:t>/2015, INE/</w:t>
      </w:r>
      <w:proofErr w:type="spellStart"/>
      <w:r>
        <w:rPr>
          <w:rFonts w:ascii="Century Gothic" w:hAnsi="Century Gothic" w:cs="Arial"/>
          <w:bCs/>
          <w:iCs/>
          <w:sz w:val="22"/>
          <w:szCs w:val="22"/>
          <w:lang w:val="es-ES" w:eastAsia="es-ES"/>
        </w:rPr>
        <w:t>CG402</w:t>
      </w:r>
      <w:proofErr w:type="spellEnd"/>
      <w:r>
        <w:rPr>
          <w:rFonts w:ascii="Century Gothic" w:hAnsi="Century Gothic" w:cs="Arial"/>
          <w:bCs/>
          <w:iCs/>
          <w:sz w:val="22"/>
          <w:szCs w:val="22"/>
          <w:lang w:val="es-ES" w:eastAsia="es-ES"/>
        </w:rPr>
        <w:t>/2015, INE/</w:t>
      </w:r>
      <w:proofErr w:type="spellStart"/>
      <w:r>
        <w:rPr>
          <w:rFonts w:ascii="Century Gothic" w:hAnsi="Century Gothic" w:cs="Arial"/>
          <w:bCs/>
          <w:iCs/>
          <w:sz w:val="22"/>
          <w:szCs w:val="22"/>
          <w:lang w:val="es-ES" w:eastAsia="es-ES"/>
        </w:rPr>
        <w:t>CG403</w:t>
      </w:r>
      <w:proofErr w:type="spellEnd"/>
      <w:r>
        <w:rPr>
          <w:rFonts w:ascii="Century Gothic" w:hAnsi="Century Gothic" w:cs="Arial"/>
          <w:bCs/>
          <w:iCs/>
          <w:sz w:val="22"/>
          <w:szCs w:val="22"/>
          <w:lang w:val="es-ES" w:eastAsia="es-ES"/>
        </w:rPr>
        <w:t>/2015 e INE/</w:t>
      </w:r>
      <w:proofErr w:type="spellStart"/>
      <w:r>
        <w:rPr>
          <w:rFonts w:ascii="Century Gothic" w:hAnsi="Century Gothic" w:cs="Arial"/>
          <w:bCs/>
          <w:iCs/>
          <w:sz w:val="22"/>
          <w:szCs w:val="22"/>
          <w:lang w:val="es-ES" w:eastAsia="es-ES"/>
        </w:rPr>
        <w:t>CG404</w:t>
      </w:r>
      <w:proofErr w:type="spellEnd"/>
      <w:r>
        <w:rPr>
          <w:rFonts w:ascii="Century Gothic" w:hAnsi="Century Gothic" w:cs="Arial"/>
          <w:bCs/>
          <w:iCs/>
          <w:sz w:val="22"/>
          <w:szCs w:val="22"/>
          <w:lang w:val="es-ES" w:eastAsia="es-ES"/>
        </w:rPr>
        <w:t>/2015.</w:t>
      </w:r>
      <w:r w:rsidR="00C94EBD">
        <w:rPr>
          <w:rFonts w:ascii="Century Gothic" w:hAnsi="Century Gothic" w:cs="Arial"/>
          <w:bCs/>
          <w:iCs/>
          <w:sz w:val="22"/>
          <w:szCs w:val="22"/>
          <w:lang w:val="es-ES" w:eastAsia="es-ES"/>
        </w:rPr>
        <w:t xml:space="preserve"> Un resultado relevante de </w:t>
      </w:r>
      <w:r w:rsidR="00C94EBD">
        <w:rPr>
          <w:rFonts w:ascii="Century Gothic" w:hAnsi="Century Gothic" w:cs="Arial"/>
          <w:bCs/>
          <w:iCs/>
          <w:sz w:val="22"/>
          <w:szCs w:val="22"/>
          <w:lang w:val="es-ES" w:eastAsia="es-ES"/>
        </w:rPr>
        <w:lastRenderedPageBreak/>
        <w:t xml:space="preserve">estas </w:t>
      </w:r>
      <w:proofErr w:type="spellStart"/>
      <w:r w:rsidR="00C94EBD">
        <w:rPr>
          <w:rFonts w:ascii="Century Gothic" w:hAnsi="Century Gothic" w:cs="Arial"/>
          <w:bCs/>
          <w:iCs/>
          <w:sz w:val="22"/>
          <w:szCs w:val="22"/>
          <w:lang w:val="es-ES" w:eastAsia="es-ES"/>
        </w:rPr>
        <w:t>distritaciones</w:t>
      </w:r>
      <w:proofErr w:type="spellEnd"/>
      <w:r w:rsidR="00C94EBD">
        <w:rPr>
          <w:rFonts w:ascii="Century Gothic" w:hAnsi="Century Gothic" w:cs="Arial"/>
          <w:bCs/>
          <w:iCs/>
          <w:sz w:val="22"/>
          <w:szCs w:val="22"/>
          <w:lang w:val="es-ES" w:eastAsia="es-ES"/>
        </w:rPr>
        <w:t xml:space="preserve"> es que el total de los distritos quedaron equilibrados en cuanto a su población.</w:t>
      </w:r>
    </w:p>
    <w:p w14:paraId="5A623C93" w14:textId="6042E9EA" w:rsidR="008D27DB" w:rsidRDefault="008D27DB" w:rsidP="00A36F61">
      <w:pPr>
        <w:spacing w:after="200" w:line="312" w:lineRule="auto"/>
        <w:jc w:val="both"/>
        <w:rPr>
          <w:rFonts w:ascii="Century Gothic" w:hAnsi="Century Gothic" w:cs="Arial"/>
          <w:bCs/>
          <w:iCs/>
          <w:sz w:val="22"/>
          <w:szCs w:val="22"/>
          <w:lang w:val="es-ES" w:eastAsia="es-ES"/>
        </w:rPr>
      </w:pPr>
      <w:r>
        <w:rPr>
          <w:rFonts w:ascii="Century Gothic" w:hAnsi="Century Gothic" w:cs="Arial"/>
          <w:bCs/>
          <w:iCs/>
          <w:sz w:val="22"/>
          <w:szCs w:val="22"/>
          <w:lang w:val="es-ES" w:eastAsia="es-ES"/>
        </w:rPr>
        <w:t>El 13 de julio de 2015, el Consejo General del Instituto Nacional Electoral aprobó la demarcación territorial de los distritos electorales locales en que se dividen las entidades federativas de Sinaloa y Veracruz, mediante los acuerdos INE/</w:t>
      </w:r>
      <w:proofErr w:type="spellStart"/>
      <w:r>
        <w:rPr>
          <w:rFonts w:ascii="Century Gothic" w:hAnsi="Century Gothic" w:cs="Arial"/>
          <w:bCs/>
          <w:iCs/>
          <w:sz w:val="22"/>
          <w:szCs w:val="22"/>
          <w:lang w:val="es-ES" w:eastAsia="es-ES"/>
        </w:rPr>
        <w:t>CG411</w:t>
      </w:r>
      <w:proofErr w:type="spellEnd"/>
      <w:r>
        <w:rPr>
          <w:rFonts w:ascii="Century Gothic" w:hAnsi="Century Gothic" w:cs="Arial"/>
          <w:bCs/>
          <w:iCs/>
          <w:sz w:val="22"/>
          <w:szCs w:val="22"/>
          <w:lang w:val="es-ES" w:eastAsia="es-ES"/>
        </w:rPr>
        <w:t>/2015 e INE/</w:t>
      </w:r>
      <w:proofErr w:type="spellStart"/>
      <w:r>
        <w:rPr>
          <w:rFonts w:ascii="Century Gothic" w:hAnsi="Century Gothic" w:cs="Arial"/>
          <w:bCs/>
          <w:iCs/>
          <w:sz w:val="22"/>
          <w:szCs w:val="22"/>
          <w:lang w:val="es-ES" w:eastAsia="es-ES"/>
        </w:rPr>
        <w:t>CG412</w:t>
      </w:r>
      <w:proofErr w:type="spellEnd"/>
      <w:r>
        <w:rPr>
          <w:rFonts w:ascii="Century Gothic" w:hAnsi="Century Gothic" w:cs="Arial"/>
          <w:bCs/>
          <w:iCs/>
          <w:sz w:val="22"/>
          <w:szCs w:val="22"/>
          <w:lang w:val="es-ES" w:eastAsia="es-ES"/>
        </w:rPr>
        <w:t>/2015.</w:t>
      </w:r>
      <w:r w:rsidR="00C94EBD">
        <w:rPr>
          <w:rFonts w:ascii="Century Gothic" w:hAnsi="Century Gothic" w:cs="Arial"/>
          <w:bCs/>
          <w:iCs/>
          <w:sz w:val="22"/>
          <w:szCs w:val="22"/>
          <w:lang w:val="es-ES" w:eastAsia="es-ES"/>
        </w:rPr>
        <w:t xml:space="preserve"> </w:t>
      </w:r>
    </w:p>
    <w:p w14:paraId="05BABFD4" w14:textId="56758F64" w:rsidR="008D27DB" w:rsidRDefault="008D27DB" w:rsidP="00A36F61">
      <w:pPr>
        <w:spacing w:after="200" w:line="312" w:lineRule="auto"/>
        <w:jc w:val="both"/>
        <w:rPr>
          <w:rFonts w:ascii="Century Gothic" w:hAnsi="Century Gothic" w:cs="Arial"/>
          <w:bCs/>
          <w:iCs/>
          <w:sz w:val="22"/>
          <w:szCs w:val="22"/>
          <w:lang w:val="es-ES" w:eastAsia="es-ES"/>
        </w:rPr>
      </w:pPr>
      <w:r>
        <w:rPr>
          <w:rFonts w:ascii="Century Gothic" w:hAnsi="Century Gothic" w:cs="Arial"/>
          <w:bCs/>
          <w:iCs/>
          <w:sz w:val="22"/>
          <w:szCs w:val="22"/>
          <w:lang w:val="es-ES" w:eastAsia="es-ES"/>
        </w:rPr>
        <w:t>El 2 de septiembre</w:t>
      </w:r>
      <w:r w:rsidR="00D71034">
        <w:rPr>
          <w:rFonts w:ascii="Century Gothic" w:hAnsi="Century Gothic" w:cs="Arial"/>
          <w:bCs/>
          <w:iCs/>
          <w:sz w:val="22"/>
          <w:szCs w:val="22"/>
          <w:lang w:val="es-ES" w:eastAsia="es-ES"/>
        </w:rPr>
        <w:t xml:space="preserve"> de 2015</w:t>
      </w:r>
      <w:r>
        <w:rPr>
          <w:rFonts w:ascii="Century Gothic" w:hAnsi="Century Gothic" w:cs="Arial"/>
          <w:bCs/>
          <w:iCs/>
          <w:sz w:val="22"/>
          <w:szCs w:val="22"/>
          <w:lang w:val="es-ES" w:eastAsia="es-ES"/>
        </w:rPr>
        <w:t xml:space="preserve">, el Consejo General del Instituto Nacional Electoral aprobó la demarcación territorial de los distritos electorales locales en que se dividen las entidades federativas de Tlaxcala, Chihuahua, </w:t>
      </w:r>
      <w:r w:rsidR="00D71034">
        <w:rPr>
          <w:rFonts w:ascii="Century Gothic" w:hAnsi="Century Gothic" w:cs="Arial"/>
          <w:bCs/>
          <w:iCs/>
          <w:sz w:val="22"/>
          <w:szCs w:val="22"/>
          <w:lang w:val="es-ES" w:eastAsia="es-ES"/>
        </w:rPr>
        <w:t>Hidalgo y Oaxaca, mediante los acuerdos INE/</w:t>
      </w:r>
      <w:proofErr w:type="spellStart"/>
      <w:r w:rsidR="00D71034">
        <w:rPr>
          <w:rFonts w:ascii="Century Gothic" w:hAnsi="Century Gothic" w:cs="Arial"/>
          <w:bCs/>
          <w:iCs/>
          <w:sz w:val="22"/>
          <w:szCs w:val="22"/>
          <w:lang w:val="es-ES" w:eastAsia="es-ES"/>
        </w:rPr>
        <w:t>CG824</w:t>
      </w:r>
      <w:proofErr w:type="spellEnd"/>
      <w:r w:rsidR="00D71034">
        <w:rPr>
          <w:rFonts w:ascii="Century Gothic" w:hAnsi="Century Gothic" w:cs="Arial"/>
          <w:bCs/>
          <w:iCs/>
          <w:sz w:val="22"/>
          <w:szCs w:val="22"/>
          <w:lang w:val="es-ES" w:eastAsia="es-ES"/>
        </w:rPr>
        <w:t>/2015, INE/</w:t>
      </w:r>
      <w:proofErr w:type="spellStart"/>
      <w:r w:rsidR="00D71034">
        <w:rPr>
          <w:rFonts w:ascii="Century Gothic" w:hAnsi="Century Gothic" w:cs="Arial"/>
          <w:bCs/>
          <w:iCs/>
          <w:sz w:val="22"/>
          <w:szCs w:val="22"/>
          <w:lang w:val="es-ES" w:eastAsia="es-ES"/>
        </w:rPr>
        <w:t>CG825</w:t>
      </w:r>
      <w:proofErr w:type="spellEnd"/>
      <w:r w:rsidR="00D71034">
        <w:rPr>
          <w:rFonts w:ascii="Century Gothic" w:hAnsi="Century Gothic" w:cs="Arial"/>
          <w:bCs/>
          <w:iCs/>
          <w:sz w:val="22"/>
          <w:szCs w:val="22"/>
          <w:lang w:val="es-ES" w:eastAsia="es-ES"/>
        </w:rPr>
        <w:t>/2015, INE/</w:t>
      </w:r>
      <w:proofErr w:type="spellStart"/>
      <w:r w:rsidR="00D71034">
        <w:rPr>
          <w:rFonts w:ascii="Century Gothic" w:hAnsi="Century Gothic" w:cs="Arial"/>
          <w:bCs/>
          <w:iCs/>
          <w:sz w:val="22"/>
          <w:szCs w:val="22"/>
          <w:lang w:val="es-ES" w:eastAsia="es-ES"/>
        </w:rPr>
        <w:t>CG826</w:t>
      </w:r>
      <w:proofErr w:type="spellEnd"/>
      <w:r w:rsidR="00D71034">
        <w:rPr>
          <w:rFonts w:ascii="Century Gothic" w:hAnsi="Century Gothic" w:cs="Arial"/>
          <w:bCs/>
          <w:iCs/>
          <w:sz w:val="22"/>
          <w:szCs w:val="22"/>
          <w:lang w:val="es-ES" w:eastAsia="es-ES"/>
        </w:rPr>
        <w:t>/2015 e INE/</w:t>
      </w:r>
      <w:proofErr w:type="spellStart"/>
      <w:r w:rsidR="00D71034">
        <w:rPr>
          <w:rFonts w:ascii="Century Gothic" w:hAnsi="Century Gothic" w:cs="Arial"/>
          <w:bCs/>
          <w:iCs/>
          <w:sz w:val="22"/>
          <w:szCs w:val="22"/>
          <w:lang w:val="es-ES" w:eastAsia="es-ES"/>
        </w:rPr>
        <w:t>CG827</w:t>
      </w:r>
      <w:proofErr w:type="spellEnd"/>
      <w:r w:rsidR="00D71034">
        <w:rPr>
          <w:rFonts w:ascii="Century Gothic" w:hAnsi="Century Gothic" w:cs="Arial"/>
          <w:bCs/>
          <w:iCs/>
          <w:sz w:val="22"/>
          <w:szCs w:val="22"/>
          <w:lang w:val="es-ES" w:eastAsia="es-ES"/>
        </w:rPr>
        <w:t>/2015.</w:t>
      </w:r>
      <w:r w:rsidR="00C94EBD">
        <w:rPr>
          <w:rFonts w:ascii="Century Gothic" w:hAnsi="Century Gothic" w:cs="Arial"/>
          <w:bCs/>
          <w:iCs/>
          <w:sz w:val="22"/>
          <w:szCs w:val="22"/>
          <w:lang w:val="es-ES" w:eastAsia="es-ES"/>
        </w:rPr>
        <w:t xml:space="preserve"> Un resultado relevante de estas </w:t>
      </w:r>
      <w:proofErr w:type="spellStart"/>
      <w:r w:rsidR="00C94EBD">
        <w:rPr>
          <w:rFonts w:ascii="Century Gothic" w:hAnsi="Century Gothic" w:cs="Arial"/>
          <w:bCs/>
          <w:iCs/>
          <w:sz w:val="22"/>
          <w:szCs w:val="22"/>
          <w:lang w:val="es-ES" w:eastAsia="es-ES"/>
        </w:rPr>
        <w:t>distritaciones</w:t>
      </w:r>
      <w:proofErr w:type="spellEnd"/>
      <w:r w:rsidR="00C94EBD">
        <w:rPr>
          <w:rFonts w:ascii="Century Gothic" w:hAnsi="Century Gothic" w:cs="Arial"/>
          <w:bCs/>
          <w:iCs/>
          <w:sz w:val="22"/>
          <w:szCs w:val="22"/>
          <w:lang w:val="es-ES" w:eastAsia="es-ES"/>
        </w:rPr>
        <w:t xml:space="preserve"> es que el total de los distritos quedaron equilibrados en cuanto a su población.</w:t>
      </w:r>
    </w:p>
    <w:p w14:paraId="4B45165B" w14:textId="77777777" w:rsidR="00695BA8" w:rsidRPr="00695BA8" w:rsidRDefault="00695BA8" w:rsidP="00695BA8">
      <w:pPr>
        <w:spacing w:after="200" w:line="312" w:lineRule="auto"/>
        <w:jc w:val="both"/>
        <w:rPr>
          <w:rFonts w:ascii="Century Gothic" w:hAnsi="Century Gothic" w:cs="Arial"/>
          <w:bCs/>
          <w:iCs/>
          <w:sz w:val="22"/>
          <w:szCs w:val="22"/>
          <w:lang w:val="es-ES" w:eastAsia="es-ES"/>
        </w:rPr>
      </w:pPr>
      <w:r w:rsidRPr="00695BA8">
        <w:rPr>
          <w:rFonts w:ascii="Century Gothic" w:hAnsi="Century Gothic" w:cs="Arial"/>
          <w:bCs/>
          <w:iCs/>
          <w:sz w:val="22"/>
          <w:szCs w:val="22"/>
          <w:lang w:val="es-ES" w:eastAsia="es-ES"/>
        </w:rPr>
        <w:t>El 30 de octubre de 2015, el Consejo General del Instituto Nacional Electoral aprobó la demarcación territorial de los distritos electorales en que se dividen las entidades federativas de Puebla y Quintana Roo, mediante los acuerdos INE/</w:t>
      </w:r>
      <w:proofErr w:type="spellStart"/>
      <w:r w:rsidRPr="00695BA8">
        <w:rPr>
          <w:rFonts w:ascii="Century Gothic" w:hAnsi="Century Gothic" w:cs="Arial"/>
          <w:bCs/>
          <w:iCs/>
          <w:sz w:val="22"/>
          <w:szCs w:val="22"/>
          <w:lang w:val="es-ES" w:eastAsia="es-ES"/>
        </w:rPr>
        <w:t>CG925</w:t>
      </w:r>
      <w:proofErr w:type="spellEnd"/>
      <w:r w:rsidRPr="00695BA8">
        <w:rPr>
          <w:rFonts w:ascii="Century Gothic" w:hAnsi="Century Gothic" w:cs="Arial"/>
          <w:bCs/>
          <w:iCs/>
          <w:sz w:val="22"/>
          <w:szCs w:val="22"/>
          <w:lang w:val="es-ES" w:eastAsia="es-ES"/>
        </w:rPr>
        <w:t>/2015 e INE/</w:t>
      </w:r>
      <w:proofErr w:type="spellStart"/>
      <w:r w:rsidRPr="00695BA8">
        <w:rPr>
          <w:rFonts w:ascii="Century Gothic" w:hAnsi="Century Gothic" w:cs="Arial"/>
          <w:bCs/>
          <w:iCs/>
          <w:sz w:val="22"/>
          <w:szCs w:val="22"/>
          <w:lang w:val="es-ES" w:eastAsia="es-ES"/>
        </w:rPr>
        <w:t>CG926</w:t>
      </w:r>
      <w:proofErr w:type="spellEnd"/>
      <w:r w:rsidRPr="00695BA8">
        <w:rPr>
          <w:rFonts w:ascii="Century Gothic" w:hAnsi="Century Gothic" w:cs="Arial"/>
          <w:bCs/>
          <w:iCs/>
          <w:sz w:val="22"/>
          <w:szCs w:val="22"/>
          <w:lang w:val="es-ES" w:eastAsia="es-ES"/>
        </w:rPr>
        <w:t>/2015.</w:t>
      </w:r>
    </w:p>
    <w:p w14:paraId="347784F0" w14:textId="77777777" w:rsidR="00695BA8" w:rsidRDefault="00695BA8" w:rsidP="00695BA8">
      <w:pPr>
        <w:spacing w:after="200" w:line="312" w:lineRule="auto"/>
        <w:jc w:val="both"/>
        <w:rPr>
          <w:rFonts w:ascii="Century Gothic" w:hAnsi="Century Gothic" w:cs="Arial"/>
          <w:bCs/>
          <w:iCs/>
          <w:sz w:val="22"/>
          <w:szCs w:val="22"/>
          <w:lang w:val="es-ES" w:eastAsia="es-ES"/>
        </w:rPr>
      </w:pPr>
      <w:r w:rsidRPr="00695BA8">
        <w:rPr>
          <w:rFonts w:ascii="Century Gothic" w:hAnsi="Century Gothic" w:cs="Arial"/>
          <w:bCs/>
          <w:iCs/>
          <w:sz w:val="22"/>
          <w:szCs w:val="22"/>
          <w:lang w:val="es-ES" w:eastAsia="es-ES"/>
        </w:rPr>
        <w:t>El 26 de noviembre de 2015, el Consejo General del Instituto Nacional Electoral aprobó la demarcación territorial de los distritos electorales en que se dividen las entidades federativas de Coahuila y Nayarit, mediante los acuerdos INE/</w:t>
      </w:r>
      <w:proofErr w:type="spellStart"/>
      <w:r w:rsidRPr="00695BA8">
        <w:rPr>
          <w:rFonts w:ascii="Century Gothic" w:hAnsi="Century Gothic" w:cs="Arial"/>
          <w:bCs/>
          <w:iCs/>
          <w:sz w:val="22"/>
          <w:szCs w:val="22"/>
          <w:lang w:val="es-ES" w:eastAsia="es-ES"/>
        </w:rPr>
        <w:t>CG990</w:t>
      </w:r>
      <w:proofErr w:type="spellEnd"/>
      <w:r w:rsidRPr="00695BA8">
        <w:rPr>
          <w:rFonts w:ascii="Century Gothic" w:hAnsi="Century Gothic" w:cs="Arial"/>
          <w:bCs/>
          <w:iCs/>
          <w:sz w:val="22"/>
          <w:szCs w:val="22"/>
          <w:lang w:val="es-ES" w:eastAsia="es-ES"/>
        </w:rPr>
        <w:t>/2015 e INE/</w:t>
      </w:r>
      <w:proofErr w:type="spellStart"/>
      <w:r w:rsidRPr="00695BA8">
        <w:rPr>
          <w:rFonts w:ascii="Century Gothic" w:hAnsi="Century Gothic" w:cs="Arial"/>
          <w:bCs/>
          <w:iCs/>
          <w:sz w:val="22"/>
          <w:szCs w:val="22"/>
          <w:lang w:val="es-ES" w:eastAsia="es-ES"/>
        </w:rPr>
        <w:t>CG989</w:t>
      </w:r>
      <w:proofErr w:type="spellEnd"/>
      <w:r w:rsidRPr="00695BA8">
        <w:rPr>
          <w:rFonts w:ascii="Century Gothic" w:hAnsi="Century Gothic" w:cs="Arial"/>
          <w:bCs/>
          <w:iCs/>
          <w:sz w:val="22"/>
          <w:szCs w:val="22"/>
          <w:lang w:val="es-ES" w:eastAsia="es-ES"/>
        </w:rPr>
        <w:t>/2015.</w:t>
      </w:r>
    </w:p>
    <w:p w14:paraId="0214A967" w14:textId="6DB39467" w:rsidR="00695BA8" w:rsidRPr="00695BA8" w:rsidRDefault="00695BA8" w:rsidP="00695BA8">
      <w:pPr>
        <w:spacing w:after="200" w:line="312" w:lineRule="auto"/>
        <w:jc w:val="both"/>
        <w:rPr>
          <w:rFonts w:ascii="Century Gothic" w:hAnsi="Century Gothic" w:cs="Arial"/>
          <w:bCs/>
          <w:iCs/>
          <w:sz w:val="22"/>
          <w:szCs w:val="22"/>
          <w:lang w:val="es-ES" w:eastAsia="es-ES"/>
        </w:rPr>
      </w:pPr>
      <w:r>
        <w:rPr>
          <w:rFonts w:ascii="Century Gothic" w:hAnsi="Century Gothic" w:cs="Arial"/>
          <w:bCs/>
          <w:iCs/>
          <w:sz w:val="22"/>
          <w:szCs w:val="22"/>
          <w:lang w:val="es-ES" w:eastAsia="es-ES"/>
        </w:rPr>
        <w:t xml:space="preserve">Un resultado relevante de estas </w:t>
      </w:r>
      <w:proofErr w:type="spellStart"/>
      <w:r>
        <w:rPr>
          <w:rFonts w:ascii="Century Gothic" w:hAnsi="Century Gothic" w:cs="Arial"/>
          <w:bCs/>
          <w:iCs/>
          <w:sz w:val="22"/>
          <w:szCs w:val="22"/>
          <w:lang w:val="es-ES" w:eastAsia="es-ES"/>
        </w:rPr>
        <w:t>distritaciones</w:t>
      </w:r>
      <w:proofErr w:type="spellEnd"/>
      <w:r>
        <w:rPr>
          <w:rFonts w:ascii="Century Gothic" w:hAnsi="Century Gothic" w:cs="Arial"/>
          <w:bCs/>
          <w:iCs/>
          <w:sz w:val="22"/>
          <w:szCs w:val="22"/>
          <w:lang w:val="es-ES" w:eastAsia="es-ES"/>
        </w:rPr>
        <w:t xml:space="preserve"> es que el total de los distritos quedaron equilibrados en cuanto a su población.</w:t>
      </w:r>
    </w:p>
    <w:p w14:paraId="3DB77A0F" w14:textId="1E07C2E7" w:rsidR="00695BA8" w:rsidRDefault="00695BA8">
      <w:pPr>
        <w:rPr>
          <w:rFonts w:ascii="Century Gothic" w:hAnsi="Century Gothic" w:cs="Arial"/>
          <w:b/>
        </w:rPr>
      </w:pPr>
      <w:r>
        <w:rPr>
          <w:rFonts w:ascii="Century Gothic" w:hAnsi="Century Gothic" w:cs="Arial"/>
          <w:b/>
        </w:rPr>
        <w:br w:type="page"/>
      </w:r>
    </w:p>
    <w:p w14:paraId="2ACCC7B9" w14:textId="77777777" w:rsidR="002109AF" w:rsidRDefault="002109AF" w:rsidP="00A36F61">
      <w:pPr>
        <w:spacing w:after="200" w:line="312" w:lineRule="auto"/>
        <w:rPr>
          <w:rFonts w:ascii="Century Gothic" w:hAnsi="Century Gothic" w:cs="Arial"/>
          <w:b/>
        </w:rPr>
      </w:pPr>
    </w:p>
    <w:p w14:paraId="42D27242" w14:textId="77777777" w:rsidR="00F20707" w:rsidRPr="00A36F61" w:rsidRDefault="005059D3" w:rsidP="00A36F61">
      <w:pPr>
        <w:pStyle w:val="Prrafodelista"/>
        <w:numPr>
          <w:ilvl w:val="0"/>
          <w:numId w:val="14"/>
        </w:numPr>
        <w:spacing w:line="312" w:lineRule="auto"/>
        <w:ind w:left="284"/>
        <w:jc w:val="both"/>
        <w:rPr>
          <w:rFonts w:ascii="Century Gothic" w:hAnsi="Century Gothic" w:cs="Arial"/>
          <w:b/>
          <w:color w:val="FFFFFF" w:themeColor="background1"/>
          <w:sz w:val="28"/>
          <w:szCs w:val="28"/>
        </w:rPr>
      </w:pPr>
      <w:r>
        <w:rPr>
          <w:noProof/>
          <w:sz w:val="22"/>
          <w:szCs w:val="22"/>
        </w:rPr>
        <mc:AlternateContent>
          <mc:Choice Requires="wps">
            <w:drawing>
              <wp:anchor distT="0" distB="0" distL="114300" distR="114300" simplePos="0" relativeHeight="251665408" behindDoc="1" locked="0" layoutInCell="1" allowOverlap="1" wp14:anchorId="749CF9B7" wp14:editId="4524CC41">
                <wp:simplePos x="0" y="0"/>
                <wp:positionH relativeFrom="column">
                  <wp:posOffset>-1082675</wp:posOffset>
                </wp:positionH>
                <wp:positionV relativeFrom="paragraph">
                  <wp:posOffset>-34290</wp:posOffset>
                </wp:positionV>
                <wp:extent cx="3430270" cy="344805"/>
                <wp:effectExtent l="38100" t="57150" r="55880" b="55245"/>
                <wp:wrapNone/>
                <wp:docPr id="4" name="Redondear rectángulo de esquina diagonal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30270" cy="344805"/>
                        </a:xfrm>
                        <a:prstGeom prst="round2DiagRect">
                          <a:avLst>
                            <a:gd name="adj1" fmla="val 0"/>
                            <a:gd name="adj2" fmla="val 0"/>
                          </a:avLst>
                        </a:prstGeom>
                        <a:solidFill>
                          <a:srgbClr val="641345"/>
                        </a:solidFill>
                        <a:ln w="15875" cap="flat" cmpd="sng" algn="ctr">
                          <a:noFill/>
                          <a:prstDash val="solid"/>
                          <a:miter/>
                        </a:ln>
                        <a:effectLst>
                          <a:innerShdw blurRad="127000">
                            <a:srgbClr val="FFFFFF">
                              <a:alpha val="35000"/>
                            </a:srgbClr>
                          </a:innerShdw>
                        </a:effectLst>
                        <a:scene3d>
                          <a:camera prst="orthographicFront">
                            <a:rot lat="0" lon="0" rev="0"/>
                          </a:camera>
                          <a:lightRig rig="chilly" dir="tl">
                            <a:rot lat="0" lon="0" rev="5400000"/>
                          </a:lightRig>
                        </a:scene3d>
                        <a:sp3d prstMaterial="softEdge">
                          <a:bevelT w="0" h="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07D8522A" id="Redondear rectángulo de esquina diagonal 29" o:spid="_x0000_s1026" style="position:absolute;margin-left:-85.25pt;margin-top:-2.7pt;width:270.1pt;height:27.1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coordsize="3430270,344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" path="m,l3430270,r,l3430270,344805r,l,344805r,l,,,xe" fillcolor="#641345" stroked="f" strokeweight="1.25pt">
                <v:stroke joinstyle="miter"/>
                <v:path arrowok="t" o:connecttype="custom" o:connectlocs="0,0;3430270,0;3430270,0;3430270,344805;3430270,344805;0,344805;0,344805;0,0;0,0" o:connectangles="0,0,0,0,0,0,0,0,0"/>
              </v:shape>
            </w:pict>
          </mc:Fallback>
        </mc:AlternateContent>
      </w:r>
      <w:r w:rsidR="007805EB" w:rsidRPr="00A36F61">
        <w:rPr>
          <w:rFonts w:ascii="Century Gothic" w:hAnsi="Century Gothic" w:cs="Arial"/>
          <w:b/>
          <w:color w:val="FFFFFF" w:themeColor="background1"/>
          <w:sz w:val="28"/>
          <w:szCs w:val="28"/>
        </w:rPr>
        <w:t>Marco Jurídico</w:t>
      </w:r>
    </w:p>
    <w:p w14:paraId="1E761B88" w14:textId="77777777" w:rsidR="00D97B19" w:rsidRDefault="00D97B19" w:rsidP="00A36F61">
      <w:pPr>
        <w:pStyle w:val="Textoindependiente"/>
        <w:spacing w:after="200" w:line="312" w:lineRule="auto"/>
        <w:rPr>
          <w:rFonts w:ascii="Century Gothic" w:eastAsiaTheme="minorEastAsia" w:hAnsi="Century Gothic" w:cs="Arial"/>
          <w:sz w:val="22"/>
          <w:szCs w:val="22"/>
        </w:rPr>
      </w:pPr>
    </w:p>
    <w:p w14:paraId="774145E1" w14:textId="77777777" w:rsidR="00617A96" w:rsidRPr="00617A96" w:rsidRDefault="00617A96" w:rsidP="00617A96">
      <w:pPr>
        <w:spacing w:after="200"/>
        <w:jc w:val="both"/>
        <w:rPr>
          <w:rFonts w:ascii="Century Gothic" w:hAnsi="Century Gothic"/>
          <w:sz w:val="22"/>
          <w:szCs w:val="22"/>
        </w:rPr>
      </w:pPr>
      <w:r w:rsidRPr="00617A96">
        <w:rPr>
          <w:rFonts w:ascii="Century Gothic" w:hAnsi="Century Gothic"/>
          <w:sz w:val="22"/>
          <w:szCs w:val="22"/>
        </w:rPr>
        <w:t xml:space="preserve">El artículo 1, párrafo segundo de la Constitución Política de los Estados Unidos Mexicanos, mandata que las normas relativas a los derechos humanos se interpretarán de conformidad con la propia Constitución y con los tratados internacionales de la materia, favoreciendo en todo tiempo a las personas la protección más amplia. </w:t>
      </w:r>
    </w:p>
    <w:p w14:paraId="1E22B144" w14:textId="77777777" w:rsidR="00617A96" w:rsidRPr="00617A96" w:rsidRDefault="00617A96" w:rsidP="00617A96">
      <w:pPr>
        <w:spacing w:after="200"/>
        <w:jc w:val="both"/>
        <w:rPr>
          <w:rFonts w:ascii="Century Gothic" w:hAnsi="Century Gothic"/>
          <w:sz w:val="22"/>
          <w:szCs w:val="22"/>
        </w:rPr>
      </w:pPr>
      <w:r w:rsidRPr="00617A96">
        <w:rPr>
          <w:rFonts w:ascii="Century Gothic" w:hAnsi="Century Gothic"/>
          <w:sz w:val="22"/>
          <w:szCs w:val="22"/>
        </w:rPr>
        <w:t>A su vez, la citada disposición constitucional determina en el párrafo tercero, que todas las autoridades, en el ámbito de sus competencias, tienen la obligación de promover, respetar, proteger y garantizar los derechos humanos de conformidad con los principios de universalidad, interdependencia, indivisibilidad y progresividad. En consecuencia, el estado deberá prevenir, investigar, sancionar y reparar las violaciones a los derechos humanos, en los términos que establezca la ley.</w:t>
      </w:r>
    </w:p>
    <w:p w14:paraId="33F7402A" w14:textId="77777777" w:rsidR="00617A96" w:rsidRPr="00617A96" w:rsidRDefault="00617A96" w:rsidP="00617A96">
      <w:pPr>
        <w:spacing w:after="200"/>
        <w:jc w:val="both"/>
        <w:rPr>
          <w:rFonts w:ascii="Century Gothic" w:hAnsi="Century Gothic"/>
          <w:sz w:val="22"/>
          <w:szCs w:val="22"/>
        </w:rPr>
      </w:pPr>
      <w:r w:rsidRPr="00617A96">
        <w:rPr>
          <w:rFonts w:ascii="Century Gothic" w:hAnsi="Century Gothic"/>
          <w:sz w:val="22"/>
          <w:szCs w:val="22"/>
        </w:rPr>
        <w:t>En ese contexto, el artículo 2, párrafos del 1 y 2 de la Constitución Federal, señala que la Nación tiene una composición pluricultural sustentada originalmente en sus pueblos indígenas que son aquellos que descienden de poblaciones que habitaban en el territorio actual del país al iniciarse la colonización y que conservan sus propias instituciones sociales, económicas, culturales y políticas, o parte de ellas. La conciencia de su identidad indígena deberá ser criterio fundamental para determinar a quiénes se aplican las disposiciones sobre pueblos indígenas.</w:t>
      </w:r>
    </w:p>
    <w:p w14:paraId="2F656985" w14:textId="77777777" w:rsidR="00617A96" w:rsidRPr="00617A96" w:rsidRDefault="00617A96" w:rsidP="00617A96">
      <w:pPr>
        <w:spacing w:after="200"/>
        <w:jc w:val="both"/>
        <w:rPr>
          <w:rFonts w:ascii="Century Gothic" w:hAnsi="Century Gothic"/>
          <w:sz w:val="22"/>
          <w:szCs w:val="22"/>
        </w:rPr>
      </w:pPr>
      <w:r w:rsidRPr="00617A96">
        <w:rPr>
          <w:rFonts w:ascii="Century Gothic" w:hAnsi="Century Gothic"/>
          <w:sz w:val="22"/>
          <w:szCs w:val="22"/>
        </w:rPr>
        <w:t xml:space="preserve">Asimismo, los párrafos 3 y 4 de la disposición constitucional en comento, señala que son comunidades integrantes de un pueblo indígena, aquellas que formen una unidad social, económica y cultural, asentadas en un territorio y que reconocen autoridades propias de acuerdo con sus usos y costumbres. El derecho de los pueblos indígenas a la libre determinación se ejercerá en un marco constitucional de autonomía que asegure la unidad nacional. El reconocimiento de los pueblos y comunidades indígenas se hará en las constituciones y leyes de las entidades federativas, las que deberán tomar en cuenta, además de los principios generales establecidos en los párrafos anteriores de este artículo, criterios </w:t>
      </w:r>
      <w:proofErr w:type="spellStart"/>
      <w:r w:rsidRPr="00617A96">
        <w:rPr>
          <w:rFonts w:ascii="Century Gothic" w:hAnsi="Century Gothic"/>
          <w:sz w:val="22"/>
          <w:szCs w:val="22"/>
        </w:rPr>
        <w:t>etnolingüísticos</w:t>
      </w:r>
      <w:proofErr w:type="spellEnd"/>
      <w:r w:rsidRPr="00617A96">
        <w:rPr>
          <w:rFonts w:ascii="Century Gothic" w:hAnsi="Century Gothic"/>
          <w:sz w:val="22"/>
          <w:szCs w:val="22"/>
        </w:rPr>
        <w:t xml:space="preserve"> y de asentamiento físico.</w:t>
      </w:r>
    </w:p>
    <w:p w14:paraId="608DDA1F" w14:textId="77777777" w:rsidR="00617A96" w:rsidRPr="00617A96" w:rsidRDefault="00617A96" w:rsidP="00617A96">
      <w:pPr>
        <w:spacing w:after="200"/>
        <w:jc w:val="both"/>
        <w:rPr>
          <w:rFonts w:ascii="Century Gothic" w:hAnsi="Century Gothic"/>
          <w:sz w:val="22"/>
          <w:szCs w:val="22"/>
        </w:rPr>
      </w:pPr>
      <w:r w:rsidRPr="00617A96">
        <w:rPr>
          <w:rFonts w:ascii="Century Gothic" w:hAnsi="Century Gothic"/>
          <w:sz w:val="22"/>
          <w:szCs w:val="22"/>
        </w:rPr>
        <w:t xml:space="preserve">De igual forma, el Apartado B, párrafos primero y segundo, fracción IX, párrafo primero del artículo 2 de la carta magna, refiere que la federación, los estados y los municipios, para promover la igualdad de oportunidades de los indígenas y eliminar cualquier práctica discriminatoria, establecerán las instituciones y determinarán las políticas necesarias para garantizar la vigencia de los derechos de los indígenas y el desarrollo integral de sus pueblos y comunidades, las cuales deberán ser </w:t>
      </w:r>
      <w:r w:rsidRPr="00617A96">
        <w:rPr>
          <w:rFonts w:ascii="Century Gothic" w:hAnsi="Century Gothic"/>
          <w:sz w:val="22"/>
          <w:szCs w:val="22"/>
        </w:rPr>
        <w:lastRenderedPageBreak/>
        <w:t>diseñadas y operadas conjuntamente con ellos. Para abatir las carencias y rezagos que afectan a los pueblos y comunidades indígenas, dichas autoridades tienen la obligación de consultar a los pueblos indígenas en la elaboración del Plan Nacional de Desarrollo, de existir recomendaciones y propuestas de éstos, en su caso, serán incorporadas.</w:t>
      </w:r>
    </w:p>
    <w:p w14:paraId="3CF5CA0D" w14:textId="77777777" w:rsidR="00617A96" w:rsidRPr="00617A96" w:rsidRDefault="00617A96" w:rsidP="00617A96">
      <w:pPr>
        <w:spacing w:after="200"/>
        <w:jc w:val="both"/>
        <w:rPr>
          <w:rFonts w:ascii="Century Gothic" w:hAnsi="Century Gothic"/>
          <w:sz w:val="22"/>
          <w:szCs w:val="22"/>
        </w:rPr>
      </w:pPr>
      <w:r w:rsidRPr="00617A96">
        <w:rPr>
          <w:rFonts w:ascii="Century Gothic" w:hAnsi="Century Gothic"/>
          <w:sz w:val="22"/>
          <w:szCs w:val="22"/>
        </w:rPr>
        <w:t xml:space="preserve">El artículo 41, Base V, Apartado A, párrafo primero de la ley suprema, en relación con los artículos 29; 30, numeral 2 y 31, numeral 1 de la Ley General de Instituciones y Procedimientos Electorales, prevén que el Instituto Nacional Electoral es un organismo público autónomo dotado de personalidad jurídica y patrimonio propios, en cuya integración participan el Poder Legislativo de la Unión, los Partidos Políticos Nacionales y los ciudadanos, en los términos que ordene la ley. En el ejercicio de esta función estatal, la certeza, legalidad, independencia, imparcialidad, máxima publicidad y objetividad serán principios rectores. </w:t>
      </w:r>
    </w:p>
    <w:p w14:paraId="3C55390D" w14:textId="77777777" w:rsidR="00617A96" w:rsidRPr="00617A96" w:rsidRDefault="00617A96" w:rsidP="00617A96">
      <w:pPr>
        <w:spacing w:after="200"/>
        <w:jc w:val="both"/>
        <w:rPr>
          <w:rFonts w:ascii="Century Gothic" w:hAnsi="Century Gothic"/>
          <w:sz w:val="22"/>
          <w:szCs w:val="22"/>
        </w:rPr>
      </w:pPr>
      <w:r w:rsidRPr="00617A96">
        <w:rPr>
          <w:rFonts w:ascii="Century Gothic" w:hAnsi="Century Gothic"/>
          <w:sz w:val="22"/>
          <w:szCs w:val="22"/>
        </w:rPr>
        <w:t xml:space="preserve">Así, el artículo 41, Base V, Apartado B, inciso a), numeral 2 de la constitución federal, en relación con el diverso artículo 32, numeral 1, inciso a), fracción II, de la ley general electoral, señala que para los Procesos Electorales Federales y Locales, corresponde al Instituto Nacional Electoral definir la geografía electoral, que incluirá el diseño y determinación de los distritos electorales y su división en secciones electorales, así como la delimitación de las circunscripciones plurinominales y el establecimiento de cabeceras. </w:t>
      </w:r>
    </w:p>
    <w:p w14:paraId="2C7A89E1" w14:textId="77777777" w:rsidR="00617A96" w:rsidRPr="00617A96" w:rsidRDefault="00617A96" w:rsidP="00617A96">
      <w:pPr>
        <w:spacing w:after="200"/>
        <w:jc w:val="both"/>
        <w:rPr>
          <w:rFonts w:ascii="Century Gothic" w:hAnsi="Century Gothic"/>
          <w:sz w:val="22"/>
          <w:szCs w:val="22"/>
        </w:rPr>
      </w:pPr>
      <w:r w:rsidRPr="00617A96">
        <w:rPr>
          <w:rFonts w:ascii="Century Gothic" w:hAnsi="Century Gothic"/>
          <w:sz w:val="22"/>
          <w:szCs w:val="22"/>
        </w:rPr>
        <w:t xml:space="preserve">De acuerdo a lo previsto en el artículo 53, párrafo primero de la carta magna, la demarcación territorial de los 300 distritos electorales uninominales, será la que resulte de dividir la población total del país entre los distritos señalados. La distribución de éstos entre las entidades federativas se hará teniendo en cuenta el último censo general de población, sin que en ningún caso la representación de un estado pueda ser menor de dos diputados de mayoría. </w:t>
      </w:r>
    </w:p>
    <w:p w14:paraId="740854A0" w14:textId="77777777" w:rsidR="00617A96" w:rsidRPr="00617A96" w:rsidRDefault="00617A96" w:rsidP="00617A96">
      <w:pPr>
        <w:spacing w:after="200"/>
        <w:jc w:val="both"/>
        <w:rPr>
          <w:rFonts w:ascii="Century Gothic" w:hAnsi="Century Gothic"/>
          <w:sz w:val="22"/>
          <w:szCs w:val="22"/>
        </w:rPr>
      </w:pPr>
      <w:r w:rsidRPr="00617A96">
        <w:rPr>
          <w:rFonts w:ascii="Century Gothic" w:hAnsi="Century Gothic"/>
          <w:sz w:val="22"/>
          <w:szCs w:val="22"/>
        </w:rPr>
        <w:t xml:space="preserve">El artículo 116, fracción II, párrafo tercero de la constitución federal, dispone que las legislaturas de los estados se integrarán con diputados electos, según los principios de mayoría relativa y representación proporcional, en los términos que señalen sus leyes. </w:t>
      </w:r>
    </w:p>
    <w:p w14:paraId="7EA380CC" w14:textId="77777777" w:rsidR="00617A96" w:rsidRPr="00617A96" w:rsidRDefault="00617A96" w:rsidP="00617A96">
      <w:pPr>
        <w:spacing w:after="200"/>
        <w:jc w:val="both"/>
        <w:rPr>
          <w:rFonts w:ascii="Century Gothic" w:hAnsi="Century Gothic"/>
          <w:sz w:val="22"/>
          <w:szCs w:val="22"/>
        </w:rPr>
      </w:pPr>
      <w:r w:rsidRPr="00617A96">
        <w:rPr>
          <w:rFonts w:ascii="Century Gothic" w:hAnsi="Century Gothic"/>
          <w:sz w:val="22"/>
          <w:szCs w:val="22"/>
        </w:rPr>
        <w:t>Ahora bien, el artículo Tercero Transitorio del Decreto por el que, entre otras cosas, se adiciona un segundo y tercer párrafo al artículo 1 y se reforma el artículo 2 de la Constitución Política de los Estados Unidos Mexicanos, señala que para establecer la demarcación territorial de los distritos electorales uninominales deberá tomarse en consideración, cuando sea factible, la ubicación de los pueblos y comunidades indígenas, a fin de propiciar su participación política.</w:t>
      </w:r>
    </w:p>
    <w:p w14:paraId="619109EB" w14:textId="77777777" w:rsidR="00617A96" w:rsidRPr="00617A96" w:rsidRDefault="00617A96" w:rsidP="00617A96">
      <w:pPr>
        <w:spacing w:after="200"/>
        <w:jc w:val="both"/>
        <w:rPr>
          <w:rFonts w:ascii="Century Gothic" w:hAnsi="Century Gothic"/>
          <w:sz w:val="22"/>
          <w:szCs w:val="22"/>
        </w:rPr>
      </w:pPr>
      <w:r w:rsidRPr="00617A96">
        <w:rPr>
          <w:rFonts w:ascii="Century Gothic" w:hAnsi="Century Gothic"/>
          <w:sz w:val="22"/>
          <w:szCs w:val="22"/>
        </w:rPr>
        <w:t xml:space="preserve">Por otra parte, el artículo 1, numeral 2 de la Ley General de Instituciones y Procedimientos Electorales, prevé que las disposiciones de dicha ley son aplicables a las elecciones en el ámbito federal y en el ámbito local respecto de las materias que establece la constitución federal. </w:t>
      </w:r>
    </w:p>
    <w:p w14:paraId="1436674C" w14:textId="77777777" w:rsidR="00617A96" w:rsidRPr="00617A96" w:rsidRDefault="00617A96" w:rsidP="00617A96">
      <w:pPr>
        <w:spacing w:after="200"/>
        <w:jc w:val="both"/>
        <w:rPr>
          <w:rFonts w:ascii="Century Gothic" w:hAnsi="Century Gothic"/>
          <w:sz w:val="22"/>
          <w:szCs w:val="22"/>
        </w:rPr>
      </w:pPr>
      <w:r w:rsidRPr="00617A96">
        <w:rPr>
          <w:rFonts w:ascii="Century Gothic" w:hAnsi="Century Gothic"/>
          <w:sz w:val="22"/>
          <w:szCs w:val="22"/>
        </w:rPr>
        <w:lastRenderedPageBreak/>
        <w:t xml:space="preserve">El artículo 5, numeral 1 del ordenamiento en comento, prevé que la aplicación de dicha ley corresponde, en sus respectivos ámbitos de competencia, al Instituto Nacional Electoral, al Tribunal Electoral del Poder Judicial de la Federación, a los Organismos Públicos Locales y a las autoridades jurisdiccionales locales en la materia, a la Cámara de Diputados y a la Cámara de Senadores del Congreso de la Unión. </w:t>
      </w:r>
    </w:p>
    <w:p w14:paraId="062589CE" w14:textId="77777777" w:rsidR="00617A96" w:rsidRPr="00617A96" w:rsidRDefault="00617A96" w:rsidP="00617A96">
      <w:pPr>
        <w:spacing w:after="200"/>
        <w:jc w:val="both"/>
        <w:rPr>
          <w:rFonts w:ascii="Century Gothic" w:hAnsi="Century Gothic"/>
          <w:sz w:val="22"/>
          <w:szCs w:val="22"/>
        </w:rPr>
      </w:pPr>
      <w:r w:rsidRPr="00617A96">
        <w:rPr>
          <w:rFonts w:ascii="Century Gothic" w:hAnsi="Century Gothic"/>
          <w:sz w:val="22"/>
          <w:szCs w:val="22"/>
        </w:rPr>
        <w:t xml:space="preserve">El artículo 44, numeral 1, inciso l) de la ley general electoral, señala que este Consejo General tiene, entre otras atribuciones, la de dictar los Lineamientos relativos al Registro Federal de Electores, ordenar a la Junta General Ejecutiva hacer los estudios y formular los proyectos para la división del territorio de la República en 300 distritos electorales uninominales y su cabecera, su división en secciones electorales, para determinar el ámbito territorial de las cinco circunscripciones electorales plurinominales y la capital de la entidad federativa que será cabecera de cada una de ellas; así como la división territorial de los Distritos en el ámbito local y, en su caso, aprobarlos. </w:t>
      </w:r>
    </w:p>
    <w:p w14:paraId="69246A57" w14:textId="77777777" w:rsidR="00617A96" w:rsidRPr="00617A96" w:rsidRDefault="00617A96" w:rsidP="00617A96">
      <w:pPr>
        <w:spacing w:after="200"/>
        <w:jc w:val="both"/>
        <w:rPr>
          <w:rFonts w:ascii="Century Gothic" w:hAnsi="Century Gothic"/>
          <w:sz w:val="22"/>
          <w:szCs w:val="22"/>
        </w:rPr>
      </w:pPr>
      <w:r w:rsidRPr="00617A96">
        <w:rPr>
          <w:rFonts w:ascii="Century Gothic" w:hAnsi="Century Gothic"/>
          <w:sz w:val="22"/>
          <w:szCs w:val="22"/>
        </w:rPr>
        <w:t xml:space="preserve">Por su parte, el artículo 54, numeral 1, inciso h) de la ley referida, dispone que es atribución de la Dirección Ejecutiva del Registro Federal de Electores, mantener actualizada la cartografía electoral del país, clasificada por Entidad, Distrito Electoral Federal, Distrito Electoral Local, Municipio y Sección Electoral. </w:t>
      </w:r>
    </w:p>
    <w:p w14:paraId="351088E3" w14:textId="77777777" w:rsidR="00617A96" w:rsidRPr="00617A96" w:rsidRDefault="00617A96" w:rsidP="00617A96">
      <w:pPr>
        <w:spacing w:after="200"/>
        <w:jc w:val="both"/>
        <w:rPr>
          <w:rFonts w:ascii="Century Gothic" w:hAnsi="Century Gothic"/>
          <w:sz w:val="22"/>
          <w:szCs w:val="22"/>
        </w:rPr>
      </w:pPr>
      <w:r w:rsidRPr="00617A96">
        <w:rPr>
          <w:rFonts w:ascii="Century Gothic" w:hAnsi="Century Gothic"/>
          <w:sz w:val="22"/>
          <w:szCs w:val="22"/>
        </w:rPr>
        <w:t>En términos del artículo 147, numerales 2, 3 y 4 de la ley en la materia, la sección electoral es la fracción territorial de los distritos electorales uninominales para la inscripción de los ciudadanos en el Padrón Electoral y en las listas nominales de electores. Cada sección tendrá como mínimo 100 electores y como máximo 3,000. El fraccionamiento en secciones electorales estará sujeto a la revisión de la división del territorio nacional en Distritos Electorales, en los términos del artículo 53 de la constitución federal.</w:t>
      </w:r>
    </w:p>
    <w:p w14:paraId="56603AEA" w14:textId="77777777" w:rsidR="00617A96" w:rsidRPr="00617A96" w:rsidRDefault="00617A96" w:rsidP="00617A96">
      <w:pPr>
        <w:spacing w:after="200"/>
        <w:jc w:val="both"/>
        <w:rPr>
          <w:rFonts w:ascii="Century Gothic" w:hAnsi="Century Gothic"/>
          <w:sz w:val="22"/>
          <w:szCs w:val="22"/>
        </w:rPr>
      </w:pPr>
      <w:r w:rsidRPr="00617A96">
        <w:rPr>
          <w:rFonts w:ascii="Century Gothic" w:hAnsi="Century Gothic"/>
          <w:sz w:val="22"/>
          <w:szCs w:val="22"/>
        </w:rPr>
        <w:t xml:space="preserve">Así, el artículo 158, numeral 2 de la Ley General de Instituciones y Procedimientos Electorales, señala que la Comisión Nacional de Vigilancia conocerá y podrá emitir opiniones respecto de los trabajos que la Dirección Ejecutiva del Registro Federal de Electores realice en materia de demarcación territorial. </w:t>
      </w:r>
    </w:p>
    <w:p w14:paraId="44C103AA" w14:textId="77777777" w:rsidR="00617A96" w:rsidRPr="00617A96" w:rsidRDefault="00617A96" w:rsidP="00617A96">
      <w:pPr>
        <w:spacing w:after="200"/>
        <w:jc w:val="both"/>
        <w:rPr>
          <w:rFonts w:ascii="Century Gothic" w:hAnsi="Century Gothic"/>
          <w:sz w:val="22"/>
          <w:szCs w:val="22"/>
        </w:rPr>
      </w:pPr>
      <w:r w:rsidRPr="00617A96">
        <w:rPr>
          <w:rFonts w:ascii="Century Gothic" w:hAnsi="Century Gothic"/>
          <w:sz w:val="22"/>
          <w:szCs w:val="22"/>
        </w:rPr>
        <w:t xml:space="preserve">Tal como lo disponen los numerales 1 y 2 del artículo 214 de la citada ley, la demarcación de los distritos electorales federales y locales será realizada por este Instituto con base en el último censo general de población y los criterios generales determinados por el Consejo General; además, ordenará a la Junta General Ejecutiva realizar los estudios conducentes y aprobará los criterios generales. La </w:t>
      </w:r>
      <w:proofErr w:type="spellStart"/>
      <w:r w:rsidRPr="00617A96">
        <w:rPr>
          <w:rFonts w:ascii="Century Gothic" w:hAnsi="Century Gothic"/>
          <w:sz w:val="22"/>
          <w:szCs w:val="22"/>
        </w:rPr>
        <w:t>distritación</w:t>
      </w:r>
      <w:proofErr w:type="spellEnd"/>
      <w:r w:rsidRPr="00617A96">
        <w:rPr>
          <w:rFonts w:ascii="Century Gothic" w:hAnsi="Century Gothic"/>
          <w:sz w:val="22"/>
          <w:szCs w:val="22"/>
        </w:rPr>
        <w:t xml:space="preserve"> deberá, en su caso, aprobarse antes de que inicie el Proceso Electoral en que vaya a aplicarse. </w:t>
      </w:r>
    </w:p>
    <w:p w14:paraId="3BB676BC" w14:textId="77777777" w:rsidR="00617A96" w:rsidRPr="00617A96" w:rsidRDefault="00617A96" w:rsidP="00617A96">
      <w:pPr>
        <w:spacing w:after="200"/>
        <w:jc w:val="both"/>
        <w:rPr>
          <w:rFonts w:ascii="Century Gothic" w:hAnsi="Century Gothic"/>
          <w:sz w:val="22"/>
          <w:szCs w:val="22"/>
        </w:rPr>
      </w:pPr>
      <w:r w:rsidRPr="00617A96">
        <w:rPr>
          <w:rFonts w:ascii="Century Gothic" w:hAnsi="Century Gothic"/>
          <w:sz w:val="22"/>
          <w:szCs w:val="22"/>
        </w:rPr>
        <w:t xml:space="preserve">Asimismo, el artículo 3 de la Declaración de las Naciones Unidas sobre los Derechos de los Pueblos Indígenas, establece que los pueblos indígenas tienen derecho a la </w:t>
      </w:r>
      <w:r w:rsidRPr="00617A96">
        <w:rPr>
          <w:rFonts w:ascii="Century Gothic" w:hAnsi="Century Gothic"/>
          <w:sz w:val="22"/>
          <w:szCs w:val="22"/>
        </w:rPr>
        <w:lastRenderedPageBreak/>
        <w:t>libre determinación. En virtud de ese derecho determinan libremente su condición política y persiguen libremente su desarrollo económico, social y cultural.</w:t>
      </w:r>
    </w:p>
    <w:p w14:paraId="61F5EC4D" w14:textId="77777777" w:rsidR="00617A96" w:rsidRPr="00617A96" w:rsidRDefault="00617A96" w:rsidP="00617A96">
      <w:pPr>
        <w:spacing w:after="200"/>
        <w:jc w:val="both"/>
        <w:rPr>
          <w:rFonts w:ascii="Century Gothic" w:hAnsi="Century Gothic"/>
          <w:sz w:val="22"/>
          <w:szCs w:val="22"/>
        </w:rPr>
      </w:pPr>
      <w:r w:rsidRPr="00617A96">
        <w:rPr>
          <w:rFonts w:ascii="Century Gothic" w:hAnsi="Century Gothic"/>
          <w:sz w:val="22"/>
          <w:szCs w:val="22"/>
        </w:rPr>
        <w:t>En ese sentido, el artículo 8, numeral 2, inciso d) de la Declaración en cita, señala que los Estados deberán establecer mecanismos eficaces preventivos de toda forma de asimilación o integración forzada.</w:t>
      </w:r>
    </w:p>
    <w:p w14:paraId="3277364B" w14:textId="77777777" w:rsidR="00617A96" w:rsidRPr="00617A96" w:rsidRDefault="00617A96" w:rsidP="00617A96">
      <w:pPr>
        <w:spacing w:after="200"/>
        <w:jc w:val="both"/>
        <w:rPr>
          <w:rFonts w:ascii="Century Gothic" w:hAnsi="Century Gothic"/>
          <w:sz w:val="22"/>
          <w:szCs w:val="22"/>
        </w:rPr>
      </w:pPr>
      <w:r w:rsidRPr="00617A96">
        <w:rPr>
          <w:rFonts w:ascii="Century Gothic" w:hAnsi="Century Gothic"/>
          <w:sz w:val="22"/>
          <w:szCs w:val="22"/>
        </w:rPr>
        <w:t>Por su parte el artículo 19 de la Declaración en comento, dispone que los estados celebrarán consultas y cooperarán de buena fe con los pueblos indígenas interesados por medio de sus instituciones representativas, antes de adoptar y aplicar medidas legislativas o administrativas que los afecten, a fin de obtener su conocimiento libre, previo e informado.</w:t>
      </w:r>
    </w:p>
    <w:p w14:paraId="226A9970" w14:textId="77777777" w:rsidR="00617A96" w:rsidRPr="00617A96" w:rsidRDefault="00617A96" w:rsidP="00617A96">
      <w:pPr>
        <w:spacing w:after="200"/>
        <w:jc w:val="both"/>
        <w:rPr>
          <w:rFonts w:ascii="Century Gothic" w:hAnsi="Century Gothic"/>
          <w:sz w:val="22"/>
          <w:szCs w:val="22"/>
        </w:rPr>
      </w:pPr>
      <w:r w:rsidRPr="00617A96">
        <w:rPr>
          <w:rFonts w:ascii="Century Gothic" w:hAnsi="Century Gothic"/>
          <w:sz w:val="22"/>
          <w:szCs w:val="22"/>
        </w:rPr>
        <w:t>Por otra parte, el artículo 2, párrafo 1 del Convenio 169 de la Organización Internacional del Trabajo sobre Pueblos Indígenas y Tribales, señala que los gobiernos deberán asumir la responsabilidad de desarrollar, con la participación de los pueblos interesados, una acción coordinada y sistemática con miras a proteger los derechos de esos pueblos y a garantizar el respeto de su integridad.</w:t>
      </w:r>
    </w:p>
    <w:p w14:paraId="6E8D2E62" w14:textId="77777777" w:rsidR="00617A96" w:rsidRPr="00617A96" w:rsidRDefault="00617A96" w:rsidP="00617A96">
      <w:pPr>
        <w:spacing w:after="200"/>
        <w:jc w:val="both"/>
        <w:rPr>
          <w:rFonts w:ascii="Century Gothic" w:hAnsi="Century Gothic"/>
          <w:sz w:val="22"/>
          <w:szCs w:val="22"/>
        </w:rPr>
      </w:pPr>
      <w:r w:rsidRPr="00617A96">
        <w:rPr>
          <w:rFonts w:ascii="Century Gothic" w:hAnsi="Century Gothic"/>
          <w:sz w:val="22"/>
          <w:szCs w:val="22"/>
        </w:rPr>
        <w:t>El artículo 4 del Convenio en comento refiere que deberán adoptarse las medidas especiales que se precisen para salvaguardar las personas, las instituciones, los bienes, el trabajo, las culturas y el medio ambiente de los pueblos interesados. Tales medidas especiales no deberán ser contrarias a los deseos expresados libremente por los pueblos interesados. El goce sin discriminación de los derechos generales de la ciudadanía no deberá sufrir menoscabo alguno como consecuencia de tales medidas especiales.</w:t>
      </w:r>
    </w:p>
    <w:p w14:paraId="3939577E" w14:textId="77777777" w:rsidR="00617A96" w:rsidRPr="00617A96" w:rsidRDefault="00617A96" w:rsidP="00617A96">
      <w:pPr>
        <w:spacing w:after="200"/>
        <w:jc w:val="both"/>
        <w:rPr>
          <w:rFonts w:ascii="Century Gothic" w:hAnsi="Century Gothic"/>
          <w:sz w:val="22"/>
          <w:szCs w:val="22"/>
        </w:rPr>
      </w:pPr>
      <w:r w:rsidRPr="00617A96">
        <w:rPr>
          <w:rFonts w:ascii="Century Gothic" w:hAnsi="Century Gothic"/>
          <w:sz w:val="22"/>
          <w:szCs w:val="22"/>
        </w:rPr>
        <w:t>El artículo 6, numeral 1 del Convenio 169 de la Organización Internacional del Trabajo sobre Pueblos Indígenas y Tribales en Países Independientes, señala que al aplicar las disposiciones del presente convenio, los gobiernos deberán:</w:t>
      </w:r>
    </w:p>
    <w:p w14:paraId="67DE5A35" w14:textId="77777777" w:rsidR="00617A96" w:rsidRPr="00617A96" w:rsidRDefault="00617A96" w:rsidP="00617A96">
      <w:pPr>
        <w:pStyle w:val="Prrafodelista"/>
        <w:numPr>
          <w:ilvl w:val="0"/>
          <w:numId w:val="16"/>
        </w:numPr>
        <w:spacing w:line="240" w:lineRule="auto"/>
        <w:ind w:left="709"/>
        <w:contextualSpacing w:val="0"/>
        <w:jc w:val="both"/>
        <w:rPr>
          <w:rFonts w:ascii="Century Gothic" w:hAnsi="Century Gothic"/>
          <w:sz w:val="22"/>
          <w:szCs w:val="22"/>
        </w:rPr>
      </w:pPr>
      <w:r w:rsidRPr="00617A96">
        <w:rPr>
          <w:rFonts w:ascii="Century Gothic" w:hAnsi="Century Gothic"/>
          <w:sz w:val="22"/>
          <w:szCs w:val="22"/>
        </w:rPr>
        <w:t xml:space="preserve">Consultar a los pueblos interesados, mediante procedimientos apropiados y en particular a través de sus instituciones representativas, cada vez que se prevean medidas legislativas o administrativas susceptibles de afectarles directamente; </w:t>
      </w:r>
    </w:p>
    <w:p w14:paraId="58379080" w14:textId="77777777" w:rsidR="00617A96" w:rsidRPr="00617A96" w:rsidRDefault="00617A96" w:rsidP="00617A96">
      <w:pPr>
        <w:pStyle w:val="Prrafodelista"/>
        <w:numPr>
          <w:ilvl w:val="0"/>
          <w:numId w:val="16"/>
        </w:numPr>
        <w:spacing w:line="240" w:lineRule="auto"/>
        <w:ind w:left="709"/>
        <w:contextualSpacing w:val="0"/>
        <w:jc w:val="both"/>
        <w:rPr>
          <w:rFonts w:ascii="Century Gothic" w:hAnsi="Century Gothic"/>
          <w:sz w:val="22"/>
          <w:szCs w:val="22"/>
        </w:rPr>
      </w:pPr>
      <w:r w:rsidRPr="00617A96">
        <w:rPr>
          <w:rFonts w:ascii="Century Gothic" w:hAnsi="Century Gothic"/>
          <w:sz w:val="22"/>
          <w:szCs w:val="22"/>
        </w:rPr>
        <w:t xml:space="preserve">Establecer los medios a través de los cuales, los pueblos interesados puedan participar libremente, por lo menos en la misma medida que otros sectores de la población, y a todos los niveles en la adopción de decisiones en instituciones electivas y organismos administrativos y de otra índole responsables de políticas y programas que les conciernan, y </w:t>
      </w:r>
    </w:p>
    <w:p w14:paraId="66AF51E5" w14:textId="77777777" w:rsidR="00617A96" w:rsidRPr="00617A96" w:rsidRDefault="00617A96" w:rsidP="00617A96">
      <w:pPr>
        <w:pStyle w:val="Prrafodelista"/>
        <w:numPr>
          <w:ilvl w:val="0"/>
          <w:numId w:val="16"/>
        </w:numPr>
        <w:spacing w:line="240" w:lineRule="auto"/>
        <w:ind w:left="709"/>
        <w:contextualSpacing w:val="0"/>
        <w:jc w:val="both"/>
        <w:rPr>
          <w:rFonts w:ascii="Century Gothic" w:hAnsi="Century Gothic"/>
          <w:sz w:val="22"/>
          <w:szCs w:val="22"/>
        </w:rPr>
      </w:pPr>
      <w:r w:rsidRPr="00617A96">
        <w:rPr>
          <w:rFonts w:ascii="Century Gothic" w:hAnsi="Century Gothic"/>
          <w:sz w:val="22"/>
          <w:szCs w:val="22"/>
        </w:rPr>
        <w:t xml:space="preserve">Establecer los medios para el pleno desarrollo de las instituciones e iniciativas de esos pueblos, y en los casos apropiados proporcionar los recursos necesarios para ese fin. </w:t>
      </w:r>
    </w:p>
    <w:p w14:paraId="6EE59E66" w14:textId="77777777" w:rsidR="00617A96" w:rsidRPr="00617A96" w:rsidRDefault="00617A96" w:rsidP="00617A96">
      <w:pPr>
        <w:spacing w:after="200"/>
        <w:ind w:right="-91"/>
        <w:jc w:val="both"/>
        <w:rPr>
          <w:rFonts w:ascii="Century Gothic" w:hAnsi="Century Gothic"/>
          <w:sz w:val="22"/>
          <w:szCs w:val="22"/>
        </w:rPr>
      </w:pPr>
      <w:r w:rsidRPr="00617A96">
        <w:rPr>
          <w:rFonts w:ascii="Century Gothic" w:hAnsi="Century Gothic"/>
          <w:sz w:val="22"/>
          <w:szCs w:val="22"/>
        </w:rPr>
        <w:lastRenderedPageBreak/>
        <w:t>En ese orden de ideas, el numeral 2 del artículo citado previamente, refiere que las consultas llevadas a cabo en aplicación de ese Convenio deberán efectuarse de buena fe y de una manera apropiada a las circunstancias, con la finalidad de llegar a un acuerdo o lograr el consentimiento acerca de las medidas propuestas.</w:t>
      </w:r>
      <w:r w:rsidRPr="00617A96">
        <w:rPr>
          <w:rStyle w:val="Refdenotaalpie"/>
          <w:rFonts w:ascii="Century Gothic" w:hAnsi="Century Gothic"/>
          <w:sz w:val="22"/>
          <w:szCs w:val="22"/>
        </w:rPr>
        <w:footnoteReference w:id="1"/>
      </w:r>
    </w:p>
    <w:p w14:paraId="79FA9195" w14:textId="77777777" w:rsidR="00617A96" w:rsidRPr="00617A96" w:rsidRDefault="00617A96" w:rsidP="00617A96">
      <w:pPr>
        <w:spacing w:after="200"/>
        <w:ind w:right="-91"/>
        <w:jc w:val="both"/>
        <w:rPr>
          <w:rFonts w:ascii="Century Gothic" w:hAnsi="Century Gothic"/>
          <w:sz w:val="22"/>
          <w:szCs w:val="22"/>
        </w:rPr>
      </w:pPr>
      <w:r w:rsidRPr="00617A96">
        <w:rPr>
          <w:rFonts w:ascii="Century Gothic" w:hAnsi="Century Gothic"/>
          <w:sz w:val="22"/>
          <w:szCs w:val="22"/>
        </w:rPr>
        <w:t xml:space="preserve">De igual forma, el artículo 7, párrafo 3 del convenio de mérito, señala que los gobiernos deberán velar para que, siempre que haya lugar, se efectúen estudios en cooperación con los pueblos interesados, a fin de evaluar la incidencia social, espiritual y cultural y sobre el medio ambiente que las actividades de desarrollo previstas puedan tener sobre esos pueblos. Los resultados de estos estudios deberán ser considerados como criterios fundamentales para la ejecución de las actividades mencionadas. </w:t>
      </w:r>
    </w:p>
    <w:p w14:paraId="1CAFFBF0" w14:textId="77777777" w:rsidR="00617A96" w:rsidRPr="00617A96" w:rsidRDefault="00617A96" w:rsidP="00617A96">
      <w:pPr>
        <w:spacing w:after="200"/>
        <w:jc w:val="both"/>
        <w:rPr>
          <w:rFonts w:ascii="Century Gothic" w:hAnsi="Century Gothic" w:cs="Arial"/>
          <w:sz w:val="22"/>
          <w:szCs w:val="22"/>
        </w:rPr>
      </w:pPr>
      <w:r w:rsidRPr="00617A96">
        <w:rPr>
          <w:rFonts w:ascii="Century Gothic" w:hAnsi="Century Gothic" w:cs="Arial"/>
          <w:sz w:val="22"/>
          <w:szCs w:val="22"/>
        </w:rPr>
        <w:t>En este tenor, el Tribunal Electoral del Poder Judicial de la Federación, notificó a este Instituto Nacional Electoral la Jurisprudencia 37/2015, cuyo rubro y texto son al tenor siguiente:</w:t>
      </w:r>
    </w:p>
    <w:p w14:paraId="2660F4F0" w14:textId="77777777" w:rsidR="00617A96" w:rsidRPr="00617A96" w:rsidRDefault="00617A96" w:rsidP="00617A96">
      <w:pPr>
        <w:spacing w:after="200"/>
        <w:ind w:left="567" w:right="567"/>
        <w:jc w:val="both"/>
        <w:rPr>
          <w:rFonts w:ascii="Century Gothic" w:hAnsi="Century Gothic" w:cs="Arial"/>
          <w:sz w:val="20"/>
          <w:szCs w:val="20"/>
        </w:rPr>
      </w:pPr>
      <w:r w:rsidRPr="00617A96">
        <w:rPr>
          <w:rFonts w:ascii="Century Gothic" w:hAnsi="Century Gothic" w:cs="Arial"/>
          <w:b/>
          <w:sz w:val="20"/>
          <w:szCs w:val="20"/>
        </w:rPr>
        <w:t xml:space="preserve">CONSULTA PREVIA A COMUNIDADES INDÍGENAS. DEBE REALIZARSE POR AUTORIDADES ADMINISTRATIVAS ELECTORALES DE CUALQUIER ORDEN DE GOBIERNO, CUANDO EMITAN ACTOS SUSCEPTIBLES DE AFECTAR SUS DERECHOS.- </w:t>
      </w:r>
      <w:r w:rsidRPr="00617A96">
        <w:rPr>
          <w:rFonts w:ascii="Century Gothic" w:hAnsi="Century Gothic" w:cs="Arial"/>
          <w:sz w:val="20"/>
          <w:szCs w:val="20"/>
        </w:rPr>
        <w:t>De la interpretación de los artículos 1° y 2° Apartado B, de la Constitución Política de los Estados Unidos Mexicanos, en relación con el numeral 6 del Convenio 169 de la Organización Internacional del Trabajo sobre Pueblos Indígenas y Tribales en Países Independientes, se advierte que la Federación, las entidades federativas y los Municipios, para promover la igualdad de oportunidades de los indígenas y eliminar cualquier práctica discriminatoria, determinarán las políticas necesarias para garantizar la vigencia de los derechos de los indígenas y el desarrollo integral de sus pueblos y comunidades, las cuales deberán ser diseñadas y operadas conjuntamente con ellos. En ese sentido, las autoridades administrativas electorales de cualquier orden de gobierno, tienen el deber de consultar a la comunidad interesada, mediante mecanismos eficaces que garanticen su conocimiento, y por conducto de sus instituciones representativas, cada vez que pretendan emitir alguna medida susceptible de afectarles directamente, con el objeto de garantizar la vigencia de sus derechos indígenas y el desarrollo integral de pueblos y comunidades; sin que la opinión que al efecto se emita vincule a la autoridad administrativa, porque se trata de una consulta para determinar si los intereses de los pueblos indígenas serían agraviados.</w:t>
      </w:r>
    </w:p>
    <w:p w14:paraId="70A1715A" w14:textId="77777777" w:rsidR="00617A96" w:rsidRPr="00617A96" w:rsidRDefault="00617A96" w:rsidP="00617A96">
      <w:pPr>
        <w:spacing w:after="200"/>
        <w:jc w:val="both"/>
        <w:rPr>
          <w:rFonts w:ascii="Century Gothic" w:hAnsi="Century Gothic"/>
          <w:sz w:val="22"/>
          <w:szCs w:val="22"/>
        </w:rPr>
      </w:pPr>
      <w:r w:rsidRPr="00617A96">
        <w:rPr>
          <w:rFonts w:ascii="Century Gothic" w:hAnsi="Century Gothic"/>
          <w:sz w:val="22"/>
          <w:szCs w:val="22"/>
        </w:rPr>
        <w:t xml:space="preserve">De igual manera, la Corte Interamericana de Derechos Humanos estableció en su sentencia del 27 de junio de 2012, con relación al caso de Pueblo Indígena </w:t>
      </w:r>
      <w:proofErr w:type="spellStart"/>
      <w:r w:rsidRPr="00617A96">
        <w:rPr>
          <w:rFonts w:ascii="Century Gothic" w:hAnsi="Century Gothic"/>
          <w:sz w:val="22"/>
          <w:szCs w:val="22"/>
        </w:rPr>
        <w:t>Kichwa</w:t>
      </w:r>
      <w:proofErr w:type="spellEnd"/>
      <w:r w:rsidRPr="00617A96">
        <w:rPr>
          <w:rFonts w:ascii="Century Gothic" w:hAnsi="Century Gothic"/>
          <w:sz w:val="22"/>
          <w:szCs w:val="22"/>
        </w:rPr>
        <w:t xml:space="preserve"> </w:t>
      </w:r>
      <w:r w:rsidRPr="00617A96">
        <w:rPr>
          <w:rFonts w:ascii="Century Gothic" w:hAnsi="Century Gothic"/>
          <w:sz w:val="22"/>
          <w:szCs w:val="22"/>
        </w:rPr>
        <w:lastRenderedPageBreak/>
        <w:t xml:space="preserve">de </w:t>
      </w:r>
      <w:proofErr w:type="spellStart"/>
      <w:r w:rsidRPr="00617A96">
        <w:rPr>
          <w:rFonts w:ascii="Century Gothic" w:hAnsi="Century Gothic"/>
          <w:sz w:val="22"/>
          <w:szCs w:val="22"/>
        </w:rPr>
        <w:t>Sarayaku</w:t>
      </w:r>
      <w:proofErr w:type="spellEnd"/>
      <w:r w:rsidRPr="00617A96">
        <w:rPr>
          <w:rFonts w:ascii="Century Gothic" w:hAnsi="Century Gothic"/>
          <w:sz w:val="22"/>
          <w:szCs w:val="22"/>
        </w:rPr>
        <w:t xml:space="preserve"> vs. Ecuador, que las consultas que se pretendan aplicar a los miembros de comunidades y pueblos indígenas deberán atender, principalmente, los siguientes parámetros:</w:t>
      </w:r>
    </w:p>
    <w:p w14:paraId="7C86858C" w14:textId="77777777" w:rsidR="00617A96" w:rsidRPr="00617A96" w:rsidRDefault="00617A96" w:rsidP="00617A96">
      <w:pPr>
        <w:pStyle w:val="Prrafodelista"/>
        <w:numPr>
          <w:ilvl w:val="0"/>
          <w:numId w:val="17"/>
        </w:numPr>
        <w:spacing w:line="240" w:lineRule="auto"/>
        <w:ind w:left="709"/>
        <w:contextualSpacing w:val="0"/>
        <w:jc w:val="both"/>
        <w:rPr>
          <w:rFonts w:ascii="Century Gothic" w:hAnsi="Century Gothic"/>
          <w:sz w:val="22"/>
          <w:szCs w:val="22"/>
        </w:rPr>
      </w:pPr>
      <w:r w:rsidRPr="00617A96">
        <w:rPr>
          <w:rFonts w:ascii="Century Gothic" w:hAnsi="Century Gothic"/>
          <w:b/>
          <w:color w:val="4BACC6" w:themeColor="accent5"/>
          <w:sz w:val="22"/>
          <w:szCs w:val="22"/>
        </w:rPr>
        <w:t>Previa</w:t>
      </w:r>
      <w:r w:rsidRPr="00617A96">
        <w:rPr>
          <w:rFonts w:ascii="Century Gothic" w:hAnsi="Century Gothic"/>
          <w:sz w:val="22"/>
          <w:szCs w:val="22"/>
        </w:rPr>
        <w:t>, en las primeras etapas del plan o proyecto a realizar, pues el hecho de informar a las comunidades y pueblos indígenas de manera posterior va en contra de la esencia del derecho a la consulta;</w:t>
      </w:r>
    </w:p>
    <w:p w14:paraId="4FBE55CD" w14:textId="77777777" w:rsidR="00617A96" w:rsidRPr="00617A96" w:rsidRDefault="00617A96" w:rsidP="00617A96">
      <w:pPr>
        <w:pStyle w:val="Prrafodelista"/>
        <w:numPr>
          <w:ilvl w:val="0"/>
          <w:numId w:val="17"/>
        </w:numPr>
        <w:spacing w:line="240" w:lineRule="auto"/>
        <w:ind w:left="709"/>
        <w:contextualSpacing w:val="0"/>
        <w:jc w:val="both"/>
        <w:rPr>
          <w:rFonts w:ascii="Century Gothic" w:hAnsi="Century Gothic"/>
          <w:sz w:val="22"/>
          <w:szCs w:val="22"/>
        </w:rPr>
      </w:pPr>
      <w:r w:rsidRPr="00617A96">
        <w:rPr>
          <w:rFonts w:ascii="Century Gothic" w:hAnsi="Century Gothic"/>
          <w:b/>
          <w:color w:val="4BACC6" w:themeColor="accent5"/>
          <w:sz w:val="22"/>
          <w:szCs w:val="22"/>
        </w:rPr>
        <w:t>Culturalmente adecuada</w:t>
      </w:r>
      <w:r w:rsidRPr="00617A96">
        <w:rPr>
          <w:rFonts w:ascii="Century Gothic" w:hAnsi="Century Gothic"/>
          <w:sz w:val="22"/>
          <w:szCs w:val="22"/>
        </w:rPr>
        <w:t>, mediante procedimientos acordes, atendiendo a todas las especificidades de los pueblos y comunidades indígenas, como son sus costumbres, tradiciones y, sobre todo, instituciones representativas;</w:t>
      </w:r>
    </w:p>
    <w:p w14:paraId="53EE82BF" w14:textId="77777777" w:rsidR="00617A96" w:rsidRPr="00617A96" w:rsidRDefault="00617A96" w:rsidP="00617A96">
      <w:pPr>
        <w:pStyle w:val="Prrafodelista"/>
        <w:numPr>
          <w:ilvl w:val="0"/>
          <w:numId w:val="17"/>
        </w:numPr>
        <w:spacing w:line="240" w:lineRule="auto"/>
        <w:ind w:left="709"/>
        <w:contextualSpacing w:val="0"/>
        <w:jc w:val="both"/>
        <w:rPr>
          <w:rFonts w:ascii="Century Gothic" w:hAnsi="Century Gothic"/>
          <w:sz w:val="22"/>
          <w:szCs w:val="22"/>
        </w:rPr>
      </w:pPr>
      <w:r w:rsidRPr="00617A96">
        <w:rPr>
          <w:rFonts w:ascii="Century Gothic" w:hAnsi="Century Gothic"/>
          <w:b/>
          <w:color w:val="4BACC6" w:themeColor="accent5"/>
          <w:sz w:val="22"/>
          <w:szCs w:val="22"/>
        </w:rPr>
        <w:t>Informada</w:t>
      </w:r>
      <w:r w:rsidRPr="00617A96">
        <w:rPr>
          <w:rFonts w:ascii="Century Gothic" w:hAnsi="Century Gothic"/>
          <w:sz w:val="22"/>
          <w:szCs w:val="22"/>
        </w:rPr>
        <w:t>, esto es, los procedimientos que sean implementados para dar a conocer los proyectos y medidas, exigen la provisión plena de información precisa sobre la naturaleza y alcances del proyecto, pues solo a sabiendas de todas las consecuencias y riesgos de cualquier naturaleza, los integrantes de pueblos y comunidades indígenas, podrán evaluar la procedencia del plan propuesto, y</w:t>
      </w:r>
    </w:p>
    <w:p w14:paraId="001ABB19" w14:textId="77777777" w:rsidR="00617A96" w:rsidRPr="00617A96" w:rsidRDefault="00617A96" w:rsidP="00617A96">
      <w:pPr>
        <w:pStyle w:val="Prrafodelista"/>
        <w:numPr>
          <w:ilvl w:val="0"/>
          <w:numId w:val="17"/>
        </w:numPr>
        <w:spacing w:line="240" w:lineRule="auto"/>
        <w:ind w:left="709"/>
        <w:contextualSpacing w:val="0"/>
        <w:jc w:val="both"/>
        <w:rPr>
          <w:rFonts w:ascii="Century Gothic" w:hAnsi="Century Gothic" w:cs="Arial"/>
          <w:bCs/>
          <w:color w:val="000000"/>
          <w:sz w:val="22"/>
          <w:szCs w:val="22"/>
        </w:rPr>
      </w:pPr>
      <w:r w:rsidRPr="00617A96">
        <w:rPr>
          <w:rFonts w:ascii="Century Gothic" w:hAnsi="Century Gothic"/>
          <w:b/>
          <w:color w:val="4BACC6" w:themeColor="accent5"/>
          <w:sz w:val="22"/>
          <w:szCs w:val="22"/>
        </w:rPr>
        <w:t>De buena fe</w:t>
      </w:r>
      <w:r w:rsidRPr="00617A96">
        <w:rPr>
          <w:rFonts w:ascii="Century Gothic" w:hAnsi="Century Gothic"/>
          <w:b/>
          <w:sz w:val="22"/>
          <w:szCs w:val="22"/>
        </w:rPr>
        <w:t>,</w:t>
      </w:r>
      <w:r w:rsidRPr="00617A96">
        <w:rPr>
          <w:rFonts w:ascii="Century Gothic" w:hAnsi="Century Gothic"/>
          <w:sz w:val="22"/>
          <w:szCs w:val="22"/>
        </w:rPr>
        <w:t xml:space="preserve"> con el objeto de llegar a un acuerdo basado en la libertad, la confianza y respeto mutuo</w:t>
      </w:r>
      <w:r w:rsidRPr="00617A96">
        <w:rPr>
          <w:rFonts w:ascii="Century Gothic" w:hAnsi="Century Gothic" w:cs="Arial"/>
          <w:sz w:val="22"/>
          <w:szCs w:val="22"/>
        </w:rPr>
        <w:t>.</w:t>
      </w:r>
      <w:r w:rsidRPr="00617A96">
        <w:rPr>
          <w:rFonts w:ascii="Century Gothic" w:hAnsi="Century Gothic" w:cs="Arial"/>
          <w:bCs/>
          <w:color w:val="000000"/>
          <w:sz w:val="22"/>
          <w:szCs w:val="22"/>
          <w:vertAlign w:val="superscript"/>
        </w:rPr>
        <w:footnoteReference w:id="2"/>
      </w:r>
    </w:p>
    <w:p w14:paraId="1C885C2A" w14:textId="77777777" w:rsidR="00617A96" w:rsidRPr="00617A96" w:rsidRDefault="00617A96" w:rsidP="00617A96">
      <w:pPr>
        <w:spacing w:after="200"/>
        <w:jc w:val="both"/>
        <w:rPr>
          <w:rFonts w:ascii="Century Gothic" w:hAnsi="Century Gothic"/>
          <w:sz w:val="22"/>
          <w:szCs w:val="22"/>
        </w:rPr>
      </w:pPr>
      <w:r w:rsidRPr="00617A96">
        <w:rPr>
          <w:rFonts w:ascii="Century Gothic" w:hAnsi="Century Gothic"/>
          <w:sz w:val="22"/>
          <w:szCs w:val="22"/>
        </w:rPr>
        <w:t>En este sentido, y en atención a lo precisado en la Jurisprudencia 37/2015 del Tribunal Electoral del Poder Judicial de la Federación, el Instituto Nacional Electoral en tanto autoridad administrativa electoral nacional tiene el deber de consultar a los pueblos y comunidades indígenas, mediante mecanismos eficaces que garanticen su conocimiento, y por conducto de sus instituciones representativas, cada vez que pretenda emitir medidas susceptibles de afectarles directamente, con el objeto de garantizar la vigencia de sus derechos y el desarrollo integral de sus pueblos y comunidades, sin que la opinión que al efecto se emita vincule a esta autoridad administrativa, porque se trata de una consulta para determinar si los intereses de los pueblos y comunidades indígenas serían agraviados.</w:t>
      </w:r>
    </w:p>
    <w:p w14:paraId="364485EF" w14:textId="77777777" w:rsidR="00617A96" w:rsidRPr="00617A96" w:rsidRDefault="00617A96" w:rsidP="00617A96">
      <w:pPr>
        <w:spacing w:after="200"/>
        <w:jc w:val="both"/>
        <w:rPr>
          <w:rFonts w:ascii="Century Gothic" w:hAnsi="Century Gothic"/>
          <w:sz w:val="22"/>
          <w:szCs w:val="22"/>
        </w:rPr>
      </w:pPr>
      <w:r w:rsidRPr="00617A96">
        <w:rPr>
          <w:rFonts w:ascii="Century Gothic" w:hAnsi="Century Gothic"/>
          <w:sz w:val="22"/>
          <w:szCs w:val="22"/>
        </w:rPr>
        <w:t>En razón de los preceptos normativos y las consideraciones expuestas, el Consejo General del INE aprobó, mediante Acuerdo INE/</w:t>
      </w:r>
      <w:proofErr w:type="spellStart"/>
      <w:r w:rsidRPr="00617A96">
        <w:rPr>
          <w:rFonts w:ascii="Century Gothic" w:hAnsi="Century Gothic"/>
          <w:sz w:val="22"/>
          <w:szCs w:val="22"/>
        </w:rPr>
        <w:t>CG93</w:t>
      </w:r>
      <w:proofErr w:type="spellEnd"/>
      <w:r w:rsidRPr="00617A96">
        <w:rPr>
          <w:rFonts w:ascii="Century Gothic" w:hAnsi="Century Gothic"/>
          <w:sz w:val="22"/>
          <w:szCs w:val="22"/>
        </w:rPr>
        <w:t xml:space="preserve">/2016 de fecha 26 de febrero de 2016, </w:t>
      </w:r>
      <w:r w:rsidRPr="00617A96">
        <w:rPr>
          <w:rFonts w:ascii="Century Gothic" w:hAnsi="Century Gothic" w:cs="Arial"/>
          <w:sz w:val="22"/>
          <w:szCs w:val="22"/>
        </w:rPr>
        <w:t>el Protocolo para la Consulta a Pueblos y Comunidades Indígena en materia de Distritación Electoral</w:t>
      </w:r>
      <w:r w:rsidRPr="00617A96">
        <w:rPr>
          <w:rFonts w:ascii="Century Gothic" w:hAnsi="Century Gothic"/>
          <w:sz w:val="22"/>
          <w:szCs w:val="22"/>
        </w:rPr>
        <w:t>.</w:t>
      </w:r>
    </w:p>
    <w:p w14:paraId="7DD2FF68" w14:textId="77777777" w:rsidR="00617A96" w:rsidRPr="00617A96" w:rsidRDefault="00617A96" w:rsidP="00617A96">
      <w:pPr>
        <w:spacing w:after="200"/>
        <w:jc w:val="both"/>
        <w:rPr>
          <w:rFonts w:ascii="Century Gothic" w:hAnsi="Century Gothic"/>
          <w:sz w:val="22"/>
          <w:szCs w:val="22"/>
        </w:rPr>
      </w:pPr>
      <w:r w:rsidRPr="00617A96">
        <w:rPr>
          <w:rFonts w:ascii="Century Gothic" w:hAnsi="Century Gothic"/>
          <w:sz w:val="22"/>
          <w:szCs w:val="22"/>
        </w:rPr>
        <w:t>En el acuerdo INE/</w:t>
      </w:r>
      <w:proofErr w:type="spellStart"/>
      <w:r w:rsidRPr="00617A96">
        <w:rPr>
          <w:rFonts w:ascii="Century Gothic" w:hAnsi="Century Gothic"/>
          <w:sz w:val="22"/>
          <w:szCs w:val="22"/>
        </w:rPr>
        <w:t>CG165</w:t>
      </w:r>
      <w:proofErr w:type="spellEnd"/>
      <w:r w:rsidRPr="00617A96">
        <w:rPr>
          <w:rFonts w:ascii="Century Gothic" w:hAnsi="Century Gothic"/>
          <w:sz w:val="22"/>
          <w:szCs w:val="22"/>
        </w:rPr>
        <w:t>/2016, aprobado por el Consejo General del INE el 30 de marzo de 2016, se aprobaron los Criterios y Reglas Operativas para la Distritación Federal 2016-2017, así como la Matriz que establece la jerarquización de los mismos para su respectiva aplicación.</w:t>
      </w:r>
    </w:p>
    <w:p w14:paraId="5AA0B1D8" w14:textId="77777777" w:rsidR="00617A96" w:rsidRDefault="00617A96">
      <w:pPr>
        <w:rPr>
          <w:rFonts w:ascii="Century Gothic" w:hAnsi="Century Gothic" w:cs="Arial"/>
          <w:b/>
          <w:color w:val="FFFFFF" w:themeColor="background1"/>
          <w:sz w:val="28"/>
          <w:szCs w:val="28"/>
        </w:rPr>
      </w:pPr>
      <w:r>
        <w:rPr>
          <w:rFonts w:ascii="Century Gothic" w:hAnsi="Century Gothic" w:cs="Arial"/>
          <w:b/>
          <w:color w:val="FFFFFF" w:themeColor="background1"/>
          <w:sz w:val="28"/>
          <w:szCs w:val="28"/>
        </w:rPr>
        <w:br w:type="page"/>
      </w:r>
    </w:p>
    <w:p w14:paraId="1B60292A" w14:textId="1723C98B" w:rsidR="00D97B19" w:rsidRPr="00617A96" w:rsidRDefault="005059D3" w:rsidP="00617A96">
      <w:pPr>
        <w:pStyle w:val="Prrafodelista"/>
        <w:numPr>
          <w:ilvl w:val="0"/>
          <w:numId w:val="14"/>
        </w:numPr>
        <w:spacing w:line="312" w:lineRule="auto"/>
        <w:ind w:left="284"/>
        <w:jc w:val="both"/>
        <w:rPr>
          <w:rFonts w:ascii="Century Gothic" w:hAnsi="Century Gothic" w:cs="Arial"/>
          <w:b/>
          <w:color w:val="FFFFFF" w:themeColor="background1"/>
          <w:sz w:val="28"/>
          <w:szCs w:val="28"/>
        </w:rPr>
      </w:pPr>
      <w:r>
        <w:rPr>
          <w:noProof/>
        </w:rPr>
        <w:lastRenderedPageBreak/>
        <mc:AlternateContent>
          <mc:Choice Requires="wps">
            <w:drawing>
              <wp:anchor distT="0" distB="0" distL="114300" distR="114300" simplePos="0" relativeHeight="251667456" behindDoc="1" locked="0" layoutInCell="1" allowOverlap="1" wp14:anchorId="2FBCAD4F" wp14:editId="7451856A">
                <wp:simplePos x="0" y="0"/>
                <wp:positionH relativeFrom="column">
                  <wp:posOffset>-1080135</wp:posOffset>
                </wp:positionH>
                <wp:positionV relativeFrom="paragraph">
                  <wp:posOffset>-27337</wp:posOffset>
                </wp:positionV>
                <wp:extent cx="6915150" cy="1441342"/>
                <wp:effectExtent l="38100" t="57150" r="38100" b="45085"/>
                <wp:wrapNone/>
                <wp:docPr id="3" name="Redondear rectángulo de esquina diagonal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15150" cy="1441342"/>
                        </a:xfrm>
                        <a:prstGeom prst="round2DiagRect">
                          <a:avLst>
                            <a:gd name="adj1" fmla="val 0"/>
                            <a:gd name="adj2" fmla="val 0"/>
                          </a:avLst>
                        </a:prstGeom>
                        <a:solidFill>
                          <a:srgbClr val="641345"/>
                        </a:solidFill>
                        <a:ln w="15875" cap="flat" cmpd="sng" algn="ctr">
                          <a:noFill/>
                          <a:prstDash val="solid"/>
                          <a:miter/>
                        </a:ln>
                        <a:effectLst>
                          <a:innerShdw blurRad="127000">
                            <a:srgbClr val="FFFFFF">
                              <a:alpha val="35000"/>
                            </a:srgbClr>
                          </a:innerShdw>
                        </a:effectLst>
                        <a:scene3d>
                          <a:camera prst="orthographicFront">
                            <a:rot lat="0" lon="0" rev="0"/>
                          </a:camera>
                          <a:lightRig rig="chilly" dir="tl">
                            <a:rot lat="0" lon="0" rev="5400000"/>
                          </a:lightRig>
                        </a:scene3d>
                        <a:sp3d prstMaterial="softEdge">
                          <a:bevelT w="0" h="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62F6E7E3" id="Redondear rectángulo de esquina diagonal 29" o:spid="_x0000_s1026" style="position:absolute;margin-left:-85.05pt;margin-top:-2.15pt;width:544.5pt;height:113.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coordsize="6915150,14413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" path="m,l6915150,r,l6915150,1441342r,l,1441342r,l,,,xe" fillcolor="#641345" stroked="f" strokeweight="1.25pt">
                <v:stroke joinstyle="miter"/>
                <v:path arrowok="t" o:connecttype="custom" o:connectlocs="0,0;6915150,0;6915150,0;6915150,1441342;6915150,1441342;0,1441342;0,1441342;0,0;0,0" o:connectangles="0,0,0,0,0,0,0,0,0"/>
              </v:shape>
            </w:pict>
          </mc:Fallback>
        </mc:AlternateContent>
      </w:r>
      <w:r w:rsidR="00D97B19" w:rsidRPr="00617A96">
        <w:rPr>
          <w:rFonts w:ascii="Century Gothic" w:hAnsi="Century Gothic" w:cs="Arial"/>
          <w:b/>
          <w:color w:val="FFFFFF" w:themeColor="background1"/>
          <w:sz w:val="28"/>
          <w:szCs w:val="28"/>
        </w:rPr>
        <w:t xml:space="preserve">Análisis de la </w:t>
      </w:r>
      <w:proofErr w:type="spellStart"/>
      <w:r w:rsidR="00D97B19" w:rsidRPr="00617A96">
        <w:rPr>
          <w:rFonts w:ascii="Century Gothic" w:hAnsi="Century Gothic" w:cs="Arial"/>
          <w:b/>
          <w:color w:val="FFFFFF" w:themeColor="background1"/>
          <w:sz w:val="28"/>
          <w:szCs w:val="28"/>
        </w:rPr>
        <w:t>distritación</w:t>
      </w:r>
      <w:proofErr w:type="spellEnd"/>
      <w:r w:rsidR="00D97B19" w:rsidRPr="00617A96">
        <w:rPr>
          <w:rFonts w:ascii="Century Gothic" w:hAnsi="Century Gothic" w:cs="Arial"/>
          <w:b/>
          <w:color w:val="FFFFFF" w:themeColor="background1"/>
          <w:sz w:val="28"/>
          <w:szCs w:val="28"/>
        </w:rPr>
        <w:t xml:space="preserve"> </w:t>
      </w:r>
      <w:r w:rsidR="00426048" w:rsidRPr="00617A96">
        <w:rPr>
          <w:rFonts w:ascii="Century Gothic" w:hAnsi="Century Gothic" w:cs="Arial"/>
          <w:b/>
          <w:color w:val="FFFFFF" w:themeColor="background1"/>
          <w:sz w:val="28"/>
          <w:szCs w:val="28"/>
        </w:rPr>
        <w:t>vigente d</w:t>
      </w:r>
      <w:r w:rsidR="00D97B19" w:rsidRPr="00617A96">
        <w:rPr>
          <w:rFonts w:ascii="Century Gothic" w:hAnsi="Century Gothic" w:cs="Arial"/>
          <w:b/>
          <w:color w:val="FFFFFF" w:themeColor="background1"/>
          <w:sz w:val="28"/>
          <w:szCs w:val="28"/>
        </w:rPr>
        <w:t>e l</w:t>
      </w:r>
      <w:r w:rsidR="00426048" w:rsidRPr="00617A96">
        <w:rPr>
          <w:rFonts w:ascii="Century Gothic" w:hAnsi="Century Gothic" w:cs="Arial"/>
          <w:b/>
          <w:color w:val="FFFFFF" w:themeColor="background1"/>
          <w:sz w:val="28"/>
          <w:szCs w:val="28"/>
        </w:rPr>
        <w:t>as entidades federativas</w:t>
      </w:r>
      <w:r w:rsidR="00D97B19" w:rsidRPr="00617A96">
        <w:rPr>
          <w:rFonts w:ascii="Century Gothic" w:hAnsi="Century Gothic" w:cs="Arial"/>
          <w:b/>
          <w:color w:val="FFFFFF" w:themeColor="background1"/>
          <w:sz w:val="28"/>
          <w:szCs w:val="28"/>
        </w:rPr>
        <w:t xml:space="preserve"> de </w:t>
      </w:r>
      <w:r w:rsidR="00D71034" w:rsidRPr="00617A96">
        <w:rPr>
          <w:rFonts w:ascii="Century Gothic" w:hAnsi="Century Gothic" w:cs="Arial"/>
          <w:b/>
          <w:color w:val="FFFFFF" w:themeColor="background1"/>
          <w:sz w:val="28"/>
          <w:szCs w:val="28"/>
        </w:rPr>
        <w:t xml:space="preserve">Baja California Sur, Campeche, </w:t>
      </w:r>
      <w:r w:rsidR="00D944B4" w:rsidRPr="00617A96">
        <w:rPr>
          <w:rFonts w:ascii="Century Gothic" w:hAnsi="Century Gothic" w:cs="Arial"/>
          <w:b/>
          <w:color w:val="FFFFFF" w:themeColor="background1"/>
          <w:sz w:val="28"/>
          <w:szCs w:val="28"/>
        </w:rPr>
        <w:t>Ciudad de M</w:t>
      </w:r>
      <w:r w:rsidR="00617A96">
        <w:rPr>
          <w:rFonts w:ascii="Century Gothic" w:hAnsi="Century Gothic" w:cs="Arial"/>
          <w:b/>
          <w:color w:val="FFFFFF" w:themeColor="background1"/>
          <w:sz w:val="28"/>
          <w:szCs w:val="28"/>
        </w:rPr>
        <w:t>éxico</w:t>
      </w:r>
      <w:r w:rsidR="00D944B4" w:rsidRPr="00617A96">
        <w:rPr>
          <w:rFonts w:ascii="Century Gothic" w:hAnsi="Century Gothic" w:cs="Arial"/>
          <w:b/>
          <w:color w:val="FFFFFF" w:themeColor="background1"/>
          <w:sz w:val="28"/>
          <w:szCs w:val="28"/>
        </w:rPr>
        <w:t xml:space="preserve">, </w:t>
      </w:r>
      <w:r w:rsidR="00D71034" w:rsidRPr="00617A96">
        <w:rPr>
          <w:rFonts w:ascii="Century Gothic" w:hAnsi="Century Gothic" w:cs="Arial"/>
          <w:b/>
          <w:color w:val="FFFFFF" w:themeColor="background1"/>
          <w:sz w:val="28"/>
          <w:szCs w:val="28"/>
        </w:rPr>
        <w:t>Colima, Chiapas, Guanajuato, Guerrero, Jalisco, México, Michoacán, Morelos, Nuevo León, Querétaro, San Luis Potosí, Sonora, Tabasco y Yucatán</w:t>
      </w:r>
    </w:p>
    <w:p w14:paraId="5317F005" w14:textId="77777777" w:rsidR="002B1D96" w:rsidRDefault="002B1D96" w:rsidP="00A36F61">
      <w:pPr>
        <w:spacing w:after="200" w:line="312" w:lineRule="auto"/>
        <w:jc w:val="both"/>
        <w:rPr>
          <w:rFonts w:ascii="Century Gothic" w:hAnsi="Century Gothic" w:cs="Arial"/>
          <w:sz w:val="22"/>
          <w:szCs w:val="22"/>
        </w:rPr>
      </w:pPr>
    </w:p>
    <w:p w14:paraId="585FDFC2" w14:textId="3B207139" w:rsidR="00614698" w:rsidRPr="00614698" w:rsidRDefault="00292ED8" w:rsidP="00A36F61">
      <w:pPr>
        <w:spacing w:after="200" w:line="312" w:lineRule="auto"/>
        <w:jc w:val="both"/>
        <w:rPr>
          <w:rFonts w:ascii="Century Gothic" w:hAnsi="Century Gothic" w:cs="Arial"/>
          <w:sz w:val="22"/>
          <w:szCs w:val="22"/>
        </w:rPr>
      </w:pPr>
      <w:r>
        <w:rPr>
          <w:rFonts w:ascii="Century Gothic" w:hAnsi="Century Gothic" w:cs="Arial"/>
          <w:sz w:val="22"/>
          <w:szCs w:val="22"/>
        </w:rPr>
        <w:t xml:space="preserve">Tomando en </w:t>
      </w:r>
      <w:r w:rsidR="00DB16F9">
        <w:rPr>
          <w:rFonts w:ascii="Century Gothic" w:hAnsi="Century Gothic" w:cs="Arial"/>
          <w:sz w:val="22"/>
          <w:szCs w:val="22"/>
        </w:rPr>
        <w:t xml:space="preserve">cuenta </w:t>
      </w:r>
      <w:r>
        <w:rPr>
          <w:rFonts w:ascii="Century Gothic" w:hAnsi="Century Gothic" w:cs="Arial"/>
          <w:sz w:val="22"/>
          <w:szCs w:val="22"/>
        </w:rPr>
        <w:t xml:space="preserve">aquellas variables demográficas y técnicas que tradicionalmente se toman en consideración en </w:t>
      </w:r>
      <w:r w:rsidR="0093449E">
        <w:rPr>
          <w:rFonts w:ascii="Century Gothic" w:hAnsi="Century Gothic" w:cs="Arial"/>
          <w:sz w:val="22"/>
          <w:szCs w:val="22"/>
        </w:rPr>
        <w:t xml:space="preserve">la </w:t>
      </w:r>
      <w:r>
        <w:rPr>
          <w:rFonts w:ascii="Century Gothic" w:hAnsi="Century Gothic" w:cs="Arial"/>
          <w:sz w:val="22"/>
          <w:szCs w:val="22"/>
        </w:rPr>
        <w:t xml:space="preserve">delimitación territorial de los distritos electorales, </w:t>
      </w:r>
      <w:r w:rsidR="00630C58">
        <w:rPr>
          <w:rFonts w:ascii="Century Gothic" w:hAnsi="Century Gothic" w:cs="Arial"/>
          <w:sz w:val="22"/>
          <w:szCs w:val="22"/>
        </w:rPr>
        <w:t>e</w:t>
      </w:r>
      <w:r w:rsidR="00614698" w:rsidRPr="00614698">
        <w:rPr>
          <w:rFonts w:ascii="Century Gothic" w:hAnsi="Century Gothic" w:cs="Arial"/>
          <w:sz w:val="22"/>
          <w:szCs w:val="22"/>
        </w:rPr>
        <w:t>sta Dirección Eje</w:t>
      </w:r>
      <w:r w:rsidR="00630C58">
        <w:rPr>
          <w:rFonts w:ascii="Century Gothic" w:hAnsi="Century Gothic" w:cs="Arial"/>
          <w:sz w:val="22"/>
          <w:szCs w:val="22"/>
        </w:rPr>
        <w:t>cutiva del Registro Federal de E</w:t>
      </w:r>
      <w:r w:rsidR="00994E54">
        <w:rPr>
          <w:rFonts w:ascii="Century Gothic" w:hAnsi="Century Gothic" w:cs="Arial"/>
          <w:sz w:val="22"/>
          <w:szCs w:val="22"/>
        </w:rPr>
        <w:t xml:space="preserve">lectores, </w:t>
      </w:r>
      <w:r w:rsidR="00614698" w:rsidRPr="00614698">
        <w:rPr>
          <w:rFonts w:ascii="Century Gothic" w:hAnsi="Century Gothic" w:cs="Arial"/>
          <w:sz w:val="22"/>
          <w:szCs w:val="22"/>
        </w:rPr>
        <w:t xml:space="preserve"> con </w:t>
      </w:r>
      <w:r w:rsidR="00994E54">
        <w:rPr>
          <w:rFonts w:ascii="Century Gothic" w:hAnsi="Century Gothic" w:cs="Arial"/>
          <w:sz w:val="22"/>
          <w:szCs w:val="22"/>
        </w:rPr>
        <w:t>la asesoría d</w:t>
      </w:r>
      <w:r w:rsidR="00614698" w:rsidRPr="00614698">
        <w:rPr>
          <w:rFonts w:ascii="Century Gothic" w:hAnsi="Century Gothic" w:cs="Arial"/>
          <w:sz w:val="22"/>
          <w:szCs w:val="22"/>
        </w:rPr>
        <w:t>el Comité Técnico para el Seguimiento y Evaluación de los Trabajos de Distritación, realiz</w:t>
      </w:r>
      <w:r w:rsidR="00614698">
        <w:rPr>
          <w:rFonts w:ascii="Century Gothic" w:hAnsi="Century Gothic" w:cs="Arial"/>
          <w:sz w:val="22"/>
          <w:szCs w:val="22"/>
        </w:rPr>
        <w:t>ó el a</w:t>
      </w:r>
      <w:r w:rsidR="00614698" w:rsidRPr="00614698">
        <w:rPr>
          <w:rFonts w:ascii="Century Gothic" w:hAnsi="Century Gothic" w:cs="Arial"/>
          <w:sz w:val="22"/>
          <w:szCs w:val="22"/>
        </w:rPr>
        <w:t xml:space="preserve">nálisis de la </w:t>
      </w:r>
      <w:proofErr w:type="spellStart"/>
      <w:r w:rsidR="00614698" w:rsidRPr="00614698">
        <w:rPr>
          <w:rFonts w:ascii="Century Gothic" w:hAnsi="Century Gothic" w:cs="Arial"/>
          <w:sz w:val="22"/>
          <w:szCs w:val="22"/>
        </w:rPr>
        <w:t>distritación</w:t>
      </w:r>
      <w:proofErr w:type="spellEnd"/>
      <w:r w:rsidR="00614698" w:rsidRPr="00614698">
        <w:rPr>
          <w:rFonts w:ascii="Century Gothic" w:hAnsi="Century Gothic" w:cs="Arial"/>
          <w:sz w:val="22"/>
          <w:szCs w:val="22"/>
        </w:rPr>
        <w:t xml:space="preserve"> actual de </w:t>
      </w:r>
      <w:r w:rsidR="00D71034">
        <w:rPr>
          <w:rFonts w:ascii="Century Gothic" w:hAnsi="Century Gothic" w:cs="Arial"/>
          <w:sz w:val="22"/>
          <w:szCs w:val="22"/>
        </w:rPr>
        <w:t>las entidades federativas</w:t>
      </w:r>
      <w:r w:rsidR="00614698" w:rsidRPr="00614698">
        <w:rPr>
          <w:rFonts w:ascii="Century Gothic" w:hAnsi="Century Gothic" w:cs="Arial"/>
          <w:sz w:val="22"/>
          <w:szCs w:val="22"/>
        </w:rPr>
        <w:t xml:space="preserve"> de </w:t>
      </w:r>
      <w:r w:rsidR="00D71034" w:rsidRPr="00D71034">
        <w:rPr>
          <w:rFonts w:ascii="Century Gothic" w:hAnsi="Century Gothic" w:cs="Arial"/>
          <w:sz w:val="22"/>
          <w:szCs w:val="22"/>
        </w:rPr>
        <w:t xml:space="preserve">Baja California Sur, Campeche, </w:t>
      </w:r>
      <w:r w:rsidR="00D944B4">
        <w:rPr>
          <w:rFonts w:ascii="Century Gothic" w:hAnsi="Century Gothic" w:cs="Arial"/>
          <w:sz w:val="22"/>
          <w:szCs w:val="22"/>
        </w:rPr>
        <w:t>Ciudad de México</w:t>
      </w:r>
      <w:r w:rsidR="004D50A9">
        <w:rPr>
          <w:rFonts w:ascii="Century Gothic" w:hAnsi="Century Gothic" w:cs="Arial"/>
          <w:sz w:val="22"/>
          <w:szCs w:val="22"/>
        </w:rPr>
        <w:t>,</w:t>
      </w:r>
      <w:r w:rsidR="00D944B4">
        <w:rPr>
          <w:rFonts w:ascii="Century Gothic" w:hAnsi="Century Gothic" w:cs="Arial"/>
          <w:sz w:val="22"/>
          <w:szCs w:val="22"/>
        </w:rPr>
        <w:t xml:space="preserve"> </w:t>
      </w:r>
      <w:r w:rsidR="00D71034" w:rsidRPr="00D71034">
        <w:rPr>
          <w:rFonts w:ascii="Century Gothic" w:hAnsi="Century Gothic" w:cs="Arial"/>
          <w:sz w:val="22"/>
          <w:szCs w:val="22"/>
        </w:rPr>
        <w:t>Colima, Chiapas, Guanajuato, Guerrero, Jalisco, México, Michoacán, Morelos, Nuevo León, Querétaro, San Luis Potosí, Sonora, Tabasco y Yucatán</w:t>
      </w:r>
      <w:r w:rsidR="00614698">
        <w:rPr>
          <w:rFonts w:ascii="Century Gothic" w:hAnsi="Century Gothic" w:cs="Arial"/>
          <w:sz w:val="22"/>
          <w:szCs w:val="22"/>
        </w:rPr>
        <w:t xml:space="preserve">, con miras a </w:t>
      </w:r>
      <w:r>
        <w:rPr>
          <w:rFonts w:ascii="Century Gothic" w:hAnsi="Century Gothic" w:cs="Arial"/>
          <w:sz w:val="22"/>
          <w:szCs w:val="22"/>
        </w:rPr>
        <w:t xml:space="preserve">determinar si resulta necesario llevar a cabo un proceso de </w:t>
      </w:r>
      <w:proofErr w:type="spellStart"/>
      <w:r w:rsidR="0093449E">
        <w:rPr>
          <w:rFonts w:ascii="Century Gothic" w:hAnsi="Century Gothic" w:cs="Arial"/>
          <w:sz w:val="22"/>
          <w:szCs w:val="22"/>
        </w:rPr>
        <w:t>distritación</w:t>
      </w:r>
      <w:proofErr w:type="spellEnd"/>
      <w:r w:rsidR="0093449E">
        <w:rPr>
          <w:rFonts w:ascii="Century Gothic" w:hAnsi="Century Gothic" w:cs="Arial"/>
          <w:sz w:val="22"/>
          <w:szCs w:val="22"/>
        </w:rPr>
        <w:t xml:space="preserve">, </w:t>
      </w:r>
      <w:r w:rsidR="00630C58">
        <w:rPr>
          <w:rFonts w:ascii="Century Gothic" w:hAnsi="Century Gothic" w:cs="Arial"/>
          <w:sz w:val="22"/>
          <w:szCs w:val="22"/>
        </w:rPr>
        <w:t xml:space="preserve">mismo que se detalla a continuación: </w:t>
      </w:r>
      <w:r w:rsidR="00614698">
        <w:rPr>
          <w:rFonts w:ascii="Century Gothic" w:hAnsi="Century Gothic" w:cs="Arial"/>
          <w:sz w:val="22"/>
          <w:szCs w:val="22"/>
        </w:rPr>
        <w:t xml:space="preserve"> </w:t>
      </w:r>
    </w:p>
    <w:p w14:paraId="7117FD8D" w14:textId="77777777" w:rsidR="00F20707" w:rsidRPr="004464CF" w:rsidRDefault="00F20707" w:rsidP="00A36F61">
      <w:pPr>
        <w:spacing w:after="200" w:line="312" w:lineRule="auto"/>
        <w:jc w:val="both"/>
        <w:rPr>
          <w:rFonts w:ascii="Century Gothic" w:hAnsi="Century Gothic" w:cs="Arial"/>
          <w:sz w:val="22"/>
          <w:szCs w:val="22"/>
        </w:rPr>
      </w:pPr>
      <w:r w:rsidRPr="004464CF">
        <w:rPr>
          <w:rFonts w:ascii="Century Gothic" w:hAnsi="Century Gothic" w:cs="Arial"/>
          <w:sz w:val="22"/>
          <w:szCs w:val="22"/>
        </w:rPr>
        <w:t>El diagnóstico de</w:t>
      </w:r>
      <w:r w:rsidR="0093449E">
        <w:rPr>
          <w:rFonts w:ascii="Century Gothic" w:hAnsi="Century Gothic" w:cs="Arial"/>
          <w:sz w:val="22"/>
          <w:szCs w:val="22"/>
        </w:rPr>
        <w:t xml:space="preserve"> </w:t>
      </w:r>
      <w:r w:rsidRPr="004464CF">
        <w:rPr>
          <w:rFonts w:ascii="Century Gothic" w:hAnsi="Century Gothic" w:cs="Arial"/>
          <w:sz w:val="22"/>
          <w:szCs w:val="22"/>
        </w:rPr>
        <w:t>l</w:t>
      </w:r>
      <w:r w:rsidR="0093449E">
        <w:rPr>
          <w:rFonts w:ascii="Century Gothic" w:hAnsi="Century Gothic" w:cs="Arial"/>
          <w:sz w:val="22"/>
          <w:szCs w:val="22"/>
        </w:rPr>
        <w:t>as</w:t>
      </w:r>
      <w:r w:rsidRPr="004464CF">
        <w:rPr>
          <w:rFonts w:ascii="Century Gothic" w:hAnsi="Century Gothic" w:cs="Arial"/>
          <w:sz w:val="22"/>
          <w:szCs w:val="22"/>
        </w:rPr>
        <w:t xml:space="preserve"> </w:t>
      </w:r>
      <w:proofErr w:type="spellStart"/>
      <w:r w:rsidRPr="004464CF">
        <w:rPr>
          <w:rFonts w:ascii="Century Gothic" w:hAnsi="Century Gothic" w:cs="Arial"/>
          <w:sz w:val="22"/>
          <w:szCs w:val="22"/>
        </w:rPr>
        <w:t>distritaciones</w:t>
      </w:r>
      <w:proofErr w:type="spellEnd"/>
      <w:r w:rsidRPr="004464CF">
        <w:rPr>
          <w:rFonts w:ascii="Century Gothic" w:hAnsi="Century Gothic" w:cs="Arial"/>
          <w:sz w:val="22"/>
          <w:szCs w:val="22"/>
        </w:rPr>
        <w:t xml:space="preserve"> electorales</w:t>
      </w:r>
      <w:r w:rsidR="0093449E">
        <w:rPr>
          <w:rFonts w:ascii="Century Gothic" w:hAnsi="Century Gothic" w:cs="Arial"/>
          <w:sz w:val="22"/>
          <w:szCs w:val="22"/>
        </w:rPr>
        <w:t xml:space="preserve"> vigentes en</w:t>
      </w:r>
      <w:r w:rsidRPr="004464CF">
        <w:rPr>
          <w:rFonts w:ascii="Century Gothic" w:hAnsi="Century Gothic" w:cs="Arial"/>
          <w:sz w:val="22"/>
          <w:szCs w:val="22"/>
        </w:rPr>
        <w:t xml:space="preserve"> </w:t>
      </w:r>
      <w:r w:rsidR="00FD3259">
        <w:rPr>
          <w:rFonts w:ascii="Century Gothic" w:hAnsi="Century Gothic" w:cs="Arial"/>
          <w:sz w:val="22"/>
          <w:szCs w:val="22"/>
        </w:rPr>
        <w:t>las entidades federativas antes mencionadas</w:t>
      </w:r>
      <w:r w:rsidR="00D7385D">
        <w:rPr>
          <w:rFonts w:ascii="Century Gothic" w:hAnsi="Century Gothic" w:cs="Arial"/>
          <w:sz w:val="22"/>
          <w:szCs w:val="22"/>
        </w:rPr>
        <w:t xml:space="preserve"> </w:t>
      </w:r>
      <w:r w:rsidRPr="004464CF">
        <w:rPr>
          <w:rFonts w:ascii="Century Gothic" w:hAnsi="Century Gothic" w:cs="Arial"/>
          <w:bCs/>
          <w:iCs/>
          <w:sz w:val="22"/>
          <w:szCs w:val="22"/>
          <w:lang w:val="es-ES" w:eastAsia="es-ES"/>
        </w:rPr>
        <w:t xml:space="preserve">se </w:t>
      </w:r>
      <w:r w:rsidR="005C64FD">
        <w:rPr>
          <w:rFonts w:ascii="Century Gothic" w:hAnsi="Century Gothic" w:cs="Arial"/>
          <w:bCs/>
          <w:iCs/>
          <w:sz w:val="22"/>
          <w:szCs w:val="22"/>
          <w:lang w:val="es-ES" w:eastAsia="es-ES"/>
        </w:rPr>
        <w:t xml:space="preserve">realizó de acuerdo a los siguientes indicadores: </w:t>
      </w:r>
    </w:p>
    <w:tbl>
      <w:tblPr>
        <w:tblW w:w="0" w:type="auto"/>
        <w:tblInd w:w="7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left w:w="70" w:type="dxa"/>
          <w:right w:w="70" w:type="dxa"/>
        </w:tblCellMar>
        <w:tblLook w:val="04A0" w:firstRow="1" w:lastRow="0" w:firstColumn="1" w:lastColumn="0" w:noHBand="0" w:noVBand="1"/>
      </w:tblPr>
      <w:tblGrid>
        <w:gridCol w:w="3095"/>
        <w:gridCol w:w="5665"/>
      </w:tblGrid>
      <w:tr w:rsidR="00AC12A2" w:rsidRPr="00400D05" w14:paraId="3D02B6B5" w14:textId="77777777" w:rsidTr="00F449B8">
        <w:trPr>
          <w:trHeight w:val="315"/>
          <w:tblHeader/>
        </w:trPr>
        <w:tc>
          <w:tcPr>
            <w:tcW w:w="0" w:type="auto"/>
            <w:shd w:val="clear" w:color="auto" w:fill="641446"/>
          </w:tcPr>
          <w:p w14:paraId="4066EF87" w14:textId="77777777" w:rsidR="005C64FD" w:rsidRPr="00400D05" w:rsidRDefault="005C64FD" w:rsidP="00A36F61">
            <w:pPr>
              <w:spacing w:line="312" w:lineRule="auto"/>
              <w:jc w:val="center"/>
              <w:rPr>
                <w:rFonts w:ascii="Century Gothic" w:hAnsi="Century Gothic" w:cs="Arial"/>
                <w:b/>
                <w:bCs/>
                <w:color w:val="FFFFFF" w:themeColor="background1"/>
                <w:sz w:val="22"/>
                <w:szCs w:val="20"/>
              </w:rPr>
            </w:pPr>
            <w:r w:rsidRPr="00400D05">
              <w:rPr>
                <w:rFonts w:ascii="Century Gothic" w:hAnsi="Century Gothic" w:cs="Arial"/>
                <w:b/>
                <w:bCs/>
                <w:color w:val="FFFFFF" w:themeColor="background1"/>
                <w:sz w:val="22"/>
                <w:szCs w:val="20"/>
              </w:rPr>
              <w:t>Fuente</w:t>
            </w:r>
          </w:p>
        </w:tc>
        <w:tc>
          <w:tcPr>
            <w:tcW w:w="0" w:type="auto"/>
            <w:shd w:val="clear" w:color="auto" w:fill="641446"/>
            <w:noWrap/>
            <w:vAlign w:val="center"/>
            <w:hideMark/>
          </w:tcPr>
          <w:p w14:paraId="47FFD7B3" w14:textId="77777777" w:rsidR="005C64FD" w:rsidRPr="00400D05" w:rsidRDefault="005C64FD" w:rsidP="00A36F61">
            <w:pPr>
              <w:spacing w:line="312" w:lineRule="auto"/>
              <w:jc w:val="center"/>
              <w:rPr>
                <w:rFonts w:ascii="Century Gothic" w:hAnsi="Century Gothic" w:cs="Arial"/>
                <w:b/>
                <w:bCs/>
                <w:color w:val="FFFFFF" w:themeColor="background1"/>
                <w:sz w:val="22"/>
                <w:szCs w:val="20"/>
              </w:rPr>
            </w:pPr>
            <w:r w:rsidRPr="00400D05">
              <w:rPr>
                <w:rFonts w:ascii="Century Gothic" w:hAnsi="Century Gothic" w:cs="Arial"/>
                <w:b/>
                <w:bCs/>
                <w:color w:val="FFFFFF" w:themeColor="background1"/>
                <w:sz w:val="22"/>
                <w:szCs w:val="20"/>
              </w:rPr>
              <w:t>Indicador</w:t>
            </w:r>
          </w:p>
        </w:tc>
      </w:tr>
      <w:tr w:rsidR="00AC12A2" w:rsidRPr="00400D05" w14:paraId="6416D480" w14:textId="77777777" w:rsidTr="00400D05">
        <w:trPr>
          <w:trHeight w:val="553"/>
        </w:trPr>
        <w:tc>
          <w:tcPr>
            <w:tcW w:w="0" w:type="auto"/>
          </w:tcPr>
          <w:p w14:paraId="2C281EF0" w14:textId="77777777" w:rsidR="005C64FD" w:rsidRPr="00400D05" w:rsidRDefault="005C64FD" w:rsidP="00A36F61">
            <w:pPr>
              <w:spacing w:line="312" w:lineRule="auto"/>
              <w:rPr>
                <w:rFonts w:ascii="Century Gothic" w:hAnsi="Century Gothic" w:cs="Arial"/>
                <w:color w:val="000000"/>
                <w:sz w:val="22"/>
                <w:szCs w:val="20"/>
              </w:rPr>
            </w:pPr>
            <w:r w:rsidRPr="00400D05">
              <w:rPr>
                <w:rFonts w:ascii="Century Gothic" w:hAnsi="Century Gothic" w:cs="Arial"/>
                <w:color w:val="000000"/>
                <w:sz w:val="22"/>
                <w:szCs w:val="20"/>
              </w:rPr>
              <w:t>Constitución Política de los Estados Unidos Mexicanos</w:t>
            </w:r>
          </w:p>
        </w:tc>
        <w:tc>
          <w:tcPr>
            <w:tcW w:w="0" w:type="auto"/>
            <w:shd w:val="clear" w:color="auto" w:fill="auto"/>
            <w:vAlign w:val="center"/>
            <w:hideMark/>
          </w:tcPr>
          <w:p w14:paraId="1A37A738" w14:textId="77777777" w:rsidR="005C64FD" w:rsidRPr="00400D05" w:rsidRDefault="005C64FD" w:rsidP="00646B7C">
            <w:pPr>
              <w:spacing w:line="312" w:lineRule="auto"/>
              <w:jc w:val="both"/>
              <w:rPr>
                <w:rFonts w:ascii="Century Gothic" w:hAnsi="Century Gothic" w:cs="Arial"/>
                <w:color w:val="000000"/>
                <w:sz w:val="22"/>
                <w:szCs w:val="20"/>
              </w:rPr>
            </w:pPr>
            <w:r w:rsidRPr="00400D05">
              <w:rPr>
                <w:rFonts w:ascii="Century Gothic" w:hAnsi="Century Gothic" w:cs="Arial"/>
                <w:color w:val="000000"/>
                <w:sz w:val="22"/>
                <w:szCs w:val="20"/>
              </w:rPr>
              <w:t>Utilización del Censo de Población y Vivienda 2010 (Último censo)</w:t>
            </w:r>
          </w:p>
        </w:tc>
      </w:tr>
      <w:tr w:rsidR="00AC12A2" w:rsidRPr="00400D05" w14:paraId="0ED2653B" w14:textId="77777777" w:rsidTr="00400D05">
        <w:trPr>
          <w:trHeight w:val="844"/>
        </w:trPr>
        <w:tc>
          <w:tcPr>
            <w:tcW w:w="0" w:type="auto"/>
          </w:tcPr>
          <w:p w14:paraId="5AE32570" w14:textId="77777777" w:rsidR="005C64FD" w:rsidRPr="00400D05" w:rsidRDefault="00AC12A2" w:rsidP="00A36F61">
            <w:pPr>
              <w:spacing w:line="312" w:lineRule="auto"/>
              <w:rPr>
                <w:rFonts w:ascii="Century Gothic" w:hAnsi="Century Gothic" w:cs="Arial"/>
                <w:color w:val="000000"/>
                <w:sz w:val="22"/>
                <w:szCs w:val="20"/>
              </w:rPr>
            </w:pPr>
            <w:r>
              <w:rPr>
                <w:rFonts w:ascii="Century Gothic" w:hAnsi="Century Gothic" w:cs="Arial"/>
                <w:color w:val="000000"/>
                <w:sz w:val="22"/>
                <w:szCs w:val="20"/>
              </w:rPr>
              <w:t>Consideración t</w:t>
            </w:r>
            <w:r w:rsidR="00994E54" w:rsidRPr="00400D05">
              <w:rPr>
                <w:rFonts w:ascii="Century Gothic" w:hAnsi="Century Gothic" w:cs="Arial"/>
                <w:color w:val="000000"/>
                <w:sz w:val="22"/>
                <w:szCs w:val="20"/>
              </w:rPr>
              <w:t>écnica de equilibrio poblacional</w:t>
            </w:r>
          </w:p>
        </w:tc>
        <w:tc>
          <w:tcPr>
            <w:tcW w:w="0" w:type="auto"/>
            <w:shd w:val="clear" w:color="auto" w:fill="auto"/>
            <w:vAlign w:val="center"/>
            <w:hideMark/>
          </w:tcPr>
          <w:p w14:paraId="57202BF4" w14:textId="77777777" w:rsidR="005C64FD" w:rsidRPr="00400D05" w:rsidRDefault="005C64FD" w:rsidP="00A36F61">
            <w:pPr>
              <w:spacing w:line="312" w:lineRule="auto"/>
              <w:jc w:val="both"/>
              <w:rPr>
                <w:rFonts w:ascii="Century Gothic" w:hAnsi="Century Gothic" w:cs="Arial"/>
                <w:color w:val="000000"/>
                <w:sz w:val="22"/>
                <w:szCs w:val="20"/>
              </w:rPr>
            </w:pPr>
            <w:r w:rsidRPr="00400D05">
              <w:rPr>
                <w:rFonts w:ascii="Century Gothic" w:hAnsi="Century Gothic" w:cs="Arial"/>
                <w:color w:val="000000"/>
                <w:sz w:val="22"/>
                <w:szCs w:val="20"/>
              </w:rPr>
              <w:t xml:space="preserve">Número de distritos fuera de rango </w:t>
            </w:r>
          </w:p>
          <w:p w14:paraId="0843098F" w14:textId="6885F7D7" w:rsidR="005C64FD" w:rsidRPr="00400D05" w:rsidRDefault="005C64FD" w:rsidP="00B67821">
            <w:pPr>
              <w:spacing w:line="312" w:lineRule="auto"/>
              <w:jc w:val="both"/>
              <w:rPr>
                <w:rFonts w:ascii="Century Gothic" w:hAnsi="Century Gothic" w:cs="Arial"/>
                <w:color w:val="000000"/>
                <w:sz w:val="22"/>
                <w:szCs w:val="20"/>
              </w:rPr>
            </w:pPr>
            <w:r w:rsidRPr="00400D05">
              <w:rPr>
                <w:rFonts w:ascii="Century Gothic" w:hAnsi="Century Gothic" w:cs="Arial"/>
                <w:color w:val="000000"/>
                <w:sz w:val="22"/>
                <w:szCs w:val="20"/>
              </w:rPr>
              <w:t>(Tomando en consideración el porcentaje de desviación poblacional de ±15%</w:t>
            </w:r>
            <w:r w:rsidR="002E4D85">
              <w:rPr>
                <w:rFonts w:ascii="Century Gothic" w:hAnsi="Century Gothic" w:cs="Arial"/>
                <w:color w:val="000000"/>
                <w:sz w:val="22"/>
                <w:szCs w:val="20"/>
              </w:rPr>
              <w:t xml:space="preserve"> respecto de la </w:t>
            </w:r>
            <w:r w:rsidR="0004458A">
              <w:rPr>
                <w:rFonts w:ascii="Century Gothic" w:hAnsi="Century Gothic" w:cs="Arial"/>
                <w:color w:val="000000"/>
                <w:sz w:val="22"/>
                <w:szCs w:val="20"/>
              </w:rPr>
              <w:t>población media</w:t>
            </w:r>
            <w:r w:rsidR="002E4D85">
              <w:rPr>
                <w:rFonts w:ascii="Century Gothic" w:hAnsi="Century Gothic" w:cs="Arial"/>
                <w:color w:val="000000"/>
                <w:sz w:val="22"/>
                <w:szCs w:val="20"/>
              </w:rPr>
              <w:t xml:space="preserve"> estatal</w:t>
            </w:r>
            <w:r w:rsidR="0096446B">
              <w:rPr>
                <w:rFonts w:ascii="Century Gothic" w:hAnsi="Century Gothic" w:cs="Arial"/>
                <w:color w:val="000000"/>
                <w:sz w:val="22"/>
                <w:szCs w:val="20"/>
              </w:rPr>
              <w:t>)</w:t>
            </w:r>
          </w:p>
        </w:tc>
      </w:tr>
      <w:tr w:rsidR="00AC12A2" w:rsidRPr="00400D05" w14:paraId="5360607C" w14:textId="77777777" w:rsidTr="00B201E6">
        <w:trPr>
          <w:trHeight w:val="283"/>
        </w:trPr>
        <w:tc>
          <w:tcPr>
            <w:tcW w:w="0" w:type="auto"/>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14:paraId="38823757" w14:textId="77777777" w:rsidR="00F449B8" w:rsidRPr="00400D05" w:rsidRDefault="00F449B8" w:rsidP="00412B5F">
            <w:pPr>
              <w:spacing w:line="312" w:lineRule="auto"/>
              <w:jc w:val="both"/>
              <w:rPr>
                <w:rFonts w:ascii="Century Gothic" w:hAnsi="Century Gothic" w:cs="Arial"/>
                <w:color w:val="000000"/>
                <w:sz w:val="22"/>
                <w:szCs w:val="20"/>
              </w:rPr>
            </w:pPr>
            <w:r>
              <w:rPr>
                <w:rFonts w:ascii="Century Gothic" w:hAnsi="Century Gothic" w:cs="Arial"/>
                <w:color w:val="000000"/>
                <w:sz w:val="22"/>
                <w:szCs w:val="20"/>
              </w:rPr>
              <w:t>Constitución Política de los Estados Unidos Mexicanos</w:t>
            </w:r>
          </w:p>
        </w:tc>
        <w:tc>
          <w:tcPr>
            <w:tcW w:w="0" w:type="auto"/>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shd w:val="clear" w:color="auto" w:fill="auto"/>
            <w:vAlign w:val="center"/>
          </w:tcPr>
          <w:p w14:paraId="7691D334" w14:textId="77777777" w:rsidR="00F449B8" w:rsidRDefault="00F449B8" w:rsidP="00412B5F">
            <w:pPr>
              <w:spacing w:line="312" w:lineRule="auto"/>
              <w:jc w:val="both"/>
              <w:rPr>
                <w:rFonts w:ascii="Century Gothic" w:hAnsi="Century Gothic" w:cs="Arial"/>
                <w:color w:val="000000"/>
                <w:sz w:val="22"/>
                <w:szCs w:val="20"/>
              </w:rPr>
            </w:pPr>
            <w:r w:rsidRPr="00F449B8">
              <w:rPr>
                <w:rFonts w:ascii="Century Gothic" w:hAnsi="Century Gothic" w:cs="Arial"/>
                <w:color w:val="000000"/>
                <w:sz w:val="22"/>
                <w:szCs w:val="20"/>
              </w:rPr>
              <w:t>Omisión en la creación de distritos indígenas cuando la entidad sí presenta municipios con 40% o más de población indígena</w:t>
            </w:r>
          </w:p>
        </w:tc>
      </w:tr>
      <w:tr w:rsidR="00AC12A2" w:rsidRPr="00400D05" w14:paraId="72EC966A" w14:textId="77777777" w:rsidTr="00B201E6">
        <w:trPr>
          <w:trHeight w:val="283"/>
        </w:trPr>
        <w:tc>
          <w:tcPr>
            <w:tcW w:w="0" w:type="auto"/>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14:paraId="336252C9" w14:textId="77777777" w:rsidR="00B201E6" w:rsidRPr="00400D05" w:rsidRDefault="00B201E6" w:rsidP="00412B5F">
            <w:pPr>
              <w:spacing w:line="312" w:lineRule="auto"/>
              <w:jc w:val="both"/>
              <w:rPr>
                <w:rFonts w:ascii="Century Gothic" w:hAnsi="Century Gothic" w:cs="Arial"/>
                <w:color w:val="000000"/>
                <w:sz w:val="22"/>
                <w:szCs w:val="20"/>
              </w:rPr>
            </w:pPr>
            <w:r w:rsidRPr="00400D05">
              <w:rPr>
                <w:rFonts w:ascii="Century Gothic" w:hAnsi="Century Gothic" w:cs="Arial"/>
                <w:color w:val="000000"/>
                <w:sz w:val="22"/>
                <w:szCs w:val="20"/>
              </w:rPr>
              <w:t>Constitución Estatal</w:t>
            </w:r>
          </w:p>
        </w:tc>
        <w:tc>
          <w:tcPr>
            <w:tcW w:w="0" w:type="auto"/>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shd w:val="clear" w:color="auto" w:fill="auto"/>
            <w:vAlign w:val="center"/>
          </w:tcPr>
          <w:p w14:paraId="5E0EA569" w14:textId="77777777" w:rsidR="00B201E6" w:rsidRPr="00400D05" w:rsidRDefault="00B201E6" w:rsidP="00412B5F">
            <w:pPr>
              <w:spacing w:line="312" w:lineRule="auto"/>
              <w:jc w:val="both"/>
              <w:rPr>
                <w:rFonts w:ascii="Century Gothic" w:hAnsi="Century Gothic" w:cs="Arial"/>
                <w:color w:val="000000"/>
                <w:sz w:val="22"/>
                <w:szCs w:val="20"/>
              </w:rPr>
            </w:pPr>
            <w:r>
              <w:rPr>
                <w:rFonts w:ascii="Century Gothic" w:hAnsi="Century Gothic" w:cs="Arial"/>
                <w:color w:val="000000"/>
                <w:sz w:val="22"/>
                <w:szCs w:val="20"/>
              </w:rPr>
              <w:t>Modificación en el n</w:t>
            </w:r>
            <w:r w:rsidRPr="00400D05">
              <w:rPr>
                <w:rFonts w:ascii="Century Gothic" w:hAnsi="Century Gothic" w:cs="Arial"/>
                <w:color w:val="000000"/>
                <w:sz w:val="22"/>
                <w:szCs w:val="20"/>
              </w:rPr>
              <w:t>úmero de diputados de mayoría relativa</w:t>
            </w:r>
          </w:p>
        </w:tc>
      </w:tr>
      <w:tr w:rsidR="00246B0B" w:rsidRPr="00400D05" w14:paraId="5837179D" w14:textId="77777777" w:rsidTr="00B201E6">
        <w:trPr>
          <w:trHeight w:val="283"/>
        </w:trPr>
        <w:tc>
          <w:tcPr>
            <w:tcW w:w="0" w:type="auto"/>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14:paraId="0B469997" w14:textId="0AA7B7CD" w:rsidR="00246B0B" w:rsidRPr="0007667A" w:rsidRDefault="00246B0B" w:rsidP="00412B5F">
            <w:pPr>
              <w:spacing w:line="312" w:lineRule="auto"/>
              <w:jc w:val="both"/>
              <w:rPr>
                <w:rFonts w:ascii="Century Gothic" w:hAnsi="Century Gothic" w:cs="Arial"/>
                <w:color w:val="000000"/>
                <w:sz w:val="22"/>
                <w:szCs w:val="20"/>
              </w:rPr>
            </w:pPr>
            <w:r w:rsidRPr="0007667A">
              <w:rPr>
                <w:rFonts w:ascii="Century Gothic" w:hAnsi="Century Gothic" w:cs="Arial"/>
                <w:color w:val="000000"/>
                <w:sz w:val="22"/>
                <w:szCs w:val="20"/>
              </w:rPr>
              <w:lastRenderedPageBreak/>
              <w:t>Consideración técnica</w:t>
            </w:r>
          </w:p>
        </w:tc>
        <w:tc>
          <w:tcPr>
            <w:tcW w:w="0" w:type="auto"/>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shd w:val="clear" w:color="auto" w:fill="auto"/>
            <w:vAlign w:val="center"/>
          </w:tcPr>
          <w:p w14:paraId="2E7EF984" w14:textId="0AA3EAA1" w:rsidR="00246B0B" w:rsidRDefault="00246B0B" w:rsidP="00412B5F">
            <w:pPr>
              <w:spacing w:line="312" w:lineRule="auto"/>
              <w:jc w:val="both"/>
              <w:rPr>
                <w:rFonts w:ascii="Century Gothic" w:hAnsi="Century Gothic" w:cs="Arial"/>
                <w:color w:val="000000"/>
                <w:sz w:val="22"/>
                <w:szCs w:val="20"/>
              </w:rPr>
            </w:pPr>
            <w:r w:rsidRPr="0007667A">
              <w:rPr>
                <w:rFonts w:ascii="Century Gothic" w:hAnsi="Century Gothic" w:cs="Arial"/>
                <w:color w:val="000000"/>
                <w:sz w:val="22"/>
                <w:szCs w:val="20"/>
              </w:rPr>
              <w:t>Continuidad geográfica</w:t>
            </w:r>
            <w:r w:rsidR="00955CEF" w:rsidRPr="0007667A">
              <w:rPr>
                <w:rFonts w:ascii="Century Gothic" w:hAnsi="Century Gothic" w:cs="Arial"/>
                <w:color w:val="000000"/>
                <w:sz w:val="22"/>
                <w:szCs w:val="20"/>
              </w:rPr>
              <w:t xml:space="preserve"> de los distritos</w:t>
            </w:r>
          </w:p>
        </w:tc>
      </w:tr>
      <w:tr w:rsidR="00872DC7" w:rsidRPr="00400D05" w14:paraId="2ED812EB" w14:textId="77777777" w:rsidTr="00B201E6">
        <w:trPr>
          <w:trHeight w:val="283"/>
        </w:trPr>
        <w:tc>
          <w:tcPr>
            <w:tcW w:w="0" w:type="auto"/>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14:paraId="19CCA929" w14:textId="64C129DD" w:rsidR="00872DC7" w:rsidRPr="00400D05" w:rsidRDefault="00872DC7" w:rsidP="00412B5F">
            <w:pPr>
              <w:spacing w:line="312" w:lineRule="auto"/>
              <w:jc w:val="both"/>
              <w:rPr>
                <w:rFonts w:ascii="Century Gothic" w:hAnsi="Century Gothic" w:cs="Arial"/>
                <w:color w:val="000000"/>
                <w:sz w:val="22"/>
                <w:szCs w:val="20"/>
              </w:rPr>
            </w:pPr>
            <w:r>
              <w:rPr>
                <w:rFonts w:ascii="Century Gothic" w:hAnsi="Century Gothic" w:cs="Arial"/>
                <w:color w:val="000000"/>
                <w:sz w:val="22"/>
                <w:szCs w:val="20"/>
              </w:rPr>
              <w:t>Consideración técnica</w:t>
            </w:r>
          </w:p>
        </w:tc>
        <w:tc>
          <w:tcPr>
            <w:tcW w:w="0" w:type="auto"/>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shd w:val="clear" w:color="auto" w:fill="auto"/>
            <w:vAlign w:val="center"/>
          </w:tcPr>
          <w:p w14:paraId="5B823FD7" w14:textId="73843073" w:rsidR="00872DC7" w:rsidRDefault="00872DC7" w:rsidP="00412B5F">
            <w:pPr>
              <w:spacing w:line="312" w:lineRule="auto"/>
              <w:jc w:val="both"/>
              <w:rPr>
                <w:rFonts w:ascii="Century Gothic" w:hAnsi="Century Gothic" w:cs="Arial"/>
                <w:color w:val="000000"/>
                <w:sz w:val="22"/>
                <w:szCs w:val="20"/>
              </w:rPr>
            </w:pPr>
            <w:r>
              <w:rPr>
                <w:rFonts w:ascii="Century Gothic" w:hAnsi="Century Gothic" w:cs="Arial"/>
                <w:color w:val="000000"/>
                <w:sz w:val="22"/>
                <w:szCs w:val="20"/>
              </w:rPr>
              <w:t xml:space="preserve">Homologar </w:t>
            </w:r>
            <w:r w:rsidR="00C94EBD">
              <w:rPr>
                <w:rFonts w:ascii="Century Gothic" w:hAnsi="Century Gothic" w:cs="Arial"/>
                <w:color w:val="000000"/>
                <w:sz w:val="22"/>
                <w:szCs w:val="20"/>
              </w:rPr>
              <w:t xml:space="preserve">la </w:t>
            </w:r>
            <w:r>
              <w:rPr>
                <w:rFonts w:ascii="Century Gothic" w:hAnsi="Century Gothic" w:cs="Arial"/>
                <w:color w:val="000000"/>
                <w:sz w:val="22"/>
                <w:szCs w:val="20"/>
              </w:rPr>
              <w:t>metodolog</w:t>
            </w:r>
            <w:r w:rsidR="007C4987">
              <w:rPr>
                <w:rFonts w:ascii="Century Gothic" w:hAnsi="Century Gothic" w:cs="Arial"/>
                <w:color w:val="000000"/>
                <w:sz w:val="22"/>
                <w:szCs w:val="20"/>
              </w:rPr>
              <w:t xml:space="preserve">ía de </w:t>
            </w:r>
            <w:proofErr w:type="spellStart"/>
            <w:r w:rsidR="007C4987">
              <w:rPr>
                <w:rFonts w:ascii="Century Gothic" w:hAnsi="Century Gothic" w:cs="Arial"/>
                <w:color w:val="000000"/>
                <w:sz w:val="22"/>
                <w:szCs w:val="20"/>
              </w:rPr>
              <w:t>distritación</w:t>
            </w:r>
            <w:proofErr w:type="spellEnd"/>
          </w:p>
        </w:tc>
      </w:tr>
    </w:tbl>
    <w:p w14:paraId="79536893" w14:textId="77777777" w:rsidR="00F20707" w:rsidRPr="004464CF" w:rsidRDefault="00F20707" w:rsidP="00A36F61">
      <w:pPr>
        <w:spacing w:after="200" w:line="312" w:lineRule="auto"/>
        <w:jc w:val="both"/>
        <w:rPr>
          <w:rFonts w:ascii="Century Gothic" w:hAnsi="Century Gothic" w:cs="Arial"/>
          <w:sz w:val="22"/>
          <w:szCs w:val="22"/>
        </w:rPr>
      </w:pPr>
    </w:p>
    <w:p w14:paraId="0FDFCA37" w14:textId="77777777" w:rsidR="00A36F61" w:rsidRDefault="00A36F61">
      <w:pPr>
        <w:rPr>
          <w:rFonts w:ascii="Century Gothic" w:hAnsi="Century Gothic" w:cs="Arial"/>
          <w:b/>
          <w:sz w:val="22"/>
          <w:szCs w:val="22"/>
        </w:rPr>
      </w:pPr>
    </w:p>
    <w:p w14:paraId="175D485F" w14:textId="79E0C461" w:rsidR="00B63528" w:rsidRDefault="00D7385D" w:rsidP="006B3BC8">
      <w:pPr>
        <w:pStyle w:val="Prrafodelista"/>
        <w:numPr>
          <w:ilvl w:val="0"/>
          <w:numId w:val="3"/>
        </w:numPr>
        <w:spacing w:line="312" w:lineRule="auto"/>
        <w:ind w:left="714" w:hanging="357"/>
        <w:jc w:val="both"/>
        <w:rPr>
          <w:rFonts w:ascii="Century Gothic" w:hAnsi="Century Gothic" w:cs="Arial"/>
          <w:sz w:val="22"/>
          <w:szCs w:val="22"/>
        </w:rPr>
      </w:pPr>
      <w:r w:rsidRPr="00D7385D">
        <w:rPr>
          <w:rFonts w:ascii="Century Gothic" w:hAnsi="Century Gothic" w:cs="Arial"/>
          <w:b/>
          <w:sz w:val="22"/>
          <w:szCs w:val="22"/>
        </w:rPr>
        <w:t>Indicador sobre la utilización</w:t>
      </w:r>
      <w:r>
        <w:rPr>
          <w:rFonts w:ascii="Century Gothic" w:hAnsi="Century Gothic" w:cs="Arial"/>
          <w:b/>
          <w:sz w:val="22"/>
          <w:szCs w:val="22"/>
        </w:rPr>
        <w:t xml:space="preserve"> del Censo de P</w:t>
      </w:r>
      <w:r w:rsidRPr="00D7385D">
        <w:rPr>
          <w:rFonts w:ascii="Century Gothic" w:hAnsi="Century Gothic" w:cs="Arial"/>
          <w:b/>
          <w:sz w:val="22"/>
          <w:szCs w:val="22"/>
        </w:rPr>
        <w:t>oblación</w:t>
      </w:r>
      <w:r>
        <w:rPr>
          <w:rFonts w:ascii="Century Gothic" w:hAnsi="Century Gothic" w:cs="Arial"/>
          <w:b/>
          <w:sz w:val="22"/>
          <w:szCs w:val="22"/>
        </w:rPr>
        <w:t xml:space="preserve"> y Vivienda 2010</w:t>
      </w:r>
      <w:r w:rsidRPr="00D7385D">
        <w:rPr>
          <w:rFonts w:ascii="Century Gothic" w:hAnsi="Century Gothic" w:cs="Arial"/>
          <w:b/>
          <w:sz w:val="22"/>
          <w:szCs w:val="22"/>
        </w:rPr>
        <w:t>.</w:t>
      </w:r>
      <w:r w:rsidR="00400D05">
        <w:rPr>
          <w:rFonts w:ascii="Century Gothic" w:hAnsi="Century Gothic" w:cs="Arial"/>
          <w:sz w:val="22"/>
          <w:szCs w:val="22"/>
        </w:rPr>
        <w:t xml:space="preserve"> </w:t>
      </w:r>
      <w:r w:rsidR="00F20707" w:rsidRPr="00E4289F">
        <w:rPr>
          <w:rFonts w:ascii="Century Gothic" w:hAnsi="Century Gothic" w:cs="Arial"/>
          <w:sz w:val="22"/>
          <w:szCs w:val="22"/>
        </w:rPr>
        <w:t xml:space="preserve">Respecto </w:t>
      </w:r>
      <w:r w:rsidRPr="00E4289F">
        <w:rPr>
          <w:rFonts w:ascii="Century Gothic" w:hAnsi="Century Gothic" w:cs="Arial"/>
          <w:sz w:val="22"/>
          <w:szCs w:val="22"/>
        </w:rPr>
        <w:t xml:space="preserve">a este </w:t>
      </w:r>
      <w:r w:rsidR="00F20707" w:rsidRPr="00E4289F">
        <w:rPr>
          <w:rFonts w:ascii="Century Gothic" w:hAnsi="Century Gothic" w:cs="Arial"/>
          <w:sz w:val="22"/>
          <w:szCs w:val="22"/>
        </w:rPr>
        <w:t xml:space="preserve">indicador se encontró que </w:t>
      </w:r>
      <w:r w:rsidR="00F26DB6" w:rsidRPr="00E4289F">
        <w:rPr>
          <w:rFonts w:ascii="Century Gothic" w:hAnsi="Century Gothic" w:cs="Arial"/>
          <w:sz w:val="22"/>
          <w:szCs w:val="22"/>
        </w:rPr>
        <w:t xml:space="preserve">Baja California Sur, Campeche, Chiapas, </w:t>
      </w:r>
      <w:r w:rsidR="00646B7C" w:rsidRPr="00E4289F">
        <w:rPr>
          <w:rFonts w:ascii="Century Gothic" w:hAnsi="Century Gothic" w:cs="Arial"/>
          <w:sz w:val="22"/>
          <w:szCs w:val="22"/>
        </w:rPr>
        <w:t xml:space="preserve">Guanajuato, </w:t>
      </w:r>
      <w:r w:rsidR="00F26DB6" w:rsidRPr="00E4289F">
        <w:rPr>
          <w:rFonts w:ascii="Century Gothic" w:hAnsi="Century Gothic" w:cs="Arial"/>
          <w:sz w:val="22"/>
          <w:szCs w:val="22"/>
        </w:rPr>
        <w:t xml:space="preserve">Jalisco, México, Michoacán, Morelos, Nuevo León, Querétaro, </w:t>
      </w:r>
      <w:r w:rsidR="00646B7C" w:rsidRPr="00E4289F">
        <w:rPr>
          <w:rFonts w:ascii="Century Gothic" w:hAnsi="Century Gothic" w:cs="Arial"/>
          <w:sz w:val="22"/>
          <w:szCs w:val="22"/>
        </w:rPr>
        <w:t xml:space="preserve">San Luis Potosí, </w:t>
      </w:r>
      <w:r w:rsidR="00F26DB6" w:rsidRPr="00E4289F">
        <w:rPr>
          <w:rFonts w:ascii="Century Gothic" w:hAnsi="Century Gothic" w:cs="Arial"/>
          <w:sz w:val="22"/>
          <w:szCs w:val="22"/>
        </w:rPr>
        <w:t>Sonora y Yucatán</w:t>
      </w:r>
      <w:r w:rsidR="00646B7C" w:rsidRPr="00E4289F">
        <w:rPr>
          <w:rFonts w:ascii="Century Gothic" w:hAnsi="Century Gothic" w:cs="Arial"/>
          <w:sz w:val="22"/>
          <w:szCs w:val="22"/>
        </w:rPr>
        <w:t xml:space="preserve"> </w:t>
      </w:r>
      <w:r w:rsidR="00F26DB6" w:rsidRPr="00E4289F">
        <w:rPr>
          <w:rFonts w:ascii="Century Gothic" w:hAnsi="Century Gothic" w:cs="Arial"/>
          <w:sz w:val="22"/>
          <w:szCs w:val="22"/>
        </w:rPr>
        <w:t xml:space="preserve">no </w:t>
      </w:r>
      <w:r w:rsidR="00646B7C" w:rsidRPr="00E4289F">
        <w:rPr>
          <w:rFonts w:ascii="Century Gothic" w:hAnsi="Century Gothic" w:cs="Arial"/>
          <w:sz w:val="22"/>
          <w:szCs w:val="22"/>
        </w:rPr>
        <w:t>utilizaron en la determinación de sus distritos electorales locales el Censo de Población y Vivienda 2010</w:t>
      </w:r>
      <w:r w:rsidR="00B63528">
        <w:rPr>
          <w:rFonts w:ascii="Century Gothic" w:hAnsi="Century Gothic" w:cs="Arial"/>
          <w:sz w:val="22"/>
          <w:szCs w:val="22"/>
        </w:rPr>
        <w:t>,</w:t>
      </w:r>
      <w:r w:rsidR="00B63528" w:rsidRPr="00E4289F">
        <w:rPr>
          <w:rFonts w:ascii="Century Gothic" w:hAnsi="Century Gothic" w:cs="Arial"/>
          <w:sz w:val="22"/>
          <w:szCs w:val="22"/>
        </w:rPr>
        <w:t xml:space="preserve"> </w:t>
      </w:r>
      <w:r w:rsidR="00B63528">
        <w:rPr>
          <w:rFonts w:ascii="Century Gothic" w:hAnsi="Century Gothic" w:cs="Arial"/>
          <w:sz w:val="22"/>
          <w:szCs w:val="22"/>
        </w:rPr>
        <w:t>p</w:t>
      </w:r>
      <w:r w:rsidR="00B63528" w:rsidRPr="00E4289F">
        <w:rPr>
          <w:rFonts w:ascii="Century Gothic" w:hAnsi="Century Gothic" w:cs="Arial"/>
          <w:sz w:val="22"/>
          <w:szCs w:val="22"/>
        </w:rPr>
        <w:t xml:space="preserve">or </w:t>
      </w:r>
      <w:r w:rsidR="00F26DB6" w:rsidRPr="00E4289F">
        <w:rPr>
          <w:rFonts w:ascii="Century Gothic" w:hAnsi="Century Gothic" w:cs="Arial"/>
          <w:sz w:val="22"/>
          <w:szCs w:val="22"/>
        </w:rPr>
        <w:t>lo que de conformidad al mandato constitucional, no están hechas conforme al último censo poblacional.</w:t>
      </w:r>
    </w:p>
    <w:p w14:paraId="70AE1450" w14:textId="77777777" w:rsidR="00B63528" w:rsidRDefault="00B63528" w:rsidP="006B3BC8">
      <w:pPr>
        <w:pStyle w:val="Prrafodelista"/>
        <w:spacing w:line="312" w:lineRule="auto"/>
        <w:ind w:left="714"/>
        <w:jc w:val="both"/>
        <w:rPr>
          <w:rFonts w:ascii="Century Gothic" w:hAnsi="Century Gothic" w:cs="Arial"/>
          <w:b/>
          <w:sz w:val="22"/>
          <w:szCs w:val="22"/>
        </w:rPr>
      </w:pPr>
    </w:p>
    <w:p w14:paraId="614E3CEB" w14:textId="341F5AC6" w:rsidR="00F26DB6" w:rsidRPr="00E4289F" w:rsidRDefault="00F26DB6" w:rsidP="0059010A">
      <w:pPr>
        <w:pStyle w:val="Prrafodelista"/>
        <w:spacing w:line="360" w:lineRule="auto"/>
        <w:ind w:left="714"/>
        <w:jc w:val="both"/>
        <w:rPr>
          <w:rFonts w:ascii="Century Gothic" w:hAnsi="Century Gothic" w:cs="Arial"/>
          <w:sz w:val="22"/>
          <w:szCs w:val="22"/>
        </w:rPr>
      </w:pPr>
      <w:r w:rsidRPr="00E4289F">
        <w:rPr>
          <w:rFonts w:ascii="Century Gothic" w:hAnsi="Century Gothic" w:cs="Arial"/>
          <w:sz w:val="22"/>
          <w:szCs w:val="22"/>
        </w:rPr>
        <w:t xml:space="preserve">Las entidades de </w:t>
      </w:r>
      <w:r w:rsidR="00D944B4">
        <w:rPr>
          <w:rFonts w:ascii="Century Gothic" w:hAnsi="Century Gothic" w:cs="Arial"/>
          <w:sz w:val="22"/>
          <w:szCs w:val="22"/>
        </w:rPr>
        <w:t xml:space="preserve">Ciudad de México, </w:t>
      </w:r>
      <w:r w:rsidRPr="00E4289F">
        <w:rPr>
          <w:rFonts w:ascii="Century Gothic" w:hAnsi="Century Gothic" w:cs="Arial"/>
          <w:sz w:val="22"/>
          <w:szCs w:val="22"/>
        </w:rPr>
        <w:t xml:space="preserve">Colima, </w:t>
      </w:r>
      <w:r w:rsidR="00646B7C" w:rsidRPr="00E4289F">
        <w:rPr>
          <w:rFonts w:ascii="Century Gothic" w:hAnsi="Century Gothic" w:cs="Arial"/>
          <w:sz w:val="22"/>
          <w:szCs w:val="22"/>
        </w:rPr>
        <w:t>Guerrero</w:t>
      </w:r>
      <w:r w:rsidRPr="00E4289F">
        <w:rPr>
          <w:rFonts w:ascii="Century Gothic" w:hAnsi="Century Gothic" w:cs="Arial"/>
          <w:sz w:val="22"/>
          <w:szCs w:val="22"/>
        </w:rPr>
        <w:t xml:space="preserve"> y Tabasco sí utilizaron el mencionado censo.</w:t>
      </w:r>
    </w:p>
    <w:p w14:paraId="1183E6F4" w14:textId="77777777" w:rsidR="00646B7C" w:rsidRPr="00F26DB6" w:rsidRDefault="00646B7C" w:rsidP="002218E3">
      <w:pPr>
        <w:pStyle w:val="Prrafodelista"/>
        <w:spacing w:after="0" w:line="240" w:lineRule="auto"/>
        <w:ind w:left="714"/>
        <w:jc w:val="both"/>
        <w:rPr>
          <w:rFonts w:ascii="Century Gothic" w:hAnsi="Century Gothic" w:cs="Arial"/>
          <w:sz w:val="22"/>
          <w:szCs w:val="22"/>
        </w:rPr>
      </w:pPr>
    </w:p>
    <w:p w14:paraId="0C3FE17B" w14:textId="73670D34" w:rsidR="00F20707" w:rsidRPr="002218E3" w:rsidRDefault="00D7385D" w:rsidP="002218E3">
      <w:pPr>
        <w:pStyle w:val="Prrafodelista"/>
        <w:numPr>
          <w:ilvl w:val="0"/>
          <w:numId w:val="3"/>
        </w:numPr>
        <w:spacing w:line="312" w:lineRule="auto"/>
        <w:jc w:val="both"/>
        <w:rPr>
          <w:rFonts w:ascii="Century Gothic" w:hAnsi="Century Gothic" w:cs="Arial"/>
          <w:b/>
          <w:sz w:val="22"/>
          <w:szCs w:val="22"/>
        </w:rPr>
      </w:pPr>
      <w:r w:rsidRPr="002218E3">
        <w:rPr>
          <w:rFonts w:ascii="Century Gothic" w:hAnsi="Century Gothic" w:cs="Arial"/>
          <w:b/>
          <w:sz w:val="22"/>
          <w:szCs w:val="22"/>
        </w:rPr>
        <w:t xml:space="preserve">Indicador </w:t>
      </w:r>
      <w:r w:rsidR="00955B6F" w:rsidRPr="002218E3">
        <w:rPr>
          <w:rFonts w:ascii="Century Gothic" w:hAnsi="Century Gothic" w:cs="Arial"/>
          <w:b/>
          <w:sz w:val="22"/>
          <w:szCs w:val="22"/>
        </w:rPr>
        <w:t xml:space="preserve">de </w:t>
      </w:r>
      <w:r w:rsidRPr="002218E3">
        <w:rPr>
          <w:rFonts w:ascii="Century Gothic" w:hAnsi="Century Gothic" w:cs="Arial"/>
          <w:b/>
          <w:sz w:val="22"/>
          <w:szCs w:val="22"/>
        </w:rPr>
        <w:t>distritos fuera de rango</w:t>
      </w:r>
      <w:r w:rsidR="00C94EBD">
        <w:rPr>
          <w:rFonts w:ascii="Century Gothic" w:hAnsi="Century Gothic" w:cs="Arial"/>
          <w:b/>
          <w:sz w:val="22"/>
          <w:szCs w:val="22"/>
        </w:rPr>
        <w:t>.</w:t>
      </w:r>
      <w:r w:rsidRPr="002218E3">
        <w:rPr>
          <w:rFonts w:ascii="Century Gothic" w:hAnsi="Century Gothic" w:cs="Arial"/>
          <w:b/>
          <w:sz w:val="22"/>
          <w:szCs w:val="22"/>
        </w:rPr>
        <w:t xml:space="preserve"> </w:t>
      </w:r>
      <w:r w:rsidRPr="002218E3">
        <w:rPr>
          <w:rFonts w:ascii="Century Gothic" w:hAnsi="Century Gothic" w:cs="Arial"/>
          <w:sz w:val="22"/>
          <w:szCs w:val="22"/>
        </w:rPr>
        <w:t xml:space="preserve">El análisis sobre el </w:t>
      </w:r>
      <w:r w:rsidR="00F20707" w:rsidRPr="002218E3">
        <w:rPr>
          <w:rFonts w:ascii="Century Gothic" w:hAnsi="Century Gothic" w:cs="Arial"/>
          <w:sz w:val="22"/>
          <w:szCs w:val="22"/>
        </w:rPr>
        <w:t xml:space="preserve">número de distritos fuera de rango (tomando en consideración el porcentaje de desviación poblacional de ±15% respecto a la población media estatal) </w:t>
      </w:r>
      <w:r w:rsidRPr="002218E3">
        <w:rPr>
          <w:rFonts w:ascii="Century Gothic" w:hAnsi="Century Gothic" w:cs="Arial"/>
          <w:sz w:val="22"/>
          <w:szCs w:val="22"/>
        </w:rPr>
        <w:t xml:space="preserve">reportó </w:t>
      </w:r>
      <w:r w:rsidR="00F20707" w:rsidRPr="002218E3">
        <w:rPr>
          <w:rFonts w:ascii="Century Gothic" w:hAnsi="Century Gothic" w:cs="Arial"/>
          <w:sz w:val="22"/>
          <w:szCs w:val="22"/>
        </w:rPr>
        <w:t>los</w:t>
      </w:r>
      <w:r w:rsidR="002218E3">
        <w:rPr>
          <w:rFonts w:ascii="Century Gothic" w:hAnsi="Century Gothic" w:cs="Arial"/>
          <w:sz w:val="22"/>
          <w:szCs w:val="22"/>
        </w:rPr>
        <w:t xml:space="preserve"> siguientes resultados: tres</w:t>
      </w:r>
      <w:r w:rsidR="00F20707" w:rsidRPr="002218E3">
        <w:rPr>
          <w:rFonts w:ascii="Century Gothic" w:hAnsi="Century Gothic" w:cs="Arial"/>
          <w:sz w:val="22"/>
          <w:szCs w:val="22"/>
        </w:rPr>
        <w:t xml:space="preserve"> entidades tienen todos sus dist</w:t>
      </w:r>
      <w:r w:rsidR="002218E3">
        <w:rPr>
          <w:rFonts w:ascii="Century Gothic" w:hAnsi="Century Gothic" w:cs="Arial"/>
          <w:sz w:val="22"/>
          <w:szCs w:val="22"/>
        </w:rPr>
        <w:t>ritos dentro de rango; las catorce</w:t>
      </w:r>
      <w:r w:rsidR="00F20707" w:rsidRPr="002218E3">
        <w:rPr>
          <w:rFonts w:ascii="Century Gothic" w:hAnsi="Century Gothic" w:cs="Arial"/>
          <w:sz w:val="22"/>
          <w:szCs w:val="22"/>
        </w:rPr>
        <w:t xml:space="preserve"> restantes, presentan </w:t>
      </w:r>
      <w:r w:rsidR="00DB16F9">
        <w:rPr>
          <w:rFonts w:ascii="Century Gothic" w:hAnsi="Century Gothic" w:cs="Arial"/>
          <w:sz w:val="22"/>
          <w:szCs w:val="22"/>
        </w:rPr>
        <w:t xml:space="preserve">al </w:t>
      </w:r>
      <w:r w:rsidR="00F20707" w:rsidRPr="002218E3">
        <w:rPr>
          <w:rFonts w:ascii="Century Gothic" w:hAnsi="Century Gothic" w:cs="Arial"/>
          <w:sz w:val="22"/>
          <w:szCs w:val="22"/>
        </w:rPr>
        <w:t xml:space="preserve">menos </w:t>
      </w:r>
      <w:r w:rsidR="002218E3">
        <w:rPr>
          <w:rFonts w:ascii="Century Gothic" w:hAnsi="Century Gothic" w:cs="Arial"/>
          <w:sz w:val="22"/>
          <w:szCs w:val="22"/>
        </w:rPr>
        <w:t>dos</w:t>
      </w:r>
      <w:r w:rsidR="00F20707" w:rsidRPr="002218E3">
        <w:rPr>
          <w:rFonts w:ascii="Century Gothic" w:hAnsi="Century Gothic" w:cs="Arial"/>
          <w:sz w:val="22"/>
          <w:szCs w:val="22"/>
        </w:rPr>
        <w:t xml:space="preserve"> distrito</w:t>
      </w:r>
      <w:r w:rsidR="002E4D85">
        <w:rPr>
          <w:rFonts w:ascii="Century Gothic" w:hAnsi="Century Gothic" w:cs="Arial"/>
          <w:sz w:val="22"/>
          <w:szCs w:val="22"/>
        </w:rPr>
        <w:t>s</w:t>
      </w:r>
      <w:r w:rsidR="002218E3">
        <w:rPr>
          <w:rFonts w:ascii="Century Gothic" w:hAnsi="Century Gothic" w:cs="Arial"/>
          <w:sz w:val="22"/>
          <w:szCs w:val="22"/>
        </w:rPr>
        <w:t xml:space="preserve"> fuera de rango. </w:t>
      </w:r>
      <w:r w:rsidR="002E4D85">
        <w:rPr>
          <w:rFonts w:ascii="Century Gothic" w:hAnsi="Century Gothic" w:cs="Arial"/>
          <w:sz w:val="22"/>
          <w:szCs w:val="22"/>
        </w:rPr>
        <w:t>De estas últimas, c</w:t>
      </w:r>
      <w:r w:rsidR="002218E3">
        <w:rPr>
          <w:rFonts w:ascii="Century Gothic" w:hAnsi="Century Gothic" w:cs="Arial"/>
          <w:sz w:val="22"/>
          <w:szCs w:val="22"/>
        </w:rPr>
        <w:t>inco tienen el 65</w:t>
      </w:r>
      <w:r w:rsidR="00F20707" w:rsidRPr="002218E3">
        <w:rPr>
          <w:rFonts w:ascii="Century Gothic" w:hAnsi="Century Gothic" w:cs="Arial"/>
          <w:sz w:val="22"/>
          <w:szCs w:val="22"/>
        </w:rPr>
        <w:t xml:space="preserve">% </w:t>
      </w:r>
      <w:r w:rsidR="002218E3">
        <w:rPr>
          <w:rFonts w:ascii="Century Gothic" w:hAnsi="Century Gothic" w:cs="Arial"/>
          <w:sz w:val="22"/>
          <w:szCs w:val="22"/>
        </w:rPr>
        <w:t xml:space="preserve">o más </w:t>
      </w:r>
      <w:r w:rsidR="00F20707" w:rsidRPr="002218E3">
        <w:rPr>
          <w:rFonts w:ascii="Century Gothic" w:hAnsi="Century Gothic" w:cs="Arial"/>
          <w:sz w:val="22"/>
          <w:szCs w:val="22"/>
        </w:rPr>
        <w:t>d</w:t>
      </w:r>
      <w:r w:rsidRPr="002218E3">
        <w:rPr>
          <w:rFonts w:ascii="Century Gothic" w:hAnsi="Century Gothic" w:cs="Arial"/>
          <w:sz w:val="22"/>
          <w:szCs w:val="22"/>
        </w:rPr>
        <w:t>e sus distritos fuera de rango;</w:t>
      </w:r>
      <w:r w:rsidR="00F20707" w:rsidRPr="002218E3">
        <w:rPr>
          <w:rFonts w:ascii="Century Gothic" w:hAnsi="Century Gothic" w:cs="Arial"/>
          <w:sz w:val="22"/>
          <w:szCs w:val="22"/>
        </w:rPr>
        <w:t xml:space="preserve"> </w:t>
      </w:r>
      <w:r w:rsidR="002E4D85">
        <w:rPr>
          <w:rFonts w:ascii="Century Gothic" w:hAnsi="Century Gothic" w:cs="Arial"/>
          <w:sz w:val="22"/>
          <w:szCs w:val="22"/>
        </w:rPr>
        <w:t>seis presentan entre el 35% y el 55</w:t>
      </w:r>
      <w:r w:rsidR="00F20707" w:rsidRPr="002218E3">
        <w:rPr>
          <w:rFonts w:ascii="Century Gothic" w:hAnsi="Century Gothic" w:cs="Arial"/>
          <w:sz w:val="22"/>
          <w:szCs w:val="22"/>
        </w:rPr>
        <w:t xml:space="preserve">% de sus distritos </w:t>
      </w:r>
      <w:r w:rsidR="002E4D85">
        <w:rPr>
          <w:rFonts w:ascii="Century Gothic" w:hAnsi="Century Gothic" w:cs="Arial"/>
          <w:sz w:val="22"/>
          <w:szCs w:val="22"/>
        </w:rPr>
        <w:t>con esta característica</w:t>
      </w:r>
      <w:r w:rsidR="00F20707" w:rsidRPr="002218E3">
        <w:rPr>
          <w:rFonts w:ascii="Century Gothic" w:hAnsi="Century Gothic" w:cs="Arial"/>
          <w:sz w:val="22"/>
          <w:szCs w:val="22"/>
        </w:rPr>
        <w:t xml:space="preserve">; </w:t>
      </w:r>
      <w:r w:rsidR="002E4D85">
        <w:rPr>
          <w:rFonts w:ascii="Century Gothic" w:hAnsi="Century Gothic" w:cs="Arial"/>
          <w:sz w:val="22"/>
          <w:szCs w:val="22"/>
        </w:rPr>
        <w:t xml:space="preserve">por último, </w:t>
      </w:r>
      <w:r w:rsidR="00F20707" w:rsidRPr="002218E3">
        <w:rPr>
          <w:rFonts w:ascii="Century Gothic" w:hAnsi="Century Gothic" w:cs="Arial"/>
          <w:sz w:val="22"/>
          <w:szCs w:val="22"/>
        </w:rPr>
        <w:t xml:space="preserve">tres más se ubican entre el </w:t>
      </w:r>
      <w:r w:rsidR="002E4D85">
        <w:rPr>
          <w:rFonts w:ascii="Century Gothic" w:hAnsi="Century Gothic" w:cs="Arial"/>
          <w:sz w:val="22"/>
          <w:szCs w:val="22"/>
        </w:rPr>
        <w:t>7</w:t>
      </w:r>
      <w:r w:rsidR="00F20707" w:rsidRPr="002218E3">
        <w:rPr>
          <w:rFonts w:ascii="Century Gothic" w:hAnsi="Century Gothic" w:cs="Arial"/>
          <w:sz w:val="22"/>
          <w:szCs w:val="22"/>
        </w:rPr>
        <w:t xml:space="preserve">% y el </w:t>
      </w:r>
      <w:r w:rsidR="002E4D85">
        <w:rPr>
          <w:rFonts w:ascii="Century Gothic" w:hAnsi="Century Gothic" w:cs="Arial"/>
          <w:sz w:val="22"/>
          <w:szCs w:val="22"/>
        </w:rPr>
        <w:t>14% de sus distritos que tampoco</w:t>
      </w:r>
      <w:r w:rsidR="00DB16F9">
        <w:rPr>
          <w:rFonts w:ascii="Century Gothic" w:hAnsi="Century Gothic" w:cs="Arial"/>
          <w:sz w:val="22"/>
          <w:szCs w:val="22"/>
        </w:rPr>
        <w:t xml:space="preserve"> cumplen</w:t>
      </w:r>
      <w:r w:rsidR="002E4D85">
        <w:rPr>
          <w:rFonts w:ascii="Century Gothic" w:hAnsi="Century Gothic" w:cs="Arial"/>
          <w:sz w:val="22"/>
          <w:szCs w:val="22"/>
        </w:rPr>
        <w:t>.</w:t>
      </w:r>
    </w:p>
    <w:p w14:paraId="09B9E010" w14:textId="77777777" w:rsidR="002218E3" w:rsidRPr="002218E3" w:rsidRDefault="002218E3" w:rsidP="002218E3">
      <w:pPr>
        <w:pStyle w:val="Prrafodelista"/>
        <w:spacing w:line="312" w:lineRule="auto"/>
        <w:jc w:val="both"/>
        <w:rPr>
          <w:rFonts w:ascii="Century Gothic" w:hAnsi="Century Gothic" w:cs="Arial"/>
          <w:b/>
          <w:sz w:val="22"/>
          <w:szCs w:val="22"/>
        </w:rPr>
      </w:pPr>
    </w:p>
    <w:p w14:paraId="3AD57804" w14:textId="77777777" w:rsidR="00F20707" w:rsidRPr="004464CF" w:rsidRDefault="00F20707" w:rsidP="002218E3">
      <w:pPr>
        <w:pStyle w:val="Prrafodelista"/>
        <w:spacing w:line="312" w:lineRule="auto"/>
        <w:ind w:left="426" w:firstLine="282"/>
        <w:contextualSpacing w:val="0"/>
        <w:jc w:val="both"/>
        <w:rPr>
          <w:rFonts w:ascii="Century Gothic" w:hAnsi="Century Gothic" w:cs="Arial"/>
          <w:sz w:val="22"/>
          <w:szCs w:val="22"/>
        </w:rPr>
      </w:pPr>
      <w:r w:rsidRPr="004464CF">
        <w:rPr>
          <w:rFonts w:ascii="Century Gothic" w:hAnsi="Century Gothic" w:cs="Arial"/>
          <w:sz w:val="22"/>
          <w:szCs w:val="22"/>
        </w:rPr>
        <w:t xml:space="preserve">Por entidad los resultados son los siguientes: </w:t>
      </w:r>
    </w:p>
    <w:p w14:paraId="781D193C" w14:textId="77777777" w:rsidR="00246B0B" w:rsidRDefault="00246B0B">
      <w:r>
        <w:br w:type="page"/>
      </w:r>
    </w:p>
    <w:tbl>
      <w:tblPr>
        <w:tblW w:w="8835" w:type="dxa"/>
        <w:tblCellMar>
          <w:left w:w="70" w:type="dxa"/>
          <w:right w:w="70" w:type="dxa"/>
        </w:tblCellMar>
        <w:tblLook w:val="04A0" w:firstRow="1" w:lastRow="0" w:firstColumn="1" w:lastColumn="0" w:noHBand="0" w:noVBand="1"/>
      </w:tblPr>
      <w:tblGrid>
        <w:gridCol w:w="1816"/>
        <w:gridCol w:w="1240"/>
        <w:gridCol w:w="1240"/>
        <w:gridCol w:w="2160"/>
        <w:gridCol w:w="2379"/>
      </w:tblGrid>
      <w:tr w:rsidR="007E2286" w14:paraId="3733A2AC" w14:textId="77777777" w:rsidTr="007E2286">
        <w:trPr>
          <w:trHeight w:val="756"/>
        </w:trPr>
        <w:tc>
          <w:tcPr>
            <w:tcW w:w="8835" w:type="dxa"/>
            <w:gridSpan w:val="5"/>
            <w:tcBorders>
              <w:top w:val="nil"/>
              <w:left w:val="nil"/>
              <w:bottom w:val="nil"/>
              <w:right w:val="nil"/>
            </w:tcBorders>
            <w:shd w:val="clear" w:color="auto" w:fill="auto"/>
            <w:vAlign w:val="bottom"/>
            <w:hideMark/>
          </w:tcPr>
          <w:p w14:paraId="2E84C984" w14:textId="3BF66F6A" w:rsidR="007E2286" w:rsidRDefault="007E2286">
            <w:pPr>
              <w:jc w:val="center"/>
              <w:rPr>
                <w:rFonts w:ascii="Calibri" w:hAnsi="Calibri"/>
                <w:b/>
                <w:bCs/>
                <w:color w:val="000000"/>
                <w:sz w:val="26"/>
                <w:szCs w:val="26"/>
              </w:rPr>
            </w:pPr>
            <w:r>
              <w:rPr>
                <w:rFonts w:ascii="Calibri" w:hAnsi="Calibri"/>
                <w:b/>
                <w:bCs/>
                <w:color w:val="000000"/>
                <w:sz w:val="26"/>
                <w:szCs w:val="26"/>
              </w:rPr>
              <w:lastRenderedPageBreak/>
              <w:t xml:space="preserve">DISTRITOS FUERA DE RANGO POR ENTIDAD FEDERATIVA </w:t>
            </w:r>
            <w:r>
              <w:rPr>
                <w:rFonts w:ascii="Calibri" w:hAnsi="Calibri"/>
                <w:b/>
                <w:bCs/>
                <w:color w:val="000000"/>
                <w:sz w:val="26"/>
                <w:szCs w:val="26"/>
              </w:rPr>
              <w:br/>
              <w:t xml:space="preserve"> (SEGUNDA ETAPA)</w:t>
            </w:r>
          </w:p>
        </w:tc>
      </w:tr>
      <w:tr w:rsidR="007E2286" w14:paraId="0164F994" w14:textId="77777777" w:rsidTr="007E2286">
        <w:trPr>
          <w:trHeight w:val="108"/>
        </w:trPr>
        <w:tc>
          <w:tcPr>
            <w:tcW w:w="1816" w:type="dxa"/>
            <w:tcBorders>
              <w:top w:val="nil"/>
              <w:left w:val="nil"/>
              <w:bottom w:val="nil"/>
              <w:right w:val="nil"/>
            </w:tcBorders>
            <w:shd w:val="clear" w:color="auto" w:fill="auto"/>
            <w:noWrap/>
            <w:vAlign w:val="bottom"/>
            <w:hideMark/>
          </w:tcPr>
          <w:p w14:paraId="52F47288" w14:textId="77777777" w:rsidR="007E2286" w:rsidRDefault="007E2286">
            <w:pPr>
              <w:jc w:val="center"/>
              <w:rPr>
                <w:rFonts w:ascii="Calibri" w:hAnsi="Calibri"/>
                <w:b/>
                <w:bCs/>
                <w:color w:val="000000"/>
                <w:sz w:val="26"/>
                <w:szCs w:val="26"/>
              </w:rPr>
            </w:pPr>
          </w:p>
        </w:tc>
        <w:tc>
          <w:tcPr>
            <w:tcW w:w="1240" w:type="dxa"/>
            <w:tcBorders>
              <w:top w:val="nil"/>
              <w:left w:val="nil"/>
              <w:bottom w:val="nil"/>
              <w:right w:val="nil"/>
            </w:tcBorders>
            <w:shd w:val="clear" w:color="auto" w:fill="auto"/>
            <w:noWrap/>
            <w:vAlign w:val="bottom"/>
            <w:hideMark/>
          </w:tcPr>
          <w:p w14:paraId="06DAA147" w14:textId="77777777" w:rsidR="007E2286" w:rsidRDefault="007E2286">
            <w:pPr>
              <w:rPr>
                <w:sz w:val="20"/>
                <w:szCs w:val="20"/>
              </w:rPr>
            </w:pPr>
          </w:p>
        </w:tc>
        <w:tc>
          <w:tcPr>
            <w:tcW w:w="1240" w:type="dxa"/>
            <w:tcBorders>
              <w:top w:val="nil"/>
              <w:left w:val="nil"/>
              <w:bottom w:val="nil"/>
              <w:right w:val="nil"/>
            </w:tcBorders>
            <w:shd w:val="clear" w:color="auto" w:fill="auto"/>
            <w:noWrap/>
            <w:vAlign w:val="bottom"/>
            <w:hideMark/>
          </w:tcPr>
          <w:p w14:paraId="0C69DA6B" w14:textId="77777777" w:rsidR="007E2286" w:rsidRDefault="007E2286">
            <w:pPr>
              <w:rPr>
                <w:sz w:val="20"/>
                <w:szCs w:val="20"/>
              </w:rPr>
            </w:pPr>
          </w:p>
        </w:tc>
        <w:tc>
          <w:tcPr>
            <w:tcW w:w="2160" w:type="dxa"/>
            <w:tcBorders>
              <w:top w:val="nil"/>
              <w:left w:val="nil"/>
              <w:bottom w:val="nil"/>
              <w:right w:val="nil"/>
            </w:tcBorders>
            <w:shd w:val="clear" w:color="auto" w:fill="auto"/>
            <w:noWrap/>
            <w:vAlign w:val="bottom"/>
            <w:hideMark/>
          </w:tcPr>
          <w:p w14:paraId="53ECE222" w14:textId="77777777" w:rsidR="007E2286" w:rsidRDefault="007E2286">
            <w:pPr>
              <w:rPr>
                <w:sz w:val="20"/>
                <w:szCs w:val="20"/>
              </w:rPr>
            </w:pPr>
          </w:p>
        </w:tc>
        <w:tc>
          <w:tcPr>
            <w:tcW w:w="2379" w:type="dxa"/>
            <w:tcBorders>
              <w:top w:val="nil"/>
              <w:left w:val="nil"/>
              <w:bottom w:val="nil"/>
              <w:right w:val="nil"/>
            </w:tcBorders>
            <w:shd w:val="clear" w:color="auto" w:fill="auto"/>
            <w:noWrap/>
            <w:vAlign w:val="bottom"/>
            <w:hideMark/>
          </w:tcPr>
          <w:p w14:paraId="41AC1316" w14:textId="77777777" w:rsidR="007E2286" w:rsidRDefault="007E2286">
            <w:pPr>
              <w:rPr>
                <w:sz w:val="20"/>
                <w:szCs w:val="20"/>
              </w:rPr>
            </w:pPr>
          </w:p>
        </w:tc>
      </w:tr>
      <w:tr w:rsidR="007E2286" w14:paraId="7A348882" w14:textId="77777777" w:rsidTr="0007667A">
        <w:trPr>
          <w:trHeight w:val="1116"/>
        </w:trPr>
        <w:tc>
          <w:tcPr>
            <w:tcW w:w="1816"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19C75A4A" w14:textId="77777777" w:rsidR="007E2286" w:rsidRDefault="007E2286">
            <w:pPr>
              <w:jc w:val="center"/>
              <w:rPr>
                <w:rFonts w:ascii="Calibri" w:hAnsi="Calibri"/>
                <w:b/>
                <w:bCs/>
                <w:sz w:val="22"/>
                <w:szCs w:val="22"/>
              </w:rPr>
            </w:pPr>
            <w:r>
              <w:rPr>
                <w:rFonts w:ascii="Calibri" w:hAnsi="Calibri"/>
                <w:b/>
                <w:bCs/>
                <w:sz w:val="22"/>
                <w:szCs w:val="22"/>
              </w:rPr>
              <w:t>Entidad</w:t>
            </w:r>
          </w:p>
        </w:tc>
        <w:tc>
          <w:tcPr>
            <w:tcW w:w="1240" w:type="dxa"/>
            <w:tcBorders>
              <w:top w:val="single" w:sz="4" w:space="0" w:color="auto"/>
              <w:left w:val="nil"/>
              <w:bottom w:val="single" w:sz="4" w:space="0" w:color="auto"/>
              <w:right w:val="single" w:sz="4" w:space="0" w:color="auto"/>
            </w:tcBorders>
            <w:shd w:val="clear" w:color="000000" w:fill="F2F2F2"/>
            <w:vAlign w:val="center"/>
            <w:hideMark/>
          </w:tcPr>
          <w:p w14:paraId="0FDF9337" w14:textId="77777777" w:rsidR="007E2286" w:rsidRDefault="007E2286">
            <w:pPr>
              <w:jc w:val="center"/>
              <w:rPr>
                <w:rFonts w:ascii="Calibri" w:hAnsi="Calibri"/>
                <w:b/>
                <w:bCs/>
                <w:sz w:val="22"/>
                <w:szCs w:val="22"/>
              </w:rPr>
            </w:pPr>
            <w:r>
              <w:rPr>
                <w:rFonts w:ascii="Calibri" w:hAnsi="Calibri"/>
                <w:b/>
                <w:bCs/>
                <w:sz w:val="22"/>
                <w:szCs w:val="22"/>
              </w:rPr>
              <w:t>Número de distritos locales</w:t>
            </w:r>
          </w:p>
        </w:tc>
        <w:tc>
          <w:tcPr>
            <w:tcW w:w="1240" w:type="dxa"/>
            <w:tcBorders>
              <w:top w:val="single" w:sz="4" w:space="0" w:color="auto"/>
              <w:left w:val="nil"/>
              <w:bottom w:val="single" w:sz="4" w:space="0" w:color="auto"/>
              <w:right w:val="single" w:sz="4" w:space="0" w:color="auto"/>
            </w:tcBorders>
            <w:shd w:val="clear" w:color="auto" w:fill="F2F2F2" w:themeFill="background1" w:themeFillShade="F2"/>
            <w:vAlign w:val="center"/>
            <w:hideMark/>
          </w:tcPr>
          <w:p w14:paraId="0F1F6B27" w14:textId="77777777" w:rsidR="007E2286" w:rsidRPr="0007667A" w:rsidRDefault="007E2286">
            <w:pPr>
              <w:jc w:val="center"/>
              <w:rPr>
                <w:rFonts w:ascii="Calibri" w:hAnsi="Calibri"/>
                <w:b/>
                <w:bCs/>
                <w:sz w:val="22"/>
                <w:szCs w:val="22"/>
              </w:rPr>
            </w:pPr>
            <w:r w:rsidRPr="0007667A">
              <w:rPr>
                <w:rFonts w:ascii="Calibri" w:hAnsi="Calibri"/>
                <w:b/>
                <w:bCs/>
                <w:sz w:val="22"/>
                <w:szCs w:val="22"/>
              </w:rPr>
              <w:t>Población media estatal</w:t>
            </w:r>
          </w:p>
        </w:tc>
        <w:tc>
          <w:tcPr>
            <w:tcW w:w="2160" w:type="dxa"/>
            <w:tcBorders>
              <w:top w:val="single" w:sz="4" w:space="0" w:color="auto"/>
              <w:left w:val="nil"/>
              <w:bottom w:val="single" w:sz="4" w:space="0" w:color="auto"/>
              <w:right w:val="single" w:sz="4" w:space="0" w:color="auto"/>
            </w:tcBorders>
            <w:shd w:val="clear" w:color="000000" w:fill="F2F2F2"/>
            <w:vAlign w:val="center"/>
            <w:hideMark/>
          </w:tcPr>
          <w:p w14:paraId="435E81E9" w14:textId="77777777" w:rsidR="007E2286" w:rsidRDefault="007E2286">
            <w:pPr>
              <w:jc w:val="center"/>
              <w:rPr>
                <w:rFonts w:ascii="Calibri" w:hAnsi="Calibri"/>
                <w:b/>
                <w:bCs/>
                <w:sz w:val="22"/>
                <w:szCs w:val="22"/>
              </w:rPr>
            </w:pPr>
            <w:r>
              <w:rPr>
                <w:rFonts w:ascii="Calibri" w:hAnsi="Calibri"/>
                <w:b/>
                <w:bCs/>
                <w:sz w:val="22"/>
                <w:szCs w:val="22"/>
              </w:rPr>
              <w:t xml:space="preserve">Número de distritos con desviación poblacional mayor al </w:t>
            </w:r>
            <w:r>
              <w:rPr>
                <w:rFonts w:ascii="Calibri" w:hAnsi="Calibri"/>
                <w:b/>
                <w:bCs/>
                <w:sz w:val="20"/>
                <w:szCs w:val="20"/>
              </w:rPr>
              <w:t>±</w:t>
            </w:r>
            <w:r>
              <w:rPr>
                <w:rFonts w:ascii="Century Gothic" w:hAnsi="Century Gothic"/>
                <w:b/>
                <w:bCs/>
                <w:sz w:val="20"/>
                <w:szCs w:val="20"/>
              </w:rPr>
              <w:t>15%</w:t>
            </w:r>
          </w:p>
        </w:tc>
        <w:tc>
          <w:tcPr>
            <w:tcW w:w="2379" w:type="dxa"/>
            <w:tcBorders>
              <w:top w:val="single" w:sz="4" w:space="0" w:color="auto"/>
              <w:left w:val="nil"/>
              <w:bottom w:val="single" w:sz="4" w:space="0" w:color="auto"/>
              <w:right w:val="single" w:sz="4" w:space="0" w:color="auto"/>
            </w:tcBorders>
            <w:shd w:val="clear" w:color="000000" w:fill="F2F2F2"/>
            <w:vAlign w:val="center"/>
            <w:hideMark/>
          </w:tcPr>
          <w:p w14:paraId="1BAA9576" w14:textId="0B0568BE" w:rsidR="007E2286" w:rsidRDefault="007E2286">
            <w:pPr>
              <w:jc w:val="center"/>
              <w:rPr>
                <w:rFonts w:ascii="Calibri" w:hAnsi="Calibri"/>
                <w:b/>
                <w:bCs/>
                <w:sz w:val="22"/>
                <w:szCs w:val="22"/>
              </w:rPr>
            </w:pPr>
            <w:r>
              <w:rPr>
                <w:rFonts w:ascii="Calibri" w:hAnsi="Calibri"/>
                <w:b/>
                <w:bCs/>
                <w:sz w:val="22"/>
                <w:szCs w:val="22"/>
              </w:rPr>
              <w:t xml:space="preserve">Porcentaje de distritos con desviación poblacional mayor al </w:t>
            </w:r>
            <w:r>
              <w:rPr>
                <w:rFonts w:ascii="Calibri" w:hAnsi="Calibri"/>
                <w:b/>
                <w:bCs/>
                <w:sz w:val="20"/>
                <w:szCs w:val="20"/>
              </w:rPr>
              <w:t>±</w:t>
            </w:r>
            <w:r>
              <w:rPr>
                <w:rFonts w:ascii="Century Gothic" w:hAnsi="Century Gothic"/>
                <w:b/>
                <w:bCs/>
                <w:sz w:val="20"/>
                <w:szCs w:val="20"/>
              </w:rPr>
              <w:t>15%</w:t>
            </w:r>
          </w:p>
        </w:tc>
      </w:tr>
      <w:tr w:rsidR="007E2286" w14:paraId="3228D1A6" w14:textId="77777777" w:rsidTr="007E2286">
        <w:trPr>
          <w:trHeight w:val="288"/>
        </w:trPr>
        <w:tc>
          <w:tcPr>
            <w:tcW w:w="1816" w:type="dxa"/>
            <w:tcBorders>
              <w:top w:val="nil"/>
              <w:left w:val="single" w:sz="4" w:space="0" w:color="A6A6A6"/>
              <w:bottom w:val="single" w:sz="4" w:space="0" w:color="A6A6A6"/>
              <w:right w:val="single" w:sz="4" w:space="0" w:color="A6A6A6"/>
            </w:tcBorders>
            <w:shd w:val="clear" w:color="auto" w:fill="auto"/>
            <w:noWrap/>
            <w:vAlign w:val="center"/>
            <w:hideMark/>
          </w:tcPr>
          <w:p w14:paraId="4C65EFB7" w14:textId="77777777" w:rsidR="007E2286" w:rsidRDefault="007E2286">
            <w:pPr>
              <w:rPr>
                <w:rFonts w:ascii="Calibri" w:hAnsi="Calibri"/>
                <w:color w:val="000000"/>
                <w:sz w:val="22"/>
                <w:szCs w:val="22"/>
              </w:rPr>
            </w:pPr>
            <w:r>
              <w:rPr>
                <w:rFonts w:ascii="Calibri" w:hAnsi="Calibri"/>
                <w:color w:val="000000"/>
                <w:sz w:val="22"/>
                <w:szCs w:val="22"/>
              </w:rPr>
              <w:t>Baja California Sur</w:t>
            </w:r>
          </w:p>
        </w:tc>
        <w:tc>
          <w:tcPr>
            <w:tcW w:w="1240" w:type="dxa"/>
            <w:tcBorders>
              <w:top w:val="nil"/>
              <w:left w:val="nil"/>
              <w:bottom w:val="single" w:sz="4" w:space="0" w:color="A6A6A6"/>
              <w:right w:val="single" w:sz="4" w:space="0" w:color="A6A6A6"/>
            </w:tcBorders>
            <w:shd w:val="clear" w:color="auto" w:fill="auto"/>
            <w:noWrap/>
            <w:vAlign w:val="center"/>
            <w:hideMark/>
          </w:tcPr>
          <w:p w14:paraId="7DAA2F7F" w14:textId="77777777" w:rsidR="007E2286" w:rsidRDefault="007E2286">
            <w:pPr>
              <w:jc w:val="center"/>
              <w:rPr>
                <w:rFonts w:ascii="Calibri" w:hAnsi="Calibri"/>
                <w:color w:val="000000"/>
                <w:sz w:val="22"/>
                <w:szCs w:val="22"/>
              </w:rPr>
            </w:pPr>
            <w:r>
              <w:rPr>
                <w:rFonts w:ascii="Calibri" w:hAnsi="Calibri"/>
                <w:color w:val="000000"/>
                <w:sz w:val="22"/>
                <w:szCs w:val="22"/>
              </w:rPr>
              <w:t>16</w:t>
            </w:r>
          </w:p>
        </w:tc>
        <w:tc>
          <w:tcPr>
            <w:tcW w:w="1240" w:type="dxa"/>
            <w:tcBorders>
              <w:top w:val="nil"/>
              <w:left w:val="nil"/>
              <w:bottom w:val="single" w:sz="4" w:space="0" w:color="A6A6A6"/>
              <w:right w:val="single" w:sz="4" w:space="0" w:color="A6A6A6"/>
            </w:tcBorders>
            <w:shd w:val="clear" w:color="auto" w:fill="auto"/>
            <w:noWrap/>
            <w:vAlign w:val="center"/>
            <w:hideMark/>
          </w:tcPr>
          <w:p w14:paraId="04ED0A2F" w14:textId="77777777" w:rsidR="007E2286" w:rsidRPr="0007667A" w:rsidRDefault="007E2286">
            <w:pPr>
              <w:jc w:val="center"/>
              <w:rPr>
                <w:rFonts w:ascii="Calibri" w:hAnsi="Calibri"/>
                <w:color w:val="000000"/>
                <w:sz w:val="22"/>
                <w:szCs w:val="22"/>
              </w:rPr>
            </w:pPr>
            <w:r w:rsidRPr="0007667A">
              <w:rPr>
                <w:rFonts w:ascii="Calibri" w:hAnsi="Calibri"/>
                <w:color w:val="000000"/>
                <w:sz w:val="22"/>
                <w:szCs w:val="22"/>
              </w:rPr>
              <w:t>39,814</w:t>
            </w:r>
          </w:p>
        </w:tc>
        <w:tc>
          <w:tcPr>
            <w:tcW w:w="2160" w:type="dxa"/>
            <w:tcBorders>
              <w:top w:val="nil"/>
              <w:left w:val="nil"/>
              <w:bottom w:val="single" w:sz="4" w:space="0" w:color="A6A6A6"/>
              <w:right w:val="single" w:sz="4" w:space="0" w:color="A6A6A6"/>
            </w:tcBorders>
            <w:shd w:val="clear" w:color="auto" w:fill="auto"/>
            <w:noWrap/>
            <w:vAlign w:val="center"/>
            <w:hideMark/>
          </w:tcPr>
          <w:p w14:paraId="14AC680C" w14:textId="77777777" w:rsidR="007E2286" w:rsidRDefault="007E2286">
            <w:pPr>
              <w:jc w:val="center"/>
              <w:rPr>
                <w:rFonts w:ascii="Calibri" w:hAnsi="Calibri"/>
                <w:color w:val="000000"/>
                <w:sz w:val="22"/>
                <w:szCs w:val="22"/>
              </w:rPr>
            </w:pPr>
            <w:r>
              <w:rPr>
                <w:rFonts w:ascii="Calibri" w:hAnsi="Calibri"/>
                <w:color w:val="000000"/>
                <w:sz w:val="22"/>
                <w:szCs w:val="22"/>
              </w:rPr>
              <w:t>14</w:t>
            </w:r>
          </w:p>
        </w:tc>
        <w:tc>
          <w:tcPr>
            <w:tcW w:w="2379" w:type="dxa"/>
            <w:tcBorders>
              <w:top w:val="nil"/>
              <w:left w:val="nil"/>
              <w:bottom w:val="single" w:sz="4" w:space="0" w:color="A6A6A6"/>
              <w:right w:val="single" w:sz="4" w:space="0" w:color="A6A6A6"/>
            </w:tcBorders>
            <w:shd w:val="clear" w:color="auto" w:fill="auto"/>
            <w:noWrap/>
            <w:vAlign w:val="bottom"/>
            <w:hideMark/>
          </w:tcPr>
          <w:p w14:paraId="352045F7" w14:textId="77777777" w:rsidR="007E2286" w:rsidRDefault="007E2286">
            <w:pPr>
              <w:jc w:val="center"/>
              <w:rPr>
                <w:rFonts w:ascii="Calibri" w:hAnsi="Calibri"/>
                <w:color w:val="000000"/>
                <w:sz w:val="22"/>
                <w:szCs w:val="22"/>
              </w:rPr>
            </w:pPr>
            <w:r>
              <w:rPr>
                <w:rFonts w:ascii="Calibri" w:hAnsi="Calibri"/>
                <w:color w:val="000000"/>
                <w:sz w:val="22"/>
                <w:szCs w:val="22"/>
              </w:rPr>
              <w:t>87.50%</w:t>
            </w:r>
          </w:p>
        </w:tc>
      </w:tr>
      <w:tr w:rsidR="007E2286" w14:paraId="0BABB12F" w14:textId="77777777" w:rsidTr="007E2286">
        <w:trPr>
          <w:trHeight w:val="288"/>
        </w:trPr>
        <w:tc>
          <w:tcPr>
            <w:tcW w:w="1816" w:type="dxa"/>
            <w:tcBorders>
              <w:top w:val="nil"/>
              <w:left w:val="single" w:sz="4" w:space="0" w:color="A6A6A6"/>
              <w:bottom w:val="single" w:sz="4" w:space="0" w:color="A6A6A6"/>
              <w:right w:val="single" w:sz="4" w:space="0" w:color="A6A6A6"/>
            </w:tcBorders>
            <w:shd w:val="clear" w:color="auto" w:fill="auto"/>
            <w:noWrap/>
            <w:vAlign w:val="center"/>
            <w:hideMark/>
          </w:tcPr>
          <w:p w14:paraId="62FF9AA1" w14:textId="77777777" w:rsidR="007E2286" w:rsidRDefault="007E2286">
            <w:pPr>
              <w:rPr>
                <w:rFonts w:ascii="Calibri" w:hAnsi="Calibri"/>
                <w:color w:val="000000"/>
                <w:sz w:val="22"/>
                <w:szCs w:val="22"/>
              </w:rPr>
            </w:pPr>
            <w:r>
              <w:rPr>
                <w:rFonts w:ascii="Calibri" w:hAnsi="Calibri"/>
                <w:color w:val="000000"/>
                <w:sz w:val="22"/>
                <w:szCs w:val="22"/>
              </w:rPr>
              <w:t xml:space="preserve">Nuevo León </w:t>
            </w:r>
          </w:p>
        </w:tc>
        <w:tc>
          <w:tcPr>
            <w:tcW w:w="1240" w:type="dxa"/>
            <w:tcBorders>
              <w:top w:val="nil"/>
              <w:left w:val="nil"/>
              <w:bottom w:val="single" w:sz="4" w:space="0" w:color="A6A6A6"/>
              <w:right w:val="single" w:sz="4" w:space="0" w:color="A6A6A6"/>
            </w:tcBorders>
            <w:shd w:val="clear" w:color="auto" w:fill="auto"/>
            <w:noWrap/>
            <w:vAlign w:val="center"/>
            <w:hideMark/>
          </w:tcPr>
          <w:p w14:paraId="02DBFDB7" w14:textId="77777777" w:rsidR="007E2286" w:rsidRDefault="007E2286">
            <w:pPr>
              <w:jc w:val="center"/>
              <w:rPr>
                <w:rFonts w:ascii="Calibri" w:hAnsi="Calibri"/>
                <w:color w:val="000000"/>
                <w:sz w:val="22"/>
                <w:szCs w:val="22"/>
              </w:rPr>
            </w:pPr>
            <w:r>
              <w:rPr>
                <w:rFonts w:ascii="Calibri" w:hAnsi="Calibri"/>
                <w:color w:val="000000"/>
                <w:sz w:val="22"/>
                <w:szCs w:val="22"/>
              </w:rPr>
              <w:t>26</w:t>
            </w:r>
          </w:p>
        </w:tc>
        <w:tc>
          <w:tcPr>
            <w:tcW w:w="1240" w:type="dxa"/>
            <w:tcBorders>
              <w:top w:val="nil"/>
              <w:left w:val="nil"/>
              <w:bottom w:val="single" w:sz="4" w:space="0" w:color="A6A6A6"/>
              <w:right w:val="single" w:sz="4" w:space="0" w:color="A6A6A6"/>
            </w:tcBorders>
            <w:shd w:val="clear" w:color="auto" w:fill="auto"/>
            <w:noWrap/>
            <w:vAlign w:val="center"/>
            <w:hideMark/>
          </w:tcPr>
          <w:p w14:paraId="4CA1062F" w14:textId="77777777" w:rsidR="007E2286" w:rsidRPr="0007667A" w:rsidRDefault="007E2286">
            <w:pPr>
              <w:jc w:val="center"/>
              <w:rPr>
                <w:rFonts w:ascii="Calibri" w:hAnsi="Calibri"/>
                <w:color w:val="000000"/>
                <w:sz w:val="22"/>
                <w:szCs w:val="22"/>
              </w:rPr>
            </w:pPr>
            <w:r w:rsidRPr="0007667A">
              <w:rPr>
                <w:rFonts w:ascii="Calibri" w:hAnsi="Calibri"/>
                <w:color w:val="000000"/>
                <w:sz w:val="22"/>
                <w:szCs w:val="22"/>
              </w:rPr>
              <w:t>178,979</w:t>
            </w:r>
          </w:p>
        </w:tc>
        <w:tc>
          <w:tcPr>
            <w:tcW w:w="2160" w:type="dxa"/>
            <w:tcBorders>
              <w:top w:val="nil"/>
              <w:left w:val="nil"/>
              <w:bottom w:val="single" w:sz="4" w:space="0" w:color="A6A6A6"/>
              <w:right w:val="single" w:sz="4" w:space="0" w:color="A6A6A6"/>
            </w:tcBorders>
            <w:shd w:val="clear" w:color="auto" w:fill="auto"/>
            <w:noWrap/>
            <w:vAlign w:val="center"/>
            <w:hideMark/>
          </w:tcPr>
          <w:p w14:paraId="58771576" w14:textId="77777777" w:rsidR="007E2286" w:rsidRDefault="007E2286">
            <w:pPr>
              <w:jc w:val="center"/>
              <w:rPr>
                <w:rFonts w:ascii="Calibri" w:hAnsi="Calibri"/>
                <w:color w:val="000000"/>
                <w:sz w:val="22"/>
                <w:szCs w:val="22"/>
              </w:rPr>
            </w:pPr>
            <w:r>
              <w:rPr>
                <w:rFonts w:ascii="Calibri" w:hAnsi="Calibri"/>
                <w:color w:val="000000"/>
                <w:sz w:val="22"/>
                <w:szCs w:val="22"/>
              </w:rPr>
              <w:t>22</w:t>
            </w:r>
          </w:p>
        </w:tc>
        <w:tc>
          <w:tcPr>
            <w:tcW w:w="2379" w:type="dxa"/>
            <w:tcBorders>
              <w:top w:val="nil"/>
              <w:left w:val="nil"/>
              <w:bottom w:val="single" w:sz="4" w:space="0" w:color="A6A6A6"/>
              <w:right w:val="single" w:sz="4" w:space="0" w:color="A6A6A6"/>
            </w:tcBorders>
            <w:shd w:val="clear" w:color="auto" w:fill="auto"/>
            <w:noWrap/>
            <w:vAlign w:val="bottom"/>
            <w:hideMark/>
          </w:tcPr>
          <w:p w14:paraId="6B7F3F49" w14:textId="77777777" w:rsidR="007E2286" w:rsidRDefault="007E2286">
            <w:pPr>
              <w:jc w:val="center"/>
              <w:rPr>
                <w:rFonts w:ascii="Calibri" w:hAnsi="Calibri"/>
                <w:color w:val="000000"/>
                <w:sz w:val="22"/>
                <w:szCs w:val="22"/>
              </w:rPr>
            </w:pPr>
            <w:r>
              <w:rPr>
                <w:rFonts w:ascii="Calibri" w:hAnsi="Calibri"/>
                <w:color w:val="000000"/>
                <w:sz w:val="22"/>
                <w:szCs w:val="22"/>
              </w:rPr>
              <w:t>84.62%</w:t>
            </w:r>
          </w:p>
        </w:tc>
      </w:tr>
      <w:tr w:rsidR="007E2286" w14:paraId="432C83EC" w14:textId="77777777" w:rsidTr="007E2286">
        <w:trPr>
          <w:trHeight w:val="288"/>
        </w:trPr>
        <w:tc>
          <w:tcPr>
            <w:tcW w:w="1816" w:type="dxa"/>
            <w:tcBorders>
              <w:top w:val="nil"/>
              <w:left w:val="single" w:sz="4" w:space="0" w:color="A6A6A6"/>
              <w:bottom w:val="single" w:sz="4" w:space="0" w:color="A6A6A6"/>
              <w:right w:val="single" w:sz="4" w:space="0" w:color="A6A6A6"/>
            </w:tcBorders>
            <w:shd w:val="clear" w:color="auto" w:fill="auto"/>
            <w:noWrap/>
            <w:vAlign w:val="center"/>
            <w:hideMark/>
          </w:tcPr>
          <w:p w14:paraId="54B90DA6" w14:textId="77777777" w:rsidR="007E2286" w:rsidRDefault="007E2286">
            <w:pPr>
              <w:rPr>
                <w:rFonts w:ascii="Calibri" w:hAnsi="Calibri"/>
                <w:color w:val="000000"/>
                <w:sz w:val="22"/>
                <w:szCs w:val="22"/>
              </w:rPr>
            </w:pPr>
            <w:r>
              <w:rPr>
                <w:rFonts w:ascii="Calibri" w:hAnsi="Calibri"/>
                <w:color w:val="000000"/>
                <w:sz w:val="22"/>
                <w:szCs w:val="22"/>
              </w:rPr>
              <w:t>México</w:t>
            </w:r>
          </w:p>
        </w:tc>
        <w:tc>
          <w:tcPr>
            <w:tcW w:w="1240" w:type="dxa"/>
            <w:tcBorders>
              <w:top w:val="nil"/>
              <w:left w:val="nil"/>
              <w:bottom w:val="single" w:sz="4" w:space="0" w:color="A6A6A6"/>
              <w:right w:val="single" w:sz="4" w:space="0" w:color="A6A6A6"/>
            </w:tcBorders>
            <w:shd w:val="clear" w:color="auto" w:fill="auto"/>
            <w:noWrap/>
            <w:vAlign w:val="center"/>
            <w:hideMark/>
          </w:tcPr>
          <w:p w14:paraId="5A4D6E46" w14:textId="77777777" w:rsidR="007E2286" w:rsidRDefault="007E2286">
            <w:pPr>
              <w:jc w:val="center"/>
              <w:rPr>
                <w:rFonts w:ascii="Calibri" w:hAnsi="Calibri"/>
                <w:color w:val="000000"/>
                <w:sz w:val="22"/>
                <w:szCs w:val="22"/>
              </w:rPr>
            </w:pPr>
            <w:r>
              <w:rPr>
                <w:rFonts w:ascii="Calibri" w:hAnsi="Calibri"/>
                <w:color w:val="000000"/>
                <w:sz w:val="22"/>
                <w:szCs w:val="22"/>
              </w:rPr>
              <w:t>45</w:t>
            </w:r>
          </w:p>
        </w:tc>
        <w:tc>
          <w:tcPr>
            <w:tcW w:w="1240" w:type="dxa"/>
            <w:tcBorders>
              <w:top w:val="nil"/>
              <w:left w:val="nil"/>
              <w:bottom w:val="single" w:sz="4" w:space="0" w:color="A6A6A6"/>
              <w:right w:val="single" w:sz="4" w:space="0" w:color="A6A6A6"/>
            </w:tcBorders>
            <w:shd w:val="clear" w:color="auto" w:fill="auto"/>
            <w:noWrap/>
            <w:vAlign w:val="center"/>
            <w:hideMark/>
          </w:tcPr>
          <w:p w14:paraId="678C4C84" w14:textId="77777777" w:rsidR="007E2286" w:rsidRPr="0007667A" w:rsidRDefault="007E2286">
            <w:pPr>
              <w:jc w:val="center"/>
              <w:rPr>
                <w:rFonts w:ascii="Calibri" w:hAnsi="Calibri"/>
                <w:color w:val="000000"/>
                <w:sz w:val="22"/>
                <w:szCs w:val="22"/>
              </w:rPr>
            </w:pPr>
            <w:r w:rsidRPr="0007667A">
              <w:rPr>
                <w:rFonts w:ascii="Calibri" w:hAnsi="Calibri"/>
                <w:color w:val="000000"/>
                <w:sz w:val="22"/>
                <w:szCs w:val="22"/>
              </w:rPr>
              <w:t>337,241</w:t>
            </w:r>
          </w:p>
        </w:tc>
        <w:tc>
          <w:tcPr>
            <w:tcW w:w="2160" w:type="dxa"/>
            <w:tcBorders>
              <w:top w:val="nil"/>
              <w:left w:val="nil"/>
              <w:bottom w:val="single" w:sz="4" w:space="0" w:color="A6A6A6"/>
              <w:right w:val="single" w:sz="4" w:space="0" w:color="A6A6A6"/>
            </w:tcBorders>
            <w:shd w:val="clear" w:color="auto" w:fill="auto"/>
            <w:noWrap/>
            <w:vAlign w:val="center"/>
            <w:hideMark/>
          </w:tcPr>
          <w:p w14:paraId="0C606309" w14:textId="77777777" w:rsidR="007E2286" w:rsidRDefault="007E2286">
            <w:pPr>
              <w:jc w:val="center"/>
              <w:rPr>
                <w:rFonts w:ascii="Calibri" w:hAnsi="Calibri"/>
                <w:color w:val="000000"/>
                <w:sz w:val="22"/>
                <w:szCs w:val="22"/>
              </w:rPr>
            </w:pPr>
            <w:r>
              <w:rPr>
                <w:rFonts w:ascii="Calibri" w:hAnsi="Calibri"/>
                <w:color w:val="000000"/>
                <w:sz w:val="22"/>
                <w:szCs w:val="22"/>
              </w:rPr>
              <w:t>36</w:t>
            </w:r>
          </w:p>
        </w:tc>
        <w:tc>
          <w:tcPr>
            <w:tcW w:w="2379" w:type="dxa"/>
            <w:tcBorders>
              <w:top w:val="nil"/>
              <w:left w:val="nil"/>
              <w:bottom w:val="single" w:sz="4" w:space="0" w:color="A6A6A6"/>
              <w:right w:val="single" w:sz="4" w:space="0" w:color="A6A6A6"/>
            </w:tcBorders>
            <w:shd w:val="clear" w:color="auto" w:fill="auto"/>
            <w:noWrap/>
            <w:vAlign w:val="bottom"/>
            <w:hideMark/>
          </w:tcPr>
          <w:p w14:paraId="68C40624" w14:textId="77777777" w:rsidR="007E2286" w:rsidRDefault="007E2286">
            <w:pPr>
              <w:jc w:val="center"/>
              <w:rPr>
                <w:rFonts w:ascii="Calibri" w:hAnsi="Calibri"/>
                <w:color w:val="000000"/>
                <w:sz w:val="22"/>
                <w:szCs w:val="22"/>
              </w:rPr>
            </w:pPr>
            <w:r>
              <w:rPr>
                <w:rFonts w:ascii="Calibri" w:hAnsi="Calibri"/>
                <w:color w:val="000000"/>
                <w:sz w:val="22"/>
                <w:szCs w:val="22"/>
              </w:rPr>
              <w:t>80.00%</w:t>
            </w:r>
          </w:p>
        </w:tc>
      </w:tr>
      <w:tr w:rsidR="007E2286" w14:paraId="35E87481" w14:textId="77777777" w:rsidTr="007E2286">
        <w:trPr>
          <w:trHeight w:val="288"/>
        </w:trPr>
        <w:tc>
          <w:tcPr>
            <w:tcW w:w="1816" w:type="dxa"/>
            <w:tcBorders>
              <w:top w:val="nil"/>
              <w:left w:val="single" w:sz="4" w:space="0" w:color="A6A6A6"/>
              <w:bottom w:val="single" w:sz="4" w:space="0" w:color="A6A6A6"/>
              <w:right w:val="single" w:sz="4" w:space="0" w:color="A6A6A6"/>
            </w:tcBorders>
            <w:shd w:val="clear" w:color="auto" w:fill="auto"/>
            <w:noWrap/>
            <w:vAlign w:val="center"/>
            <w:hideMark/>
          </w:tcPr>
          <w:p w14:paraId="1DCDBD58" w14:textId="77777777" w:rsidR="007E2286" w:rsidRDefault="007E2286">
            <w:pPr>
              <w:rPr>
                <w:rFonts w:ascii="Calibri" w:hAnsi="Calibri"/>
                <w:color w:val="000000"/>
                <w:sz w:val="22"/>
                <w:szCs w:val="22"/>
              </w:rPr>
            </w:pPr>
            <w:r>
              <w:rPr>
                <w:rFonts w:ascii="Calibri" w:hAnsi="Calibri"/>
                <w:color w:val="000000"/>
                <w:sz w:val="22"/>
                <w:szCs w:val="22"/>
              </w:rPr>
              <w:t>Chiapas</w:t>
            </w:r>
          </w:p>
        </w:tc>
        <w:tc>
          <w:tcPr>
            <w:tcW w:w="1240" w:type="dxa"/>
            <w:tcBorders>
              <w:top w:val="nil"/>
              <w:left w:val="nil"/>
              <w:bottom w:val="single" w:sz="4" w:space="0" w:color="A6A6A6"/>
              <w:right w:val="single" w:sz="4" w:space="0" w:color="A6A6A6"/>
            </w:tcBorders>
            <w:shd w:val="clear" w:color="auto" w:fill="auto"/>
            <w:noWrap/>
            <w:vAlign w:val="center"/>
            <w:hideMark/>
          </w:tcPr>
          <w:p w14:paraId="78E58CD1" w14:textId="77777777" w:rsidR="007E2286" w:rsidRDefault="007E2286">
            <w:pPr>
              <w:jc w:val="center"/>
              <w:rPr>
                <w:rFonts w:ascii="Calibri" w:hAnsi="Calibri"/>
                <w:color w:val="000000"/>
                <w:sz w:val="22"/>
                <w:szCs w:val="22"/>
              </w:rPr>
            </w:pPr>
            <w:r>
              <w:rPr>
                <w:rFonts w:ascii="Calibri" w:hAnsi="Calibri"/>
                <w:color w:val="000000"/>
                <w:sz w:val="22"/>
                <w:szCs w:val="22"/>
              </w:rPr>
              <w:t>24</w:t>
            </w:r>
          </w:p>
        </w:tc>
        <w:tc>
          <w:tcPr>
            <w:tcW w:w="1240" w:type="dxa"/>
            <w:tcBorders>
              <w:top w:val="nil"/>
              <w:left w:val="nil"/>
              <w:bottom w:val="single" w:sz="4" w:space="0" w:color="A6A6A6"/>
              <w:right w:val="single" w:sz="4" w:space="0" w:color="A6A6A6"/>
            </w:tcBorders>
            <w:shd w:val="clear" w:color="auto" w:fill="auto"/>
            <w:noWrap/>
            <w:vAlign w:val="center"/>
            <w:hideMark/>
          </w:tcPr>
          <w:p w14:paraId="19582271" w14:textId="77777777" w:rsidR="007E2286" w:rsidRPr="0007667A" w:rsidRDefault="007E2286">
            <w:pPr>
              <w:jc w:val="center"/>
              <w:rPr>
                <w:rFonts w:ascii="Calibri" w:hAnsi="Calibri"/>
                <w:color w:val="000000"/>
                <w:sz w:val="22"/>
                <w:szCs w:val="22"/>
              </w:rPr>
            </w:pPr>
            <w:r w:rsidRPr="0007667A">
              <w:rPr>
                <w:rFonts w:ascii="Calibri" w:hAnsi="Calibri"/>
                <w:color w:val="000000"/>
                <w:sz w:val="22"/>
                <w:szCs w:val="22"/>
              </w:rPr>
              <w:t>199,858</w:t>
            </w:r>
          </w:p>
        </w:tc>
        <w:tc>
          <w:tcPr>
            <w:tcW w:w="2160" w:type="dxa"/>
            <w:tcBorders>
              <w:top w:val="nil"/>
              <w:left w:val="nil"/>
              <w:bottom w:val="single" w:sz="4" w:space="0" w:color="A6A6A6"/>
              <w:right w:val="single" w:sz="4" w:space="0" w:color="A6A6A6"/>
            </w:tcBorders>
            <w:shd w:val="clear" w:color="auto" w:fill="auto"/>
            <w:noWrap/>
            <w:vAlign w:val="center"/>
            <w:hideMark/>
          </w:tcPr>
          <w:p w14:paraId="652E0DE8" w14:textId="77777777" w:rsidR="007E2286" w:rsidRDefault="007E2286">
            <w:pPr>
              <w:jc w:val="center"/>
              <w:rPr>
                <w:rFonts w:ascii="Calibri" w:hAnsi="Calibri"/>
                <w:color w:val="000000"/>
                <w:sz w:val="22"/>
                <w:szCs w:val="22"/>
              </w:rPr>
            </w:pPr>
            <w:r>
              <w:rPr>
                <w:rFonts w:ascii="Calibri" w:hAnsi="Calibri"/>
                <w:color w:val="000000"/>
                <w:sz w:val="22"/>
                <w:szCs w:val="22"/>
              </w:rPr>
              <w:t>17</w:t>
            </w:r>
          </w:p>
        </w:tc>
        <w:tc>
          <w:tcPr>
            <w:tcW w:w="2379" w:type="dxa"/>
            <w:tcBorders>
              <w:top w:val="nil"/>
              <w:left w:val="nil"/>
              <w:bottom w:val="single" w:sz="4" w:space="0" w:color="A6A6A6"/>
              <w:right w:val="single" w:sz="4" w:space="0" w:color="A6A6A6"/>
            </w:tcBorders>
            <w:shd w:val="clear" w:color="auto" w:fill="auto"/>
            <w:noWrap/>
            <w:vAlign w:val="bottom"/>
            <w:hideMark/>
          </w:tcPr>
          <w:p w14:paraId="32D87AB6" w14:textId="77777777" w:rsidR="007E2286" w:rsidRDefault="007E2286">
            <w:pPr>
              <w:jc w:val="center"/>
              <w:rPr>
                <w:rFonts w:ascii="Calibri" w:hAnsi="Calibri"/>
                <w:color w:val="000000"/>
                <w:sz w:val="22"/>
                <w:szCs w:val="22"/>
              </w:rPr>
            </w:pPr>
            <w:r>
              <w:rPr>
                <w:rFonts w:ascii="Calibri" w:hAnsi="Calibri"/>
                <w:color w:val="000000"/>
                <w:sz w:val="22"/>
                <w:szCs w:val="22"/>
              </w:rPr>
              <w:t>70.83%</w:t>
            </w:r>
          </w:p>
        </w:tc>
      </w:tr>
      <w:tr w:rsidR="007E2286" w14:paraId="1527BE6D" w14:textId="77777777" w:rsidTr="007E2286">
        <w:trPr>
          <w:trHeight w:val="288"/>
        </w:trPr>
        <w:tc>
          <w:tcPr>
            <w:tcW w:w="1816" w:type="dxa"/>
            <w:tcBorders>
              <w:top w:val="nil"/>
              <w:left w:val="single" w:sz="4" w:space="0" w:color="A6A6A6"/>
              <w:bottom w:val="single" w:sz="4" w:space="0" w:color="A6A6A6"/>
              <w:right w:val="single" w:sz="4" w:space="0" w:color="A6A6A6"/>
            </w:tcBorders>
            <w:shd w:val="clear" w:color="auto" w:fill="auto"/>
            <w:noWrap/>
            <w:vAlign w:val="center"/>
            <w:hideMark/>
          </w:tcPr>
          <w:p w14:paraId="31CA5148" w14:textId="77777777" w:rsidR="007E2286" w:rsidRDefault="007E2286">
            <w:pPr>
              <w:rPr>
                <w:rFonts w:ascii="Calibri" w:hAnsi="Calibri"/>
                <w:color w:val="000000"/>
                <w:sz w:val="22"/>
                <w:szCs w:val="22"/>
              </w:rPr>
            </w:pPr>
            <w:r>
              <w:rPr>
                <w:rFonts w:ascii="Calibri" w:hAnsi="Calibri"/>
                <w:color w:val="000000"/>
                <w:sz w:val="22"/>
                <w:szCs w:val="22"/>
              </w:rPr>
              <w:t>Querétaro</w:t>
            </w:r>
          </w:p>
        </w:tc>
        <w:tc>
          <w:tcPr>
            <w:tcW w:w="1240" w:type="dxa"/>
            <w:tcBorders>
              <w:top w:val="nil"/>
              <w:left w:val="nil"/>
              <w:bottom w:val="single" w:sz="4" w:space="0" w:color="A6A6A6"/>
              <w:right w:val="single" w:sz="4" w:space="0" w:color="A6A6A6"/>
            </w:tcBorders>
            <w:shd w:val="clear" w:color="auto" w:fill="auto"/>
            <w:noWrap/>
            <w:vAlign w:val="center"/>
            <w:hideMark/>
          </w:tcPr>
          <w:p w14:paraId="399CF785" w14:textId="77777777" w:rsidR="007E2286" w:rsidRDefault="007E2286">
            <w:pPr>
              <w:jc w:val="center"/>
              <w:rPr>
                <w:rFonts w:ascii="Calibri" w:hAnsi="Calibri"/>
                <w:color w:val="000000"/>
                <w:sz w:val="22"/>
                <w:szCs w:val="22"/>
              </w:rPr>
            </w:pPr>
            <w:r>
              <w:rPr>
                <w:rFonts w:ascii="Calibri" w:hAnsi="Calibri"/>
                <w:color w:val="000000"/>
                <w:sz w:val="22"/>
                <w:szCs w:val="22"/>
              </w:rPr>
              <w:t>15</w:t>
            </w:r>
          </w:p>
        </w:tc>
        <w:tc>
          <w:tcPr>
            <w:tcW w:w="1240" w:type="dxa"/>
            <w:tcBorders>
              <w:top w:val="nil"/>
              <w:left w:val="nil"/>
              <w:bottom w:val="single" w:sz="4" w:space="0" w:color="A6A6A6"/>
              <w:right w:val="single" w:sz="4" w:space="0" w:color="A6A6A6"/>
            </w:tcBorders>
            <w:shd w:val="clear" w:color="auto" w:fill="auto"/>
            <w:noWrap/>
            <w:vAlign w:val="center"/>
            <w:hideMark/>
          </w:tcPr>
          <w:p w14:paraId="55D08447" w14:textId="77777777" w:rsidR="007E2286" w:rsidRPr="0007667A" w:rsidRDefault="007E2286">
            <w:pPr>
              <w:jc w:val="center"/>
              <w:rPr>
                <w:rFonts w:ascii="Calibri" w:hAnsi="Calibri"/>
                <w:color w:val="000000"/>
                <w:sz w:val="22"/>
                <w:szCs w:val="22"/>
              </w:rPr>
            </w:pPr>
            <w:r w:rsidRPr="0007667A">
              <w:rPr>
                <w:rFonts w:ascii="Calibri" w:hAnsi="Calibri"/>
                <w:color w:val="000000"/>
                <w:sz w:val="22"/>
                <w:szCs w:val="22"/>
              </w:rPr>
              <w:t>121,862</w:t>
            </w:r>
          </w:p>
        </w:tc>
        <w:tc>
          <w:tcPr>
            <w:tcW w:w="2160" w:type="dxa"/>
            <w:tcBorders>
              <w:top w:val="nil"/>
              <w:left w:val="nil"/>
              <w:bottom w:val="single" w:sz="4" w:space="0" w:color="A6A6A6"/>
              <w:right w:val="single" w:sz="4" w:space="0" w:color="A6A6A6"/>
            </w:tcBorders>
            <w:shd w:val="clear" w:color="auto" w:fill="auto"/>
            <w:noWrap/>
            <w:vAlign w:val="center"/>
            <w:hideMark/>
          </w:tcPr>
          <w:p w14:paraId="3B6F8544" w14:textId="77777777" w:rsidR="007E2286" w:rsidRDefault="007E2286">
            <w:pPr>
              <w:jc w:val="center"/>
              <w:rPr>
                <w:rFonts w:ascii="Calibri" w:hAnsi="Calibri"/>
                <w:color w:val="000000"/>
                <w:sz w:val="22"/>
                <w:szCs w:val="22"/>
              </w:rPr>
            </w:pPr>
            <w:r>
              <w:rPr>
                <w:rFonts w:ascii="Calibri" w:hAnsi="Calibri"/>
                <w:color w:val="000000"/>
                <w:sz w:val="22"/>
                <w:szCs w:val="22"/>
              </w:rPr>
              <w:t>10</w:t>
            </w:r>
          </w:p>
        </w:tc>
        <w:tc>
          <w:tcPr>
            <w:tcW w:w="2379" w:type="dxa"/>
            <w:tcBorders>
              <w:top w:val="nil"/>
              <w:left w:val="nil"/>
              <w:bottom w:val="single" w:sz="4" w:space="0" w:color="A6A6A6"/>
              <w:right w:val="single" w:sz="4" w:space="0" w:color="A6A6A6"/>
            </w:tcBorders>
            <w:shd w:val="clear" w:color="auto" w:fill="auto"/>
            <w:noWrap/>
            <w:vAlign w:val="bottom"/>
            <w:hideMark/>
          </w:tcPr>
          <w:p w14:paraId="405843A4" w14:textId="77777777" w:rsidR="007E2286" w:rsidRDefault="007E2286">
            <w:pPr>
              <w:jc w:val="center"/>
              <w:rPr>
                <w:rFonts w:ascii="Calibri" w:hAnsi="Calibri"/>
                <w:color w:val="000000"/>
                <w:sz w:val="22"/>
                <w:szCs w:val="22"/>
              </w:rPr>
            </w:pPr>
            <w:r>
              <w:rPr>
                <w:rFonts w:ascii="Calibri" w:hAnsi="Calibri"/>
                <w:color w:val="000000"/>
                <w:sz w:val="22"/>
                <w:szCs w:val="22"/>
              </w:rPr>
              <w:t>66.67%</w:t>
            </w:r>
          </w:p>
        </w:tc>
      </w:tr>
      <w:tr w:rsidR="007E2286" w14:paraId="65671A56" w14:textId="77777777" w:rsidTr="007E2286">
        <w:trPr>
          <w:trHeight w:val="288"/>
        </w:trPr>
        <w:tc>
          <w:tcPr>
            <w:tcW w:w="1816" w:type="dxa"/>
            <w:tcBorders>
              <w:top w:val="nil"/>
              <w:left w:val="single" w:sz="4" w:space="0" w:color="A6A6A6"/>
              <w:bottom w:val="single" w:sz="4" w:space="0" w:color="A6A6A6"/>
              <w:right w:val="single" w:sz="4" w:space="0" w:color="A6A6A6"/>
            </w:tcBorders>
            <w:shd w:val="clear" w:color="auto" w:fill="auto"/>
            <w:noWrap/>
            <w:vAlign w:val="center"/>
            <w:hideMark/>
          </w:tcPr>
          <w:p w14:paraId="30C118E4" w14:textId="77777777" w:rsidR="007E2286" w:rsidRDefault="007E2286">
            <w:pPr>
              <w:rPr>
                <w:rFonts w:ascii="Calibri" w:hAnsi="Calibri"/>
                <w:color w:val="000000"/>
                <w:sz w:val="22"/>
                <w:szCs w:val="22"/>
              </w:rPr>
            </w:pPr>
            <w:r>
              <w:rPr>
                <w:rFonts w:ascii="Calibri" w:hAnsi="Calibri"/>
                <w:color w:val="000000"/>
                <w:sz w:val="22"/>
                <w:szCs w:val="22"/>
              </w:rPr>
              <w:t>Sonora</w:t>
            </w:r>
          </w:p>
        </w:tc>
        <w:tc>
          <w:tcPr>
            <w:tcW w:w="1240" w:type="dxa"/>
            <w:tcBorders>
              <w:top w:val="nil"/>
              <w:left w:val="nil"/>
              <w:bottom w:val="single" w:sz="4" w:space="0" w:color="A6A6A6"/>
              <w:right w:val="single" w:sz="4" w:space="0" w:color="A6A6A6"/>
            </w:tcBorders>
            <w:shd w:val="clear" w:color="auto" w:fill="auto"/>
            <w:noWrap/>
            <w:vAlign w:val="center"/>
            <w:hideMark/>
          </w:tcPr>
          <w:p w14:paraId="7AE4ACA1" w14:textId="77777777" w:rsidR="007E2286" w:rsidRDefault="007E2286">
            <w:pPr>
              <w:jc w:val="center"/>
              <w:rPr>
                <w:rFonts w:ascii="Calibri" w:hAnsi="Calibri"/>
                <w:color w:val="000000"/>
                <w:sz w:val="22"/>
                <w:szCs w:val="22"/>
              </w:rPr>
            </w:pPr>
            <w:r>
              <w:rPr>
                <w:rFonts w:ascii="Calibri" w:hAnsi="Calibri"/>
                <w:color w:val="000000"/>
                <w:sz w:val="22"/>
                <w:szCs w:val="22"/>
              </w:rPr>
              <w:t>21</w:t>
            </w:r>
          </w:p>
        </w:tc>
        <w:tc>
          <w:tcPr>
            <w:tcW w:w="1240" w:type="dxa"/>
            <w:tcBorders>
              <w:top w:val="nil"/>
              <w:left w:val="nil"/>
              <w:bottom w:val="single" w:sz="4" w:space="0" w:color="A6A6A6"/>
              <w:right w:val="single" w:sz="4" w:space="0" w:color="A6A6A6"/>
            </w:tcBorders>
            <w:shd w:val="clear" w:color="auto" w:fill="auto"/>
            <w:noWrap/>
            <w:vAlign w:val="center"/>
            <w:hideMark/>
          </w:tcPr>
          <w:p w14:paraId="31BF9978" w14:textId="77777777" w:rsidR="007E2286" w:rsidRPr="0007667A" w:rsidRDefault="007E2286">
            <w:pPr>
              <w:jc w:val="center"/>
              <w:rPr>
                <w:rFonts w:ascii="Calibri" w:hAnsi="Calibri"/>
                <w:color w:val="000000"/>
                <w:sz w:val="22"/>
                <w:szCs w:val="22"/>
              </w:rPr>
            </w:pPr>
            <w:r w:rsidRPr="0007667A">
              <w:rPr>
                <w:rFonts w:ascii="Calibri" w:hAnsi="Calibri"/>
                <w:color w:val="000000"/>
                <w:sz w:val="22"/>
                <w:szCs w:val="22"/>
              </w:rPr>
              <w:t>126,785</w:t>
            </w:r>
          </w:p>
        </w:tc>
        <w:tc>
          <w:tcPr>
            <w:tcW w:w="2160" w:type="dxa"/>
            <w:tcBorders>
              <w:top w:val="nil"/>
              <w:left w:val="nil"/>
              <w:bottom w:val="single" w:sz="4" w:space="0" w:color="A6A6A6"/>
              <w:right w:val="single" w:sz="4" w:space="0" w:color="A6A6A6"/>
            </w:tcBorders>
            <w:shd w:val="clear" w:color="auto" w:fill="auto"/>
            <w:noWrap/>
            <w:vAlign w:val="center"/>
            <w:hideMark/>
          </w:tcPr>
          <w:p w14:paraId="1E6F6989" w14:textId="77777777" w:rsidR="007E2286" w:rsidRDefault="007E2286">
            <w:pPr>
              <w:jc w:val="center"/>
              <w:rPr>
                <w:rFonts w:ascii="Calibri" w:hAnsi="Calibri"/>
                <w:color w:val="000000"/>
                <w:sz w:val="22"/>
                <w:szCs w:val="22"/>
              </w:rPr>
            </w:pPr>
            <w:r>
              <w:rPr>
                <w:rFonts w:ascii="Calibri" w:hAnsi="Calibri"/>
                <w:color w:val="000000"/>
                <w:sz w:val="22"/>
                <w:szCs w:val="22"/>
              </w:rPr>
              <w:t>11</w:t>
            </w:r>
          </w:p>
        </w:tc>
        <w:tc>
          <w:tcPr>
            <w:tcW w:w="2379" w:type="dxa"/>
            <w:tcBorders>
              <w:top w:val="nil"/>
              <w:left w:val="nil"/>
              <w:bottom w:val="single" w:sz="4" w:space="0" w:color="A6A6A6"/>
              <w:right w:val="single" w:sz="4" w:space="0" w:color="A6A6A6"/>
            </w:tcBorders>
            <w:shd w:val="clear" w:color="auto" w:fill="auto"/>
            <w:noWrap/>
            <w:vAlign w:val="bottom"/>
            <w:hideMark/>
          </w:tcPr>
          <w:p w14:paraId="3330778D" w14:textId="77777777" w:rsidR="007E2286" w:rsidRDefault="007E2286">
            <w:pPr>
              <w:jc w:val="center"/>
              <w:rPr>
                <w:rFonts w:ascii="Calibri" w:hAnsi="Calibri"/>
                <w:color w:val="000000"/>
                <w:sz w:val="22"/>
                <w:szCs w:val="22"/>
              </w:rPr>
            </w:pPr>
            <w:r>
              <w:rPr>
                <w:rFonts w:ascii="Calibri" w:hAnsi="Calibri"/>
                <w:color w:val="000000"/>
                <w:sz w:val="22"/>
                <w:szCs w:val="22"/>
              </w:rPr>
              <w:t>52.38%</w:t>
            </w:r>
          </w:p>
        </w:tc>
      </w:tr>
      <w:tr w:rsidR="007E2286" w14:paraId="3DB64A50" w14:textId="77777777" w:rsidTr="007E2286">
        <w:trPr>
          <w:trHeight w:val="288"/>
        </w:trPr>
        <w:tc>
          <w:tcPr>
            <w:tcW w:w="1816" w:type="dxa"/>
            <w:tcBorders>
              <w:top w:val="nil"/>
              <w:left w:val="single" w:sz="4" w:space="0" w:color="A6A6A6"/>
              <w:bottom w:val="single" w:sz="4" w:space="0" w:color="A6A6A6"/>
              <w:right w:val="single" w:sz="4" w:space="0" w:color="A6A6A6"/>
            </w:tcBorders>
            <w:shd w:val="clear" w:color="auto" w:fill="auto"/>
            <w:noWrap/>
            <w:vAlign w:val="center"/>
            <w:hideMark/>
          </w:tcPr>
          <w:p w14:paraId="3F6A4556" w14:textId="77777777" w:rsidR="007E2286" w:rsidRDefault="007E2286">
            <w:pPr>
              <w:rPr>
                <w:rFonts w:ascii="Calibri" w:hAnsi="Calibri"/>
                <w:color w:val="000000"/>
                <w:sz w:val="22"/>
                <w:szCs w:val="22"/>
              </w:rPr>
            </w:pPr>
            <w:r>
              <w:rPr>
                <w:rFonts w:ascii="Calibri" w:hAnsi="Calibri"/>
                <w:color w:val="000000"/>
                <w:sz w:val="22"/>
                <w:szCs w:val="22"/>
              </w:rPr>
              <w:t xml:space="preserve">Guanajuato </w:t>
            </w:r>
          </w:p>
        </w:tc>
        <w:tc>
          <w:tcPr>
            <w:tcW w:w="1240" w:type="dxa"/>
            <w:tcBorders>
              <w:top w:val="nil"/>
              <w:left w:val="nil"/>
              <w:bottom w:val="single" w:sz="4" w:space="0" w:color="A6A6A6"/>
              <w:right w:val="single" w:sz="4" w:space="0" w:color="A6A6A6"/>
            </w:tcBorders>
            <w:shd w:val="clear" w:color="auto" w:fill="auto"/>
            <w:noWrap/>
            <w:vAlign w:val="center"/>
            <w:hideMark/>
          </w:tcPr>
          <w:p w14:paraId="6AF2C3E3" w14:textId="77777777" w:rsidR="007E2286" w:rsidRDefault="007E2286">
            <w:pPr>
              <w:jc w:val="center"/>
              <w:rPr>
                <w:rFonts w:ascii="Calibri" w:hAnsi="Calibri"/>
                <w:color w:val="000000"/>
                <w:sz w:val="22"/>
                <w:szCs w:val="22"/>
              </w:rPr>
            </w:pPr>
            <w:r>
              <w:rPr>
                <w:rFonts w:ascii="Calibri" w:hAnsi="Calibri"/>
                <w:color w:val="000000"/>
                <w:sz w:val="22"/>
                <w:szCs w:val="22"/>
              </w:rPr>
              <w:t>22</w:t>
            </w:r>
          </w:p>
        </w:tc>
        <w:tc>
          <w:tcPr>
            <w:tcW w:w="1240" w:type="dxa"/>
            <w:tcBorders>
              <w:top w:val="nil"/>
              <w:left w:val="nil"/>
              <w:bottom w:val="single" w:sz="4" w:space="0" w:color="A6A6A6"/>
              <w:right w:val="single" w:sz="4" w:space="0" w:color="A6A6A6"/>
            </w:tcBorders>
            <w:shd w:val="clear" w:color="auto" w:fill="auto"/>
            <w:noWrap/>
            <w:vAlign w:val="center"/>
            <w:hideMark/>
          </w:tcPr>
          <w:p w14:paraId="7E51DEE3" w14:textId="77777777" w:rsidR="007E2286" w:rsidRPr="0007667A" w:rsidRDefault="007E2286">
            <w:pPr>
              <w:jc w:val="center"/>
              <w:rPr>
                <w:rFonts w:ascii="Calibri" w:hAnsi="Calibri"/>
                <w:color w:val="000000"/>
                <w:sz w:val="22"/>
                <w:szCs w:val="22"/>
              </w:rPr>
            </w:pPr>
            <w:r w:rsidRPr="0007667A">
              <w:rPr>
                <w:rFonts w:ascii="Calibri" w:hAnsi="Calibri"/>
                <w:color w:val="000000"/>
                <w:sz w:val="22"/>
                <w:szCs w:val="22"/>
              </w:rPr>
              <w:t>249,381</w:t>
            </w:r>
          </w:p>
        </w:tc>
        <w:tc>
          <w:tcPr>
            <w:tcW w:w="2160" w:type="dxa"/>
            <w:tcBorders>
              <w:top w:val="nil"/>
              <w:left w:val="nil"/>
              <w:bottom w:val="single" w:sz="4" w:space="0" w:color="A6A6A6"/>
              <w:right w:val="single" w:sz="4" w:space="0" w:color="A6A6A6"/>
            </w:tcBorders>
            <w:shd w:val="clear" w:color="auto" w:fill="auto"/>
            <w:noWrap/>
            <w:vAlign w:val="center"/>
            <w:hideMark/>
          </w:tcPr>
          <w:p w14:paraId="25E09B62" w14:textId="77777777" w:rsidR="007E2286" w:rsidRDefault="007E2286">
            <w:pPr>
              <w:jc w:val="center"/>
              <w:rPr>
                <w:rFonts w:ascii="Calibri" w:hAnsi="Calibri"/>
                <w:color w:val="000000"/>
                <w:sz w:val="22"/>
                <w:szCs w:val="22"/>
              </w:rPr>
            </w:pPr>
            <w:r>
              <w:rPr>
                <w:rFonts w:ascii="Calibri" w:hAnsi="Calibri"/>
                <w:color w:val="000000"/>
                <w:sz w:val="22"/>
                <w:szCs w:val="22"/>
              </w:rPr>
              <w:t>10</w:t>
            </w:r>
          </w:p>
        </w:tc>
        <w:tc>
          <w:tcPr>
            <w:tcW w:w="2379" w:type="dxa"/>
            <w:tcBorders>
              <w:top w:val="nil"/>
              <w:left w:val="nil"/>
              <w:bottom w:val="single" w:sz="4" w:space="0" w:color="A6A6A6"/>
              <w:right w:val="single" w:sz="4" w:space="0" w:color="A6A6A6"/>
            </w:tcBorders>
            <w:shd w:val="clear" w:color="auto" w:fill="auto"/>
            <w:noWrap/>
            <w:vAlign w:val="bottom"/>
            <w:hideMark/>
          </w:tcPr>
          <w:p w14:paraId="34B5CE40" w14:textId="77777777" w:rsidR="007E2286" w:rsidRDefault="007E2286">
            <w:pPr>
              <w:jc w:val="center"/>
              <w:rPr>
                <w:rFonts w:ascii="Calibri" w:hAnsi="Calibri"/>
                <w:color w:val="000000"/>
                <w:sz w:val="22"/>
                <w:szCs w:val="22"/>
              </w:rPr>
            </w:pPr>
            <w:r>
              <w:rPr>
                <w:rFonts w:ascii="Calibri" w:hAnsi="Calibri"/>
                <w:color w:val="000000"/>
                <w:sz w:val="22"/>
                <w:szCs w:val="22"/>
              </w:rPr>
              <w:t>45.45%</w:t>
            </w:r>
          </w:p>
        </w:tc>
      </w:tr>
      <w:tr w:rsidR="007E2286" w14:paraId="3BD1F022" w14:textId="77777777" w:rsidTr="007E2286">
        <w:trPr>
          <w:trHeight w:val="288"/>
        </w:trPr>
        <w:tc>
          <w:tcPr>
            <w:tcW w:w="1816" w:type="dxa"/>
            <w:tcBorders>
              <w:top w:val="nil"/>
              <w:left w:val="single" w:sz="4" w:space="0" w:color="A6A6A6"/>
              <w:bottom w:val="single" w:sz="4" w:space="0" w:color="A6A6A6"/>
              <w:right w:val="single" w:sz="4" w:space="0" w:color="A6A6A6"/>
            </w:tcBorders>
            <w:shd w:val="clear" w:color="auto" w:fill="auto"/>
            <w:noWrap/>
            <w:vAlign w:val="center"/>
            <w:hideMark/>
          </w:tcPr>
          <w:p w14:paraId="154DA978" w14:textId="77777777" w:rsidR="007E2286" w:rsidRDefault="007E2286">
            <w:pPr>
              <w:rPr>
                <w:rFonts w:ascii="Calibri" w:hAnsi="Calibri"/>
                <w:color w:val="000000"/>
                <w:sz w:val="22"/>
                <w:szCs w:val="22"/>
              </w:rPr>
            </w:pPr>
            <w:r>
              <w:rPr>
                <w:rFonts w:ascii="Calibri" w:hAnsi="Calibri"/>
                <w:color w:val="000000"/>
                <w:sz w:val="22"/>
                <w:szCs w:val="22"/>
              </w:rPr>
              <w:t>Jalisco</w:t>
            </w:r>
          </w:p>
        </w:tc>
        <w:tc>
          <w:tcPr>
            <w:tcW w:w="1240" w:type="dxa"/>
            <w:tcBorders>
              <w:top w:val="nil"/>
              <w:left w:val="nil"/>
              <w:bottom w:val="single" w:sz="4" w:space="0" w:color="A6A6A6"/>
              <w:right w:val="single" w:sz="4" w:space="0" w:color="A6A6A6"/>
            </w:tcBorders>
            <w:shd w:val="clear" w:color="auto" w:fill="auto"/>
            <w:noWrap/>
            <w:vAlign w:val="center"/>
            <w:hideMark/>
          </w:tcPr>
          <w:p w14:paraId="5F6B223B" w14:textId="77777777" w:rsidR="007E2286" w:rsidRDefault="007E2286">
            <w:pPr>
              <w:jc w:val="center"/>
              <w:rPr>
                <w:rFonts w:ascii="Calibri" w:hAnsi="Calibri"/>
                <w:color w:val="000000"/>
                <w:sz w:val="22"/>
                <w:szCs w:val="22"/>
              </w:rPr>
            </w:pPr>
            <w:r>
              <w:rPr>
                <w:rFonts w:ascii="Calibri" w:hAnsi="Calibri"/>
                <w:color w:val="000000"/>
                <w:sz w:val="22"/>
                <w:szCs w:val="22"/>
              </w:rPr>
              <w:t>20</w:t>
            </w:r>
          </w:p>
        </w:tc>
        <w:tc>
          <w:tcPr>
            <w:tcW w:w="1240" w:type="dxa"/>
            <w:tcBorders>
              <w:top w:val="nil"/>
              <w:left w:val="nil"/>
              <w:bottom w:val="single" w:sz="4" w:space="0" w:color="A6A6A6"/>
              <w:right w:val="single" w:sz="4" w:space="0" w:color="A6A6A6"/>
            </w:tcBorders>
            <w:shd w:val="clear" w:color="auto" w:fill="auto"/>
            <w:noWrap/>
            <w:vAlign w:val="center"/>
            <w:hideMark/>
          </w:tcPr>
          <w:p w14:paraId="2C0D0FC5" w14:textId="77777777" w:rsidR="007E2286" w:rsidRPr="0007667A" w:rsidRDefault="007E2286">
            <w:pPr>
              <w:jc w:val="center"/>
              <w:rPr>
                <w:rFonts w:ascii="Calibri" w:hAnsi="Calibri"/>
                <w:color w:val="000000"/>
                <w:sz w:val="22"/>
                <w:szCs w:val="22"/>
              </w:rPr>
            </w:pPr>
            <w:r w:rsidRPr="0007667A">
              <w:rPr>
                <w:rFonts w:ascii="Calibri" w:hAnsi="Calibri"/>
                <w:color w:val="000000"/>
                <w:sz w:val="22"/>
                <w:szCs w:val="22"/>
              </w:rPr>
              <w:t>367,534</w:t>
            </w:r>
          </w:p>
        </w:tc>
        <w:tc>
          <w:tcPr>
            <w:tcW w:w="2160" w:type="dxa"/>
            <w:tcBorders>
              <w:top w:val="nil"/>
              <w:left w:val="nil"/>
              <w:bottom w:val="single" w:sz="4" w:space="0" w:color="A6A6A6"/>
              <w:right w:val="single" w:sz="4" w:space="0" w:color="A6A6A6"/>
            </w:tcBorders>
            <w:shd w:val="clear" w:color="auto" w:fill="auto"/>
            <w:noWrap/>
            <w:vAlign w:val="center"/>
            <w:hideMark/>
          </w:tcPr>
          <w:p w14:paraId="0C22C658" w14:textId="77777777" w:rsidR="007E2286" w:rsidRDefault="007E2286">
            <w:pPr>
              <w:jc w:val="center"/>
              <w:rPr>
                <w:rFonts w:ascii="Calibri" w:hAnsi="Calibri"/>
                <w:color w:val="000000"/>
                <w:sz w:val="22"/>
                <w:szCs w:val="22"/>
              </w:rPr>
            </w:pPr>
            <w:r>
              <w:rPr>
                <w:rFonts w:ascii="Calibri" w:hAnsi="Calibri"/>
                <w:color w:val="000000"/>
                <w:sz w:val="22"/>
                <w:szCs w:val="22"/>
              </w:rPr>
              <w:t>9</w:t>
            </w:r>
          </w:p>
        </w:tc>
        <w:tc>
          <w:tcPr>
            <w:tcW w:w="2379" w:type="dxa"/>
            <w:tcBorders>
              <w:top w:val="nil"/>
              <w:left w:val="nil"/>
              <w:bottom w:val="single" w:sz="4" w:space="0" w:color="A6A6A6"/>
              <w:right w:val="single" w:sz="4" w:space="0" w:color="A6A6A6"/>
            </w:tcBorders>
            <w:shd w:val="clear" w:color="auto" w:fill="auto"/>
            <w:noWrap/>
            <w:vAlign w:val="bottom"/>
            <w:hideMark/>
          </w:tcPr>
          <w:p w14:paraId="2D1FE647" w14:textId="77777777" w:rsidR="007E2286" w:rsidRDefault="007E2286">
            <w:pPr>
              <w:jc w:val="center"/>
              <w:rPr>
                <w:rFonts w:ascii="Calibri" w:hAnsi="Calibri"/>
                <w:color w:val="000000"/>
                <w:sz w:val="22"/>
                <w:szCs w:val="22"/>
              </w:rPr>
            </w:pPr>
            <w:r>
              <w:rPr>
                <w:rFonts w:ascii="Calibri" w:hAnsi="Calibri"/>
                <w:color w:val="000000"/>
                <w:sz w:val="22"/>
                <w:szCs w:val="22"/>
              </w:rPr>
              <w:t>45.00%</w:t>
            </w:r>
          </w:p>
        </w:tc>
      </w:tr>
      <w:tr w:rsidR="007E2286" w14:paraId="63CCF2DC" w14:textId="77777777" w:rsidTr="007E2286">
        <w:trPr>
          <w:trHeight w:val="288"/>
        </w:trPr>
        <w:tc>
          <w:tcPr>
            <w:tcW w:w="1816" w:type="dxa"/>
            <w:tcBorders>
              <w:top w:val="nil"/>
              <w:left w:val="single" w:sz="4" w:space="0" w:color="A6A6A6"/>
              <w:bottom w:val="single" w:sz="4" w:space="0" w:color="A6A6A6"/>
              <w:right w:val="single" w:sz="4" w:space="0" w:color="A6A6A6"/>
            </w:tcBorders>
            <w:shd w:val="clear" w:color="auto" w:fill="auto"/>
            <w:noWrap/>
            <w:vAlign w:val="center"/>
            <w:hideMark/>
          </w:tcPr>
          <w:p w14:paraId="7FF626FB" w14:textId="77777777" w:rsidR="007E2286" w:rsidRDefault="007E2286">
            <w:pPr>
              <w:rPr>
                <w:rFonts w:ascii="Calibri" w:hAnsi="Calibri"/>
                <w:color w:val="000000"/>
                <w:sz w:val="22"/>
                <w:szCs w:val="22"/>
              </w:rPr>
            </w:pPr>
            <w:r>
              <w:rPr>
                <w:rFonts w:ascii="Calibri" w:hAnsi="Calibri"/>
                <w:color w:val="000000"/>
                <w:sz w:val="22"/>
                <w:szCs w:val="22"/>
              </w:rPr>
              <w:t>San Luis Potosí</w:t>
            </w:r>
          </w:p>
        </w:tc>
        <w:tc>
          <w:tcPr>
            <w:tcW w:w="1240" w:type="dxa"/>
            <w:tcBorders>
              <w:top w:val="nil"/>
              <w:left w:val="nil"/>
              <w:bottom w:val="single" w:sz="4" w:space="0" w:color="A6A6A6"/>
              <w:right w:val="single" w:sz="4" w:space="0" w:color="A6A6A6"/>
            </w:tcBorders>
            <w:shd w:val="clear" w:color="auto" w:fill="auto"/>
            <w:noWrap/>
            <w:vAlign w:val="center"/>
            <w:hideMark/>
          </w:tcPr>
          <w:p w14:paraId="21427B33" w14:textId="77777777" w:rsidR="007E2286" w:rsidRDefault="007E2286">
            <w:pPr>
              <w:jc w:val="center"/>
              <w:rPr>
                <w:rFonts w:ascii="Calibri" w:hAnsi="Calibri"/>
                <w:color w:val="000000"/>
                <w:sz w:val="22"/>
                <w:szCs w:val="22"/>
              </w:rPr>
            </w:pPr>
            <w:r>
              <w:rPr>
                <w:rFonts w:ascii="Calibri" w:hAnsi="Calibri"/>
                <w:color w:val="000000"/>
                <w:sz w:val="22"/>
                <w:szCs w:val="22"/>
              </w:rPr>
              <w:t>15</w:t>
            </w:r>
          </w:p>
        </w:tc>
        <w:tc>
          <w:tcPr>
            <w:tcW w:w="1240" w:type="dxa"/>
            <w:tcBorders>
              <w:top w:val="nil"/>
              <w:left w:val="nil"/>
              <w:bottom w:val="single" w:sz="4" w:space="0" w:color="A6A6A6"/>
              <w:right w:val="single" w:sz="4" w:space="0" w:color="A6A6A6"/>
            </w:tcBorders>
            <w:shd w:val="clear" w:color="auto" w:fill="auto"/>
            <w:noWrap/>
            <w:vAlign w:val="center"/>
            <w:hideMark/>
          </w:tcPr>
          <w:p w14:paraId="0E7D0B81" w14:textId="77777777" w:rsidR="007E2286" w:rsidRPr="0007667A" w:rsidRDefault="007E2286">
            <w:pPr>
              <w:jc w:val="center"/>
              <w:rPr>
                <w:rFonts w:ascii="Calibri" w:hAnsi="Calibri"/>
                <w:color w:val="000000"/>
                <w:sz w:val="22"/>
                <w:szCs w:val="22"/>
              </w:rPr>
            </w:pPr>
            <w:r w:rsidRPr="0007667A">
              <w:rPr>
                <w:rFonts w:ascii="Calibri" w:hAnsi="Calibri"/>
                <w:color w:val="000000"/>
                <w:sz w:val="22"/>
                <w:szCs w:val="22"/>
              </w:rPr>
              <w:t>172,368</w:t>
            </w:r>
          </w:p>
        </w:tc>
        <w:tc>
          <w:tcPr>
            <w:tcW w:w="2160" w:type="dxa"/>
            <w:tcBorders>
              <w:top w:val="nil"/>
              <w:left w:val="nil"/>
              <w:bottom w:val="single" w:sz="4" w:space="0" w:color="A6A6A6"/>
              <w:right w:val="single" w:sz="4" w:space="0" w:color="A6A6A6"/>
            </w:tcBorders>
            <w:shd w:val="clear" w:color="auto" w:fill="auto"/>
            <w:noWrap/>
            <w:vAlign w:val="center"/>
            <w:hideMark/>
          </w:tcPr>
          <w:p w14:paraId="6E2EFB46" w14:textId="77777777" w:rsidR="007E2286" w:rsidRDefault="007E2286">
            <w:pPr>
              <w:jc w:val="center"/>
              <w:rPr>
                <w:rFonts w:ascii="Calibri" w:hAnsi="Calibri"/>
                <w:color w:val="000000"/>
                <w:sz w:val="22"/>
                <w:szCs w:val="22"/>
              </w:rPr>
            </w:pPr>
            <w:r>
              <w:rPr>
                <w:rFonts w:ascii="Calibri" w:hAnsi="Calibri"/>
                <w:color w:val="000000"/>
                <w:sz w:val="22"/>
                <w:szCs w:val="22"/>
              </w:rPr>
              <w:t>6</w:t>
            </w:r>
          </w:p>
        </w:tc>
        <w:tc>
          <w:tcPr>
            <w:tcW w:w="2379" w:type="dxa"/>
            <w:tcBorders>
              <w:top w:val="nil"/>
              <w:left w:val="nil"/>
              <w:bottom w:val="single" w:sz="4" w:space="0" w:color="A6A6A6"/>
              <w:right w:val="single" w:sz="4" w:space="0" w:color="A6A6A6"/>
            </w:tcBorders>
            <w:shd w:val="clear" w:color="auto" w:fill="auto"/>
            <w:noWrap/>
            <w:vAlign w:val="bottom"/>
            <w:hideMark/>
          </w:tcPr>
          <w:p w14:paraId="1B6A9B1A" w14:textId="77777777" w:rsidR="007E2286" w:rsidRDefault="007E2286">
            <w:pPr>
              <w:jc w:val="center"/>
              <w:rPr>
                <w:rFonts w:ascii="Calibri" w:hAnsi="Calibri"/>
                <w:color w:val="000000"/>
                <w:sz w:val="22"/>
                <w:szCs w:val="22"/>
              </w:rPr>
            </w:pPr>
            <w:r>
              <w:rPr>
                <w:rFonts w:ascii="Calibri" w:hAnsi="Calibri"/>
                <w:color w:val="000000"/>
                <w:sz w:val="22"/>
                <w:szCs w:val="22"/>
              </w:rPr>
              <w:t>40.00%</w:t>
            </w:r>
          </w:p>
        </w:tc>
      </w:tr>
      <w:tr w:rsidR="007E2286" w14:paraId="2A297D24" w14:textId="77777777" w:rsidTr="007E2286">
        <w:trPr>
          <w:trHeight w:val="288"/>
        </w:trPr>
        <w:tc>
          <w:tcPr>
            <w:tcW w:w="1816" w:type="dxa"/>
            <w:tcBorders>
              <w:top w:val="nil"/>
              <w:left w:val="single" w:sz="4" w:space="0" w:color="A6A6A6"/>
              <w:bottom w:val="single" w:sz="4" w:space="0" w:color="A6A6A6"/>
              <w:right w:val="single" w:sz="4" w:space="0" w:color="A6A6A6"/>
            </w:tcBorders>
            <w:shd w:val="clear" w:color="auto" w:fill="auto"/>
            <w:noWrap/>
            <w:vAlign w:val="center"/>
            <w:hideMark/>
          </w:tcPr>
          <w:p w14:paraId="488DC786" w14:textId="77777777" w:rsidR="007E2286" w:rsidRDefault="007E2286">
            <w:pPr>
              <w:rPr>
                <w:rFonts w:ascii="Calibri" w:hAnsi="Calibri"/>
                <w:color w:val="000000"/>
                <w:sz w:val="22"/>
                <w:szCs w:val="22"/>
              </w:rPr>
            </w:pPr>
            <w:r>
              <w:rPr>
                <w:rFonts w:ascii="Calibri" w:hAnsi="Calibri"/>
                <w:color w:val="000000"/>
                <w:sz w:val="22"/>
                <w:szCs w:val="22"/>
              </w:rPr>
              <w:t>Morelos</w:t>
            </w:r>
          </w:p>
        </w:tc>
        <w:tc>
          <w:tcPr>
            <w:tcW w:w="1240" w:type="dxa"/>
            <w:tcBorders>
              <w:top w:val="nil"/>
              <w:left w:val="nil"/>
              <w:bottom w:val="single" w:sz="4" w:space="0" w:color="A6A6A6"/>
              <w:right w:val="single" w:sz="4" w:space="0" w:color="A6A6A6"/>
            </w:tcBorders>
            <w:shd w:val="clear" w:color="auto" w:fill="auto"/>
            <w:noWrap/>
            <w:vAlign w:val="center"/>
            <w:hideMark/>
          </w:tcPr>
          <w:p w14:paraId="022C4536" w14:textId="77777777" w:rsidR="007E2286" w:rsidRDefault="007E2286">
            <w:pPr>
              <w:jc w:val="center"/>
              <w:rPr>
                <w:rFonts w:ascii="Calibri" w:hAnsi="Calibri"/>
                <w:color w:val="000000"/>
                <w:sz w:val="22"/>
                <w:szCs w:val="22"/>
              </w:rPr>
            </w:pPr>
            <w:r>
              <w:rPr>
                <w:rFonts w:ascii="Calibri" w:hAnsi="Calibri"/>
                <w:color w:val="000000"/>
                <w:sz w:val="22"/>
                <w:szCs w:val="22"/>
              </w:rPr>
              <w:t>18</w:t>
            </w:r>
          </w:p>
        </w:tc>
        <w:tc>
          <w:tcPr>
            <w:tcW w:w="1240" w:type="dxa"/>
            <w:tcBorders>
              <w:top w:val="nil"/>
              <w:left w:val="nil"/>
              <w:bottom w:val="single" w:sz="4" w:space="0" w:color="A6A6A6"/>
              <w:right w:val="single" w:sz="4" w:space="0" w:color="A6A6A6"/>
            </w:tcBorders>
            <w:shd w:val="clear" w:color="auto" w:fill="auto"/>
            <w:noWrap/>
            <w:vAlign w:val="center"/>
            <w:hideMark/>
          </w:tcPr>
          <w:p w14:paraId="7767E0CF" w14:textId="77777777" w:rsidR="007E2286" w:rsidRPr="0007667A" w:rsidRDefault="007E2286">
            <w:pPr>
              <w:jc w:val="center"/>
              <w:rPr>
                <w:rFonts w:ascii="Calibri" w:hAnsi="Calibri"/>
                <w:color w:val="000000"/>
                <w:sz w:val="22"/>
                <w:szCs w:val="22"/>
              </w:rPr>
            </w:pPr>
            <w:r w:rsidRPr="0007667A">
              <w:rPr>
                <w:rFonts w:ascii="Calibri" w:hAnsi="Calibri"/>
                <w:color w:val="000000"/>
                <w:sz w:val="22"/>
                <w:szCs w:val="22"/>
              </w:rPr>
              <w:t>98,735</w:t>
            </w:r>
          </w:p>
        </w:tc>
        <w:tc>
          <w:tcPr>
            <w:tcW w:w="2160" w:type="dxa"/>
            <w:tcBorders>
              <w:top w:val="nil"/>
              <w:left w:val="nil"/>
              <w:bottom w:val="single" w:sz="4" w:space="0" w:color="A6A6A6"/>
              <w:right w:val="single" w:sz="4" w:space="0" w:color="A6A6A6"/>
            </w:tcBorders>
            <w:shd w:val="clear" w:color="auto" w:fill="auto"/>
            <w:noWrap/>
            <w:vAlign w:val="center"/>
            <w:hideMark/>
          </w:tcPr>
          <w:p w14:paraId="67286E3E" w14:textId="77777777" w:rsidR="007E2286" w:rsidRDefault="007E2286">
            <w:pPr>
              <w:jc w:val="center"/>
              <w:rPr>
                <w:rFonts w:ascii="Calibri" w:hAnsi="Calibri"/>
                <w:color w:val="000000"/>
                <w:sz w:val="22"/>
                <w:szCs w:val="22"/>
              </w:rPr>
            </w:pPr>
            <w:r>
              <w:rPr>
                <w:rFonts w:ascii="Calibri" w:hAnsi="Calibri"/>
                <w:color w:val="000000"/>
                <w:sz w:val="22"/>
                <w:szCs w:val="22"/>
              </w:rPr>
              <w:t>7</w:t>
            </w:r>
          </w:p>
        </w:tc>
        <w:tc>
          <w:tcPr>
            <w:tcW w:w="2379" w:type="dxa"/>
            <w:tcBorders>
              <w:top w:val="nil"/>
              <w:left w:val="nil"/>
              <w:bottom w:val="single" w:sz="4" w:space="0" w:color="A6A6A6"/>
              <w:right w:val="single" w:sz="4" w:space="0" w:color="A6A6A6"/>
            </w:tcBorders>
            <w:shd w:val="clear" w:color="auto" w:fill="auto"/>
            <w:noWrap/>
            <w:vAlign w:val="bottom"/>
            <w:hideMark/>
          </w:tcPr>
          <w:p w14:paraId="151A39D6" w14:textId="77777777" w:rsidR="007E2286" w:rsidRDefault="007E2286">
            <w:pPr>
              <w:jc w:val="center"/>
              <w:rPr>
                <w:rFonts w:ascii="Calibri" w:hAnsi="Calibri"/>
                <w:color w:val="000000"/>
                <w:sz w:val="22"/>
                <w:szCs w:val="22"/>
              </w:rPr>
            </w:pPr>
            <w:r>
              <w:rPr>
                <w:rFonts w:ascii="Calibri" w:hAnsi="Calibri"/>
                <w:color w:val="000000"/>
                <w:sz w:val="22"/>
                <w:szCs w:val="22"/>
              </w:rPr>
              <w:t>38.89%</w:t>
            </w:r>
          </w:p>
        </w:tc>
      </w:tr>
      <w:tr w:rsidR="007E2286" w14:paraId="5C747D7A" w14:textId="77777777" w:rsidTr="007E2286">
        <w:trPr>
          <w:trHeight w:val="288"/>
        </w:trPr>
        <w:tc>
          <w:tcPr>
            <w:tcW w:w="1816" w:type="dxa"/>
            <w:tcBorders>
              <w:top w:val="nil"/>
              <w:left w:val="single" w:sz="4" w:space="0" w:color="A6A6A6"/>
              <w:bottom w:val="single" w:sz="4" w:space="0" w:color="A6A6A6"/>
              <w:right w:val="single" w:sz="4" w:space="0" w:color="A6A6A6"/>
            </w:tcBorders>
            <w:shd w:val="clear" w:color="auto" w:fill="auto"/>
            <w:noWrap/>
            <w:vAlign w:val="center"/>
            <w:hideMark/>
          </w:tcPr>
          <w:p w14:paraId="14B2A2FA" w14:textId="77777777" w:rsidR="007E2286" w:rsidRDefault="007E2286">
            <w:pPr>
              <w:rPr>
                <w:rFonts w:ascii="Calibri" w:hAnsi="Calibri"/>
                <w:color w:val="000000"/>
                <w:sz w:val="22"/>
                <w:szCs w:val="22"/>
              </w:rPr>
            </w:pPr>
            <w:r>
              <w:rPr>
                <w:rFonts w:ascii="Calibri" w:hAnsi="Calibri"/>
                <w:color w:val="000000"/>
                <w:sz w:val="22"/>
                <w:szCs w:val="22"/>
              </w:rPr>
              <w:t>Michoacán</w:t>
            </w:r>
          </w:p>
        </w:tc>
        <w:tc>
          <w:tcPr>
            <w:tcW w:w="1240" w:type="dxa"/>
            <w:tcBorders>
              <w:top w:val="nil"/>
              <w:left w:val="nil"/>
              <w:bottom w:val="single" w:sz="4" w:space="0" w:color="A6A6A6"/>
              <w:right w:val="single" w:sz="4" w:space="0" w:color="A6A6A6"/>
            </w:tcBorders>
            <w:shd w:val="clear" w:color="auto" w:fill="auto"/>
            <w:noWrap/>
            <w:vAlign w:val="center"/>
            <w:hideMark/>
          </w:tcPr>
          <w:p w14:paraId="2422FC95" w14:textId="77777777" w:rsidR="007E2286" w:rsidRDefault="007E2286">
            <w:pPr>
              <w:jc w:val="center"/>
              <w:rPr>
                <w:rFonts w:ascii="Calibri" w:hAnsi="Calibri"/>
                <w:color w:val="000000"/>
                <w:sz w:val="22"/>
                <w:szCs w:val="22"/>
              </w:rPr>
            </w:pPr>
            <w:r>
              <w:rPr>
                <w:rFonts w:ascii="Calibri" w:hAnsi="Calibri"/>
                <w:color w:val="000000"/>
                <w:sz w:val="22"/>
                <w:szCs w:val="22"/>
              </w:rPr>
              <w:t>24</w:t>
            </w:r>
          </w:p>
        </w:tc>
        <w:tc>
          <w:tcPr>
            <w:tcW w:w="1240" w:type="dxa"/>
            <w:tcBorders>
              <w:top w:val="nil"/>
              <w:left w:val="nil"/>
              <w:bottom w:val="single" w:sz="4" w:space="0" w:color="A6A6A6"/>
              <w:right w:val="single" w:sz="4" w:space="0" w:color="A6A6A6"/>
            </w:tcBorders>
            <w:shd w:val="clear" w:color="auto" w:fill="auto"/>
            <w:noWrap/>
            <w:vAlign w:val="center"/>
            <w:hideMark/>
          </w:tcPr>
          <w:p w14:paraId="6D409699" w14:textId="77777777" w:rsidR="007E2286" w:rsidRPr="0007667A" w:rsidRDefault="007E2286">
            <w:pPr>
              <w:jc w:val="center"/>
              <w:rPr>
                <w:rFonts w:ascii="Calibri" w:hAnsi="Calibri"/>
                <w:color w:val="000000"/>
                <w:sz w:val="22"/>
                <w:szCs w:val="22"/>
              </w:rPr>
            </w:pPr>
            <w:r w:rsidRPr="0007667A">
              <w:rPr>
                <w:rFonts w:ascii="Calibri" w:hAnsi="Calibri"/>
                <w:color w:val="000000"/>
                <w:sz w:val="22"/>
                <w:szCs w:val="22"/>
              </w:rPr>
              <w:t>181,293</w:t>
            </w:r>
          </w:p>
        </w:tc>
        <w:tc>
          <w:tcPr>
            <w:tcW w:w="2160" w:type="dxa"/>
            <w:tcBorders>
              <w:top w:val="nil"/>
              <w:left w:val="nil"/>
              <w:bottom w:val="single" w:sz="4" w:space="0" w:color="A6A6A6"/>
              <w:right w:val="single" w:sz="4" w:space="0" w:color="A6A6A6"/>
            </w:tcBorders>
            <w:shd w:val="clear" w:color="auto" w:fill="auto"/>
            <w:noWrap/>
            <w:vAlign w:val="center"/>
            <w:hideMark/>
          </w:tcPr>
          <w:p w14:paraId="61DE6DCE" w14:textId="77777777" w:rsidR="007E2286" w:rsidRDefault="007E2286">
            <w:pPr>
              <w:jc w:val="center"/>
              <w:rPr>
                <w:rFonts w:ascii="Calibri" w:hAnsi="Calibri"/>
                <w:color w:val="000000"/>
                <w:sz w:val="22"/>
                <w:szCs w:val="22"/>
              </w:rPr>
            </w:pPr>
            <w:r>
              <w:rPr>
                <w:rFonts w:ascii="Calibri" w:hAnsi="Calibri"/>
                <w:color w:val="000000"/>
                <w:sz w:val="22"/>
                <w:szCs w:val="22"/>
              </w:rPr>
              <w:t>9</w:t>
            </w:r>
          </w:p>
        </w:tc>
        <w:tc>
          <w:tcPr>
            <w:tcW w:w="2379" w:type="dxa"/>
            <w:tcBorders>
              <w:top w:val="nil"/>
              <w:left w:val="nil"/>
              <w:bottom w:val="single" w:sz="4" w:space="0" w:color="A6A6A6"/>
              <w:right w:val="single" w:sz="4" w:space="0" w:color="A6A6A6"/>
            </w:tcBorders>
            <w:shd w:val="clear" w:color="auto" w:fill="auto"/>
            <w:noWrap/>
            <w:vAlign w:val="bottom"/>
            <w:hideMark/>
          </w:tcPr>
          <w:p w14:paraId="2D276C5A" w14:textId="77777777" w:rsidR="007E2286" w:rsidRDefault="007E2286">
            <w:pPr>
              <w:jc w:val="center"/>
              <w:rPr>
                <w:rFonts w:ascii="Calibri" w:hAnsi="Calibri"/>
                <w:color w:val="000000"/>
                <w:sz w:val="22"/>
                <w:szCs w:val="22"/>
              </w:rPr>
            </w:pPr>
            <w:r>
              <w:rPr>
                <w:rFonts w:ascii="Calibri" w:hAnsi="Calibri"/>
                <w:color w:val="000000"/>
                <w:sz w:val="22"/>
                <w:szCs w:val="22"/>
              </w:rPr>
              <w:t>37.50%</w:t>
            </w:r>
          </w:p>
        </w:tc>
      </w:tr>
      <w:tr w:rsidR="007E2286" w14:paraId="0BF1261E" w14:textId="77777777" w:rsidTr="007E2286">
        <w:trPr>
          <w:trHeight w:val="288"/>
        </w:trPr>
        <w:tc>
          <w:tcPr>
            <w:tcW w:w="1816" w:type="dxa"/>
            <w:tcBorders>
              <w:top w:val="nil"/>
              <w:left w:val="single" w:sz="4" w:space="0" w:color="A6A6A6"/>
              <w:bottom w:val="single" w:sz="4" w:space="0" w:color="A6A6A6"/>
              <w:right w:val="single" w:sz="4" w:space="0" w:color="A6A6A6"/>
            </w:tcBorders>
            <w:shd w:val="clear" w:color="auto" w:fill="auto"/>
            <w:noWrap/>
            <w:vAlign w:val="center"/>
            <w:hideMark/>
          </w:tcPr>
          <w:p w14:paraId="7BFEA7C7" w14:textId="77777777" w:rsidR="007E2286" w:rsidRDefault="007E2286">
            <w:pPr>
              <w:rPr>
                <w:rFonts w:ascii="Calibri" w:hAnsi="Calibri"/>
                <w:color w:val="000000"/>
                <w:sz w:val="22"/>
                <w:szCs w:val="22"/>
              </w:rPr>
            </w:pPr>
            <w:r>
              <w:rPr>
                <w:rFonts w:ascii="Calibri" w:hAnsi="Calibri"/>
                <w:color w:val="000000"/>
                <w:sz w:val="22"/>
                <w:szCs w:val="22"/>
              </w:rPr>
              <w:t>Campeche</w:t>
            </w:r>
          </w:p>
        </w:tc>
        <w:tc>
          <w:tcPr>
            <w:tcW w:w="1240" w:type="dxa"/>
            <w:tcBorders>
              <w:top w:val="nil"/>
              <w:left w:val="nil"/>
              <w:bottom w:val="single" w:sz="4" w:space="0" w:color="A6A6A6"/>
              <w:right w:val="single" w:sz="4" w:space="0" w:color="A6A6A6"/>
            </w:tcBorders>
            <w:shd w:val="clear" w:color="auto" w:fill="auto"/>
            <w:noWrap/>
            <w:vAlign w:val="center"/>
            <w:hideMark/>
          </w:tcPr>
          <w:p w14:paraId="73778429" w14:textId="77777777" w:rsidR="007E2286" w:rsidRDefault="007E2286">
            <w:pPr>
              <w:jc w:val="center"/>
              <w:rPr>
                <w:rFonts w:ascii="Calibri" w:hAnsi="Calibri"/>
                <w:color w:val="000000"/>
                <w:sz w:val="22"/>
                <w:szCs w:val="22"/>
              </w:rPr>
            </w:pPr>
            <w:r>
              <w:rPr>
                <w:rFonts w:ascii="Calibri" w:hAnsi="Calibri"/>
                <w:color w:val="000000"/>
                <w:sz w:val="22"/>
                <w:szCs w:val="22"/>
              </w:rPr>
              <w:t>21</w:t>
            </w:r>
          </w:p>
        </w:tc>
        <w:tc>
          <w:tcPr>
            <w:tcW w:w="1240" w:type="dxa"/>
            <w:tcBorders>
              <w:top w:val="nil"/>
              <w:left w:val="nil"/>
              <w:bottom w:val="single" w:sz="4" w:space="0" w:color="A6A6A6"/>
              <w:right w:val="single" w:sz="4" w:space="0" w:color="A6A6A6"/>
            </w:tcBorders>
            <w:shd w:val="clear" w:color="auto" w:fill="auto"/>
            <w:noWrap/>
            <w:vAlign w:val="center"/>
            <w:hideMark/>
          </w:tcPr>
          <w:p w14:paraId="4B16174C" w14:textId="77777777" w:rsidR="007E2286" w:rsidRPr="0007667A" w:rsidRDefault="007E2286">
            <w:pPr>
              <w:jc w:val="center"/>
              <w:rPr>
                <w:rFonts w:ascii="Calibri" w:hAnsi="Calibri"/>
                <w:color w:val="000000"/>
                <w:sz w:val="22"/>
                <w:szCs w:val="22"/>
              </w:rPr>
            </w:pPr>
            <w:r w:rsidRPr="0007667A">
              <w:rPr>
                <w:rFonts w:ascii="Calibri" w:hAnsi="Calibri"/>
                <w:color w:val="000000"/>
                <w:sz w:val="22"/>
                <w:szCs w:val="22"/>
              </w:rPr>
              <w:t>39,164</w:t>
            </w:r>
          </w:p>
        </w:tc>
        <w:tc>
          <w:tcPr>
            <w:tcW w:w="2160" w:type="dxa"/>
            <w:tcBorders>
              <w:top w:val="nil"/>
              <w:left w:val="nil"/>
              <w:bottom w:val="single" w:sz="4" w:space="0" w:color="A6A6A6"/>
              <w:right w:val="single" w:sz="4" w:space="0" w:color="A6A6A6"/>
            </w:tcBorders>
            <w:shd w:val="clear" w:color="auto" w:fill="auto"/>
            <w:noWrap/>
            <w:vAlign w:val="center"/>
            <w:hideMark/>
          </w:tcPr>
          <w:p w14:paraId="2988A8EF" w14:textId="77777777" w:rsidR="007E2286" w:rsidRDefault="007E2286">
            <w:pPr>
              <w:jc w:val="center"/>
              <w:rPr>
                <w:rFonts w:ascii="Calibri" w:hAnsi="Calibri"/>
                <w:color w:val="000000"/>
                <w:sz w:val="22"/>
                <w:szCs w:val="22"/>
              </w:rPr>
            </w:pPr>
            <w:r>
              <w:rPr>
                <w:rFonts w:ascii="Calibri" w:hAnsi="Calibri"/>
                <w:color w:val="000000"/>
                <w:sz w:val="22"/>
                <w:szCs w:val="22"/>
              </w:rPr>
              <w:t>3</w:t>
            </w:r>
          </w:p>
        </w:tc>
        <w:tc>
          <w:tcPr>
            <w:tcW w:w="2379" w:type="dxa"/>
            <w:tcBorders>
              <w:top w:val="nil"/>
              <w:left w:val="nil"/>
              <w:bottom w:val="single" w:sz="4" w:space="0" w:color="A6A6A6"/>
              <w:right w:val="single" w:sz="4" w:space="0" w:color="A6A6A6"/>
            </w:tcBorders>
            <w:shd w:val="clear" w:color="auto" w:fill="auto"/>
            <w:noWrap/>
            <w:vAlign w:val="bottom"/>
            <w:hideMark/>
          </w:tcPr>
          <w:p w14:paraId="7AC5A8FF" w14:textId="77777777" w:rsidR="007E2286" w:rsidRDefault="007E2286">
            <w:pPr>
              <w:jc w:val="center"/>
              <w:rPr>
                <w:rFonts w:ascii="Calibri" w:hAnsi="Calibri"/>
                <w:color w:val="000000"/>
                <w:sz w:val="22"/>
                <w:szCs w:val="22"/>
              </w:rPr>
            </w:pPr>
            <w:r>
              <w:rPr>
                <w:rFonts w:ascii="Calibri" w:hAnsi="Calibri"/>
                <w:color w:val="000000"/>
                <w:sz w:val="22"/>
                <w:szCs w:val="22"/>
              </w:rPr>
              <w:t>14.29%</w:t>
            </w:r>
          </w:p>
        </w:tc>
      </w:tr>
      <w:tr w:rsidR="007E2286" w14:paraId="72CA6B2D" w14:textId="77777777" w:rsidTr="007E2286">
        <w:trPr>
          <w:trHeight w:val="288"/>
        </w:trPr>
        <w:tc>
          <w:tcPr>
            <w:tcW w:w="1816" w:type="dxa"/>
            <w:tcBorders>
              <w:top w:val="nil"/>
              <w:left w:val="single" w:sz="4" w:space="0" w:color="A6A6A6"/>
              <w:bottom w:val="single" w:sz="4" w:space="0" w:color="A6A6A6"/>
              <w:right w:val="single" w:sz="4" w:space="0" w:color="A6A6A6"/>
            </w:tcBorders>
            <w:shd w:val="clear" w:color="auto" w:fill="auto"/>
            <w:noWrap/>
            <w:vAlign w:val="center"/>
            <w:hideMark/>
          </w:tcPr>
          <w:p w14:paraId="3D4FFA88" w14:textId="77777777" w:rsidR="007E2286" w:rsidRDefault="007E2286">
            <w:pPr>
              <w:rPr>
                <w:rFonts w:ascii="Calibri" w:hAnsi="Calibri"/>
                <w:color w:val="000000"/>
                <w:sz w:val="22"/>
                <w:szCs w:val="22"/>
              </w:rPr>
            </w:pPr>
            <w:r>
              <w:rPr>
                <w:rFonts w:ascii="Calibri" w:hAnsi="Calibri"/>
                <w:color w:val="000000"/>
                <w:sz w:val="22"/>
                <w:szCs w:val="22"/>
              </w:rPr>
              <w:t>Yucatán</w:t>
            </w:r>
          </w:p>
        </w:tc>
        <w:tc>
          <w:tcPr>
            <w:tcW w:w="1240" w:type="dxa"/>
            <w:tcBorders>
              <w:top w:val="nil"/>
              <w:left w:val="nil"/>
              <w:bottom w:val="single" w:sz="4" w:space="0" w:color="A6A6A6"/>
              <w:right w:val="single" w:sz="4" w:space="0" w:color="A6A6A6"/>
            </w:tcBorders>
            <w:shd w:val="clear" w:color="auto" w:fill="auto"/>
            <w:noWrap/>
            <w:vAlign w:val="center"/>
            <w:hideMark/>
          </w:tcPr>
          <w:p w14:paraId="404AFEA2" w14:textId="77777777" w:rsidR="007E2286" w:rsidRDefault="007E2286">
            <w:pPr>
              <w:jc w:val="center"/>
              <w:rPr>
                <w:rFonts w:ascii="Calibri" w:hAnsi="Calibri"/>
                <w:color w:val="000000"/>
                <w:sz w:val="22"/>
                <w:szCs w:val="22"/>
              </w:rPr>
            </w:pPr>
            <w:r>
              <w:rPr>
                <w:rFonts w:ascii="Calibri" w:hAnsi="Calibri"/>
                <w:color w:val="000000"/>
                <w:sz w:val="22"/>
                <w:szCs w:val="22"/>
              </w:rPr>
              <w:t>15</w:t>
            </w:r>
          </w:p>
        </w:tc>
        <w:tc>
          <w:tcPr>
            <w:tcW w:w="1240" w:type="dxa"/>
            <w:tcBorders>
              <w:top w:val="nil"/>
              <w:left w:val="nil"/>
              <w:bottom w:val="single" w:sz="4" w:space="0" w:color="A6A6A6"/>
              <w:right w:val="single" w:sz="4" w:space="0" w:color="A6A6A6"/>
            </w:tcBorders>
            <w:shd w:val="clear" w:color="auto" w:fill="auto"/>
            <w:noWrap/>
            <w:vAlign w:val="center"/>
            <w:hideMark/>
          </w:tcPr>
          <w:p w14:paraId="181774C8" w14:textId="77777777" w:rsidR="007E2286" w:rsidRPr="0007667A" w:rsidRDefault="007E2286">
            <w:pPr>
              <w:jc w:val="center"/>
              <w:rPr>
                <w:rFonts w:ascii="Calibri" w:hAnsi="Calibri"/>
                <w:color w:val="000000"/>
                <w:sz w:val="22"/>
                <w:szCs w:val="22"/>
              </w:rPr>
            </w:pPr>
            <w:r w:rsidRPr="0007667A">
              <w:rPr>
                <w:rFonts w:ascii="Calibri" w:hAnsi="Calibri"/>
                <w:color w:val="000000"/>
                <w:sz w:val="22"/>
                <w:szCs w:val="22"/>
              </w:rPr>
              <w:t>130,372</w:t>
            </w:r>
          </w:p>
        </w:tc>
        <w:tc>
          <w:tcPr>
            <w:tcW w:w="2160" w:type="dxa"/>
            <w:tcBorders>
              <w:top w:val="nil"/>
              <w:left w:val="nil"/>
              <w:bottom w:val="single" w:sz="4" w:space="0" w:color="A6A6A6"/>
              <w:right w:val="single" w:sz="4" w:space="0" w:color="A6A6A6"/>
            </w:tcBorders>
            <w:shd w:val="clear" w:color="auto" w:fill="auto"/>
            <w:noWrap/>
            <w:vAlign w:val="center"/>
            <w:hideMark/>
          </w:tcPr>
          <w:p w14:paraId="56E7CDA9" w14:textId="77777777" w:rsidR="007E2286" w:rsidRDefault="007E2286">
            <w:pPr>
              <w:jc w:val="center"/>
              <w:rPr>
                <w:rFonts w:ascii="Calibri" w:hAnsi="Calibri"/>
                <w:color w:val="000000"/>
                <w:sz w:val="22"/>
                <w:szCs w:val="22"/>
              </w:rPr>
            </w:pPr>
            <w:r>
              <w:rPr>
                <w:rFonts w:ascii="Calibri" w:hAnsi="Calibri"/>
                <w:color w:val="000000"/>
                <w:sz w:val="22"/>
                <w:szCs w:val="22"/>
              </w:rPr>
              <w:t>2</w:t>
            </w:r>
          </w:p>
        </w:tc>
        <w:tc>
          <w:tcPr>
            <w:tcW w:w="2379" w:type="dxa"/>
            <w:tcBorders>
              <w:top w:val="nil"/>
              <w:left w:val="nil"/>
              <w:bottom w:val="single" w:sz="4" w:space="0" w:color="A6A6A6"/>
              <w:right w:val="single" w:sz="4" w:space="0" w:color="A6A6A6"/>
            </w:tcBorders>
            <w:shd w:val="clear" w:color="auto" w:fill="auto"/>
            <w:noWrap/>
            <w:vAlign w:val="bottom"/>
            <w:hideMark/>
          </w:tcPr>
          <w:p w14:paraId="15C99E4B" w14:textId="77777777" w:rsidR="007E2286" w:rsidRDefault="007E2286">
            <w:pPr>
              <w:jc w:val="center"/>
              <w:rPr>
                <w:rFonts w:ascii="Calibri" w:hAnsi="Calibri"/>
                <w:color w:val="000000"/>
                <w:sz w:val="22"/>
                <w:szCs w:val="22"/>
              </w:rPr>
            </w:pPr>
            <w:r>
              <w:rPr>
                <w:rFonts w:ascii="Calibri" w:hAnsi="Calibri"/>
                <w:color w:val="000000"/>
                <w:sz w:val="22"/>
                <w:szCs w:val="22"/>
              </w:rPr>
              <w:t>13.33%</w:t>
            </w:r>
          </w:p>
        </w:tc>
      </w:tr>
      <w:tr w:rsidR="007E2286" w14:paraId="09EA91DA" w14:textId="77777777" w:rsidTr="007E2286">
        <w:trPr>
          <w:trHeight w:val="288"/>
        </w:trPr>
        <w:tc>
          <w:tcPr>
            <w:tcW w:w="1816" w:type="dxa"/>
            <w:tcBorders>
              <w:top w:val="nil"/>
              <w:left w:val="single" w:sz="4" w:space="0" w:color="A6A6A6"/>
              <w:bottom w:val="single" w:sz="4" w:space="0" w:color="A6A6A6"/>
              <w:right w:val="single" w:sz="4" w:space="0" w:color="A6A6A6"/>
            </w:tcBorders>
            <w:shd w:val="clear" w:color="auto" w:fill="auto"/>
            <w:noWrap/>
            <w:vAlign w:val="center"/>
            <w:hideMark/>
          </w:tcPr>
          <w:p w14:paraId="5A7E8592" w14:textId="77777777" w:rsidR="007E2286" w:rsidRDefault="007E2286">
            <w:pPr>
              <w:rPr>
                <w:rFonts w:ascii="Calibri" w:hAnsi="Calibri"/>
                <w:color w:val="000000"/>
                <w:sz w:val="22"/>
                <w:szCs w:val="22"/>
              </w:rPr>
            </w:pPr>
            <w:r>
              <w:rPr>
                <w:rFonts w:ascii="Calibri" w:hAnsi="Calibri"/>
                <w:color w:val="000000"/>
                <w:sz w:val="22"/>
                <w:szCs w:val="22"/>
              </w:rPr>
              <w:t>Guerrero</w:t>
            </w:r>
          </w:p>
        </w:tc>
        <w:tc>
          <w:tcPr>
            <w:tcW w:w="1240" w:type="dxa"/>
            <w:tcBorders>
              <w:top w:val="nil"/>
              <w:left w:val="nil"/>
              <w:bottom w:val="single" w:sz="4" w:space="0" w:color="A6A6A6"/>
              <w:right w:val="single" w:sz="4" w:space="0" w:color="A6A6A6"/>
            </w:tcBorders>
            <w:shd w:val="clear" w:color="auto" w:fill="auto"/>
            <w:noWrap/>
            <w:vAlign w:val="center"/>
            <w:hideMark/>
          </w:tcPr>
          <w:p w14:paraId="42D7255B" w14:textId="77777777" w:rsidR="007E2286" w:rsidRDefault="007E2286">
            <w:pPr>
              <w:jc w:val="center"/>
              <w:rPr>
                <w:rFonts w:ascii="Calibri" w:hAnsi="Calibri"/>
                <w:color w:val="000000"/>
                <w:sz w:val="22"/>
                <w:szCs w:val="22"/>
              </w:rPr>
            </w:pPr>
            <w:r>
              <w:rPr>
                <w:rFonts w:ascii="Calibri" w:hAnsi="Calibri"/>
                <w:color w:val="000000"/>
                <w:sz w:val="22"/>
                <w:szCs w:val="22"/>
              </w:rPr>
              <w:t>28</w:t>
            </w:r>
          </w:p>
        </w:tc>
        <w:tc>
          <w:tcPr>
            <w:tcW w:w="1240" w:type="dxa"/>
            <w:tcBorders>
              <w:top w:val="nil"/>
              <w:left w:val="nil"/>
              <w:bottom w:val="single" w:sz="4" w:space="0" w:color="A6A6A6"/>
              <w:right w:val="single" w:sz="4" w:space="0" w:color="A6A6A6"/>
            </w:tcBorders>
            <w:shd w:val="clear" w:color="auto" w:fill="auto"/>
            <w:noWrap/>
            <w:vAlign w:val="center"/>
            <w:hideMark/>
          </w:tcPr>
          <w:p w14:paraId="52C0DC70" w14:textId="77777777" w:rsidR="007E2286" w:rsidRPr="0007667A" w:rsidRDefault="007E2286">
            <w:pPr>
              <w:jc w:val="center"/>
              <w:rPr>
                <w:rFonts w:ascii="Calibri" w:hAnsi="Calibri"/>
                <w:color w:val="000000"/>
                <w:sz w:val="22"/>
                <w:szCs w:val="22"/>
              </w:rPr>
            </w:pPr>
            <w:r w:rsidRPr="0007667A">
              <w:rPr>
                <w:rFonts w:ascii="Calibri" w:hAnsi="Calibri"/>
                <w:color w:val="000000"/>
                <w:sz w:val="22"/>
                <w:szCs w:val="22"/>
              </w:rPr>
              <w:t>121,027</w:t>
            </w:r>
          </w:p>
        </w:tc>
        <w:tc>
          <w:tcPr>
            <w:tcW w:w="2160" w:type="dxa"/>
            <w:tcBorders>
              <w:top w:val="nil"/>
              <w:left w:val="nil"/>
              <w:bottom w:val="single" w:sz="4" w:space="0" w:color="A6A6A6"/>
              <w:right w:val="single" w:sz="4" w:space="0" w:color="A6A6A6"/>
            </w:tcBorders>
            <w:shd w:val="clear" w:color="auto" w:fill="auto"/>
            <w:noWrap/>
            <w:vAlign w:val="center"/>
            <w:hideMark/>
          </w:tcPr>
          <w:p w14:paraId="4BD5A05C" w14:textId="77777777" w:rsidR="007E2286" w:rsidRDefault="007E2286">
            <w:pPr>
              <w:jc w:val="center"/>
              <w:rPr>
                <w:rFonts w:ascii="Calibri" w:hAnsi="Calibri"/>
                <w:color w:val="000000"/>
                <w:sz w:val="22"/>
                <w:szCs w:val="22"/>
              </w:rPr>
            </w:pPr>
            <w:r>
              <w:rPr>
                <w:rFonts w:ascii="Calibri" w:hAnsi="Calibri"/>
                <w:color w:val="000000"/>
                <w:sz w:val="22"/>
                <w:szCs w:val="22"/>
              </w:rPr>
              <w:t>2</w:t>
            </w:r>
          </w:p>
        </w:tc>
        <w:tc>
          <w:tcPr>
            <w:tcW w:w="2379" w:type="dxa"/>
            <w:tcBorders>
              <w:top w:val="nil"/>
              <w:left w:val="nil"/>
              <w:bottom w:val="single" w:sz="4" w:space="0" w:color="A6A6A6"/>
              <w:right w:val="single" w:sz="4" w:space="0" w:color="A6A6A6"/>
            </w:tcBorders>
            <w:shd w:val="clear" w:color="auto" w:fill="auto"/>
            <w:noWrap/>
            <w:vAlign w:val="bottom"/>
            <w:hideMark/>
          </w:tcPr>
          <w:p w14:paraId="5D75C3EF" w14:textId="77777777" w:rsidR="007E2286" w:rsidRDefault="007E2286">
            <w:pPr>
              <w:jc w:val="center"/>
              <w:rPr>
                <w:rFonts w:ascii="Calibri" w:hAnsi="Calibri"/>
                <w:color w:val="000000"/>
                <w:sz w:val="22"/>
                <w:szCs w:val="22"/>
              </w:rPr>
            </w:pPr>
            <w:r>
              <w:rPr>
                <w:rFonts w:ascii="Calibri" w:hAnsi="Calibri"/>
                <w:color w:val="000000"/>
                <w:sz w:val="22"/>
                <w:szCs w:val="22"/>
              </w:rPr>
              <w:t>7.14%</w:t>
            </w:r>
          </w:p>
        </w:tc>
      </w:tr>
      <w:tr w:rsidR="007E2286" w14:paraId="5BE7F335" w14:textId="77777777" w:rsidTr="007E2286">
        <w:trPr>
          <w:trHeight w:val="288"/>
        </w:trPr>
        <w:tc>
          <w:tcPr>
            <w:tcW w:w="1816" w:type="dxa"/>
            <w:tcBorders>
              <w:top w:val="nil"/>
              <w:left w:val="single" w:sz="4" w:space="0" w:color="A6A6A6"/>
              <w:bottom w:val="single" w:sz="4" w:space="0" w:color="A6A6A6"/>
              <w:right w:val="single" w:sz="4" w:space="0" w:color="A6A6A6"/>
            </w:tcBorders>
            <w:shd w:val="clear" w:color="auto" w:fill="auto"/>
            <w:noWrap/>
            <w:vAlign w:val="center"/>
            <w:hideMark/>
          </w:tcPr>
          <w:p w14:paraId="06EA0C80" w14:textId="77777777" w:rsidR="007E2286" w:rsidRDefault="007E2286">
            <w:pPr>
              <w:rPr>
                <w:rFonts w:ascii="Calibri" w:hAnsi="Calibri"/>
                <w:color w:val="000000"/>
                <w:sz w:val="22"/>
                <w:szCs w:val="22"/>
              </w:rPr>
            </w:pPr>
            <w:r>
              <w:rPr>
                <w:rFonts w:ascii="Calibri" w:hAnsi="Calibri"/>
                <w:color w:val="000000"/>
                <w:sz w:val="22"/>
                <w:szCs w:val="22"/>
              </w:rPr>
              <w:t>Colima</w:t>
            </w:r>
          </w:p>
        </w:tc>
        <w:tc>
          <w:tcPr>
            <w:tcW w:w="1240" w:type="dxa"/>
            <w:tcBorders>
              <w:top w:val="nil"/>
              <w:left w:val="nil"/>
              <w:bottom w:val="single" w:sz="4" w:space="0" w:color="A6A6A6"/>
              <w:right w:val="single" w:sz="4" w:space="0" w:color="A6A6A6"/>
            </w:tcBorders>
            <w:shd w:val="clear" w:color="auto" w:fill="auto"/>
            <w:noWrap/>
            <w:vAlign w:val="center"/>
            <w:hideMark/>
          </w:tcPr>
          <w:p w14:paraId="5BEE35BB" w14:textId="77777777" w:rsidR="007E2286" w:rsidRDefault="007E2286">
            <w:pPr>
              <w:jc w:val="center"/>
              <w:rPr>
                <w:rFonts w:ascii="Calibri" w:hAnsi="Calibri"/>
                <w:color w:val="000000"/>
                <w:sz w:val="22"/>
                <w:szCs w:val="22"/>
              </w:rPr>
            </w:pPr>
            <w:r>
              <w:rPr>
                <w:rFonts w:ascii="Calibri" w:hAnsi="Calibri"/>
                <w:color w:val="000000"/>
                <w:sz w:val="22"/>
                <w:szCs w:val="22"/>
              </w:rPr>
              <w:t>16</w:t>
            </w:r>
          </w:p>
        </w:tc>
        <w:tc>
          <w:tcPr>
            <w:tcW w:w="1240" w:type="dxa"/>
            <w:tcBorders>
              <w:top w:val="nil"/>
              <w:left w:val="nil"/>
              <w:bottom w:val="single" w:sz="4" w:space="0" w:color="A6A6A6"/>
              <w:right w:val="single" w:sz="4" w:space="0" w:color="A6A6A6"/>
            </w:tcBorders>
            <w:shd w:val="clear" w:color="auto" w:fill="auto"/>
            <w:noWrap/>
            <w:vAlign w:val="center"/>
            <w:hideMark/>
          </w:tcPr>
          <w:p w14:paraId="5C903FB7" w14:textId="77777777" w:rsidR="007E2286" w:rsidRPr="0007667A" w:rsidRDefault="007E2286">
            <w:pPr>
              <w:jc w:val="center"/>
              <w:rPr>
                <w:rFonts w:ascii="Calibri" w:hAnsi="Calibri"/>
                <w:color w:val="000000"/>
                <w:sz w:val="22"/>
                <w:szCs w:val="22"/>
              </w:rPr>
            </w:pPr>
            <w:r w:rsidRPr="0007667A">
              <w:rPr>
                <w:rFonts w:ascii="Calibri" w:hAnsi="Calibri"/>
                <w:color w:val="000000"/>
                <w:sz w:val="22"/>
                <w:szCs w:val="22"/>
              </w:rPr>
              <w:t>40,660</w:t>
            </w:r>
          </w:p>
        </w:tc>
        <w:tc>
          <w:tcPr>
            <w:tcW w:w="2160" w:type="dxa"/>
            <w:tcBorders>
              <w:top w:val="nil"/>
              <w:left w:val="nil"/>
              <w:bottom w:val="single" w:sz="4" w:space="0" w:color="A6A6A6"/>
              <w:right w:val="single" w:sz="4" w:space="0" w:color="A6A6A6"/>
            </w:tcBorders>
            <w:shd w:val="clear" w:color="auto" w:fill="auto"/>
            <w:noWrap/>
            <w:vAlign w:val="center"/>
            <w:hideMark/>
          </w:tcPr>
          <w:p w14:paraId="24E94831" w14:textId="77777777" w:rsidR="007E2286" w:rsidRDefault="007E2286">
            <w:pPr>
              <w:jc w:val="center"/>
              <w:rPr>
                <w:rFonts w:ascii="Calibri" w:hAnsi="Calibri"/>
                <w:color w:val="000000"/>
                <w:sz w:val="22"/>
                <w:szCs w:val="22"/>
              </w:rPr>
            </w:pPr>
            <w:r>
              <w:rPr>
                <w:rFonts w:ascii="Calibri" w:hAnsi="Calibri"/>
                <w:color w:val="000000"/>
                <w:sz w:val="22"/>
                <w:szCs w:val="22"/>
              </w:rPr>
              <w:t>0</w:t>
            </w:r>
          </w:p>
        </w:tc>
        <w:tc>
          <w:tcPr>
            <w:tcW w:w="2379" w:type="dxa"/>
            <w:tcBorders>
              <w:top w:val="nil"/>
              <w:left w:val="nil"/>
              <w:bottom w:val="single" w:sz="4" w:space="0" w:color="A6A6A6"/>
              <w:right w:val="single" w:sz="4" w:space="0" w:color="A6A6A6"/>
            </w:tcBorders>
            <w:shd w:val="clear" w:color="auto" w:fill="auto"/>
            <w:noWrap/>
            <w:vAlign w:val="bottom"/>
            <w:hideMark/>
          </w:tcPr>
          <w:p w14:paraId="24834B2E" w14:textId="77777777" w:rsidR="007E2286" w:rsidRDefault="007E2286">
            <w:pPr>
              <w:jc w:val="center"/>
              <w:rPr>
                <w:rFonts w:ascii="Calibri" w:hAnsi="Calibri"/>
                <w:color w:val="000000"/>
                <w:sz w:val="22"/>
                <w:szCs w:val="22"/>
              </w:rPr>
            </w:pPr>
            <w:r>
              <w:rPr>
                <w:rFonts w:ascii="Calibri" w:hAnsi="Calibri"/>
                <w:color w:val="000000"/>
                <w:sz w:val="22"/>
                <w:szCs w:val="22"/>
              </w:rPr>
              <w:t>0.00%</w:t>
            </w:r>
          </w:p>
        </w:tc>
      </w:tr>
      <w:tr w:rsidR="007E2286" w14:paraId="63DB15E7" w14:textId="77777777" w:rsidTr="007E2286">
        <w:trPr>
          <w:trHeight w:val="288"/>
        </w:trPr>
        <w:tc>
          <w:tcPr>
            <w:tcW w:w="1816" w:type="dxa"/>
            <w:tcBorders>
              <w:top w:val="nil"/>
              <w:left w:val="single" w:sz="4" w:space="0" w:color="A6A6A6"/>
              <w:bottom w:val="single" w:sz="4" w:space="0" w:color="A6A6A6"/>
              <w:right w:val="single" w:sz="4" w:space="0" w:color="A6A6A6"/>
            </w:tcBorders>
            <w:shd w:val="clear" w:color="auto" w:fill="auto"/>
            <w:noWrap/>
            <w:vAlign w:val="center"/>
            <w:hideMark/>
          </w:tcPr>
          <w:p w14:paraId="6C6A2DBD" w14:textId="5147B94B" w:rsidR="007E2286" w:rsidRDefault="00D944B4">
            <w:pPr>
              <w:rPr>
                <w:rFonts w:ascii="Calibri" w:hAnsi="Calibri"/>
                <w:color w:val="000000"/>
                <w:sz w:val="22"/>
                <w:szCs w:val="22"/>
              </w:rPr>
            </w:pPr>
            <w:r>
              <w:rPr>
                <w:rFonts w:ascii="Calibri" w:hAnsi="Calibri"/>
                <w:color w:val="000000"/>
                <w:sz w:val="22"/>
                <w:szCs w:val="22"/>
              </w:rPr>
              <w:t>Ciudad de México</w:t>
            </w:r>
          </w:p>
        </w:tc>
        <w:tc>
          <w:tcPr>
            <w:tcW w:w="1240" w:type="dxa"/>
            <w:tcBorders>
              <w:top w:val="nil"/>
              <w:left w:val="nil"/>
              <w:bottom w:val="single" w:sz="4" w:space="0" w:color="A6A6A6"/>
              <w:right w:val="single" w:sz="4" w:space="0" w:color="A6A6A6"/>
            </w:tcBorders>
            <w:shd w:val="clear" w:color="auto" w:fill="auto"/>
            <w:noWrap/>
            <w:vAlign w:val="center"/>
            <w:hideMark/>
          </w:tcPr>
          <w:p w14:paraId="4069A4AB" w14:textId="77777777" w:rsidR="007E2286" w:rsidRDefault="007E2286">
            <w:pPr>
              <w:jc w:val="center"/>
              <w:rPr>
                <w:rFonts w:ascii="Calibri" w:hAnsi="Calibri"/>
                <w:color w:val="000000"/>
                <w:sz w:val="22"/>
                <w:szCs w:val="22"/>
              </w:rPr>
            </w:pPr>
            <w:r>
              <w:rPr>
                <w:rFonts w:ascii="Calibri" w:hAnsi="Calibri"/>
                <w:color w:val="000000"/>
                <w:sz w:val="22"/>
                <w:szCs w:val="22"/>
              </w:rPr>
              <w:t>40</w:t>
            </w:r>
          </w:p>
        </w:tc>
        <w:tc>
          <w:tcPr>
            <w:tcW w:w="1240" w:type="dxa"/>
            <w:tcBorders>
              <w:top w:val="nil"/>
              <w:left w:val="nil"/>
              <w:bottom w:val="single" w:sz="4" w:space="0" w:color="A6A6A6"/>
              <w:right w:val="single" w:sz="4" w:space="0" w:color="A6A6A6"/>
            </w:tcBorders>
            <w:shd w:val="clear" w:color="auto" w:fill="auto"/>
            <w:noWrap/>
            <w:vAlign w:val="center"/>
            <w:hideMark/>
          </w:tcPr>
          <w:p w14:paraId="2FDF1B73" w14:textId="77777777" w:rsidR="007E2286" w:rsidRPr="0007667A" w:rsidRDefault="007E2286">
            <w:pPr>
              <w:jc w:val="center"/>
              <w:rPr>
                <w:rFonts w:ascii="Calibri" w:hAnsi="Calibri"/>
                <w:color w:val="000000"/>
                <w:sz w:val="22"/>
                <w:szCs w:val="22"/>
              </w:rPr>
            </w:pPr>
            <w:r w:rsidRPr="0007667A">
              <w:rPr>
                <w:rFonts w:ascii="Calibri" w:hAnsi="Calibri"/>
                <w:color w:val="000000"/>
                <w:sz w:val="22"/>
                <w:szCs w:val="22"/>
              </w:rPr>
              <w:t>221,277</w:t>
            </w:r>
          </w:p>
        </w:tc>
        <w:tc>
          <w:tcPr>
            <w:tcW w:w="2160" w:type="dxa"/>
            <w:tcBorders>
              <w:top w:val="nil"/>
              <w:left w:val="nil"/>
              <w:bottom w:val="single" w:sz="4" w:space="0" w:color="A6A6A6"/>
              <w:right w:val="single" w:sz="4" w:space="0" w:color="A6A6A6"/>
            </w:tcBorders>
            <w:shd w:val="clear" w:color="auto" w:fill="auto"/>
            <w:noWrap/>
            <w:vAlign w:val="center"/>
            <w:hideMark/>
          </w:tcPr>
          <w:p w14:paraId="1D2CD0C3" w14:textId="77777777" w:rsidR="007E2286" w:rsidRDefault="007E2286">
            <w:pPr>
              <w:jc w:val="center"/>
              <w:rPr>
                <w:rFonts w:ascii="Calibri" w:hAnsi="Calibri"/>
                <w:color w:val="000000"/>
                <w:sz w:val="22"/>
                <w:szCs w:val="22"/>
              </w:rPr>
            </w:pPr>
            <w:r>
              <w:rPr>
                <w:rFonts w:ascii="Calibri" w:hAnsi="Calibri"/>
                <w:color w:val="000000"/>
                <w:sz w:val="22"/>
                <w:szCs w:val="22"/>
              </w:rPr>
              <w:t>0</w:t>
            </w:r>
          </w:p>
        </w:tc>
        <w:tc>
          <w:tcPr>
            <w:tcW w:w="2379" w:type="dxa"/>
            <w:tcBorders>
              <w:top w:val="nil"/>
              <w:left w:val="nil"/>
              <w:bottom w:val="single" w:sz="4" w:space="0" w:color="A6A6A6"/>
              <w:right w:val="single" w:sz="4" w:space="0" w:color="A6A6A6"/>
            </w:tcBorders>
            <w:shd w:val="clear" w:color="auto" w:fill="auto"/>
            <w:noWrap/>
            <w:vAlign w:val="bottom"/>
            <w:hideMark/>
          </w:tcPr>
          <w:p w14:paraId="5B519557" w14:textId="77777777" w:rsidR="007E2286" w:rsidRDefault="007E2286">
            <w:pPr>
              <w:jc w:val="center"/>
              <w:rPr>
                <w:rFonts w:ascii="Calibri" w:hAnsi="Calibri"/>
                <w:color w:val="000000"/>
                <w:sz w:val="22"/>
                <w:szCs w:val="22"/>
              </w:rPr>
            </w:pPr>
            <w:r>
              <w:rPr>
                <w:rFonts w:ascii="Calibri" w:hAnsi="Calibri"/>
                <w:color w:val="000000"/>
                <w:sz w:val="22"/>
                <w:szCs w:val="22"/>
              </w:rPr>
              <w:t>0.00%</w:t>
            </w:r>
          </w:p>
        </w:tc>
      </w:tr>
      <w:tr w:rsidR="007E2286" w14:paraId="0CEFFB5F" w14:textId="77777777" w:rsidTr="007E2286">
        <w:trPr>
          <w:trHeight w:val="288"/>
        </w:trPr>
        <w:tc>
          <w:tcPr>
            <w:tcW w:w="1816" w:type="dxa"/>
            <w:tcBorders>
              <w:top w:val="nil"/>
              <w:left w:val="single" w:sz="4" w:space="0" w:color="A6A6A6"/>
              <w:bottom w:val="single" w:sz="4" w:space="0" w:color="A6A6A6"/>
              <w:right w:val="single" w:sz="4" w:space="0" w:color="A6A6A6"/>
            </w:tcBorders>
            <w:shd w:val="clear" w:color="auto" w:fill="auto"/>
            <w:noWrap/>
            <w:vAlign w:val="center"/>
            <w:hideMark/>
          </w:tcPr>
          <w:p w14:paraId="66E41CF3" w14:textId="77777777" w:rsidR="007E2286" w:rsidRDefault="007E2286">
            <w:pPr>
              <w:rPr>
                <w:rFonts w:ascii="Calibri" w:hAnsi="Calibri"/>
                <w:color w:val="000000"/>
                <w:sz w:val="22"/>
                <w:szCs w:val="22"/>
              </w:rPr>
            </w:pPr>
            <w:r>
              <w:rPr>
                <w:rFonts w:ascii="Calibri" w:hAnsi="Calibri"/>
                <w:color w:val="000000"/>
                <w:sz w:val="22"/>
                <w:szCs w:val="22"/>
              </w:rPr>
              <w:t>Tabasco</w:t>
            </w:r>
          </w:p>
        </w:tc>
        <w:tc>
          <w:tcPr>
            <w:tcW w:w="1240" w:type="dxa"/>
            <w:tcBorders>
              <w:top w:val="nil"/>
              <w:left w:val="nil"/>
              <w:bottom w:val="single" w:sz="4" w:space="0" w:color="A6A6A6"/>
              <w:right w:val="single" w:sz="4" w:space="0" w:color="A6A6A6"/>
            </w:tcBorders>
            <w:shd w:val="clear" w:color="auto" w:fill="auto"/>
            <w:noWrap/>
            <w:vAlign w:val="center"/>
            <w:hideMark/>
          </w:tcPr>
          <w:p w14:paraId="583794E8" w14:textId="77777777" w:rsidR="007E2286" w:rsidRDefault="007E2286">
            <w:pPr>
              <w:jc w:val="center"/>
              <w:rPr>
                <w:rFonts w:ascii="Calibri" w:hAnsi="Calibri"/>
                <w:color w:val="000000"/>
                <w:sz w:val="22"/>
                <w:szCs w:val="22"/>
              </w:rPr>
            </w:pPr>
            <w:r>
              <w:rPr>
                <w:rFonts w:ascii="Calibri" w:hAnsi="Calibri"/>
                <w:color w:val="000000"/>
                <w:sz w:val="22"/>
                <w:szCs w:val="22"/>
              </w:rPr>
              <w:t>21</w:t>
            </w:r>
          </w:p>
        </w:tc>
        <w:tc>
          <w:tcPr>
            <w:tcW w:w="1240" w:type="dxa"/>
            <w:tcBorders>
              <w:top w:val="nil"/>
              <w:left w:val="nil"/>
              <w:bottom w:val="single" w:sz="4" w:space="0" w:color="A6A6A6"/>
              <w:right w:val="single" w:sz="4" w:space="0" w:color="A6A6A6"/>
            </w:tcBorders>
            <w:shd w:val="clear" w:color="auto" w:fill="auto"/>
            <w:noWrap/>
            <w:vAlign w:val="center"/>
            <w:hideMark/>
          </w:tcPr>
          <w:p w14:paraId="67586112" w14:textId="77777777" w:rsidR="007E2286" w:rsidRPr="0007667A" w:rsidRDefault="007E2286">
            <w:pPr>
              <w:jc w:val="center"/>
              <w:rPr>
                <w:rFonts w:ascii="Calibri" w:hAnsi="Calibri"/>
                <w:color w:val="000000"/>
                <w:sz w:val="22"/>
                <w:szCs w:val="22"/>
              </w:rPr>
            </w:pPr>
            <w:r w:rsidRPr="0007667A">
              <w:rPr>
                <w:rFonts w:ascii="Calibri" w:hAnsi="Calibri"/>
                <w:color w:val="000000"/>
                <w:sz w:val="22"/>
                <w:szCs w:val="22"/>
              </w:rPr>
              <w:t>106,600</w:t>
            </w:r>
          </w:p>
        </w:tc>
        <w:tc>
          <w:tcPr>
            <w:tcW w:w="2160" w:type="dxa"/>
            <w:tcBorders>
              <w:top w:val="nil"/>
              <w:left w:val="nil"/>
              <w:bottom w:val="single" w:sz="4" w:space="0" w:color="A6A6A6"/>
              <w:right w:val="single" w:sz="4" w:space="0" w:color="A6A6A6"/>
            </w:tcBorders>
            <w:shd w:val="clear" w:color="auto" w:fill="auto"/>
            <w:noWrap/>
            <w:vAlign w:val="center"/>
            <w:hideMark/>
          </w:tcPr>
          <w:p w14:paraId="4490D2BF" w14:textId="77777777" w:rsidR="007E2286" w:rsidRDefault="007E2286">
            <w:pPr>
              <w:jc w:val="center"/>
              <w:rPr>
                <w:rFonts w:ascii="Calibri" w:hAnsi="Calibri"/>
                <w:color w:val="000000"/>
                <w:sz w:val="22"/>
                <w:szCs w:val="22"/>
              </w:rPr>
            </w:pPr>
            <w:r>
              <w:rPr>
                <w:rFonts w:ascii="Calibri" w:hAnsi="Calibri"/>
                <w:color w:val="000000"/>
                <w:sz w:val="22"/>
                <w:szCs w:val="22"/>
              </w:rPr>
              <w:t>0</w:t>
            </w:r>
          </w:p>
        </w:tc>
        <w:tc>
          <w:tcPr>
            <w:tcW w:w="2379" w:type="dxa"/>
            <w:tcBorders>
              <w:top w:val="nil"/>
              <w:left w:val="nil"/>
              <w:bottom w:val="single" w:sz="4" w:space="0" w:color="A6A6A6"/>
              <w:right w:val="single" w:sz="4" w:space="0" w:color="A6A6A6"/>
            </w:tcBorders>
            <w:shd w:val="clear" w:color="auto" w:fill="auto"/>
            <w:noWrap/>
            <w:vAlign w:val="bottom"/>
            <w:hideMark/>
          </w:tcPr>
          <w:p w14:paraId="02F1AFC0" w14:textId="77777777" w:rsidR="007E2286" w:rsidRDefault="007E2286">
            <w:pPr>
              <w:jc w:val="center"/>
              <w:rPr>
                <w:rFonts w:ascii="Calibri" w:hAnsi="Calibri"/>
                <w:color w:val="000000"/>
                <w:sz w:val="22"/>
                <w:szCs w:val="22"/>
              </w:rPr>
            </w:pPr>
            <w:r>
              <w:rPr>
                <w:rFonts w:ascii="Calibri" w:hAnsi="Calibri"/>
                <w:color w:val="000000"/>
                <w:sz w:val="22"/>
                <w:szCs w:val="22"/>
              </w:rPr>
              <w:t>0.00%</w:t>
            </w:r>
          </w:p>
        </w:tc>
      </w:tr>
    </w:tbl>
    <w:p w14:paraId="5E5F8250" w14:textId="77777777" w:rsidR="002218E3" w:rsidRPr="004464CF" w:rsidRDefault="002218E3" w:rsidP="00A36F61">
      <w:pPr>
        <w:spacing w:after="200" w:line="312" w:lineRule="auto"/>
        <w:jc w:val="both"/>
        <w:rPr>
          <w:rFonts w:ascii="Century Gothic" w:hAnsi="Century Gothic" w:cs="Arial"/>
          <w:b/>
          <w:sz w:val="22"/>
          <w:szCs w:val="22"/>
        </w:rPr>
      </w:pPr>
    </w:p>
    <w:p w14:paraId="11172B5B" w14:textId="417B6B98" w:rsidR="002E4D85" w:rsidRDefault="0059010A" w:rsidP="002E4D85">
      <w:pPr>
        <w:pStyle w:val="Prrafodelista"/>
        <w:spacing w:line="312" w:lineRule="auto"/>
        <w:ind w:left="426"/>
        <w:contextualSpacing w:val="0"/>
        <w:jc w:val="both"/>
        <w:rPr>
          <w:rFonts w:ascii="Century Gothic" w:hAnsi="Century Gothic" w:cs="Arial"/>
          <w:sz w:val="22"/>
          <w:szCs w:val="22"/>
        </w:rPr>
      </w:pPr>
      <w:r>
        <w:rPr>
          <w:rFonts w:ascii="Century Gothic" w:hAnsi="Century Gothic" w:cs="Arial"/>
          <w:sz w:val="22"/>
          <w:szCs w:val="22"/>
        </w:rPr>
        <w:t>Asimismo,</w:t>
      </w:r>
      <w:r w:rsidR="00455917">
        <w:rPr>
          <w:rFonts w:ascii="Century Gothic" w:hAnsi="Century Gothic" w:cs="Arial"/>
          <w:sz w:val="22"/>
          <w:szCs w:val="22"/>
        </w:rPr>
        <w:t xml:space="preserve"> se encontró que s</w:t>
      </w:r>
      <w:r w:rsidR="002E4D85">
        <w:rPr>
          <w:rFonts w:ascii="Century Gothic" w:hAnsi="Century Gothic" w:cs="Arial"/>
          <w:sz w:val="22"/>
          <w:szCs w:val="22"/>
        </w:rPr>
        <w:t xml:space="preserve">i bien el estado de Colima presenta todos sus distritos electorales locales dentro del rango de </w:t>
      </w:r>
      <w:r w:rsidR="000F1495">
        <w:rPr>
          <w:rFonts w:ascii="Century Gothic" w:hAnsi="Century Gothic" w:cs="Arial"/>
          <w:sz w:val="22"/>
          <w:szCs w:val="22"/>
        </w:rPr>
        <w:t>±</w:t>
      </w:r>
      <w:r w:rsidR="002E4D85">
        <w:rPr>
          <w:rFonts w:ascii="Century Gothic" w:hAnsi="Century Gothic" w:cs="Arial"/>
          <w:sz w:val="22"/>
          <w:szCs w:val="22"/>
        </w:rPr>
        <w:t>15%</w:t>
      </w:r>
      <w:r w:rsidR="000F1495">
        <w:rPr>
          <w:rFonts w:ascii="Century Gothic" w:hAnsi="Century Gothic" w:cs="Arial"/>
          <w:sz w:val="22"/>
          <w:szCs w:val="22"/>
        </w:rPr>
        <w:t xml:space="preserve"> </w:t>
      </w:r>
      <w:r w:rsidR="000F1495" w:rsidRPr="002218E3">
        <w:rPr>
          <w:rFonts w:ascii="Century Gothic" w:hAnsi="Century Gothic" w:cs="Arial"/>
          <w:sz w:val="22"/>
          <w:szCs w:val="22"/>
        </w:rPr>
        <w:t>respecto a la población media estatal</w:t>
      </w:r>
      <w:r w:rsidR="002E4D85">
        <w:rPr>
          <w:rFonts w:ascii="Century Gothic" w:hAnsi="Century Gothic" w:cs="Arial"/>
          <w:sz w:val="22"/>
          <w:szCs w:val="22"/>
        </w:rPr>
        <w:t xml:space="preserve">, el 44% de sus distritos tienen una desviación </w:t>
      </w:r>
      <w:r w:rsidR="000F1495">
        <w:rPr>
          <w:rFonts w:ascii="Century Gothic" w:hAnsi="Century Gothic" w:cs="Arial"/>
          <w:sz w:val="22"/>
          <w:szCs w:val="22"/>
        </w:rPr>
        <w:t xml:space="preserve">poblacional </w:t>
      </w:r>
      <w:r w:rsidR="002E4D85">
        <w:rPr>
          <w:rFonts w:ascii="Century Gothic" w:hAnsi="Century Gothic" w:cs="Arial"/>
          <w:sz w:val="22"/>
          <w:szCs w:val="22"/>
        </w:rPr>
        <w:t xml:space="preserve">entre el </w:t>
      </w:r>
      <w:r w:rsidR="00B63528">
        <w:rPr>
          <w:rFonts w:ascii="Century Gothic" w:hAnsi="Century Gothic" w:cs="Arial"/>
          <w:sz w:val="22"/>
          <w:szCs w:val="22"/>
        </w:rPr>
        <w:t>±</w:t>
      </w:r>
      <w:r w:rsidR="002E4D85">
        <w:rPr>
          <w:rFonts w:ascii="Century Gothic" w:hAnsi="Century Gothic" w:cs="Arial"/>
          <w:sz w:val="22"/>
          <w:szCs w:val="22"/>
        </w:rPr>
        <w:t xml:space="preserve">10% y el </w:t>
      </w:r>
      <w:r w:rsidR="00B63528">
        <w:rPr>
          <w:rFonts w:ascii="Century Gothic" w:hAnsi="Century Gothic" w:cs="Arial"/>
          <w:sz w:val="22"/>
          <w:szCs w:val="22"/>
        </w:rPr>
        <w:t>±</w:t>
      </w:r>
      <w:r w:rsidR="002E4D85">
        <w:rPr>
          <w:rFonts w:ascii="Century Gothic" w:hAnsi="Century Gothic" w:cs="Arial"/>
          <w:sz w:val="22"/>
          <w:szCs w:val="22"/>
        </w:rPr>
        <w:t>15%</w:t>
      </w:r>
      <w:r w:rsidR="00B63528">
        <w:rPr>
          <w:rFonts w:ascii="Century Gothic" w:hAnsi="Century Gothic" w:cs="Arial"/>
          <w:sz w:val="22"/>
          <w:szCs w:val="22"/>
        </w:rPr>
        <w:t>,</w:t>
      </w:r>
      <w:r w:rsidR="002E4D85">
        <w:rPr>
          <w:rFonts w:ascii="Century Gothic" w:hAnsi="Century Gothic" w:cs="Arial"/>
          <w:sz w:val="22"/>
          <w:szCs w:val="22"/>
        </w:rPr>
        <w:t xml:space="preserve"> y el 19% </w:t>
      </w:r>
      <w:r w:rsidR="000F1495">
        <w:rPr>
          <w:rFonts w:ascii="Century Gothic" w:hAnsi="Century Gothic" w:cs="Arial"/>
          <w:sz w:val="22"/>
          <w:szCs w:val="22"/>
        </w:rPr>
        <w:t xml:space="preserve">de los distritos, </w:t>
      </w:r>
      <w:r w:rsidR="002E4D85">
        <w:rPr>
          <w:rFonts w:ascii="Century Gothic" w:hAnsi="Century Gothic" w:cs="Arial"/>
          <w:sz w:val="22"/>
          <w:szCs w:val="22"/>
        </w:rPr>
        <w:t xml:space="preserve">se ubica entre </w:t>
      </w:r>
      <w:r w:rsidR="00B63528">
        <w:rPr>
          <w:rFonts w:ascii="Century Gothic" w:hAnsi="Century Gothic" w:cs="Arial"/>
          <w:sz w:val="22"/>
          <w:szCs w:val="22"/>
        </w:rPr>
        <w:t>±</w:t>
      </w:r>
      <w:r w:rsidR="002E4D85">
        <w:rPr>
          <w:rFonts w:ascii="Century Gothic" w:hAnsi="Century Gothic" w:cs="Arial"/>
          <w:sz w:val="22"/>
          <w:szCs w:val="22"/>
        </w:rPr>
        <w:t xml:space="preserve">12% y </w:t>
      </w:r>
      <w:r w:rsidR="00B63528">
        <w:rPr>
          <w:rFonts w:ascii="Century Gothic" w:hAnsi="Century Gothic" w:cs="Arial"/>
          <w:sz w:val="22"/>
          <w:szCs w:val="22"/>
        </w:rPr>
        <w:t>±</w:t>
      </w:r>
      <w:r w:rsidR="002E4D85">
        <w:rPr>
          <w:rFonts w:ascii="Century Gothic" w:hAnsi="Century Gothic" w:cs="Arial"/>
          <w:sz w:val="22"/>
          <w:szCs w:val="22"/>
        </w:rPr>
        <w:t>15%</w:t>
      </w:r>
      <w:r w:rsidR="000F1495">
        <w:rPr>
          <w:rFonts w:ascii="Century Gothic" w:hAnsi="Century Gothic" w:cs="Arial"/>
          <w:sz w:val="22"/>
          <w:szCs w:val="22"/>
        </w:rPr>
        <w:t xml:space="preserve"> de desviación poblacional</w:t>
      </w:r>
      <w:r w:rsidR="002E4D85">
        <w:rPr>
          <w:rFonts w:ascii="Century Gothic" w:hAnsi="Century Gothic" w:cs="Arial"/>
          <w:sz w:val="22"/>
          <w:szCs w:val="22"/>
        </w:rPr>
        <w:t>. Esta situación hace necesario que se realice un ajuste</w:t>
      </w:r>
      <w:r w:rsidR="00F73226">
        <w:rPr>
          <w:rFonts w:ascii="Century Gothic" w:hAnsi="Century Gothic" w:cs="Arial"/>
          <w:sz w:val="22"/>
          <w:szCs w:val="22"/>
        </w:rPr>
        <w:t xml:space="preserve"> </w:t>
      </w:r>
      <w:r w:rsidR="00240305">
        <w:rPr>
          <w:rFonts w:ascii="Century Gothic" w:hAnsi="Century Gothic" w:cs="Arial"/>
          <w:sz w:val="22"/>
          <w:szCs w:val="22"/>
        </w:rPr>
        <w:t>en</w:t>
      </w:r>
      <w:r w:rsidR="00F73226">
        <w:rPr>
          <w:rFonts w:ascii="Century Gothic" w:hAnsi="Century Gothic" w:cs="Arial"/>
          <w:sz w:val="22"/>
          <w:szCs w:val="22"/>
        </w:rPr>
        <w:t xml:space="preserve"> la </w:t>
      </w:r>
      <w:r w:rsidR="00F449B8">
        <w:rPr>
          <w:rFonts w:ascii="Century Gothic" w:hAnsi="Century Gothic" w:cs="Arial"/>
          <w:sz w:val="22"/>
          <w:szCs w:val="22"/>
        </w:rPr>
        <w:t xml:space="preserve">distribución de la </w:t>
      </w:r>
      <w:r w:rsidR="00F73226">
        <w:rPr>
          <w:rFonts w:ascii="Century Gothic" w:hAnsi="Century Gothic" w:cs="Arial"/>
          <w:sz w:val="22"/>
          <w:szCs w:val="22"/>
        </w:rPr>
        <w:t xml:space="preserve">población con la finalidad de lograr un mejor equilibrio. </w:t>
      </w:r>
    </w:p>
    <w:p w14:paraId="40E6F1F0" w14:textId="4E737A29" w:rsidR="00F73226" w:rsidRDefault="00F73226" w:rsidP="002E4D85">
      <w:pPr>
        <w:pStyle w:val="Prrafodelista"/>
        <w:spacing w:line="312" w:lineRule="auto"/>
        <w:ind w:left="426"/>
        <w:contextualSpacing w:val="0"/>
        <w:jc w:val="both"/>
        <w:rPr>
          <w:rFonts w:ascii="Century Gothic" w:hAnsi="Century Gothic" w:cs="Arial"/>
          <w:sz w:val="22"/>
          <w:szCs w:val="22"/>
        </w:rPr>
      </w:pPr>
      <w:r>
        <w:rPr>
          <w:rFonts w:ascii="Century Gothic" w:hAnsi="Century Gothic" w:cs="Arial"/>
          <w:sz w:val="22"/>
          <w:szCs w:val="22"/>
        </w:rPr>
        <w:t xml:space="preserve">Similar situación enfrenta </w:t>
      </w:r>
      <w:r w:rsidR="00D944B4">
        <w:rPr>
          <w:rFonts w:ascii="Century Gothic" w:hAnsi="Century Gothic" w:cs="Arial"/>
          <w:sz w:val="22"/>
          <w:szCs w:val="22"/>
        </w:rPr>
        <w:t>la Ciudad de México</w:t>
      </w:r>
      <w:r>
        <w:rPr>
          <w:rFonts w:ascii="Century Gothic" w:hAnsi="Century Gothic" w:cs="Arial"/>
          <w:sz w:val="22"/>
          <w:szCs w:val="22"/>
        </w:rPr>
        <w:t>. En este caso</w:t>
      </w:r>
      <w:r w:rsidR="00B63528">
        <w:rPr>
          <w:rFonts w:ascii="Century Gothic" w:hAnsi="Century Gothic" w:cs="Arial"/>
          <w:sz w:val="22"/>
          <w:szCs w:val="22"/>
        </w:rPr>
        <w:t>,</w:t>
      </w:r>
      <w:r>
        <w:rPr>
          <w:rFonts w:ascii="Century Gothic" w:hAnsi="Century Gothic" w:cs="Arial"/>
          <w:sz w:val="22"/>
          <w:szCs w:val="22"/>
        </w:rPr>
        <w:t xml:space="preserve"> el 38% de sus distritos tienen una desviación poblacional entre el </w:t>
      </w:r>
      <w:r w:rsidR="00B63528">
        <w:rPr>
          <w:rFonts w:ascii="Century Gothic" w:hAnsi="Century Gothic" w:cs="Arial"/>
          <w:sz w:val="22"/>
          <w:szCs w:val="22"/>
        </w:rPr>
        <w:t>±</w:t>
      </w:r>
      <w:r>
        <w:rPr>
          <w:rFonts w:ascii="Century Gothic" w:hAnsi="Century Gothic" w:cs="Arial"/>
          <w:sz w:val="22"/>
          <w:szCs w:val="22"/>
        </w:rPr>
        <w:t xml:space="preserve">10% y el </w:t>
      </w:r>
      <w:r w:rsidR="00B63528">
        <w:rPr>
          <w:rFonts w:ascii="Century Gothic" w:hAnsi="Century Gothic" w:cs="Arial"/>
          <w:sz w:val="22"/>
          <w:szCs w:val="22"/>
        </w:rPr>
        <w:t>±</w:t>
      </w:r>
      <w:r>
        <w:rPr>
          <w:rFonts w:ascii="Century Gothic" w:hAnsi="Century Gothic" w:cs="Arial"/>
          <w:sz w:val="22"/>
          <w:szCs w:val="22"/>
        </w:rPr>
        <w:t>15%</w:t>
      </w:r>
      <w:r w:rsidR="00CD0D82">
        <w:rPr>
          <w:rFonts w:ascii="Century Gothic" w:hAnsi="Century Gothic" w:cs="Arial"/>
          <w:sz w:val="22"/>
          <w:szCs w:val="22"/>
        </w:rPr>
        <w:t xml:space="preserve"> </w:t>
      </w:r>
      <w:r w:rsidR="00CD0D82" w:rsidRPr="002218E3">
        <w:rPr>
          <w:rFonts w:ascii="Century Gothic" w:hAnsi="Century Gothic" w:cs="Arial"/>
          <w:sz w:val="22"/>
          <w:szCs w:val="22"/>
        </w:rPr>
        <w:t>respecto a la población media estatal</w:t>
      </w:r>
      <w:r>
        <w:rPr>
          <w:rFonts w:ascii="Century Gothic" w:hAnsi="Century Gothic" w:cs="Arial"/>
          <w:sz w:val="22"/>
          <w:szCs w:val="22"/>
        </w:rPr>
        <w:t xml:space="preserve">. Y </w:t>
      </w:r>
      <w:r w:rsidR="00CD0D82">
        <w:rPr>
          <w:rFonts w:ascii="Century Gothic" w:hAnsi="Century Gothic" w:cs="Arial"/>
          <w:sz w:val="22"/>
          <w:szCs w:val="22"/>
        </w:rPr>
        <w:t xml:space="preserve">para </w:t>
      </w:r>
      <w:r>
        <w:rPr>
          <w:rFonts w:ascii="Century Gothic" w:hAnsi="Century Gothic" w:cs="Arial"/>
          <w:sz w:val="22"/>
          <w:szCs w:val="22"/>
        </w:rPr>
        <w:t xml:space="preserve">el 18% </w:t>
      </w:r>
      <w:r w:rsidR="00CD0D82">
        <w:rPr>
          <w:rFonts w:ascii="Century Gothic" w:hAnsi="Century Gothic" w:cs="Arial"/>
          <w:sz w:val="22"/>
          <w:szCs w:val="22"/>
        </w:rPr>
        <w:t xml:space="preserve">de los distritos, su desviación poblacional alcanza </w:t>
      </w:r>
      <w:r>
        <w:rPr>
          <w:rFonts w:ascii="Century Gothic" w:hAnsi="Century Gothic" w:cs="Arial"/>
          <w:sz w:val="22"/>
          <w:szCs w:val="22"/>
        </w:rPr>
        <w:t xml:space="preserve">un valor entre el </w:t>
      </w:r>
      <w:r w:rsidR="00B63528">
        <w:rPr>
          <w:rFonts w:ascii="Century Gothic" w:hAnsi="Century Gothic" w:cs="Arial"/>
          <w:sz w:val="22"/>
          <w:szCs w:val="22"/>
        </w:rPr>
        <w:t>±</w:t>
      </w:r>
      <w:r>
        <w:rPr>
          <w:rFonts w:ascii="Century Gothic" w:hAnsi="Century Gothic" w:cs="Arial"/>
          <w:sz w:val="22"/>
          <w:szCs w:val="22"/>
        </w:rPr>
        <w:t xml:space="preserve">12% y el </w:t>
      </w:r>
      <w:r w:rsidR="00B63528">
        <w:rPr>
          <w:rFonts w:ascii="Century Gothic" w:hAnsi="Century Gothic" w:cs="Arial"/>
          <w:sz w:val="22"/>
          <w:szCs w:val="22"/>
        </w:rPr>
        <w:t>±</w:t>
      </w:r>
      <w:r>
        <w:rPr>
          <w:rFonts w:ascii="Century Gothic" w:hAnsi="Century Gothic" w:cs="Arial"/>
          <w:sz w:val="22"/>
          <w:szCs w:val="22"/>
        </w:rPr>
        <w:t>15%.</w:t>
      </w:r>
    </w:p>
    <w:p w14:paraId="7F749FAF" w14:textId="77777777" w:rsidR="00400D05" w:rsidRPr="00400D05" w:rsidRDefault="00400D05" w:rsidP="002218E3">
      <w:pPr>
        <w:pStyle w:val="Prrafodelista"/>
        <w:numPr>
          <w:ilvl w:val="0"/>
          <w:numId w:val="3"/>
        </w:numPr>
        <w:spacing w:line="312" w:lineRule="auto"/>
        <w:ind w:left="426" w:hanging="426"/>
        <w:contextualSpacing w:val="0"/>
        <w:jc w:val="both"/>
        <w:rPr>
          <w:rFonts w:ascii="Century Gothic" w:hAnsi="Century Gothic" w:cs="Arial"/>
          <w:sz w:val="22"/>
          <w:szCs w:val="22"/>
        </w:rPr>
      </w:pPr>
      <w:r w:rsidRPr="00400D05">
        <w:rPr>
          <w:rFonts w:ascii="Century Gothic" w:hAnsi="Century Gothic" w:cs="Arial"/>
          <w:b/>
          <w:sz w:val="22"/>
          <w:szCs w:val="22"/>
        </w:rPr>
        <w:lastRenderedPageBreak/>
        <w:t>Distritos Indígenas.</w:t>
      </w:r>
      <w:r w:rsidR="00ED072D">
        <w:rPr>
          <w:rFonts w:ascii="Century Gothic" w:hAnsi="Century Gothic" w:cs="Arial"/>
          <w:b/>
          <w:sz w:val="22"/>
          <w:szCs w:val="22"/>
        </w:rPr>
        <w:t xml:space="preserve"> </w:t>
      </w:r>
      <w:r w:rsidR="00ED072D">
        <w:rPr>
          <w:rFonts w:ascii="Century Gothic" w:hAnsi="Century Gothic" w:cs="Arial"/>
          <w:sz w:val="22"/>
          <w:szCs w:val="22"/>
        </w:rPr>
        <w:t>Las entidades que cuentan con municipios cuya población indígena representa el 40% o más de la población del municipio</w:t>
      </w:r>
      <w:r w:rsidR="0056226C">
        <w:rPr>
          <w:rFonts w:ascii="Century Gothic" w:hAnsi="Century Gothic" w:cs="Arial"/>
          <w:sz w:val="22"/>
          <w:szCs w:val="22"/>
        </w:rPr>
        <w:t>,</w:t>
      </w:r>
      <w:r w:rsidR="00ED072D">
        <w:rPr>
          <w:rFonts w:ascii="Century Gothic" w:hAnsi="Century Gothic" w:cs="Arial"/>
          <w:sz w:val="22"/>
          <w:szCs w:val="22"/>
        </w:rPr>
        <w:t xml:space="preserve"> son Campeche, Chiapas, </w:t>
      </w:r>
      <w:r w:rsidR="00ED3959">
        <w:rPr>
          <w:rFonts w:ascii="Century Gothic" w:hAnsi="Century Gothic" w:cs="Arial"/>
          <w:sz w:val="22"/>
          <w:szCs w:val="22"/>
        </w:rPr>
        <w:t>Guerrero, Jalisco, México, Michoacán, San Luis Potosí y Yucatán</w:t>
      </w:r>
      <w:r w:rsidR="00F449B8">
        <w:rPr>
          <w:rFonts w:ascii="Century Gothic" w:hAnsi="Century Gothic" w:cs="Arial"/>
          <w:sz w:val="22"/>
          <w:szCs w:val="22"/>
        </w:rPr>
        <w:t>.</w:t>
      </w:r>
      <w:r w:rsidR="00ED3959">
        <w:rPr>
          <w:rFonts w:ascii="Century Gothic" w:hAnsi="Century Gothic" w:cs="Arial"/>
          <w:sz w:val="22"/>
          <w:szCs w:val="22"/>
        </w:rPr>
        <w:t xml:space="preserve"> En todos ellos sí tomaron en cuenta este dato al momento de trazar sus distritos electorales locales.</w:t>
      </w:r>
      <w:r w:rsidR="00F73226">
        <w:rPr>
          <w:rFonts w:ascii="Century Gothic" w:hAnsi="Century Gothic" w:cs="Arial"/>
          <w:sz w:val="22"/>
          <w:szCs w:val="22"/>
        </w:rPr>
        <w:t xml:space="preserve"> </w:t>
      </w:r>
    </w:p>
    <w:p w14:paraId="381F059E" w14:textId="77777777" w:rsidR="00F20707" w:rsidRPr="00246B0B" w:rsidRDefault="00B21888" w:rsidP="002218E3">
      <w:pPr>
        <w:pStyle w:val="Prrafodelista"/>
        <w:numPr>
          <w:ilvl w:val="0"/>
          <w:numId w:val="3"/>
        </w:numPr>
        <w:spacing w:line="312" w:lineRule="auto"/>
        <w:ind w:left="426" w:hanging="426"/>
        <w:contextualSpacing w:val="0"/>
        <w:jc w:val="both"/>
        <w:rPr>
          <w:rFonts w:ascii="Century Gothic" w:hAnsi="Century Gothic" w:cs="Arial"/>
          <w:b/>
          <w:sz w:val="22"/>
          <w:szCs w:val="22"/>
        </w:rPr>
      </w:pPr>
      <w:r w:rsidRPr="00B21888">
        <w:rPr>
          <w:rFonts w:ascii="Century Gothic" w:hAnsi="Century Gothic" w:cs="Arial"/>
          <w:b/>
          <w:sz w:val="22"/>
          <w:szCs w:val="22"/>
        </w:rPr>
        <w:t>Reforma legislativa local.</w:t>
      </w:r>
      <w:r w:rsidR="00F449B8">
        <w:rPr>
          <w:rFonts w:ascii="Century Gothic" w:hAnsi="Century Gothic" w:cs="Arial"/>
          <w:b/>
          <w:sz w:val="22"/>
          <w:szCs w:val="22"/>
        </w:rPr>
        <w:t xml:space="preserve"> </w:t>
      </w:r>
      <w:r w:rsidR="00F449B8">
        <w:rPr>
          <w:rFonts w:ascii="Century Gothic" w:hAnsi="Century Gothic" w:cs="Arial"/>
          <w:sz w:val="22"/>
          <w:szCs w:val="22"/>
        </w:rPr>
        <w:t>Hasta el día en que se conc</w:t>
      </w:r>
      <w:r w:rsidR="00ED3959">
        <w:rPr>
          <w:rFonts w:ascii="Century Gothic" w:hAnsi="Century Gothic" w:cs="Arial"/>
          <w:sz w:val="22"/>
          <w:szCs w:val="22"/>
        </w:rPr>
        <w:t>luyó este diagnóstico</w:t>
      </w:r>
      <w:r w:rsidR="00B63528">
        <w:rPr>
          <w:rFonts w:ascii="Century Gothic" w:hAnsi="Century Gothic" w:cs="Arial"/>
          <w:sz w:val="22"/>
          <w:szCs w:val="22"/>
        </w:rPr>
        <w:t>,</w:t>
      </w:r>
      <w:r w:rsidR="00ED3959">
        <w:rPr>
          <w:rFonts w:ascii="Century Gothic" w:hAnsi="Century Gothic" w:cs="Arial"/>
          <w:sz w:val="22"/>
          <w:szCs w:val="22"/>
        </w:rPr>
        <w:t xml:space="preserve"> no existe</w:t>
      </w:r>
      <w:r w:rsidR="00F449B8">
        <w:rPr>
          <w:rFonts w:ascii="Century Gothic" w:hAnsi="Century Gothic" w:cs="Arial"/>
          <w:sz w:val="22"/>
          <w:szCs w:val="22"/>
        </w:rPr>
        <w:t>n indicios de que alguno de los Congresos Locales pretendiera iniciar un proceso de reforma legislativa que tuviera como fin modificar el número de diputados de mayoría relativa</w:t>
      </w:r>
      <w:r>
        <w:rPr>
          <w:rFonts w:ascii="Century Gothic" w:hAnsi="Century Gothic" w:cs="Arial"/>
          <w:sz w:val="22"/>
          <w:szCs w:val="22"/>
        </w:rPr>
        <w:t>.</w:t>
      </w:r>
    </w:p>
    <w:p w14:paraId="0F5E09F0" w14:textId="19D860D8" w:rsidR="00246B0B" w:rsidRPr="0007667A" w:rsidRDefault="00246B0B" w:rsidP="002218E3">
      <w:pPr>
        <w:pStyle w:val="Prrafodelista"/>
        <w:numPr>
          <w:ilvl w:val="0"/>
          <w:numId w:val="3"/>
        </w:numPr>
        <w:spacing w:line="312" w:lineRule="auto"/>
        <w:ind w:left="426" w:hanging="426"/>
        <w:contextualSpacing w:val="0"/>
        <w:jc w:val="both"/>
        <w:rPr>
          <w:rFonts w:ascii="Century Gothic" w:hAnsi="Century Gothic" w:cs="Arial"/>
          <w:b/>
          <w:sz w:val="22"/>
          <w:szCs w:val="22"/>
        </w:rPr>
      </w:pPr>
      <w:r w:rsidRPr="0007667A">
        <w:rPr>
          <w:rFonts w:ascii="Century Gothic" w:hAnsi="Century Gothic" w:cs="Arial"/>
          <w:b/>
          <w:sz w:val="22"/>
          <w:szCs w:val="22"/>
        </w:rPr>
        <w:t>Continuidad geográfica</w:t>
      </w:r>
      <w:r w:rsidR="00955CEF" w:rsidRPr="0007667A">
        <w:rPr>
          <w:rFonts w:ascii="Century Gothic" w:hAnsi="Century Gothic" w:cs="Arial"/>
          <w:b/>
          <w:sz w:val="22"/>
          <w:szCs w:val="22"/>
        </w:rPr>
        <w:t xml:space="preserve"> de los distritos</w:t>
      </w:r>
      <w:r w:rsidRPr="0007667A">
        <w:rPr>
          <w:rFonts w:ascii="Century Gothic" w:hAnsi="Century Gothic" w:cs="Arial"/>
          <w:b/>
          <w:sz w:val="22"/>
          <w:szCs w:val="22"/>
        </w:rPr>
        <w:t xml:space="preserve">. </w:t>
      </w:r>
      <w:r w:rsidRPr="0007667A">
        <w:rPr>
          <w:rFonts w:ascii="Century Gothic" w:hAnsi="Century Gothic" w:cs="Arial"/>
          <w:sz w:val="22"/>
          <w:szCs w:val="22"/>
        </w:rPr>
        <w:t xml:space="preserve">A partir del análisis de la cartografía electoral de cada entidad se concluyó que los </w:t>
      </w:r>
      <w:r w:rsidR="00F215D1" w:rsidRPr="0007667A">
        <w:rPr>
          <w:rFonts w:ascii="Century Gothic" w:hAnsi="Century Gothic" w:cs="Arial"/>
          <w:sz w:val="22"/>
          <w:szCs w:val="22"/>
        </w:rPr>
        <w:t xml:space="preserve">todos </w:t>
      </w:r>
      <w:r w:rsidRPr="0007667A">
        <w:rPr>
          <w:rFonts w:ascii="Century Gothic" w:hAnsi="Century Gothic" w:cs="Arial"/>
          <w:sz w:val="22"/>
          <w:szCs w:val="22"/>
        </w:rPr>
        <w:t>distritos electorales locales cumplen con este indicador.</w:t>
      </w:r>
    </w:p>
    <w:p w14:paraId="5D89F5A6" w14:textId="79AF3EC3" w:rsidR="0096446B" w:rsidRPr="00B21888" w:rsidRDefault="006C089F" w:rsidP="002218E3">
      <w:pPr>
        <w:pStyle w:val="Prrafodelista"/>
        <w:numPr>
          <w:ilvl w:val="0"/>
          <w:numId w:val="3"/>
        </w:numPr>
        <w:spacing w:line="312" w:lineRule="auto"/>
        <w:ind w:left="426" w:hanging="426"/>
        <w:contextualSpacing w:val="0"/>
        <w:jc w:val="both"/>
        <w:rPr>
          <w:rFonts w:ascii="Century Gothic" w:hAnsi="Century Gothic" w:cs="Arial"/>
          <w:b/>
          <w:sz w:val="22"/>
          <w:szCs w:val="22"/>
        </w:rPr>
      </w:pPr>
      <w:r>
        <w:rPr>
          <w:rFonts w:ascii="Century Gothic" w:hAnsi="Century Gothic" w:cs="Arial"/>
          <w:b/>
          <w:sz w:val="22"/>
          <w:szCs w:val="22"/>
        </w:rPr>
        <w:t>Para</w:t>
      </w:r>
      <w:r w:rsidR="0096446B">
        <w:rPr>
          <w:rFonts w:ascii="Century Gothic" w:hAnsi="Century Gothic" w:cs="Arial"/>
          <w:b/>
          <w:sz w:val="22"/>
          <w:szCs w:val="22"/>
        </w:rPr>
        <w:t xml:space="preserve"> </w:t>
      </w:r>
      <w:r>
        <w:rPr>
          <w:rFonts w:ascii="Century Gothic" w:hAnsi="Century Gothic" w:cs="Arial"/>
          <w:b/>
          <w:sz w:val="22"/>
          <w:szCs w:val="22"/>
        </w:rPr>
        <w:t>homologar</w:t>
      </w:r>
      <w:r w:rsidR="0096446B">
        <w:rPr>
          <w:rFonts w:ascii="Century Gothic" w:hAnsi="Century Gothic" w:cs="Arial"/>
          <w:b/>
          <w:sz w:val="22"/>
          <w:szCs w:val="22"/>
        </w:rPr>
        <w:t xml:space="preserve"> </w:t>
      </w:r>
      <w:r>
        <w:rPr>
          <w:rFonts w:ascii="Century Gothic" w:hAnsi="Century Gothic" w:cs="Arial"/>
          <w:b/>
          <w:sz w:val="22"/>
          <w:szCs w:val="22"/>
        </w:rPr>
        <w:t xml:space="preserve">la </w:t>
      </w:r>
      <w:r w:rsidR="0096446B">
        <w:rPr>
          <w:rFonts w:ascii="Century Gothic" w:hAnsi="Century Gothic" w:cs="Arial"/>
          <w:b/>
          <w:sz w:val="22"/>
          <w:szCs w:val="22"/>
        </w:rPr>
        <w:t xml:space="preserve">metodología </w:t>
      </w:r>
      <w:r>
        <w:rPr>
          <w:rFonts w:ascii="Century Gothic" w:hAnsi="Century Gothic" w:cs="Arial"/>
          <w:b/>
          <w:sz w:val="22"/>
          <w:szCs w:val="22"/>
        </w:rPr>
        <w:t xml:space="preserve">de </w:t>
      </w:r>
      <w:proofErr w:type="spellStart"/>
      <w:r>
        <w:rPr>
          <w:rFonts w:ascii="Century Gothic" w:hAnsi="Century Gothic" w:cs="Arial"/>
          <w:b/>
          <w:sz w:val="22"/>
          <w:szCs w:val="22"/>
        </w:rPr>
        <w:t>distritación</w:t>
      </w:r>
      <w:proofErr w:type="spellEnd"/>
      <w:r>
        <w:rPr>
          <w:rFonts w:ascii="Century Gothic" w:hAnsi="Century Gothic" w:cs="Arial"/>
          <w:b/>
          <w:sz w:val="22"/>
          <w:szCs w:val="22"/>
        </w:rPr>
        <w:t xml:space="preserve"> </w:t>
      </w:r>
      <w:r w:rsidR="0096446B">
        <w:rPr>
          <w:rFonts w:ascii="Century Gothic" w:hAnsi="Century Gothic" w:cs="Arial"/>
          <w:b/>
          <w:sz w:val="22"/>
          <w:szCs w:val="22"/>
        </w:rPr>
        <w:t xml:space="preserve">utilizada en el resto de las entidades federativas. </w:t>
      </w:r>
      <w:r w:rsidR="0096446B">
        <w:rPr>
          <w:rFonts w:ascii="Century Gothic" w:hAnsi="Century Gothic" w:cs="Arial"/>
          <w:sz w:val="22"/>
          <w:szCs w:val="22"/>
        </w:rPr>
        <w:t xml:space="preserve">El estado de Tabasco </w:t>
      </w:r>
      <w:r>
        <w:rPr>
          <w:rFonts w:ascii="Century Gothic" w:hAnsi="Century Gothic" w:cs="Arial"/>
          <w:sz w:val="22"/>
          <w:szCs w:val="22"/>
        </w:rPr>
        <w:t>es un caso especial</w:t>
      </w:r>
      <w:r w:rsidR="00DC0515">
        <w:rPr>
          <w:rFonts w:ascii="Century Gothic" w:hAnsi="Century Gothic" w:cs="Arial"/>
          <w:sz w:val="22"/>
          <w:szCs w:val="22"/>
        </w:rPr>
        <w:t>,</w:t>
      </w:r>
      <w:r w:rsidR="00246B0B">
        <w:rPr>
          <w:rFonts w:ascii="Century Gothic" w:hAnsi="Century Gothic" w:cs="Arial"/>
          <w:sz w:val="22"/>
          <w:szCs w:val="22"/>
        </w:rPr>
        <w:t xml:space="preserve"> debido a que cumple con los </w:t>
      </w:r>
      <w:r w:rsidR="00F215D1" w:rsidRPr="0007667A">
        <w:rPr>
          <w:rFonts w:ascii="Century Gothic" w:hAnsi="Century Gothic" w:cs="Arial"/>
          <w:sz w:val="22"/>
          <w:szCs w:val="22"/>
        </w:rPr>
        <w:t>cinco</w:t>
      </w:r>
      <w:r>
        <w:rPr>
          <w:rFonts w:ascii="Century Gothic" w:hAnsi="Century Gothic" w:cs="Arial"/>
          <w:sz w:val="22"/>
          <w:szCs w:val="22"/>
        </w:rPr>
        <w:t xml:space="preserve"> indicadores anteriores. Sin embargo, </w:t>
      </w:r>
      <w:r w:rsidR="00DC0515">
        <w:rPr>
          <w:rFonts w:ascii="Century Gothic" w:hAnsi="Century Gothic" w:cs="Arial"/>
          <w:sz w:val="22"/>
          <w:szCs w:val="22"/>
        </w:rPr>
        <w:t xml:space="preserve">su </w:t>
      </w:r>
      <w:proofErr w:type="spellStart"/>
      <w:r>
        <w:rPr>
          <w:rFonts w:ascii="Century Gothic" w:hAnsi="Century Gothic" w:cs="Arial"/>
          <w:sz w:val="22"/>
          <w:szCs w:val="22"/>
        </w:rPr>
        <w:t>distritac</w:t>
      </w:r>
      <w:r w:rsidR="00D944B4">
        <w:rPr>
          <w:rFonts w:ascii="Century Gothic" w:hAnsi="Century Gothic" w:cs="Arial"/>
          <w:sz w:val="22"/>
          <w:szCs w:val="22"/>
        </w:rPr>
        <w:t>ión</w:t>
      </w:r>
      <w:proofErr w:type="spellEnd"/>
      <w:r w:rsidR="00D944B4">
        <w:rPr>
          <w:rFonts w:ascii="Century Gothic" w:hAnsi="Century Gothic" w:cs="Arial"/>
          <w:sz w:val="22"/>
          <w:szCs w:val="22"/>
        </w:rPr>
        <w:t xml:space="preserve"> no fue construida bajo</w:t>
      </w:r>
      <w:r>
        <w:rPr>
          <w:rFonts w:ascii="Century Gothic" w:hAnsi="Century Gothic" w:cs="Arial"/>
          <w:sz w:val="22"/>
          <w:szCs w:val="22"/>
        </w:rPr>
        <w:t xml:space="preserve"> los criterios técnicos y las reglas operativas que se </w:t>
      </w:r>
      <w:r w:rsidR="00D944B4">
        <w:rPr>
          <w:rFonts w:ascii="Century Gothic" w:hAnsi="Century Gothic" w:cs="Arial"/>
          <w:sz w:val="22"/>
          <w:szCs w:val="22"/>
        </w:rPr>
        <w:t>utilizaron en las 15</w:t>
      </w:r>
      <w:r w:rsidR="00C94EBD">
        <w:rPr>
          <w:rFonts w:ascii="Century Gothic" w:hAnsi="Century Gothic" w:cs="Arial"/>
          <w:sz w:val="22"/>
          <w:szCs w:val="22"/>
        </w:rPr>
        <w:t xml:space="preserve"> </w:t>
      </w:r>
      <w:proofErr w:type="spellStart"/>
      <w:r w:rsidR="00C94EBD">
        <w:rPr>
          <w:rFonts w:ascii="Century Gothic" w:hAnsi="Century Gothic" w:cs="Arial"/>
          <w:sz w:val="22"/>
          <w:szCs w:val="22"/>
        </w:rPr>
        <w:t>distritaciones</w:t>
      </w:r>
      <w:proofErr w:type="spellEnd"/>
      <w:r w:rsidR="00C94EBD">
        <w:rPr>
          <w:rFonts w:ascii="Century Gothic" w:hAnsi="Century Gothic" w:cs="Arial"/>
          <w:sz w:val="22"/>
          <w:szCs w:val="22"/>
        </w:rPr>
        <w:t xml:space="preserve"> locales aprobadas por el Consejo General</w:t>
      </w:r>
      <w:r w:rsidR="00D944B4">
        <w:rPr>
          <w:rFonts w:ascii="Century Gothic" w:hAnsi="Century Gothic" w:cs="Arial"/>
          <w:sz w:val="22"/>
          <w:szCs w:val="22"/>
        </w:rPr>
        <w:t xml:space="preserve"> hasta noviembre de 2015 y que se aplicarán en las demás entidades</w:t>
      </w:r>
      <w:r w:rsidR="00C94EBD">
        <w:rPr>
          <w:rFonts w:ascii="Century Gothic" w:hAnsi="Century Gothic" w:cs="Arial"/>
          <w:sz w:val="22"/>
          <w:szCs w:val="22"/>
        </w:rPr>
        <w:t xml:space="preserve">. </w:t>
      </w:r>
      <w:r w:rsidR="00D944B4">
        <w:rPr>
          <w:rFonts w:ascii="Century Gothic" w:hAnsi="Century Gothic" w:cs="Arial"/>
          <w:sz w:val="22"/>
          <w:szCs w:val="22"/>
        </w:rPr>
        <w:t>Es por ello que no</w:t>
      </w:r>
      <w:r>
        <w:rPr>
          <w:rFonts w:ascii="Century Gothic" w:hAnsi="Century Gothic" w:cs="Arial"/>
          <w:sz w:val="22"/>
          <w:szCs w:val="22"/>
        </w:rPr>
        <w:t xml:space="preserve"> se considera conveniente hacer una excepción y </w:t>
      </w:r>
      <w:r w:rsidR="00C94EBD">
        <w:rPr>
          <w:rFonts w:ascii="Century Gothic" w:hAnsi="Century Gothic" w:cs="Arial"/>
          <w:sz w:val="22"/>
          <w:szCs w:val="22"/>
        </w:rPr>
        <w:t>resulta necesario</w:t>
      </w:r>
      <w:r>
        <w:rPr>
          <w:rFonts w:ascii="Century Gothic" w:hAnsi="Century Gothic" w:cs="Arial"/>
          <w:sz w:val="22"/>
          <w:szCs w:val="22"/>
        </w:rPr>
        <w:t xml:space="preserve"> realizar la </w:t>
      </w:r>
      <w:proofErr w:type="spellStart"/>
      <w:r>
        <w:rPr>
          <w:rFonts w:ascii="Century Gothic" w:hAnsi="Century Gothic" w:cs="Arial"/>
          <w:sz w:val="22"/>
          <w:szCs w:val="22"/>
        </w:rPr>
        <w:t>distritación</w:t>
      </w:r>
      <w:proofErr w:type="spellEnd"/>
      <w:r>
        <w:rPr>
          <w:rFonts w:ascii="Century Gothic" w:hAnsi="Century Gothic" w:cs="Arial"/>
          <w:sz w:val="22"/>
          <w:szCs w:val="22"/>
        </w:rPr>
        <w:t xml:space="preserve"> local</w:t>
      </w:r>
      <w:r w:rsidR="00D944B4">
        <w:rPr>
          <w:rFonts w:ascii="Century Gothic" w:hAnsi="Century Gothic" w:cs="Arial"/>
          <w:sz w:val="22"/>
          <w:szCs w:val="22"/>
        </w:rPr>
        <w:t xml:space="preserve"> de esta entidad federativa</w:t>
      </w:r>
      <w:r>
        <w:rPr>
          <w:rFonts w:ascii="Century Gothic" w:hAnsi="Century Gothic" w:cs="Arial"/>
          <w:sz w:val="22"/>
          <w:szCs w:val="22"/>
        </w:rPr>
        <w:t>.</w:t>
      </w:r>
    </w:p>
    <w:p w14:paraId="192760C8" w14:textId="77777777" w:rsidR="00400D05" w:rsidRDefault="00400D05" w:rsidP="00A36F61">
      <w:pPr>
        <w:spacing w:after="200" w:line="312" w:lineRule="auto"/>
        <w:jc w:val="both"/>
        <w:rPr>
          <w:rFonts w:ascii="Century Gothic" w:hAnsi="Century Gothic" w:cs="Arial"/>
          <w:sz w:val="22"/>
          <w:szCs w:val="22"/>
        </w:rPr>
      </w:pPr>
    </w:p>
    <w:p w14:paraId="16B89F17" w14:textId="206B704D" w:rsidR="00E4289F" w:rsidRDefault="00F20707" w:rsidP="00E4289F">
      <w:pPr>
        <w:spacing w:after="200" w:line="312" w:lineRule="auto"/>
        <w:jc w:val="both"/>
        <w:rPr>
          <w:rFonts w:ascii="Century Gothic" w:hAnsi="Century Gothic" w:cs="Arial"/>
          <w:sz w:val="22"/>
          <w:szCs w:val="22"/>
        </w:rPr>
      </w:pPr>
      <w:r w:rsidRPr="004464CF">
        <w:rPr>
          <w:rFonts w:ascii="Century Gothic" w:hAnsi="Century Gothic" w:cs="Arial"/>
          <w:sz w:val="22"/>
          <w:szCs w:val="22"/>
        </w:rPr>
        <w:t>Por lo tanto, la Dirección Ejecutiva del Registro Federal de Electores considera que con base en la información</w:t>
      </w:r>
      <w:r w:rsidR="00B21888">
        <w:rPr>
          <w:rFonts w:ascii="Century Gothic" w:hAnsi="Century Gothic" w:cs="Arial"/>
          <w:sz w:val="22"/>
          <w:szCs w:val="22"/>
        </w:rPr>
        <w:t xml:space="preserve"> anterior</w:t>
      </w:r>
      <w:r w:rsidRPr="004464CF">
        <w:rPr>
          <w:rFonts w:ascii="Century Gothic" w:hAnsi="Century Gothic" w:cs="Arial"/>
          <w:sz w:val="22"/>
          <w:szCs w:val="22"/>
        </w:rPr>
        <w:t xml:space="preserve">, resulta procedente realizar una nueva delimitación de los distritos electorales locales en las </w:t>
      </w:r>
      <w:r w:rsidR="00E4289F">
        <w:rPr>
          <w:rFonts w:ascii="Century Gothic" w:hAnsi="Century Gothic" w:cs="Arial"/>
          <w:sz w:val="22"/>
          <w:szCs w:val="22"/>
        </w:rPr>
        <w:t>17</w:t>
      </w:r>
      <w:r w:rsidR="0049716B">
        <w:rPr>
          <w:rFonts w:ascii="Century Gothic" w:hAnsi="Century Gothic" w:cs="Arial"/>
          <w:sz w:val="22"/>
          <w:szCs w:val="22"/>
        </w:rPr>
        <w:t xml:space="preserve"> </w:t>
      </w:r>
      <w:r w:rsidRPr="004464CF">
        <w:rPr>
          <w:rFonts w:ascii="Century Gothic" w:hAnsi="Century Gothic" w:cs="Arial"/>
          <w:sz w:val="22"/>
          <w:szCs w:val="22"/>
        </w:rPr>
        <w:t>entidades</w:t>
      </w:r>
      <w:r w:rsidR="00465312">
        <w:rPr>
          <w:rFonts w:ascii="Century Gothic" w:hAnsi="Century Gothic" w:cs="Arial"/>
          <w:sz w:val="22"/>
          <w:szCs w:val="22"/>
        </w:rPr>
        <w:t xml:space="preserve"> </w:t>
      </w:r>
      <w:r w:rsidR="00E4289F">
        <w:rPr>
          <w:rFonts w:ascii="Century Gothic" w:hAnsi="Century Gothic" w:cs="Arial"/>
          <w:sz w:val="22"/>
          <w:szCs w:val="22"/>
        </w:rPr>
        <w:t xml:space="preserve">federativas </w:t>
      </w:r>
      <w:r w:rsidR="00465312">
        <w:rPr>
          <w:rFonts w:ascii="Century Gothic" w:hAnsi="Century Gothic" w:cs="Arial"/>
          <w:sz w:val="22"/>
          <w:szCs w:val="22"/>
        </w:rPr>
        <w:t xml:space="preserve">contempladas en el Plan de Trabajo del Proyecto </w:t>
      </w:r>
      <w:r w:rsidR="00D944B4">
        <w:rPr>
          <w:rFonts w:ascii="Century Gothic" w:hAnsi="Century Gothic" w:cs="Arial"/>
          <w:sz w:val="22"/>
          <w:szCs w:val="22"/>
        </w:rPr>
        <w:t>de Distritación Electoral Local y Federal 2016 - 2017</w:t>
      </w:r>
      <w:r w:rsidR="00213841">
        <w:rPr>
          <w:rFonts w:ascii="Century Gothic" w:hAnsi="Century Gothic" w:cs="Arial"/>
          <w:sz w:val="22"/>
          <w:szCs w:val="22"/>
        </w:rPr>
        <w:t>, por las siguientes razones:</w:t>
      </w:r>
    </w:p>
    <w:p w14:paraId="43BC054E" w14:textId="77777777" w:rsidR="0093449E" w:rsidRPr="0093449E" w:rsidRDefault="0093449E" w:rsidP="00A36F61">
      <w:pPr>
        <w:pStyle w:val="Prrafodelista"/>
        <w:numPr>
          <w:ilvl w:val="0"/>
          <w:numId w:val="10"/>
        </w:numPr>
        <w:spacing w:line="312" w:lineRule="auto"/>
        <w:ind w:left="426" w:hanging="426"/>
        <w:contextualSpacing w:val="0"/>
        <w:jc w:val="both"/>
        <w:rPr>
          <w:rFonts w:ascii="Century Gothic" w:hAnsi="Century Gothic" w:cs="Arial"/>
          <w:b/>
          <w:color w:val="660033"/>
          <w:sz w:val="22"/>
          <w:szCs w:val="22"/>
        </w:rPr>
      </w:pPr>
      <w:r>
        <w:rPr>
          <w:rFonts w:ascii="Century Gothic" w:hAnsi="Century Gothic" w:cs="Arial"/>
          <w:b/>
          <w:color w:val="660033"/>
          <w:sz w:val="22"/>
          <w:szCs w:val="22"/>
        </w:rPr>
        <w:t xml:space="preserve">Por no haber utilizado el Censo de Población y Vivienda 2010: </w:t>
      </w:r>
      <w:r w:rsidR="00ED3959" w:rsidRPr="00E4289F">
        <w:rPr>
          <w:rFonts w:ascii="Century Gothic" w:hAnsi="Century Gothic" w:cs="Arial"/>
          <w:sz w:val="22"/>
          <w:szCs w:val="22"/>
        </w:rPr>
        <w:t xml:space="preserve">Baja California Sur, Campeche, Chiapas, Guanajuato, </w:t>
      </w:r>
      <w:r w:rsidR="00D41EE7">
        <w:rPr>
          <w:rFonts w:ascii="Century Gothic" w:hAnsi="Century Gothic" w:cs="Arial"/>
          <w:sz w:val="22"/>
          <w:szCs w:val="22"/>
        </w:rPr>
        <w:t xml:space="preserve">Jalisco, </w:t>
      </w:r>
      <w:r w:rsidR="00ED3959" w:rsidRPr="00E4289F">
        <w:rPr>
          <w:rFonts w:ascii="Century Gothic" w:hAnsi="Century Gothic" w:cs="Arial"/>
          <w:sz w:val="22"/>
          <w:szCs w:val="22"/>
        </w:rPr>
        <w:t>México, Michoacán, Morelos, Nuevo León, Querétaro, San Luis Potosí, Sonora y Yucatán</w:t>
      </w:r>
      <w:r w:rsidR="00994E54">
        <w:rPr>
          <w:rFonts w:ascii="Century Gothic" w:hAnsi="Century Gothic" w:cs="Arial"/>
          <w:sz w:val="22"/>
          <w:szCs w:val="22"/>
        </w:rPr>
        <w:t>.</w:t>
      </w:r>
    </w:p>
    <w:p w14:paraId="1F2453E9" w14:textId="77777777" w:rsidR="00F20707" w:rsidRPr="00465312" w:rsidRDefault="00F20707" w:rsidP="00A36F61">
      <w:pPr>
        <w:pStyle w:val="Prrafodelista"/>
        <w:numPr>
          <w:ilvl w:val="0"/>
          <w:numId w:val="10"/>
        </w:numPr>
        <w:spacing w:line="312" w:lineRule="auto"/>
        <w:ind w:left="426" w:hanging="426"/>
        <w:contextualSpacing w:val="0"/>
        <w:jc w:val="both"/>
        <w:rPr>
          <w:rFonts w:ascii="Century Gothic" w:hAnsi="Century Gothic" w:cs="Arial"/>
          <w:b/>
          <w:sz w:val="22"/>
          <w:szCs w:val="22"/>
        </w:rPr>
      </w:pPr>
      <w:r w:rsidRPr="00465312">
        <w:rPr>
          <w:rFonts w:ascii="Century Gothic" w:hAnsi="Century Gothic" w:cs="Arial"/>
          <w:b/>
          <w:color w:val="660033"/>
          <w:sz w:val="22"/>
          <w:szCs w:val="22"/>
        </w:rPr>
        <w:lastRenderedPageBreak/>
        <w:t>Por presentar distritos electorales fuera del rango de desviación poblacional permitido:</w:t>
      </w:r>
      <w:r w:rsidRPr="00465312">
        <w:rPr>
          <w:rFonts w:ascii="Century Gothic" w:hAnsi="Century Gothic" w:cs="Arial"/>
          <w:sz w:val="22"/>
          <w:szCs w:val="22"/>
        </w:rPr>
        <w:t xml:space="preserve"> </w:t>
      </w:r>
      <w:r w:rsidR="00ED3959" w:rsidRPr="00C81E44">
        <w:rPr>
          <w:rFonts w:ascii="Century Gothic" w:hAnsi="Century Gothic" w:cs="Arial"/>
          <w:sz w:val="22"/>
          <w:szCs w:val="22"/>
          <w:lang w:val="es-ES"/>
        </w:rPr>
        <w:t>Baja California Sur, Campeche, Chiapas, Guanajuato, Guerrero, Jalisco, México, Michoacán, Morelos, Nuevo León, Querétaro, San Luis Potosí, Sonora y Yucatán</w:t>
      </w:r>
      <w:r w:rsidRPr="00465312">
        <w:rPr>
          <w:rFonts w:ascii="Century Gothic" w:hAnsi="Century Gothic" w:cs="Arial"/>
          <w:sz w:val="22"/>
          <w:szCs w:val="22"/>
        </w:rPr>
        <w:t>.</w:t>
      </w:r>
    </w:p>
    <w:p w14:paraId="4FB3CB90" w14:textId="1B926139" w:rsidR="00400D05" w:rsidRPr="0096446B" w:rsidRDefault="00F20707" w:rsidP="00400D05">
      <w:pPr>
        <w:pStyle w:val="Prrafodelista"/>
        <w:numPr>
          <w:ilvl w:val="0"/>
          <w:numId w:val="10"/>
        </w:numPr>
        <w:spacing w:line="312" w:lineRule="auto"/>
        <w:ind w:left="426" w:hanging="426"/>
        <w:contextualSpacing w:val="0"/>
        <w:jc w:val="both"/>
        <w:rPr>
          <w:rFonts w:ascii="Century Gothic" w:hAnsi="Century Gothic" w:cs="Arial"/>
          <w:b/>
          <w:sz w:val="22"/>
          <w:szCs w:val="22"/>
        </w:rPr>
      </w:pPr>
      <w:r w:rsidRPr="00465312">
        <w:rPr>
          <w:rFonts w:ascii="Century Gothic" w:hAnsi="Century Gothic" w:cs="Arial"/>
          <w:b/>
          <w:color w:val="660033"/>
          <w:sz w:val="22"/>
          <w:szCs w:val="22"/>
        </w:rPr>
        <w:t xml:space="preserve">Por presentar </w:t>
      </w:r>
      <w:r w:rsidR="00ED3959">
        <w:rPr>
          <w:rFonts w:ascii="Century Gothic" w:hAnsi="Century Gothic" w:cs="Arial"/>
          <w:b/>
          <w:color w:val="660033"/>
          <w:sz w:val="22"/>
          <w:szCs w:val="22"/>
        </w:rPr>
        <w:t xml:space="preserve">distritos </w:t>
      </w:r>
      <w:r w:rsidR="00213841">
        <w:rPr>
          <w:rFonts w:ascii="Century Gothic" w:hAnsi="Century Gothic" w:cs="Arial"/>
          <w:b/>
          <w:color w:val="660033"/>
          <w:sz w:val="22"/>
          <w:szCs w:val="22"/>
        </w:rPr>
        <w:t>que precisan un ajuste más eficiente de la distribución de la población para lograr un mejor equilibrio</w:t>
      </w:r>
      <w:r w:rsidR="00ED3959">
        <w:rPr>
          <w:rFonts w:ascii="Century Gothic" w:hAnsi="Century Gothic" w:cs="Arial"/>
          <w:b/>
          <w:color w:val="660033"/>
          <w:sz w:val="22"/>
          <w:szCs w:val="22"/>
        </w:rPr>
        <w:t xml:space="preserve">: </w:t>
      </w:r>
      <w:r w:rsidR="0096446B">
        <w:rPr>
          <w:rFonts w:ascii="Century Gothic" w:hAnsi="Century Gothic" w:cs="Arial"/>
          <w:sz w:val="22"/>
          <w:szCs w:val="22"/>
        </w:rPr>
        <w:t>C</w:t>
      </w:r>
      <w:r w:rsidR="00695BA8">
        <w:rPr>
          <w:rFonts w:ascii="Century Gothic" w:hAnsi="Century Gothic" w:cs="Arial"/>
          <w:sz w:val="22"/>
          <w:szCs w:val="22"/>
        </w:rPr>
        <w:t>iudad de México y C</w:t>
      </w:r>
      <w:r w:rsidR="0096446B">
        <w:rPr>
          <w:rFonts w:ascii="Century Gothic" w:hAnsi="Century Gothic" w:cs="Arial"/>
          <w:sz w:val="22"/>
          <w:szCs w:val="22"/>
        </w:rPr>
        <w:t>olima</w:t>
      </w:r>
      <w:r w:rsidRPr="00ED3959">
        <w:rPr>
          <w:rFonts w:ascii="Century Gothic" w:hAnsi="Century Gothic" w:cs="Arial"/>
          <w:sz w:val="22"/>
          <w:szCs w:val="22"/>
        </w:rPr>
        <w:t>.</w:t>
      </w:r>
    </w:p>
    <w:p w14:paraId="7EB25803" w14:textId="6EFE7EDB" w:rsidR="0096446B" w:rsidRPr="00400D05" w:rsidRDefault="0096446B" w:rsidP="00400D05">
      <w:pPr>
        <w:pStyle w:val="Prrafodelista"/>
        <w:numPr>
          <w:ilvl w:val="0"/>
          <w:numId w:val="10"/>
        </w:numPr>
        <w:spacing w:line="312" w:lineRule="auto"/>
        <w:ind w:left="426" w:hanging="426"/>
        <w:contextualSpacing w:val="0"/>
        <w:jc w:val="both"/>
        <w:rPr>
          <w:rFonts w:ascii="Century Gothic" w:hAnsi="Century Gothic" w:cs="Arial"/>
          <w:b/>
          <w:sz w:val="22"/>
          <w:szCs w:val="22"/>
        </w:rPr>
      </w:pPr>
      <w:r>
        <w:rPr>
          <w:rFonts w:ascii="Century Gothic" w:hAnsi="Century Gothic" w:cs="Arial"/>
          <w:b/>
          <w:color w:val="660033"/>
          <w:sz w:val="22"/>
          <w:szCs w:val="22"/>
        </w:rPr>
        <w:t xml:space="preserve">Por necesidad de homologar la </w:t>
      </w:r>
      <w:r w:rsidR="006C089F">
        <w:rPr>
          <w:rFonts w:ascii="Century Gothic" w:hAnsi="Century Gothic" w:cs="Arial"/>
          <w:b/>
          <w:color w:val="660033"/>
          <w:sz w:val="22"/>
          <w:szCs w:val="22"/>
        </w:rPr>
        <w:t xml:space="preserve">metodología de </w:t>
      </w:r>
      <w:proofErr w:type="spellStart"/>
      <w:r w:rsidR="006C089F">
        <w:rPr>
          <w:rFonts w:ascii="Century Gothic" w:hAnsi="Century Gothic" w:cs="Arial"/>
          <w:b/>
          <w:color w:val="660033"/>
          <w:sz w:val="22"/>
          <w:szCs w:val="22"/>
        </w:rPr>
        <w:t>distritación</w:t>
      </w:r>
      <w:proofErr w:type="spellEnd"/>
      <w:r w:rsidR="006C089F">
        <w:rPr>
          <w:rFonts w:ascii="Century Gothic" w:hAnsi="Century Gothic" w:cs="Arial"/>
          <w:b/>
          <w:color w:val="660033"/>
          <w:sz w:val="22"/>
          <w:szCs w:val="22"/>
        </w:rPr>
        <w:t xml:space="preserve"> en el total de las entidades federativas: </w:t>
      </w:r>
      <w:r>
        <w:rPr>
          <w:rFonts w:ascii="Century Gothic" w:hAnsi="Century Gothic" w:cs="Arial"/>
          <w:sz w:val="22"/>
          <w:szCs w:val="22"/>
        </w:rPr>
        <w:t>Tabasco.</w:t>
      </w:r>
    </w:p>
    <w:p w14:paraId="3F953CD0" w14:textId="72D92742" w:rsidR="00ED3959" w:rsidRDefault="00ED3959" w:rsidP="00A36F61">
      <w:pPr>
        <w:spacing w:after="200" w:line="312" w:lineRule="auto"/>
        <w:jc w:val="both"/>
        <w:rPr>
          <w:rFonts w:ascii="Century Gothic" w:hAnsi="Century Gothic" w:cs="Arial"/>
          <w:sz w:val="22"/>
          <w:szCs w:val="22"/>
        </w:rPr>
      </w:pPr>
      <w:r>
        <w:rPr>
          <w:rFonts w:ascii="Century Gothic" w:hAnsi="Century Gothic" w:cs="Arial"/>
          <w:sz w:val="22"/>
          <w:szCs w:val="22"/>
        </w:rPr>
        <w:t xml:space="preserve">Cabe apuntar que con la realización de la </w:t>
      </w:r>
      <w:r w:rsidR="00E22FE1">
        <w:rPr>
          <w:rFonts w:ascii="Century Gothic" w:hAnsi="Century Gothic" w:cs="Arial"/>
          <w:sz w:val="22"/>
          <w:szCs w:val="22"/>
        </w:rPr>
        <w:t xml:space="preserve">delimitación del trazo de los distritos electorales locales de estas </w:t>
      </w:r>
      <w:r>
        <w:rPr>
          <w:rFonts w:ascii="Century Gothic" w:hAnsi="Century Gothic" w:cs="Arial"/>
          <w:sz w:val="22"/>
          <w:szCs w:val="22"/>
        </w:rPr>
        <w:t xml:space="preserve">17 entidades federativas, </w:t>
      </w:r>
      <w:r w:rsidR="00E22FE1" w:rsidRPr="006C089F">
        <w:rPr>
          <w:rFonts w:ascii="Century Gothic" w:hAnsi="Century Gothic" w:cs="Arial"/>
          <w:sz w:val="22"/>
          <w:szCs w:val="22"/>
        </w:rPr>
        <w:t xml:space="preserve">la totalidad del país quedará </w:t>
      </w:r>
      <w:proofErr w:type="spellStart"/>
      <w:r w:rsidR="00E22FE1" w:rsidRPr="006C089F">
        <w:rPr>
          <w:rFonts w:ascii="Century Gothic" w:hAnsi="Century Gothic" w:cs="Arial"/>
          <w:sz w:val="22"/>
          <w:szCs w:val="22"/>
        </w:rPr>
        <w:t>distritado</w:t>
      </w:r>
      <w:proofErr w:type="spellEnd"/>
      <w:r w:rsidR="00E22FE1" w:rsidRPr="006C089F">
        <w:rPr>
          <w:rFonts w:ascii="Century Gothic" w:hAnsi="Century Gothic" w:cs="Arial"/>
          <w:sz w:val="22"/>
          <w:szCs w:val="22"/>
        </w:rPr>
        <w:t xml:space="preserve"> a nivel local bajo los mismos criterios y reglas operativas según lo determinó el Consejo General del Instituto Nacional Electoral</w:t>
      </w:r>
      <w:r w:rsidR="00E22FE1">
        <w:rPr>
          <w:rFonts w:ascii="Century Gothic" w:hAnsi="Century Gothic" w:cs="Arial"/>
          <w:sz w:val="22"/>
          <w:szCs w:val="22"/>
        </w:rPr>
        <w:t xml:space="preserve">. Todos los distritos locales habrán sido generados con base en los más altos estándares técnicos y con la participación de los partidos políticos </w:t>
      </w:r>
      <w:r w:rsidR="00B40C16">
        <w:rPr>
          <w:rFonts w:ascii="Century Gothic" w:hAnsi="Century Gothic" w:cs="Arial"/>
          <w:sz w:val="22"/>
          <w:szCs w:val="22"/>
        </w:rPr>
        <w:t>en</w:t>
      </w:r>
      <w:r w:rsidR="00E22FE1">
        <w:rPr>
          <w:rFonts w:ascii="Century Gothic" w:hAnsi="Century Gothic" w:cs="Arial"/>
          <w:sz w:val="22"/>
          <w:szCs w:val="22"/>
        </w:rPr>
        <w:t xml:space="preserve"> la Comisión Nacional de Vigilancia, las </w:t>
      </w:r>
      <w:r w:rsidR="0056226C">
        <w:rPr>
          <w:rFonts w:ascii="Century Gothic" w:hAnsi="Century Gothic" w:cs="Arial"/>
          <w:sz w:val="22"/>
          <w:szCs w:val="22"/>
        </w:rPr>
        <w:t>Comisiones</w:t>
      </w:r>
      <w:r w:rsidR="00E22FE1">
        <w:rPr>
          <w:rFonts w:ascii="Century Gothic" w:hAnsi="Century Gothic" w:cs="Arial"/>
          <w:sz w:val="22"/>
          <w:szCs w:val="22"/>
        </w:rPr>
        <w:t xml:space="preserve"> Locales de Vigilancia y los Organismos Públicos Locales.</w:t>
      </w:r>
    </w:p>
    <w:p w14:paraId="3F07200F" w14:textId="77777777" w:rsidR="008725AB" w:rsidRDefault="008725AB" w:rsidP="002B1D96">
      <w:pPr>
        <w:spacing w:after="200" w:line="312" w:lineRule="auto"/>
        <w:jc w:val="right"/>
        <w:rPr>
          <w:rFonts w:ascii="Century Gothic" w:hAnsi="Century Gothic" w:cs="Arial"/>
          <w:sz w:val="22"/>
          <w:szCs w:val="22"/>
        </w:rPr>
      </w:pPr>
    </w:p>
    <w:p w14:paraId="5EE03EA4" w14:textId="1C342BA5" w:rsidR="00317C5D" w:rsidRDefault="0058041F" w:rsidP="002B1D96">
      <w:pPr>
        <w:spacing w:after="200" w:line="312" w:lineRule="auto"/>
        <w:jc w:val="right"/>
        <w:rPr>
          <w:rFonts w:ascii="Century Gothic" w:hAnsi="Century Gothic" w:cs="Arial"/>
          <w:sz w:val="22"/>
          <w:szCs w:val="22"/>
        </w:rPr>
      </w:pPr>
      <w:r>
        <w:rPr>
          <w:rFonts w:ascii="Century Gothic" w:hAnsi="Century Gothic" w:cs="Arial"/>
          <w:sz w:val="22"/>
          <w:szCs w:val="22"/>
        </w:rPr>
        <w:t xml:space="preserve">México, D.F., </w:t>
      </w:r>
      <w:r w:rsidR="00257DB7">
        <w:rPr>
          <w:rFonts w:ascii="Century Gothic" w:hAnsi="Century Gothic" w:cs="Arial"/>
          <w:sz w:val="22"/>
          <w:szCs w:val="22"/>
        </w:rPr>
        <w:t xml:space="preserve">a </w:t>
      </w:r>
      <w:r w:rsidR="00695BA8">
        <w:rPr>
          <w:rFonts w:ascii="Century Gothic" w:hAnsi="Century Gothic" w:cs="Arial"/>
          <w:sz w:val="22"/>
          <w:szCs w:val="22"/>
        </w:rPr>
        <w:t>25</w:t>
      </w:r>
      <w:r>
        <w:rPr>
          <w:rFonts w:ascii="Century Gothic" w:hAnsi="Century Gothic" w:cs="Arial"/>
          <w:sz w:val="22"/>
          <w:szCs w:val="22"/>
        </w:rPr>
        <w:t xml:space="preserve"> de </w:t>
      </w:r>
      <w:r w:rsidR="00695BA8">
        <w:rPr>
          <w:rFonts w:ascii="Century Gothic" w:hAnsi="Century Gothic" w:cs="Arial"/>
          <w:sz w:val="22"/>
          <w:szCs w:val="22"/>
        </w:rPr>
        <w:t>abril de 2016</w:t>
      </w:r>
      <w:r w:rsidR="00317C5D">
        <w:rPr>
          <w:rFonts w:ascii="Century Gothic" w:hAnsi="Century Gothic" w:cs="Arial"/>
          <w:sz w:val="22"/>
          <w:szCs w:val="22"/>
        </w:rPr>
        <w:t>.</w:t>
      </w:r>
    </w:p>
    <w:p w14:paraId="5BD00FBD" w14:textId="68EE6918" w:rsidR="00317C5D" w:rsidRDefault="00317C5D" w:rsidP="002B1D96">
      <w:pPr>
        <w:spacing w:after="200" w:line="312" w:lineRule="auto"/>
        <w:jc w:val="both"/>
        <w:rPr>
          <w:rFonts w:ascii="Century Gothic" w:hAnsi="Century Gothic" w:cs="Arial"/>
          <w:sz w:val="22"/>
          <w:szCs w:val="22"/>
        </w:rPr>
      </w:pPr>
      <w:bookmarkStart w:id="0" w:name="_GoBack"/>
      <w:bookmarkEnd w:id="0"/>
    </w:p>
    <w:p w14:paraId="57F8B0A8" w14:textId="77777777" w:rsidR="00317C5D" w:rsidRDefault="00317C5D" w:rsidP="002B1D96">
      <w:pPr>
        <w:spacing w:after="200" w:line="312" w:lineRule="auto"/>
        <w:jc w:val="center"/>
        <w:rPr>
          <w:rFonts w:ascii="Century Gothic" w:hAnsi="Century Gothic" w:cs="Arial"/>
          <w:sz w:val="22"/>
          <w:szCs w:val="22"/>
        </w:rPr>
      </w:pPr>
    </w:p>
    <w:p w14:paraId="7A9E058E" w14:textId="77777777" w:rsidR="00407E8D" w:rsidRDefault="00407E8D" w:rsidP="002B1D96">
      <w:pPr>
        <w:spacing w:after="200" w:line="312" w:lineRule="auto"/>
        <w:jc w:val="center"/>
        <w:rPr>
          <w:rFonts w:ascii="Century Gothic" w:hAnsi="Century Gothic" w:cs="Arial"/>
          <w:sz w:val="22"/>
          <w:szCs w:val="22"/>
        </w:rPr>
      </w:pPr>
    </w:p>
    <w:p w14:paraId="1B480157" w14:textId="77777777" w:rsidR="00317C5D" w:rsidRPr="00407E8D" w:rsidRDefault="00317C5D" w:rsidP="00A36F61">
      <w:pPr>
        <w:spacing w:line="312" w:lineRule="auto"/>
        <w:jc w:val="center"/>
        <w:rPr>
          <w:rFonts w:ascii="Century Gothic" w:hAnsi="Century Gothic" w:cs="Arial"/>
          <w:b/>
          <w:sz w:val="22"/>
          <w:szCs w:val="22"/>
        </w:rPr>
      </w:pPr>
      <w:r w:rsidRPr="00407E8D">
        <w:rPr>
          <w:rFonts w:ascii="Century Gothic" w:hAnsi="Century Gothic" w:cs="Arial"/>
          <w:b/>
          <w:sz w:val="22"/>
          <w:szCs w:val="22"/>
        </w:rPr>
        <w:t xml:space="preserve">Ing. René Miranda </w:t>
      </w:r>
      <w:proofErr w:type="spellStart"/>
      <w:r w:rsidRPr="00407E8D">
        <w:rPr>
          <w:rFonts w:ascii="Century Gothic" w:hAnsi="Century Gothic" w:cs="Arial"/>
          <w:b/>
          <w:sz w:val="22"/>
          <w:szCs w:val="22"/>
        </w:rPr>
        <w:t>Jaimes</w:t>
      </w:r>
      <w:proofErr w:type="spellEnd"/>
    </w:p>
    <w:p w14:paraId="346817AF" w14:textId="3F93E466" w:rsidR="00317C5D" w:rsidRPr="00407E8D" w:rsidRDefault="00C9489C" w:rsidP="00A36F61">
      <w:pPr>
        <w:spacing w:line="312" w:lineRule="auto"/>
        <w:jc w:val="center"/>
        <w:rPr>
          <w:rFonts w:ascii="Century Gothic" w:hAnsi="Century Gothic" w:cs="Arial"/>
          <w:b/>
          <w:sz w:val="22"/>
          <w:szCs w:val="22"/>
        </w:rPr>
      </w:pPr>
      <w:r>
        <w:rPr>
          <w:rFonts w:ascii="Century Gothic" w:hAnsi="Century Gothic" w:cs="Arial"/>
          <w:b/>
          <w:sz w:val="22"/>
          <w:szCs w:val="22"/>
        </w:rPr>
        <w:t xml:space="preserve"> </w:t>
      </w:r>
      <w:r w:rsidR="00317C5D" w:rsidRPr="00407E8D">
        <w:rPr>
          <w:rFonts w:ascii="Century Gothic" w:hAnsi="Century Gothic" w:cs="Arial"/>
          <w:b/>
          <w:sz w:val="22"/>
          <w:szCs w:val="22"/>
        </w:rPr>
        <w:t>Director Ejecutivo</w:t>
      </w:r>
    </w:p>
    <w:sectPr w:rsidR="00317C5D" w:rsidRPr="00407E8D" w:rsidSect="002B1D96">
      <w:headerReference w:type="default" r:id="rId8"/>
      <w:footerReference w:type="default" r:id="rId9"/>
      <w:pgSz w:w="12242" w:h="15842" w:code="1"/>
      <w:pgMar w:top="1418" w:right="1701" w:bottom="1701" w:left="1701" w:header="709" w:footer="119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E01126" w14:textId="77777777" w:rsidR="00AE095B" w:rsidRDefault="00AE095B" w:rsidP="00A10443">
      <w:r>
        <w:separator/>
      </w:r>
    </w:p>
  </w:endnote>
  <w:endnote w:type="continuationSeparator" w:id="0">
    <w:p w14:paraId="1B0D19FD" w14:textId="77777777" w:rsidR="00AE095B" w:rsidRDefault="00AE095B" w:rsidP="00A104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Century Gothic" w:hAnsi="Century Gothic"/>
        <w:sz w:val="16"/>
        <w:szCs w:val="16"/>
      </w:rPr>
      <w:id w:val="1593518955"/>
      <w:docPartObj>
        <w:docPartGallery w:val="Page Numbers (Bottom of Page)"/>
        <w:docPartUnique/>
      </w:docPartObj>
    </w:sdtPr>
    <w:sdtEndPr/>
    <w:sdtContent>
      <w:p w14:paraId="50534571" w14:textId="77777777" w:rsidR="00F10A9F" w:rsidRPr="002B1D96" w:rsidRDefault="00F10A9F">
        <w:pPr>
          <w:pStyle w:val="Piedepgina"/>
          <w:jc w:val="right"/>
          <w:rPr>
            <w:rFonts w:ascii="Century Gothic" w:hAnsi="Century Gothic"/>
            <w:sz w:val="16"/>
            <w:szCs w:val="16"/>
          </w:rPr>
        </w:pPr>
        <w:r w:rsidRPr="002B1D96">
          <w:rPr>
            <w:rFonts w:ascii="Century Gothic" w:hAnsi="Century Gothic"/>
            <w:sz w:val="16"/>
            <w:szCs w:val="16"/>
          </w:rPr>
          <w:fldChar w:fldCharType="begin"/>
        </w:r>
        <w:r w:rsidRPr="002B1D96">
          <w:rPr>
            <w:rFonts w:ascii="Century Gothic" w:hAnsi="Century Gothic"/>
            <w:sz w:val="16"/>
            <w:szCs w:val="16"/>
          </w:rPr>
          <w:instrText>PAGE   \* MERGEFORMAT</w:instrText>
        </w:r>
        <w:r w:rsidRPr="002B1D96">
          <w:rPr>
            <w:rFonts w:ascii="Century Gothic" w:hAnsi="Century Gothic"/>
            <w:sz w:val="16"/>
            <w:szCs w:val="16"/>
          </w:rPr>
          <w:fldChar w:fldCharType="separate"/>
        </w:r>
        <w:r w:rsidR="00CF2075" w:rsidRPr="00CF2075">
          <w:rPr>
            <w:rFonts w:ascii="Century Gothic" w:hAnsi="Century Gothic"/>
            <w:noProof/>
            <w:sz w:val="16"/>
            <w:szCs w:val="16"/>
            <w:lang w:val="es-ES"/>
          </w:rPr>
          <w:t>16</w:t>
        </w:r>
        <w:r w:rsidRPr="002B1D96">
          <w:rPr>
            <w:rFonts w:ascii="Century Gothic" w:hAnsi="Century Gothic"/>
            <w:sz w:val="16"/>
            <w:szCs w:val="16"/>
          </w:rPr>
          <w:fldChar w:fldCharType="end"/>
        </w:r>
      </w:p>
    </w:sdtContent>
  </w:sdt>
  <w:p w14:paraId="259BCFB4" w14:textId="77777777" w:rsidR="00F10A9F" w:rsidRPr="002B1D96" w:rsidRDefault="00F10A9F">
    <w:pPr>
      <w:pStyle w:val="Piedepgina"/>
      <w:rPr>
        <w:rFonts w:ascii="Century Gothic" w:hAnsi="Century Gothic"/>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A5AEEA" w14:textId="77777777" w:rsidR="00AE095B" w:rsidRDefault="00AE095B" w:rsidP="00A10443">
      <w:r>
        <w:separator/>
      </w:r>
    </w:p>
  </w:footnote>
  <w:footnote w:type="continuationSeparator" w:id="0">
    <w:p w14:paraId="387E1AC6" w14:textId="77777777" w:rsidR="00AE095B" w:rsidRDefault="00AE095B" w:rsidP="00A10443">
      <w:r>
        <w:continuationSeparator/>
      </w:r>
    </w:p>
  </w:footnote>
  <w:footnote w:id="1">
    <w:p w14:paraId="229D33F7" w14:textId="77777777" w:rsidR="00617A96" w:rsidRPr="004C600F" w:rsidRDefault="00617A96" w:rsidP="00617A96">
      <w:pPr>
        <w:pStyle w:val="Textonotapie"/>
        <w:jc w:val="both"/>
        <w:rPr>
          <w:rFonts w:asciiTheme="minorHAnsi" w:hAnsiTheme="minorHAnsi"/>
          <w:sz w:val="18"/>
          <w:szCs w:val="18"/>
        </w:rPr>
      </w:pPr>
      <w:r w:rsidRPr="004C600F">
        <w:rPr>
          <w:rStyle w:val="Refdenotaalpie"/>
          <w:rFonts w:asciiTheme="minorHAnsi" w:hAnsiTheme="minorHAnsi"/>
          <w:sz w:val="18"/>
          <w:szCs w:val="18"/>
        </w:rPr>
        <w:footnoteRef/>
      </w:r>
      <w:r w:rsidRPr="004C600F">
        <w:rPr>
          <w:rFonts w:asciiTheme="minorHAnsi" w:hAnsiTheme="minorHAnsi"/>
          <w:sz w:val="18"/>
          <w:szCs w:val="18"/>
        </w:rPr>
        <w:t xml:space="preserve"> Con base en el citado Convenio de la Organización Internacional del Trabajo, la Comisión Nacional para el Desarrollo de los Pueblos Indígenas ha asesorado el desarrollo de varias consultas a pueblos indígenas sobre los siguientes temas: conservación de sitios sagrados del pueblo </w:t>
      </w:r>
      <w:proofErr w:type="spellStart"/>
      <w:r w:rsidRPr="004C600F">
        <w:rPr>
          <w:rFonts w:asciiTheme="minorHAnsi" w:hAnsiTheme="minorHAnsi"/>
          <w:sz w:val="18"/>
          <w:szCs w:val="18"/>
        </w:rPr>
        <w:t>Yoreme</w:t>
      </w:r>
      <w:proofErr w:type="spellEnd"/>
      <w:r w:rsidRPr="004C600F">
        <w:rPr>
          <w:rFonts w:asciiTheme="minorHAnsi" w:hAnsiTheme="minorHAnsi"/>
          <w:sz w:val="18"/>
          <w:szCs w:val="18"/>
        </w:rPr>
        <w:t xml:space="preserve"> en Sinaloa; situación de los derechos de los mujeres indígenas; prioridades indígenas; protección de conocimientos tradicionales; virus de inmunodeficiencia humana (VIH); identificación de comunidades afrodescendientes; Ley Federal de Educación; Ley General de Consulta a Pueblos y Comunidades Indígenas; migración de la población indígena; aspiraciones para el desarrollo; alcoholismo; zona costera del Golfo de California; lugares sagrados </w:t>
      </w:r>
      <w:proofErr w:type="spellStart"/>
      <w:r w:rsidRPr="004C600F">
        <w:rPr>
          <w:rFonts w:asciiTheme="minorHAnsi" w:hAnsiTheme="minorHAnsi"/>
          <w:sz w:val="18"/>
          <w:szCs w:val="18"/>
        </w:rPr>
        <w:t>Wixarika</w:t>
      </w:r>
      <w:proofErr w:type="spellEnd"/>
      <w:r w:rsidRPr="004C600F">
        <w:rPr>
          <w:rFonts w:asciiTheme="minorHAnsi" w:hAnsiTheme="minorHAnsi"/>
          <w:sz w:val="18"/>
          <w:szCs w:val="18"/>
        </w:rPr>
        <w:t>, y energía eólica.</w:t>
      </w:r>
    </w:p>
  </w:footnote>
  <w:footnote w:id="2">
    <w:p w14:paraId="03DF55E3" w14:textId="77777777" w:rsidR="00617A96" w:rsidRPr="004C600F" w:rsidRDefault="00617A96" w:rsidP="00617A96">
      <w:pPr>
        <w:pStyle w:val="Textonotapie"/>
        <w:jc w:val="both"/>
        <w:rPr>
          <w:rFonts w:asciiTheme="minorHAnsi" w:hAnsiTheme="minorHAnsi" w:cs="Arial"/>
          <w:color w:val="000000"/>
          <w:sz w:val="18"/>
          <w:szCs w:val="18"/>
        </w:rPr>
      </w:pPr>
      <w:r w:rsidRPr="004C600F">
        <w:rPr>
          <w:rFonts w:asciiTheme="minorHAnsi" w:hAnsiTheme="minorHAnsi" w:cs="Arial"/>
          <w:color w:val="000000"/>
          <w:sz w:val="18"/>
          <w:szCs w:val="18"/>
          <w:vertAlign w:val="superscript"/>
        </w:rPr>
        <w:footnoteRef/>
      </w:r>
      <w:r w:rsidRPr="004C600F">
        <w:rPr>
          <w:rFonts w:asciiTheme="minorHAnsi" w:hAnsiTheme="minorHAnsi" w:cs="Arial"/>
          <w:color w:val="000000"/>
          <w:sz w:val="18"/>
          <w:szCs w:val="18"/>
        </w:rPr>
        <w:t xml:space="preserve"> Tribunal Electoral del Poder Judicial de la Federación: </w:t>
      </w:r>
      <w:proofErr w:type="spellStart"/>
      <w:r w:rsidRPr="004C600F">
        <w:rPr>
          <w:rFonts w:asciiTheme="minorHAnsi" w:hAnsiTheme="minorHAnsi" w:cs="Arial"/>
          <w:color w:val="000000"/>
          <w:sz w:val="18"/>
          <w:szCs w:val="18"/>
        </w:rPr>
        <w:t>SUP</w:t>
      </w:r>
      <w:proofErr w:type="spellEnd"/>
      <w:r w:rsidRPr="004C600F">
        <w:rPr>
          <w:rFonts w:asciiTheme="minorHAnsi" w:hAnsiTheme="minorHAnsi" w:cs="Arial"/>
          <w:color w:val="000000"/>
          <w:sz w:val="18"/>
          <w:szCs w:val="18"/>
        </w:rPr>
        <w:t>-RAP-677/2015 y acumulados, 23 de octubre de 2015.</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BD2EF0" w14:textId="77777777" w:rsidR="00F10A9F" w:rsidRPr="00820AF0" w:rsidRDefault="00F10A9F" w:rsidP="00D94EA4">
    <w:pPr>
      <w:pStyle w:val="Encabezado"/>
    </w:pPr>
    <w:r>
      <w:rPr>
        <w:noProof/>
      </w:rPr>
      <w:drawing>
        <wp:anchor distT="0" distB="0" distL="114300" distR="114300" simplePos="0" relativeHeight="251660288" behindDoc="1" locked="0" layoutInCell="1" allowOverlap="1" wp14:anchorId="5AD4017A" wp14:editId="124983A8">
          <wp:simplePos x="0" y="0"/>
          <wp:positionH relativeFrom="column">
            <wp:posOffset>-457200</wp:posOffset>
          </wp:positionH>
          <wp:positionV relativeFrom="line">
            <wp:posOffset>-114935</wp:posOffset>
          </wp:positionV>
          <wp:extent cx="1828800" cy="641313"/>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641313"/>
                  </a:xfrm>
                  <a:prstGeom prst="rect">
                    <a:avLst/>
                  </a:prstGeom>
                  <a:noFill/>
                </pic:spPr>
              </pic:pic>
            </a:graphicData>
          </a:graphic>
          <wp14:sizeRelH relativeFrom="page">
            <wp14:pctWidth>0</wp14:pctWidth>
          </wp14:sizeRelH>
          <wp14:sizeRelV relativeFrom="page">
            <wp14:pctHeight>0</wp14:pctHeight>
          </wp14:sizeRelV>
        </wp:anchor>
      </w:drawing>
    </w:r>
  </w:p>
  <w:p w14:paraId="27BE9A49" w14:textId="77777777" w:rsidR="00F10A9F" w:rsidRDefault="00F10A9F" w:rsidP="00D94EA4">
    <w:pPr>
      <w:pStyle w:val="Encabezado"/>
    </w:pPr>
    <w:r w:rsidRPr="00820AF0">
      <w:rPr>
        <w:noProof/>
      </w:rPr>
      <mc:AlternateContent>
        <mc:Choice Requires="wps">
          <w:drawing>
            <wp:anchor distT="0" distB="0" distL="114300" distR="114300" simplePos="0" relativeHeight="251659264" behindDoc="0" locked="0" layoutInCell="1" allowOverlap="1" wp14:anchorId="294C91CF" wp14:editId="79827A80">
              <wp:simplePos x="0" y="0"/>
              <wp:positionH relativeFrom="column">
                <wp:posOffset>2209800</wp:posOffset>
              </wp:positionH>
              <wp:positionV relativeFrom="paragraph">
                <wp:posOffset>46355</wp:posOffset>
              </wp:positionV>
              <wp:extent cx="3733800" cy="228600"/>
              <wp:effectExtent l="0" t="0" r="0" b="0"/>
              <wp:wrapNone/>
              <wp:docPr id="15"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9E785A" w14:textId="77777777" w:rsidR="00F10A9F" w:rsidRPr="00D94EA4" w:rsidRDefault="00F10A9F" w:rsidP="00D94EA4">
                          <w:pPr>
                            <w:jc w:val="right"/>
                            <w:rPr>
                              <w:rFonts w:ascii="Century Gothic" w:hAnsi="Century Gothic" w:cs="Tahoma"/>
                              <w:noProof/>
                              <w:sz w:val="22"/>
                              <w:szCs w:val="22"/>
                            </w:rPr>
                          </w:pPr>
                          <w:r w:rsidRPr="00D94EA4">
                            <w:rPr>
                              <w:rFonts w:ascii="Century Gothic" w:hAnsi="Century Gothic" w:cs="Tahoma"/>
                              <w:noProof/>
                              <w:sz w:val="22"/>
                              <w:szCs w:val="22"/>
                            </w:rPr>
                            <w:t xml:space="preserve"> Dirección Ejecutiva del Registro Federal de Electores</w:t>
                          </w:r>
                        </w:p>
                      </w:txbxContent>
                    </wps:txbx>
                    <wps:bodyPr rot="0" vert="horz" wrap="square" lIns="9144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4C91CF" id="_x0000_t202" coordsize="21600,21600" o:spt="202" path="m,l,21600r21600,l21600,xe">
              <v:stroke joinstyle="miter"/>
              <v:path gradientshapeok="t" o:connecttype="rect"/>
            </v:shapetype>
            <v:shape id="Text Box 43" o:spid="_x0000_s1026" type="#_x0000_t202" style="position:absolute;margin-left:174pt;margin-top:3.65pt;width:294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" filled="f" stroked="f">
              <v:textbox inset=",0,0,0">
                <w:txbxContent>
                  <w:p w14:paraId="139E785A" w14:textId="77777777" w:rsidR="00F10A9F" w:rsidRPr="00D94EA4" w:rsidRDefault="00F10A9F" w:rsidP="00D94EA4">
                    <w:pPr>
                      <w:jc w:val="right"/>
                      <w:rPr>
                        <w:rFonts w:ascii="Century Gothic" w:hAnsi="Century Gothic" w:cs="Tahoma"/>
                        <w:noProof/>
                        <w:sz w:val="22"/>
                        <w:szCs w:val="22"/>
                      </w:rPr>
                    </w:pPr>
                    <w:r w:rsidRPr="00D94EA4">
                      <w:rPr>
                        <w:rFonts w:ascii="Century Gothic" w:hAnsi="Century Gothic" w:cs="Tahoma"/>
                        <w:noProof/>
                        <w:sz w:val="22"/>
                        <w:szCs w:val="22"/>
                      </w:rPr>
                      <w:t xml:space="preserve"> Dirección Ejecutiva del Registro Federal de Electores</w:t>
                    </w:r>
                  </w:p>
                </w:txbxContent>
              </v:textbox>
            </v:shape>
          </w:pict>
        </mc:Fallback>
      </mc:AlternateContent>
    </w:r>
  </w:p>
  <w:p w14:paraId="5631A7FA" w14:textId="77777777" w:rsidR="00F10A9F" w:rsidRDefault="00F10A9F" w:rsidP="00D94EA4">
    <w:pPr>
      <w:pStyle w:val="Encabezado"/>
      <w:ind w:left="3828"/>
      <w:jc w:val="right"/>
      <w:rPr>
        <w:rFonts w:ascii="Arial" w:hAnsi="Arial"/>
      </w:rPr>
    </w:pPr>
    <w:r>
      <w:rPr>
        <w:rFonts w:ascii="Arial" w:hAnsi="Arial"/>
        <w:noProof/>
      </w:rPr>
      <mc:AlternateContent>
        <mc:Choice Requires="wps">
          <w:drawing>
            <wp:anchor distT="0" distB="0" distL="114300" distR="114300" simplePos="0" relativeHeight="251661312" behindDoc="0" locked="0" layoutInCell="1" allowOverlap="1" wp14:anchorId="1DA28B92" wp14:editId="7FD1184F">
              <wp:simplePos x="0" y="0"/>
              <wp:positionH relativeFrom="column">
                <wp:posOffset>1447800</wp:posOffset>
              </wp:positionH>
              <wp:positionV relativeFrom="paragraph">
                <wp:posOffset>99695</wp:posOffset>
              </wp:positionV>
              <wp:extent cx="4495800" cy="0"/>
              <wp:effectExtent l="50800" t="25400" r="76200" b="101600"/>
              <wp:wrapNone/>
              <wp:docPr id="10" name="Conector recto 10"/>
              <wp:cNvGraphicFramePr/>
              <a:graphic xmlns:a="http://schemas.openxmlformats.org/drawingml/2006/main">
                <a:graphicData uri="http://schemas.microsoft.com/office/word/2010/wordprocessingShape">
                  <wps:wsp>
                    <wps:cNvCnPr/>
                    <wps:spPr>
                      <a:xfrm>
                        <a:off x="0" y="0"/>
                        <a:ext cx="44958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552F51A2" id="Conector recto 10"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4pt,7.85pt" to="468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" strokecolor="#4f81bd [3204]" strokeweight="2pt">
              <v:shadow on="t" color="black" opacity="24903f" origin=",.5" offset="0,.55556mm"/>
            </v:line>
          </w:pict>
        </mc:Fallback>
      </mc:AlternateContent>
    </w:r>
  </w:p>
  <w:p w14:paraId="4A060A45" w14:textId="77777777" w:rsidR="00F10A9F" w:rsidRPr="00D94EA4" w:rsidRDefault="00F10A9F" w:rsidP="00D94EA4">
    <w:pPr>
      <w:pStyle w:val="Encabezado"/>
      <w:ind w:left="3828"/>
      <w:jc w:val="right"/>
      <w:rPr>
        <w:rFonts w:ascii="Arial" w:hAnsi="Arial"/>
      </w:rPr>
    </w:pPr>
  </w:p>
  <w:p w14:paraId="64C4DAD9" w14:textId="77777777" w:rsidR="00F10A9F" w:rsidRPr="004F0D6A" w:rsidRDefault="00F10A9F" w:rsidP="00A10443">
    <w:pPr>
      <w:pStyle w:val="Encabezado"/>
      <w:rPr>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15A82"/>
    <w:multiLevelType w:val="hybridMultilevel"/>
    <w:tmpl w:val="CFDA777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35B619C"/>
    <w:multiLevelType w:val="hybridMultilevel"/>
    <w:tmpl w:val="CB586D3A"/>
    <w:lvl w:ilvl="0" w:tplc="080A0017">
      <w:start w:val="1"/>
      <w:numFmt w:val="lowerLetter"/>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9F0602F"/>
    <w:multiLevelType w:val="hybridMultilevel"/>
    <w:tmpl w:val="11D6C150"/>
    <w:lvl w:ilvl="0" w:tplc="A8322318">
      <w:start w:val="1"/>
      <w:numFmt w:val="lowerLetter"/>
      <w:lvlText w:val="%1)"/>
      <w:lvlJc w:val="left"/>
      <w:pPr>
        <w:ind w:left="1570" w:hanging="360"/>
      </w:pPr>
      <w:rPr>
        <w:rFonts w:asciiTheme="minorHAnsi" w:hAnsiTheme="minorHAnsi" w:cs="Arial" w:hint="default"/>
        <w:sz w:val="22"/>
        <w:szCs w:val="18"/>
      </w:rPr>
    </w:lvl>
    <w:lvl w:ilvl="1" w:tplc="080A0019" w:tentative="1">
      <w:start w:val="1"/>
      <w:numFmt w:val="lowerLetter"/>
      <w:lvlText w:val="%2."/>
      <w:lvlJc w:val="left"/>
      <w:pPr>
        <w:ind w:left="2290" w:hanging="360"/>
      </w:pPr>
    </w:lvl>
    <w:lvl w:ilvl="2" w:tplc="080A001B" w:tentative="1">
      <w:start w:val="1"/>
      <w:numFmt w:val="lowerRoman"/>
      <w:lvlText w:val="%3."/>
      <w:lvlJc w:val="right"/>
      <w:pPr>
        <w:ind w:left="3010" w:hanging="180"/>
      </w:pPr>
    </w:lvl>
    <w:lvl w:ilvl="3" w:tplc="080A000F" w:tentative="1">
      <w:start w:val="1"/>
      <w:numFmt w:val="decimal"/>
      <w:lvlText w:val="%4."/>
      <w:lvlJc w:val="left"/>
      <w:pPr>
        <w:ind w:left="3730" w:hanging="360"/>
      </w:pPr>
    </w:lvl>
    <w:lvl w:ilvl="4" w:tplc="080A0019" w:tentative="1">
      <w:start w:val="1"/>
      <w:numFmt w:val="lowerLetter"/>
      <w:lvlText w:val="%5."/>
      <w:lvlJc w:val="left"/>
      <w:pPr>
        <w:ind w:left="4450" w:hanging="360"/>
      </w:pPr>
    </w:lvl>
    <w:lvl w:ilvl="5" w:tplc="080A001B" w:tentative="1">
      <w:start w:val="1"/>
      <w:numFmt w:val="lowerRoman"/>
      <w:lvlText w:val="%6."/>
      <w:lvlJc w:val="right"/>
      <w:pPr>
        <w:ind w:left="5170" w:hanging="180"/>
      </w:pPr>
    </w:lvl>
    <w:lvl w:ilvl="6" w:tplc="080A000F" w:tentative="1">
      <w:start w:val="1"/>
      <w:numFmt w:val="decimal"/>
      <w:lvlText w:val="%7."/>
      <w:lvlJc w:val="left"/>
      <w:pPr>
        <w:ind w:left="5890" w:hanging="360"/>
      </w:pPr>
    </w:lvl>
    <w:lvl w:ilvl="7" w:tplc="080A0019" w:tentative="1">
      <w:start w:val="1"/>
      <w:numFmt w:val="lowerLetter"/>
      <w:lvlText w:val="%8."/>
      <w:lvlJc w:val="left"/>
      <w:pPr>
        <w:ind w:left="6610" w:hanging="360"/>
      </w:pPr>
    </w:lvl>
    <w:lvl w:ilvl="8" w:tplc="080A001B" w:tentative="1">
      <w:start w:val="1"/>
      <w:numFmt w:val="lowerRoman"/>
      <w:lvlText w:val="%9."/>
      <w:lvlJc w:val="right"/>
      <w:pPr>
        <w:ind w:left="7330" w:hanging="180"/>
      </w:pPr>
    </w:lvl>
  </w:abstractNum>
  <w:abstractNum w:abstractNumId="3" w15:restartNumberingAfterBreak="0">
    <w:nsid w:val="0C490B21"/>
    <w:multiLevelType w:val="hybridMultilevel"/>
    <w:tmpl w:val="3294A5D4"/>
    <w:lvl w:ilvl="0" w:tplc="660C6084">
      <w:start w:val="1"/>
      <w:numFmt w:val="decimal"/>
      <w:lvlText w:val="%1."/>
      <w:lvlJc w:val="left"/>
      <w:pPr>
        <w:ind w:left="502" w:hanging="360"/>
      </w:pPr>
      <w:rPr>
        <w:b/>
      </w:rPr>
    </w:lvl>
    <w:lvl w:ilvl="1" w:tplc="080A0019" w:tentative="1">
      <w:start w:val="1"/>
      <w:numFmt w:val="lowerLetter"/>
      <w:lvlText w:val="%2."/>
      <w:lvlJc w:val="left"/>
      <w:pPr>
        <w:ind w:left="1582" w:hanging="360"/>
      </w:pPr>
    </w:lvl>
    <w:lvl w:ilvl="2" w:tplc="080A001B" w:tentative="1">
      <w:start w:val="1"/>
      <w:numFmt w:val="lowerRoman"/>
      <w:lvlText w:val="%3."/>
      <w:lvlJc w:val="right"/>
      <w:pPr>
        <w:ind w:left="2302" w:hanging="180"/>
      </w:pPr>
    </w:lvl>
    <w:lvl w:ilvl="3" w:tplc="080A000F" w:tentative="1">
      <w:start w:val="1"/>
      <w:numFmt w:val="decimal"/>
      <w:lvlText w:val="%4."/>
      <w:lvlJc w:val="left"/>
      <w:pPr>
        <w:ind w:left="3022" w:hanging="360"/>
      </w:pPr>
    </w:lvl>
    <w:lvl w:ilvl="4" w:tplc="080A0019" w:tentative="1">
      <w:start w:val="1"/>
      <w:numFmt w:val="lowerLetter"/>
      <w:lvlText w:val="%5."/>
      <w:lvlJc w:val="left"/>
      <w:pPr>
        <w:ind w:left="3742" w:hanging="360"/>
      </w:pPr>
    </w:lvl>
    <w:lvl w:ilvl="5" w:tplc="080A001B" w:tentative="1">
      <w:start w:val="1"/>
      <w:numFmt w:val="lowerRoman"/>
      <w:lvlText w:val="%6."/>
      <w:lvlJc w:val="right"/>
      <w:pPr>
        <w:ind w:left="4462" w:hanging="180"/>
      </w:pPr>
    </w:lvl>
    <w:lvl w:ilvl="6" w:tplc="080A000F" w:tentative="1">
      <w:start w:val="1"/>
      <w:numFmt w:val="decimal"/>
      <w:lvlText w:val="%7."/>
      <w:lvlJc w:val="left"/>
      <w:pPr>
        <w:ind w:left="5182" w:hanging="360"/>
      </w:pPr>
    </w:lvl>
    <w:lvl w:ilvl="7" w:tplc="080A0019" w:tentative="1">
      <w:start w:val="1"/>
      <w:numFmt w:val="lowerLetter"/>
      <w:lvlText w:val="%8."/>
      <w:lvlJc w:val="left"/>
      <w:pPr>
        <w:ind w:left="5902" w:hanging="360"/>
      </w:pPr>
    </w:lvl>
    <w:lvl w:ilvl="8" w:tplc="080A001B" w:tentative="1">
      <w:start w:val="1"/>
      <w:numFmt w:val="lowerRoman"/>
      <w:lvlText w:val="%9."/>
      <w:lvlJc w:val="right"/>
      <w:pPr>
        <w:ind w:left="6622" w:hanging="180"/>
      </w:pPr>
    </w:lvl>
  </w:abstractNum>
  <w:abstractNum w:abstractNumId="4" w15:restartNumberingAfterBreak="0">
    <w:nsid w:val="14C74A1D"/>
    <w:multiLevelType w:val="multilevel"/>
    <w:tmpl w:val="8BFCC8C4"/>
    <w:lvl w:ilvl="0">
      <w:start w:val="1"/>
      <w:numFmt w:val="decimal"/>
      <w:lvlText w:val="%1."/>
      <w:lvlJc w:val="left"/>
      <w:pPr>
        <w:ind w:left="360" w:hanging="360"/>
      </w:pPr>
      <w:rPr>
        <w:rFonts w:ascii="Arial" w:eastAsia="Times New Roman" w:hAnsi="Arial" w:cs="Arial"/>
      </w:rPr>
    </w:lvl>
    <w:lvl w:ilvl="1">
      <w:start w:val="1"/>
      <w:numFmt w:val="decimal"/>
      <w:isLgl/>
      <w:lvlText w:val="%1.%2."/>
      <w:lvlJc w:val="left"/>
      <w:pPr>
        <w:ind w:left="1428" w:hanging="720"/>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3204" w:hanging="108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980" w:hanging="144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756" w:hanging="1800"/>
      </w:pPr>
      <w:rPr>
        <w:rFonts w:hint="default"/>
      </w:rPr>
    </w:lvl>
    <w:lvl w:ilvl="8">
      <w:start w:val="1"/>
      <w:numFmt w:val="decimal"/>
      <w:isLgl/>
      <w:lvlText w:val="%1.%2.%3.%4.%5.%6.%7.%8.%9."/>
      <w:lvlJc w:val="left"/>
      <w:pPr>
        <w:ind w:left="7824" w:hanging="2160"/>
      </w:pPr>
      <w:rPr>
        <w:rFonts w:hint="default"/>
      </w:rPr>
    </w:lvl>
  </w:abstractNum>
  <w:abstractNum w:abstractNumId="5" w15:restartNumberingAfterBreak="0">
    <w:nsid w:val="1CA64C63"/>
    <w:multiLevelType w:val="hybridMultilevel"/>
    <w:tmpl w:val="D3867BBA"/>
    <w:lvl w:ilvl="0" w:tplc="33A82120">
      <w:start w:val="1"/>
      <w:numFmt w:val="low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40F048A"/>
    <w:multiLevelType w:val="hybridMultilevel"/>
    <w:tmpl w:val="B8EA6366"/>
    <w:lvl w:ilvl="0" w:tplc="2768445E">
      <w:start w:val="2"/>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6110731"/>
    <w:multiLevelType w:val="hybridMultilevel"/>
    <w:tmpl w:val="A16071AE"/>
    <w:lvl w:ilvl="0" w:tplc="7ED071FA">
      <w:start w:val="1"/>
      <w:numFmt w:val="decimal"/>
      <w:lvlText w:val="%1."/>
      <w:lvlJc w:val="left"/>
      <w:pPr>
        <w:ind w:left="720" w:hanging="360"/>
      </w:pPr>
      <w:rPr>
        <w:rFonts w:hint="default"/>
        <w:b/>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CC66B59"/>
    <w:multiLevelType w:val="hybridMultilevel"/>
    <w:tmpl w:val="A07E7A7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6961B20"/>
    <w:multiLevelType w:val="hybridMultilevel"/>
    <w:tmpl w:val="C156AB28"/>
    <w:lvl w:ilvl="0" w:tplc="8D64B6BA">
      <w:start w:val="1"/>
      <w:numFmt w:val="lowerLetter"/>
      <w:lvlText w:val="%1)"/>
      <w:lvlJc w:val="left"/>
      <w:pPr>
        <w:ind w:left="1287" w:hanging="360"/>
      </w:pPr>
      <w:rPr>
        <w:sz w:val="22"/>
        <w:szCs w:val="18"/>
      </w:r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10" w15:restartNumberingAfterBreak="0">
    <w:nsid w:val="58BA2DE0"/>
    <w:multiLevelType w:val="hybridMultilevel"/>
    <w:tmpl w:val="5656B4AA"/>
    <w:lvl w:ilvl="0" w:tplc="2768445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600D1CAA"/>
    <w:multiLevelType w:val="multilevel"/>
    <w:tmpl w:val="09A45994"/>
    <w:lvl w:ilvl="0">
      <w:start w:val="1"/>
      <w:numFmt w:val="decimal"/>
      <w:lvlText w:val="%1."/>
      <w:lvlJc w:val="left"/>
      <w:pPr>
        <w:ind w:left="360" w:hanging="360"/>
      </w:pPr>
      <w:rPr>
        <w:rFonts w:hint="default"/>
        <w:b w:val="0"/>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24835D7"/>
    <w:multiLevelType w:val="hybridMultilevel"/>
    <w:tmpl w:val="177EA8A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653207FB"/>
    <w:multiLevelType w:val="multilevel"/>
    <w:tmpl w:val="22BAA44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sz w:val="24"/>
        <w:szCs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5."/>
      <w:lvlJc w:val="left"/>
      <w:pPr>
        <w:ind w:left="2232" w:hanging="792"/>
      </w:pPr>
      <w:rPr>
        <w:rFonts w:hint="default"/>
        <w:b/>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71EB113E"/>
    <w:multiLevelType w:val="hybridMultilevel"/>
    <w:tmpl w:val="3DE87A3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78662354"/>
    <w:multiLevelType w:val="hybridMultilevel"/>
    <w:tmpl w:val="D3C26FE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7F0708F2"/>
    <w:multiLevelType w:val="hybridMultilevel"/>
    <w:tmpl w:val="CFDA777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4"/>
  </w:num>
  <w:num w:numId="3">
    <w:abstractNumId w:val="7"/>
  </w:num>
  <w:num w:numId="4">
    <w:abstractNumId w:val="13"/>
  </w:num>
  <w:num w:numId="5">
    <w:abstractNumId w:val="11"/>
  </w:num>
  <w:num w:numId="6">
    <w:abstractNumId w:val="8"/>
  </w:num>
  <w:num w:numId="7">
    <w:abstractNumId w:val="1"/>
  </w:num>
  <w:num w:numId="8">
    <w:abstractNumId w:val="5"/>
  </w:num>
  <w:num w:numId="9">
    <w:abstractNumId w:val="14"/>
  </w:num>
  <w:num w:numId="10">
    <w:abstractNumId w:val="16"/>
  </w:num>
  <w:num w:numId="11">
    <w:abstractNumId w:val="12"/>
  </w:num>
  <w:num w:numId="12">
    <w:abstractNumId w:val="15"/>
  </w:num>
  <w:num w:numId="13">
    <w:abstractNumId w:val="6"/>
  </w:num>
  <w:num w:numId="14">
    <w:abstractNumId w:val="10"/>
  </w:num>
  <w:num w:numId="15">
    <w:abstractNumId w:val="0"/>
  </w:num>
  <w:num w:numId="16">
    <w:abstractNumId w:val="9"/>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443"/>
    <w:rsid w:val="00005E26"/>
    <w:rsid w:val="000104E1"/>
    <w:rsid w:val="000271E2"/>
    <w:rsid w:val="00035270"/>
    <w:rsid w:val="0004458A"/>
    <w:rsid w:val="00045D5A"/>
    <w:rsid w:val="00064063"/>
    <w:rsid w:val="00067AF7"/>
    <w:rsid w:val="0007667A"/>
    <w:rsid w:val="000E4C16"/>
    <w:rsid w:val="000F1495"/>
    <w:rsid w:val="001607AC"/>
    <w:rsid w:val="00174572"/>
    <w:rsid w:val="00194C8F"/>
    <w:rsid w:val="001A33D2"/>
    <w:rsid w:val="001D0122"/>
    <w:rsid w:val="001D3D0F"/>
    <w:rsid w:val="001F1F49"/>
    <w:rsid w:val="0020610B"/>
    <w:rsid w:val="002109AF"/>
    <w:rsid w:val="00210C6E"/>
    <w:rsid w:val="00213841"/>
    <w:rsid w:val="002218E3"/>
    <w:rsid w:val="002222C9"/>
    <w:rsid w:val="00240305"/>
    <w:rsid w:val="00246B0B"/>
    <w:rsid w:val="002539DC"/>
    <w:rsid w:val="00257DB7"/>
    <w:rsid w:val="00292ED8"/>
    <w:rsid w:val="002B1D96"/>
    <w:rsid w:val="002B320E"/>
    <w:rsid w:val="002C0802"/>
    <w:rsid w:val="002E43A4"/>
    <w:rsid w:val="002E4D85"/>
    <w:rsid w:val="002F0679"/>
    <w:rsid w:val="00312C95"/>
    <w:rsid w:val="00317C5D"/>
    <w:rsid w:val="00360A7A"/>
    <w:rsid w:val="00367D3C"/>
    <w:rsid w:val="003B436C"/>
    <w:rsid w:val="003E0AFF"/>
    <w:rsid w:val="00400D05"/>
    <w:rsid w:val="00407E8D"/>
    <w:rsid w:val="00426048"/>
    <w:rsid w:val="004464CF"/>
    <w:rsid w:val="004501F6"/>
    <w:rsid w:val="00453258"/>
    <w:rsid w:val="00455917"/>
    <w:rsid w:val="00465312"/>
    <w:rsid w:val="0047728C"/>
    <w:rsid w:val="0049716B"/>
    <w:rsid w:val="004D50A9"/>
    <w:rsid w:val="004E219B"/>
    <w:rsid w:val="00503D47"/>
    <w:rsid w:val="005059D3"/>
    <w:rsid w:val="00507A7E"/>
    <w:rsid w:val="005122B0"/>
    <w:rsid w:val="00537C44"/>
    <w:rsid w:val="0056226C"/>
    <w:rsid w:val="00576B47"/>
    <w:rsid w:val="0058041F"/>
    <w:rsid w:val="0059010A"/>
    <w:rsid w:val="005943ED"/>
    <w:rsid w:val="005A6D5D"/>
    <w:rsid w:val="005C64FD"/>
    <w:rsid w:val="00610947"/>
    <w:rsid w:val="00614698"/>
    <w:rsid w:val="00617A96"/>
    <w:rsid w:val="00630C58"/>
    <w:rsid w:val="006359B4"/>
    <w:rsid w:val="00646B7C"/>
    <w:rsid w:val="006471F5"/>
    <w:rsid w:val="00695BA8"/>
    <w:rsid w:val="006B3BC8"/>
    <w:rsid w:val="006C089F"/>
    <w:rsid w:val="006F17BF"/>
    <w:rsid w:val="006F4356"/>
    <w:rsid w:val="0070056B"/>
    <w:rsid w:val="00704945"/>
    <w:rsid w:val="00717CE3"/>
    <w:rsid w:val="00735051"/>
    <w:rsid w:val="007564D6"/>
    <w:rsid w:val="007805EB"/>
    <w:rsid w:val="007878FE"/>
    <w:rsid w:val="007A34ED"/>
    <w:rsid w:val="007C4987"/>
    <w:rsid w:val="007E2286"/>
    <w:rsid w:val="007F4A6C"/>
    <w:rsid w:val="008029FB"/>
    <w:rsid w:val="00834B3A"/>
    <w:rsid w:val="00842971"/>
    <w:rsid w:val="0086124A"/>
    <w:rsid w:val="008725AB"/>
    <w:rsid w:val="00872DC7"/>
    <w:rsid w:val="00897337"/>
    <w:rsid w:val="008B46B8"/>
    <w:rsid w:val="008D27DB"/>
    <w:rsid w:val="009130F2"/>
    <w:rsid w:val="009260D5"/>
    <w:rsid w:val="0092643C"/>
    <w:rsid w:val="009321A5"/>
    <w:rsid w:val="0093449E"/>
    <w:rsid w:val="00947D6D"/>
    <w:rsid w:val="00955B6F"/>
    <w:rsid w:val="00955CEF"/>
    <w:rsid w:val="00963A6A"/>
    <w:rsid w:val="0096446B"/>
    <w:rsid w:val="00994E54"/>
    <w:rsid w:val="00995AB6"/>
    <w:rsid w:val="00995C47"/>
    <w:rsid w:val="00A10443"/>
    <w:rsid w:val="00A165EB"/>
    <w:rsid w:val="00A36F61"/>
    <w:rsid w:val="00A469AA"/>
    <w:rsid w:val="00A65645"/>
    <w:rsid w:val="00A678DD"/>
    <w:rsid w:val="00A966C8"/>
    <w:rsid w:val="00AA3E34"/>
    <w:rsid w:val="00AC12A2"/>
    <w:rsid w:val="00AC4813"/>
    <w:rsid w:val="00AE095B"/>
    <w:rsid w:val="00AF2E6C"/>
    <w:rsid w:val="00B201E6"/>
    <w:rsid w:val="00B21888"/>
    <w:rsid w:val="00B24881"/>
    <w:rsid w:val="00B40C16"/>
    <w:rsid w:val="00B63528"/>
    <w:rsid w:val="00B662B2"/>
    <w:rsid w:val="00B67821"/>
    <w:rsid w:val="00BE33BA"/>
    <w:rsid w:val="00BF5835"/>
    <w:rsid w:val="00BF5F0D"/>
    <w:rsid w:val="00C1659E"/>
    <w:rsid w:val="00C24B71"/>
    <w:rsid w:val="00C415A8"/>
    <w:rsid w:val="00C44E5F"/>
    <w:rsid w:val="00C81E44"/>
    <w:rsid w:val="00C91028"/>
    <w:rsid w:val="00C9489C"/>
    <w:rsid w:val="00C94EBD"/>
    <w:rsid w:val="00CC5470"/>
    <w:rsid w:val="00CD0D82"/>
    <w:rsid w:val="00CF2075"/>
    <w:rsid w:val="00D41EE7"/>
    <w:rsid w:val="00D626C9"/>
    <w:rsid w:val="00D71034"/>
    <w:rsid w:val="00D7385D"/>
    <w:rsid w:val="00D74904"/>
    <w:rsid w:val="00D944B4"/>
    <w:rsid w:val="00D94EA4"/>
    <w:rsid w:val="00D97B19"/>
    <w:rsid w:val="00DB16F9"/>
    <w:rsid w:val="00DC0515"/>
    <w:rsid w:val="00DD6692"/>
    <w:rsid w:val="00DF62D6"/>
    <w:rsid w:val="00E12228"/>
    <w:rsid w:val="00E1472A"/>
    <w:rsid w:val="00E22FE1"/>
    <w:rsid w:val="00E35DF8"/>
    <w:rsid w:val="00E4289F"/>
    <w:rsid w:val="00E43D07"/>
    <w:rsid w:val="00E77685"/>
    <w:rsid w:val="00ED072D"/>
    <w:rsid w:val="00ED3959"/>
    <w:rsid w:val="00EF341A"/>
    <w:rsid w:val="00F10A9F"/>
    <w:rsid w:val="00F20707"/>
    <w:rsid w:val="00F215D1"/>
    <w:rsid w:val="00F2654D"/>
    <w:rsid w:val="00F26DB6"/>
    <w:rsid w:val="00F449B8"/>
    <w:rsid w:val="00F7027D"/>
    <w:rsid w:val="00F73226"/>
    <w:rsid w:val="00F85F1B"/>
    <w:rsid w:val="00F903D2"/>
    <w:rsid w:val="00FD3259"/>
    <w:rsid w:val="00FD562F"/>
    <w:rsid w:val="00FE25EF"/>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5D44421"/>
  <w15:docId w15:val="{5F59FA5C-C7D8-48B3-BAD7-D6DFF7D72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0443"/>
    <w:rPr>
      <w:rFonts w:ascii="Times New Roman" w:eastAsia="Times New Roman" w:hAnsi="Times New Roman"/>
      <w:sz w:val="24"/>
      <w:szCs w:val="24"/>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10443"/>
    <w:pPr>
      <w:tabs>
        <w:tab w:val="center" w:pos="4252"/>
        <w:tab w:val="right" w:pos="8504"/>
      </w:tabs>
    </w:pPr>
  </w:style>
  <w:style w:type="character" w:customStyle="1" w:styleId="EncabezadoCar">
    <w:name w:val="Encabezado Car"/>
    <w:basedOn w:val="Fuentedeprrafopredeter"/>
    <w:link w:val="Encabezado"/>
    <w:uiPriority w:val="99"/>
    <w:rsid w:val="00A10443"/>
  </w:style>
  <w:style w:type="paragraph" w:styleId="Piedepgina">
    <w:name w:val="footer"/>
    <w:basedOn w:val="Normal"/>
    <w:link w:val="PiedepginaCar"/>
    <w:uiPriority w:val="99"/>
    <w:unhideWhenUsed/>
    <w:rsid w:val="00A10443"/>
    <w:pPr>
      <w:tabs>
        <w:tab w:val="center" w:pos="4252"/>
        <w:tab w:val="right" w:pos="8504"/>
      </w:tabs>
    </w:pPr>
  </w:style>
  <w:style w:type="character" w:customStyle="1" w:styleId="PiedepginaCar">
    <w:name w:val="Pie de página Car"/>
    <w:basedOn w:val="Fuentedeprrafopredeter"/>
    <w:link w:val="Piedepgina"/>
    <w:uiPriority w:val="99"/>
    <w:rsid w:val="00A10443"/>
  </w:style>
  <w:style w:type="paragraph" w:styleId="Textodeglobo">
    <w:name w:val="Balloon Text"/>
    <w:basedOn w:val="Normal"/>
    <w:link w:val="TextodegloboCar"/>
    <w:uiPriority w:val="99"/>
    <w:semiHidden/>
    <w:unhideWhenUsed/>
    <w:rsid w:val="00A10443"/>
    <w:rPr>
      <w:rFonts w:ascii="Tahoma" w:hAnsi="Tahoma" w:cs="Tahoma"/>
      <w:sz w:val="16"/>
      <w:szCs w:val="16"/>
    </w:rPr>
  </w:style>
  <w:style w:type="character" w:customStyle="1" w:styleId="TextodegloboCar">
    <w:name w:val="Texto de globo Car"/>
    <w:basedOn w:val="Fuentedeprrafopredeter"/>
    <w:link w:val="Textodeglobo"/>
    <w:uiPriority w:val="99"/>
    <w:semiHidden/>
    <w:rsid w:val="00A10443"/>
    <w:rPr>
      <w:rFonts w:ascii="Tahoma" w:hAnsi="Tahoma" w:cs="Tahoma"/>
      <w:sz w:val="16"/>
      <w:szCs w:val="16"/>
    </w:rPr>
  </w:style>
  <w:style w:type="paragraph" w:styleId="Textoindependiente">
    <w:name w:val="Body Text"/>
    <w:aliases w:val="EHPT,Body Text2"/>
    <w:basedOn w:val="Normal"/>
    <w:link w:val="TextoindependienteCar"/>
    <w:rsid w:val="00A10443"/>
    <w:pPr>
      <w:jc w:val="both"/>
    </w:pPr>
  </w:style>
  <w:style w:type="character" w:customStyle="1" w:styleId="TextoindependienteCar">
    <w:name w:val="Texto independiente Car"/>
    <w:aliases w:val="EHPT Car,Body Text2 Car"/>
    <w:basedOn w:val="Fuentedeprrafopredeter"/>
    <w:link w:val="Textoindependiente"/>
    <w:rsid w:val="00A10443"/>
    <w:rPr>
      <w:rFonts w:ascii="Times New Roman" w:eastAsia="Times New Roman" w:hAnsi="Times New Roman" w:cs="Times New Roman"/>
      <w:sz w:val="24"/>
      <w:szCs w:val="24"/>
      <w:lang w:val="es-MX" w:eastAsia="es-MX"/>
    </w:rPr>
  </w:style>
  <w:style w:type="paragraph" w:styleId="Prrafodelista">
    <w:name w:val="List Paragraph"/>
    <w:aliases w:val="Listas"/>
    <w:basedOn w:val="Normal"/>
    <w:link w:val="PrrafodelistaCar"/>
    <w:uiPriority w:val="34"/>
    <w:qFormat/>
    <w:rsid w:val="00F20707"/>
    <w:pPr>
      <w:spacing w:after="200" w:line="276" w:lineRule="auto"/>
      <w:ind w:left="720"/>
      <w:contextualSpacing/>
    </w:pPr>
    <w:rPr>
      <w:rFonts w:ascii="Calibri" w:hAnsi="Calibri"/>
      <w:sz w:val="20"/>
      <w:szCs w:val="20"/>
    </w:rPr>
  </w:style>
  <w:style w:type="paragraph" w:styleId="NormalWeb">
    <w:name w:val="Normal (Web)"/>
    <w:basedOn w:val="Normal"/>
    <w:uiPriority w:val="99"/>
    <w:rsid w:val="00F20707"/>
    <w:pPr>
      <w:spacing w:before="100" w:beforeAutospacing="1" w:after="100" w:afterAutospacing="1"/>
    </w:pPr>
    <w:rPr>
      <w:rFonts w:ascii="Arial Unicode MS" w:eastAsia="Arial Unicode MS" w:hAnsi="Arial Unicode MS" w:cs="Arial Unicode MS"/>
      <w:lang w:val="es-ES" w:eastAsia="es-ES"/>
    </w:rPr>
  </w:style>
  <w:style w:type="character" w:customStyle="1" w:styleId="PrrafodelistaCar">
    <w:name w:val="Párrafo de lista Car"/>
    <w:aliases w:val="Listas Car"/>
    <w:link w:val="Prrafodelista"/>
    <w:uiPriority w:val="34"/>
    <w:locked/>
    <w:rsid w:val="00F20707"/>
    <w:rPr>
      <w:rFonts w:eastAsia="Times New Roman"/>
      <w:lang w:val="es-MX" w:eastAsia="es-MX"/>
    </w:rPr>
  </w:style>
  <w:style w:type="character" w:styleId="Hipervnculo">
    <w:name w:val="Hyperlink"/>
    <w:uiPriority w:val="99"/>
    <w:rsid w:val="00F20707"/>
    <w:rPr>
      <w:color w:val="0000FF"/>
      <w:u w:val="single"/>
    </w:rPr>
  </w:style>
  <w:style w:type="paragraph" w:styleId="TDC1">
    <w:name w:val="toc 1"/>
    <w:basedOn w:val="Normal"/>
    <w:next w:val="Normal"/>
    <w:autoRedefine/>
    <w:uiPriority w:val="39"/>
    <w:rsid w:val="00AA3E34"/>
    <w:pPr>
      <w:tabs>
        <w:tab w:val="left" w:pos="900"/>
        <w:tab w:val="left" w:pos="1440"/>
        <w:tab w:val="right" w:leader="dot" w:pos="8505"/>
      </w:tabs>
      <w:spacing w:before="60" w:line="276" w:lineRule="auto"/>
      <w:ind w:left="709" w:hanging="567"/>
    </w:pPr>
    <w:rPr>
      <w:rFonts w:eastAsia="MS Mincho" w:cs="Arial"/>
      <w:bCs/>
      <w:noProof/>
      <w:sz w:val="22"/>
      <w:szCs w:val="22"/>
      <w:lang w:eastAsia="ja-JP"/>
    </w:rPr>
  </w:style>
  <w:style w:type="paragraph" w:styleId="TDC2">
    <w:name w:val="toc 2"/>
    <w:basedOn w:val="Normal"/>
    <w:next w:val="Normal"/>
    <w:autoRedefine/>
    <w:uiPriority w:val="39"/>
    <w:rsid w:val="00F20707"/>
    <w:pPr>
      <w:tabs>
        <w:tab w:val="left" w:pos="903"/>
        <w:tab w:val="right" w:leader="dot" w:pos="9639"/>
      </w:tabs>
      <w:spacing w:before="60" w:line="276" w:lineRule="auto"/>
      <w:ind w:left="709" w:hanging="425"/>
      <w:jc w:val="both"/>
    </w:pPr>
    <w:rPr>
      <w:rFonts w:cs="Arial"/>
      <w:iCs/>
      <w:noProof/>
      <w:sz w:val="22"/>
      <w:szCs w:val="22"/>
    </w:rPr>
  </w:style>
  <w:style w:type="table" w:styleId="Tablaconcuadrcula">
    <w:name w:val="Table Grid"/>
    <w:basedOn w:val="Tablanormal"/>
    <w:uiPriority w:val="59"/>
    <w:rsid w:val="00D97B19"/>
    <w:rPr>
      <w:rFonts w:eastAsia="Times New Roman"/>
      <w:lang w:val="es-MX"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05E26"/>
    <w:pPr>
      <w:autoSpaceDE w:val="0"/>
      <w:autoSpaceDN w:val="0"/>
      <w:adjustRightInd w:val="0"/>
    </w:pPr>
    <w:rPr>
      <w:rFonts w:ascii="Arial" w:eastAsiaTheme="minorHAnsi" w:hAnsi="Arial" w:cs="Arial"/>
      <w:color w:val="000000"/>
      <w:sz w:val="24"/>
      <w:szCs w:val="24"/>
      <w:lang w:eastAsia="en-US"/>
    </w:rPr>
  </w:style>
  <w:style w:type="character" w:styleId="Refdecomentario">
    <w:name w:val="annotation reference"/>
    <w:basedOn w:val="Fuentedeprrafopredeter"/>
    <w:uiPriority w:val="99"/>
    <w:semiHidden/>
    <w:unhideWhenUsed/>
    <w:rsid w:val="00C91028"/>
    <w:rPr>
      <w:sz w:val="16"/>
      <w:szCs w:val="16"/>
    </w:rPr>
  </w:style>
  <w:style w:type="paragraph" w:styleId="Textocomentario">
    <w:name w:val="annotation text"/>
    <w:basedOn w:val="Normal"/>
    <w:link w:val="TextocomentarioCar"/>
    <w:uiPriority w:val="99"/>
    <w:semiHidden/>
    <w:unhideWhenUsed/>
    <w:rsid w:val="00C91028"/>
    <w:rPr>
      <w:sz w:val="20"/>
      <w:szCs w:val="20"/>
    </w:rPr>
  </w:style>
  <w:style w:type="character" w:customStyle="1" w:styleId="TextocomentarioCar">
    <w:name w:val="Texto comentario Car"/>
    <w:basedOn w:val="Fuentedeprrafopredeter"/>
    <w:link w:val="Textocomentario"/>
    <w:uiPriority w:val="99"/>
    <w:semiHidden/>
    <w:rsid w:val="00C91028"/>
    <w:rPr>
      <w:rFonts w:ascii="Times New Roman" w:eastAsia="Times New Roman" w:hAnsi="Times New Roman"/>
      <w:lang w:val="es-MX" w:eastAsia="es-MX"/>
    </w:rPr>
  </w:style>
  <w:style w:type="paragraph" w:styleId="Asuntodelcomentario">
    <w:name w:val="annotation subject"/>
    <w:basedOn w:val="Textocomentario"/>
    <w:next w:val="Textocomentario"/>
    <w:link w:val="AsuntodelcomentarioCar"/>
    <w:uiPriority w:val="99"/>
    <w:semiHidden/>
    <w:unhideWhenUsed/>
    <w:rsid w:val="00C91028"/>
    <w:rPr>
      <w:b/>
      <w:bCs/>
    </w:rPr>
  </w:style>
  <w:style w:type="character" w:customStyle="1" w:styleId="AsuntodelcomentarioCar">
    <w:name w:val="Asunto del comentario Car"/>
    <w:basedOn w:val="TextocomentarioCar"/>
    <w:link w:val="Asuntodelcomentario"/>
    <w:uiPriority w:val="99"/>
    <w:semiHidden/>
    <w:rsid w:val="00C91028"/>
    <w:rPr>
      <w:rFonts w:ascii="Times New Roman" w:eastAsia="Times New Roman" w:hAnsi="Times New Roman"/>
      <w:b/>
      <w:bCs/>
      <w:lang w:val="es-MX" w:eastAsia="es-MX"/>
    </w:rPr>
  </w:style>
  <w:style w:type="paragraph" w:styleId="Revisin">
    <w:name w:val="Revision"/>
    <w:hidden/>
    <w:uiPriority w:val="99"/>
    <w:semiHidden/>
    <w:rsid w:val="0059010A"/>
    <w:rPr>
      <w:rFonts w:ascii="Times New Roman" w:eastAsia="Times New Roman" w:hAnsi="Times New Roman"/>
      <w:sz w:val="24"/>
      <w:szCs w:val="24"/>
      <w:lang w:val="es-MX" w:eastAsia="es-MX"/>
    </w:rPr>
  </w:style>
  <w:style w:type="paragraph" w:styleId="Textonotapie">
    <w:name w:val="footnote text"/>
    <w:basedOn w:val="Normal"/>
    <w:link w:val="TextonotapieCar"/>
    <w:uiPriority w:val="99"/>
    <w:rsid w:val="00617A96"/>
    <w:pPr>
      <w:widowControl w:val="0"/>
    </w:pPr>
    <w:rPr>
      <w:rFonts w:ascii="Arial" w:eastAsia="MS Mincho" w:hAnsi="Arial"/>
      <w:sz w:val="20"/>
      <w:szCs w:val="20"/>
      <w:lang w:val="es-ES_tradnl" w:eastAsia="es-ES"/>
    </w:rPr>
  </w:style>
  <w:style w:type="character" w:customStyle="1" w:styleId="TextonotapieCar">
    <w:name w:val="Texto nota pie Car"/>
    <w:basedOn w:val="Fuentedeprrafopredeter"/>
    <w:link w:val="Textonotapie"/>
    <w:uiPriority w:val="99"/>
    <w:rsid w:val="00617A96"/>
    <w:rPr>
      <w:rFonts w:ascii="Arial" w:eastAsia="MS Mincho" w:hAnsi="Arial"/>
      <w:lang w:val="es-ES_tradnl"/>
    </w:rPr>
  </w:style>
  <w:style w:type="character" w:styleId="Refdenotaalpie">
    <w:name w:val="footnote reference"/>
    <w:uiPriority w:val="99"/>
    <w:rsid w:val="00617A96"/>
    <w:rPr>
      <w:rFonts w:cs="Times New Roman"/>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547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15D835-C872-4A97-AA71-EA9B3FA3D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17</Pages>
  <Words>5003</Words>
  <Characters>27522</Characters>
  <Application>Microsoft Office Word</Application>
  <DocSecurity>0</DocSecurity>
  <Lines>229</Lines>
  <Paragraphs>64</Paragraphs>
  <ScaleCrop>false</ScaleCrop>
  <HeadingPairs>
    <vt:vector size="2" baseType="variant">
      <vt:variant>
        <vt:lpstr>Título</vt:lpstr>
      </vt:variant>
      <vt:variant>
        <vt:i4>1</vt:i4>
      </vt:variant>
    </vt:vector>
  </HeadingPairs>
  <TitlesOfParts>
    <vt:vector size="1" baseType="lpstr">
      <vt:lpstr/>
    </vt:vector>
  </TitlesOfParts>
  <Company>INE</Company>
  <LinksUpToDate>false</LinksUpToDate>
  <CharactersWithSpaces>32461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Instituto Nacional Electoral</dc:creator>
  <cp:lastModifiedBy>Eduardo Albarrán Oscós</cp:lastModifiedBy>
  <cp:revision>8</cp:revision>
  <cp:lastPrinted>2015-04-21T14:53:00Z</cp:lastPrinted>
  <dcterms:created xsi:type="dcterms:W3CDTF">2016-04-18T19:03:00Z</dcterms:created>
  <dcterms:modified xsi:type="dcterms:W3CDTF">2016-04-19T22:25:00Z</dcterms:modified>
</cp:coreProperties>
</file>