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099FE4" w14:textId="77777777" w:rsidR="004A6048" w:rsidRDefault="004A6048" w:rsidP="000C69CE">
      <w:pPr>
        <w:spacing w:after="75"/>
        <w:jc w:val="center"/>
        <w:rPr>
          <w:rFonts w:ascii="Helvetica" w:eastAsia="Times New Roman" w:hAnsi="Helvetica" w:cs="Times New Roman"/>
          <w:b/>
          <w:color w:val="000000"/>
          <w:sz w:val="40"/>
          <w:szCs w:val="40"/>
        </w:rPr>
      </w:pPr>
      <w:r>
        <w:rPr>
          <w:rFonts w:ascii="Helvetica" w:eastAsia="Times New Roman" w:hAnsi="Helvetica" w:cs="Times New Roman"/>
          <w:b/>
          <w:color w:val="000000"/>
          <w:sz w:val="40"/>
          <w:szCs w:val="40"/>
        </w:rPr>
        <w:t>PROJECT POPLIN</w:t>
      </w:r>
    </w:p>
    <w:p w14:paraId="1A05A7B9" w14:textId="39479996" w:rsidR="007E78B5" w:rsidRPr="0080196A" w:rsidRDefault="007E78B5" w:rsidP="008E2500">
      <w:pPr>
        <w:spacing w:before="450" w:after="75"/>
        <w:jc w:val="center"/>
        <w:rPr>
          <w:rFonts w:ascii="Helvetica" w:eastAsia="Times New Roman" w:hAnsi="Helvetica" w:cs="Times New Roman"/>
          <w:b/>
          <w:color w:val="000000"/>
          <w:sz w:val="32"/>
          <w:szCs w:val="32"/>
        </w:rPr>
      </w:pPr>
      <w:r w:rsidRPr="0080196A">
        <w:rPr>
          <w:rFonts w:ascii="Helvetica" w:eastAsia="Times New Roman" w:hAnsi="Helvetica" w:cs="Times New Roman"/>
          <w:b/>
          <w:color w:val="000000"/>
          <w:sz w:val="32"/>
          <w:szCs w:val="32"/>
        </w:rPr>
        <w:t>MEDICAID REFERENCE ARCHITECTURE</w:t>
      </w:r>
    </w:p>
    <w:p w14:paraId="0B693F5D" w14:textId="54EA23CD" w:rsidR="007E78B5" w:rsidRPr="0080196A" w:rsidRDefault="00401D2A" w:rsidP="008E2500">
      <w:pPr>
        <w:spacing w:before="450" w:after="75"/>
        <w:jc w:val="center"/>
        <w:rPr>
          <w:rFonts w:ascii="Helvetica" w:eastAsia="Times New Roman" w:hAnsi="Helvetica" w:cs="Times New Roman"/>
          <w:b/>
          <w:color w:val="000000"/>
          <w:sz w:val="32"/>
          <w:szCs w:val="32"/>
        </w:rPr>
      </w:pPr>
      <w:r>
        <w:rPr>
          <w:rFonts w:ascii="Helvetica" w:eastAsia="Times New Roman" w:hAnsi="Helvetica" w:cs="Times New Roman"/>
          <w:b/>
          <w:color w:val="000000"/>
          <w:sz w:val="32"/>
          <w:szCs w:val="32"/>
        </w:rPr>
        <w:t>CARE/</w:t>
      </w:r>
      <w:r w:rsidR="00DC66D8">
        <w:rPr>
          <w:rFonts w:ascii="Helvetica" w:eastAsia="Times New Roman" w:hAnsi="Helvetica" w:cs="Times New Roman"/>
          <w:b/>
          <w:color w:val="000000"/>
          <w:sz w:val="32"/>
          <w:szCs w:val="32"/>
        </w:rPr>
        <w:t>CASE SERVICE DEFINITIONS</w:t>
      </w:r>
    </w:p>
    <w:p w14:paraId="075FCD8E" w14:textId="77777777" w:rsidR="00D54E7A" w:rsidRDefault="00D54E7A" w:rsidP="008E2500">
      <w:pPr>
        <w:spacing w:before="450" w:after="75"/>
        <w:jc w:val="center"/>
        <w:rPr>
          <w:rFonts w:ascii="Helvetica" w:eastAsia="Times New Roman" w:hAnsi="Helvetica" w:cs="Times New Roman"/>
          <w:b/>
          <w:color w:val="000000"/>
        </w:rPr>
      </w:pPr>
      <w:r>
        <w:rPr>
          <w:rFonts w:ascii="Helvetica" w:eastAsia="Times New Roman" w:hAnsi="Helvetica" w:cs="Times New Roman"/>
          <w:b/>
          <w:color w:val="000000"/>
        </w:rPr>
        <w:t>MITA Governance Board</w:t>
      </w:r>
    </w:p>
    <w:p w14:paraId="7410C71E" w14:textId="6F0F2B98" w:rsidR="003D4746" w:rsidRDefault="005D058C" w:rsidP="0080196A">
      <w:pPr>
        <w:spacing w:after="75"/>
        <w:jc w:val="center"/>
        <w:rPr>
          <w:rFonts w:ascii="Helvetica" w:eastAsia="Times New Roman" w:hAnsi="Helvetica" w:cs="Times New Roman"/>
          <w:b/>
          <w:color w:val="000000"/>
        </w:rPr>
      </w:pPr>
      <w:r>
        <w:rPr>
          <w:rFonts w:ascii="Helvetica" w:eastAsia="Times New Roman" w:hAnsi="Helvetica" w:cs="Times New Roman"/>
          <w:b/>
          <w:color w:val="000000"/>
        </w:rPr>
        <w:t>Poplin</w:t>
      </w:r>
      <w:r w:rsidR="00D54E7A">
        <w:rPr>
          <w:rFonts w:ascii="Helvetica" w:eastAsia="Times New Roman" w:hAnsi="Helvetica" w:cs="Times New Roman"/>
          <w:b/>
          <w:color w:val="000000"/>
        </w:rPr>
        <w:t xml:space="preserve"> Working Group</w:t>
      </w:r>
      <w:bookmarkStart w:id="0" w:name="_GoBack"/>
      <w:bookmarkEnd w:id="0"/>
    </w:p>
    <w:p w14:paraId="3408563D" w14:textId="77777777" w:rsidR="003D4746" w:rsidRDefault="003D4746">
      <w:pPr>
        <w:rPr>
          <w:rFonts w:ascii="Helvetica" w:eastAsia="Times New Roman" w:hAnsi="Helvetica" w:cs="Times New Roman"/>
          <w:b/>
          <w:color w:val="000000"/>
        </w:rPr>
      </w:pPr>
      <w:r>
        <w:rPr>
          <w:rFonts w:ascii="Helvetica" w:eastAsia="Times New Roman" w:hAnsi="Helvetica" w:cs="Times New Roman"/>
          <w:b/>
          <w:color w:val="000000"/>
        </w:rPr>
        <w:br w:type="page"/>
      </w:r>
    </w:p>
    <w:p w14:paraId="0DF926C8" w14:textId="365FD270" w:rsidR="00001718" w:rsidRDefault="003D4746" w:rsidP="00E847D8">
      <w:pPr>
        <w:pStyle w:val="Heading1"/>
      </w:pPr>
      <w:r>
        <w:lastRenderedPageBreak/>
        <w:t xml:space="preserve">POPLIN Project </w:t>
      </w:r>
      <w:r w:rsidR="00001718" w:rsidRPr="00F84C53">
        <w:t>Background</w:t>
      </w:r>
    </w:p>
    <w:p w14:paraId="79AA7AA6" w14:textId="77777777" w:rsidR="00001718" w:rsidRPr="007E78B5" w:rsidRDefault="00001718" w:rsidP="00001718">
      <w:r w:rsidRPr="007E78B5">
        <w:t>The Center</w:t>
      </w:r>
      <w:r>
        <w:t>s</w:t>
      </w:r>
      <w:r w:rsidRPr="007E78B5">
        <w:t xml:space="preserve"> for Medicare and Medicaid Services (CMS) </w:t>
      </w:r>
      <w:r>
        <w:t>seeks</w:t>
      </w:r>
      <w:r w:rsidRPr="007E78B5">
        <w:t xml:space="preserve"> to develop a robust </w:t>
      </w:r>
      <w:r>
        <w:t xml:space="preserve">module </w:t>
      </w:r>
      <w:r w:rsidRPr="007E78B5">
        <w:t xml:space="preserve">marketplace </w:t>
      </w:r>
      <w:r>
        <w:t xml:space="preserve">for Medicaid to promote competition of solutions, reduce risk, streamline certification, and better </w:t>
      </w:r>
      <w:r w:rsidRPr="007E78B5">
        <w:t>serve the needs of individual states’ Medicaid Enterprise System</w:t>
      </w:r>
      <w:r>
        <w:t>s</w:t>
      </w:r>
      <w:r w:rsidRPr="007E78B5">
        <w:t xml:space="preserve"> (MES) through standards and conditions for its funding of state implementations. Such conditions include application of modular design, development, and deployment methodologies and technologies for state-specific MES component</w:t>
      </w:r>
      <w:r>
        <w:t>s</w:t>
      </w:r>
      <w:r w:rsidRPr="007E78B5">
        <w:t xml:space="preserve"> and reuse of </w:t>
      </w:r>
      <w:r>
        <w:t>those</w:t>
      </w:r>
      <w:r w:rsidRPr="007E78B5">
        <w:t xml:space="preserve"> component</w:t>
      </w:r>
      <w:r>
        <w:t>s</w:t>
      </w:r>
      <w:r w:rsidRPr="007E78B5">
        <w:t xml:space="preserve"> when possible. </w:t>
      </w:r>
    </w:p>
    <w:p w14:paraId="1C30253F" w14:textId="77777777" w:rsidR="00001718" w:rsidRPr="007E78B5" w:rsidRDefault="00001718" w:rsidP="00001718">
      <w:r w:rsidRPr="007E78B5">
        <w:t xml:space="preserve">To </w:t>
      </w:r>
      <w:r>
        <w:t>help</w:t>
      </w:r>
      <w:r w:rsidRPr="007E78B5">
        <w:t xml:space="preserve"> states </w:t>
      </w:r>
      <w:r>
        <w:t>and vendors prepare for and use a module marketplace for Medicaid</w:t>
      </w:r>
      <w:r w:rsidRPr="007E78B5">
        <w:t xml:space="preserve">, CMS has sponsored efforts with MITRE Corporation </w:t>
      </w:r>
      <w:r>
        <w:t>through</w:t>
      </w:r>
      <w:r w:rsidRPr="007E78B5">
        <w:t xml:space="preserve"> its Federally Funded Research and Development Center’s (FFRDC) </w:t>
      </w:r>
      <w:r>
        <w:t xml:space="preserve">CMS </w:t>
      </w:r>
      <w:r w:rsidRPr="007E78B5">
        <w:t xml:space="preserve">Alliance to Modernize Healthcare </w:t>
      </w:r>
      <w:r>
        <w:t xml:space="preserve">(CAMH) </w:t>
      </w:r>
      <w:r w:rsidRPr="007E78B5">
        <w:t>to develop a reference architecture (</w:t>
      </w:r>
      <w:r w:rsidRPr="008F5B62">
        <w:t>Project Poplin</w:t>
      </w:r>
      <w:r w:rsidRPr="007E78B5">
        <w:t xml:space="preserve">) </w:t>
      </w:r>
      <w:r>
        <w:t xml:space="preserve">than can </w:t>
      </w:r>
      <w:r w:rsidRPr="007E78B5">
        <w:t xml:space="preserve">extend the Medicaid Information Technology Architecture (MITA) technical architecture. </w:t>
      </w:r>
    </w:p>
    <w:p w14:paraId="149EA6D1" w14:textId="15394141" w:rsidR="00001718" w:rsidRDefault="00001718" w:rsidP="00001718">
      <w:r>
        <w:t>Poplin</w:t>
      </w:r>
      <w:r w:rsidRPr="007E78B5">
        <w:t xml:space="preserve"> </w:t>
      </w:r>
      <w:r>
        <w:t xml:space="preserve">seeks to </w:t>
      </w:r>
      <w:r w:rsidRPr="007E78B5">
        <w:t xml:space="preserve">provide standard </w:t>
      </w:r>
      <w:r>
        <w:t xml:space="preserve">definitions </w:t>
      </w:r>
      <w:r w:rsidRPr="007E78B5">
        <w:t xml:space="preserve">for application services that enable MES implementations across </w:t>
      </w:r>
      <w:r>
        <w:t>a</w:t>
      </w:r>
      <w:r w:rsidRPr="007E78B5">
        <w:t xml:space="preserve"> diversity of state requirements </w:t>
      </w:r>
      <w:r>
        <w:t>so that</w:t>
      </w:r>
      <w:r w:rsidRPr="007E78B5">
        <w:t xml:space="preserve"> vendor</w:t>
      </w:r>
      <w:r>
        <w:t>s</w:t>
      </w:r>
      <w:r w:rsidRPr="007E78B5">
        <w:t xml:space="preserve"> can develop robust techn</w:t>
      </w:r>
      <w:r>
        <w:t>ologies with broad application.  This Service Definition Template defines the components required in a service definition document.</w:t>
      </w:r>
    </w:p>
    <w:p w14:paraId="57F72882" w14:textId="77777777" w:rsidR="009D6EEC" w:rsidRDefault="009D6EEC">
      <w:pPr>
        <w:rPr>
          <w:rFonts w:ascii="Times New Roman" w:hAnsi="Times New Roman"/>
          <w:b/>
          <w:bCs/>
          <w:sz w:val="27"/>
          <w:szCs w:val="27"/>
        </w:rPr>
      </w:pPr>
      <w:r>
        <w:br w:type="page"/>
      </w:r>
    </w:p>
    <w:p w14:paraId="508910C9" w14:textId="1615A8BD" w:rsidR="00001718" w:rsidRDefault="003D4746" w:rsidP="00E847D8">
      <w:pPr>
        <w:pStyle w:val="Heading1"/>
      </w:pPr>
      <w:r>
        <w:lastRenderedPageBreak/>
        <w:t xml:space="preserve">Modular </w:t>
      </w:r>
      <w:r w:rsidR="00001718">
        <w:t>Example</w:t>
      </w:r>
    </w:p>
    <w:p w14:paraId="1EDA7C89" w14:textId="5661D038" w:rsidR="003D4746" w:rsidRDefault="003D4746" w:rsidP="003D4746">
      <w:r>
        <w:t xml:space="preserve">In </w:t>
      </w:r>
      <w:r w:rsidR="009D6EEC">
        <w:fldChar w:fldCharType="begin"/>
      </w:r>
      <w:r w:rsidR="009D6EEC">
        <w:instrText xml:space="preserve"> REF _Ref495925077 \h </w:instrText>
      </w:r>
      <w:r w:rsidR="009D6EEC">
        <w:fldChar w:fldCharType="separate"/>
      </w:r>
      <w:r w:rsidR="009D6EEC">
        <w:t xml:space="preserve">Figure </w:t>
      </w:r>
      <w:r w:rsidR="009D6EEC">
        <w:rPr>
          <w:noProof/>
        </w:rPr>
        <w:t>1</w:t>
      </w:r>
      <w:r w:rsidR="009D6EEC">
        <w:t xml:space="preserve"> - </w:t>
      </w:r>
      <w:r w:rsidR="009D6EEC" w:rsidRPr="00FA6F31">
        <w:t>Modular Overview</w:t>
      </w:r>
      <w:r w:rsidR="009D6EEC">
        <w:fldChar w:fldCharType="end"/>
      </w:r>
      <w:r w:rsidR="009D6EEC">
        <w:t xml:space="preserve"> </w:t>
      </w:r>
      <w:r>
        <w:t xml:space="preserve">below, we see an example </w:t>
      </w:r>
      <w:r w:rsidR="009D6EEC">
        <w:t xml:space="preserve">of a small cross section of the </w:t>
      </w:r>
      <w:r>
        <w:t>Medicaid enterprise. These systems have dependencies on each other that require them to closely communicate with each other.</w:t>
      </w:r>
    </w:p>
    <w:p w14:paraId="092D4952" w14:textId="77777777" w:rsidR="009D6EEC" w:rsidRDefault="009D6EEC" w:rsidP="009D6EEC">
      <w:pPr>
        <w:keepNext/>
        <w:jc w:val="center"/>
      </w:pPr>
      <w:r>
        <w:rPr>
          <w:noProof/>
        </w:rPr>
        <w:drawing>
          <wp:inline distT="0" distB="0" distL="0" distR="0" wp14:anchorId="5D5B52A3" wp14:editId="42D59082">
            <wp:extent cx="5227408" cy="2738804"/>
            <wp:effectExtent l="133350" t="114300" r="144780" b="1568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8239" cy="27497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D50DE5" w14:textId="1A953454" w:rsidR="009D6EEC" w:rsidRDefault="009D6EEC" w:rsidP="008B13A5">
      <w:pPr>
        <w:pStyle w:val="Caption"/>
      </w:pPr>
      <w:bookmarkStart w:id="1" w:name="_Ref495925077"/>
      <w:r>
        <w:t xml:space="preserve">Figure </w:t>
      </w:r>
      <w:fldSimple w:instr=" SEQ Figure \* ARABIC ">
        <w:r w:rsidR="008B13A5">
          <w:rPr>
            <w:noProof/>
          </w:rPr>
          <w:t>1</w:t>
        </w:r>
      </w:fldSimple>
      <w:r>
        <w:t xml:space="preserve"> - </w:t>
      </w:r>
      <w:r w:rsidRPr="00FA6F31">
        <w:t>Modular Overview</w:t>
      </w:r>
      <w:bookmarkEnd w:id="1"/>
    </w:p>
    <w:p w14:paraId="0AFCB578" w14:textId="6E4FB5B6" w:rsidR="003D4746" w:rsidRDefault="003D4746" w:rsidP="008B13A5">
      <w:pPr>
        <w:pStyle w:val="Caption"/>
      </w:pPr>
    </w:p>
    <w:p w14:paraId="423F051F" w14:textId="06B4562C" w:rsidR="003D4746" w:rsidRDefault="003D4746" w:rsidP="003D4746"/>
    <w:p w14:paraId="459CC748" w14:textId="46795CA3" w:rsidR="008E7826" w:rsidRDefault="009D6EEC" w:rsidP="003D4746">
      <w:r>
        <w:t xml:space="preserve">As shown above in the </w:t>
      </w:r>
      <w:r w:rsidR="008E7826">
        <w:t xml:space="preserve">Financial Management </w:t>
      </w:r>
      <w:r w:rsidR="009421C9">
        <w:t>S</w:t>
      </w:r>
      <w:r w:rsidR="008E7826">
        <w:t>ystem</w:t>
      </w:r>
      <w:r w:rsidR="00773247">
        <w:t xml:space="preserve"> example, not only is there communication at </w:t>
      </w:r>
      <w:proofErr w:type="gramStart"/>
      <w:r w:rsidR="00773247">
        <w:t>a high level</w:t>
      </w:r>
      <w:proofErr w:type="gramEnd"/>
      <w:r w:rsidR="00773247">
        <w:t xml:space="preserve"> between systems but there are also </w:t>
      </w:r>
      <w:r w:rsidR="008E7826">
        <w:t>internal modules</w:t>
      </w:r>
      <w:r>
        <w:t xml:space="preserve">. Each system </w:t>
      </w:r>
      <w:r w:rsidR="009421C9">
        <w:t>o</w:t>
      </w:r>
      <w:r>
        <w:t>f the Medicaid enterprise can be broken down this way. The goal of th</w:t>
      </w:r>
      <w:r w:rsidR="00346993">
        <w:t xml:space="preserve">is effort </w:t>
      </w:r>
      <w:r w:rsidR="008E7826">
        <w:t>is to:</w:t>
      </w:r>
    </w:p>
    <w:p w14:paraId="4F5A9CA4" w14:textId="7B649724" w:rsidR="003D4746" w:rsidRDefault="008E7826" w:rsidP="008E7826">
      <w:pPr>
        <w:pStyle w:val="ListParagraph"/>
        <w:numPr>
          <w:ilvl w:val="0"/>
          <w:numId w:val="34"/>
        </w:numPr>
      </w:pPr>
      <w:r>
        <w:t>Identify each module</w:t>
      </w:r>
    </w:p>
    <w:p w14:paraId="58A3CE3B" w14:textId="2EE7C590" w:rsidR="008E7826" w:rsidRDefault="008E7826" w:rsidP="008E7826">
      <w:pPr>
        <w:pStyle w:val="ListParagraph"/>
        <w:numPr>
          <w:ilvl w:val="0"/>
          <w:numId w:val="34"/>
        </w:numPr>
      </w:pPr>
      <w:r>
        <w:t>Determine if it can reasonably be separated and reused</w:t>
      </w:r>
    </w:p>
    <w:p w14:paraId="0F163EFD" w14:textId="47E105E6" w:rsidR="008E7826" w:rsidRDefault="008E7826" w:rsidP="008E7826">
      <w:pPr>
        <w:pStyle w:val="ListParagraph"/>
        <w:numPr>
          <w:ilvl w:val="0"/>
          <w:numId w:val="34"/>
        </w:numPr>
      </w:pPr>
      <w:r>
        <w:t>Define the “Glue” needed to connect these components together</w:t>
      </w:r>
    </w:p>
    <w:p w14:paraId="0D1AD67B" w14:textId="77777777" w:rsidR="008E7826" w:rsidRDefault="008E7826" w:rsidP="008E7826"/>
    <w:p w14:paraId="1EAC2F49" w14:textId="3BF03FC9" w:rsidR="008E7826" w:rsidRDefault="008E7826" w:rsidP="008E7826">
      <w:r>
        <w:t xml:space="preserve">In </w:t>
      </w:r>
      <w:r>
        <w:fldChar w:fldCharType="begin"/>
      </w:r>
      <w:r>
        <w:instrText xml:space="preserve"> REF _Ref495925944 \h </w:instrText>
      </w:r>
      <w:r>
        <w:fldChar w:fldCharType="separate"/>
      </w:r>
      <w:r>
        <w:t xml:space="preserve">Figure </w:t>
      </w:r>
      <w:r>
        <w:rPr>
          <w:noProof/>
        </w:rPr>
        <w:t>2</w:t>
      </w:r>
      <w:r>
        <w:t xml:space="preserve"> - </w:t>
      </w:r>
      <w:r w:rsidRPr="00022AEC">
        <w:t xml:space="preserve">Modular </w:t>
      </w:r>
      <w:r>
        <w:t>Breakdown Sample</w:t>
      </w:r>
      <w:r>
        <w:fldChar w:fldCharType="end"/>
      </w:r>
      <w:r>
        <w:t xml:space="preserve">, we have taken a Case Management Module </w:t>
      </w:r>
      <w:r w:rsidR="00CD7E88">
        <w:t xml:space="preserve">and </w:t>
      </w:r>
      <w:r>
        <w:t>broken it down into its component parts.</w:t>
      </w:r>
    </w:p>
    <w:p w14:paraId="1A294962" w14:textId="77777777" w:rsidR="008E7826" w:rsidRDefault="008E7826" w:rsidP="008E7826">
      <w:pPr>
        <w:keepNext/>
        <w:jc w:val="center"/>
      </w:pPr>
      <w:r>
        <w:rPr>
          <w:noProof/>
        </w:rPr>
        <w:lastRenderedPageBreak/>
        <w:drawing>
          <wp:inline distT="0" distB="0" distL="0" distR="0" wp14:anchorId="15822960" wp14:editId="0F5C9D09">
            <wp:extent cx="4529716" cy="4197248"/>
            <wp:effectExtent l="133350" t="114300" r="118745" b="1657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9399" cy="4206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C9AA10" w14:textId="25CD47D9" w:rsidR="008E7826" w:rsidRDefault="008E7826" w:rsidP="008B13A5">
      <w:pPr>
        <w:pStyle w:val="Caption"/>
      </w:pPr>
      <w:bookmarkStart w:id="2" w:name="_Ref495925944"/>
      <w:r>
        <w:t xml:space="preserve">Figure </w:t>
      </w:r>
      <w:fldSimple w:instr=" SEQ Figure \* ARABIC ">
        <w:r w:rsidR="008B13A5">
          <w:rPr>
            <w:noProof/>
          </w:rPr>
          <w:t>2</w:t>
        </w:r>
      </w:fldSimple>
      <w:r>
        <w:t xml:space="preserve"> - </w:t>
      </w:r>
      <w:r w:rsidRPr="00022AEC">
        <w:t xml:space="preserve">Modular </w:t>
      </w:r>
      <w:r>
        <w:t>Breakdown Sample</w:t>
      </w:r>
      <w:bookmarkEnd w:id="2"/>
    </w:p>
    <w:p w14:paraId="64901087" w14:textId="0ACBCF6D" w:rsidR="009D6EEC" w:rsidRDefault="009D6EEC" w:rsidP="003D4746"/>
    <w:p w14:paraId="47E12E10" w14:textId="24B0EEC3" w:rsidR="00CD7E88" w:rsidRDefault="00CD7E88" w:rsidP="003D4746"/>
    <w:p w14:paraId="32C4653D" w14:textId="77777777" w:rsidR="00CD7E88" w:rsidRDefault="00CD7E88" w:rsidP="003D4746"/>
    <w:p w14:paraId="12FEF295" w14:textId="693AC089" w:rsidR="007E78B5" w:rsidRPr="000B7576" w:rsidRDefault="007E78B5" w:rsidP="00E847D8">
      <w:pPr>
        <w:pStyle w:val="Heading1"/>
      </w:pPr>
      <w:r w:rsidRPr="000B7576">
        <w:t>Introduction</w:t>
      </w:r>
    </w:p>
    <w:p w14:paraId="196F53FC" w14:textId="37E9386D" w:rsidR="009451B3" w:rsidRDefault="008E7826" w:rsidP="009421C9">
      <w:r>
        <w:t>This document breaks</w:t>
      </w:r>
      <w:r w:rsidR="009451B3">
        <w:t xml:space="preserve"> down the MITA Care Management Business P</w:t>
      </w:r>
      <w:r>
        <w:t xml:space="preserve">rocesses and systems to their component level and defines </w:t>
      </w:r>
      <w:r w:rsidR="009451B3">
        <w:t>a reference standard for how the</w:t>
      </w:r>
      <w:r>
        <w:t>se components can communicate</w:t>
      </w:r>
      <w:r w:rsidR="009451B3">
        <w:t xml:space="preserve"> in a modern Medicaid Enterprise</w:t>
      </w:r>
      <w:r>
        <w:t>.</w:t>
      </w:r>
    </w:p>
    <w:p w14:paraId="6AC4AD34" w14:textId="77777777" w:rsidR="00CD7E88" w:rsidRDefault="00CD7E88">
      <w:pPr>
        <w:rPr>
          <w:rFonts w:ascii="Times New Roman" w:hAnsi="Times New Roman"/>
          <w:b/>
          <w:bCs/>
          <w:sz w:val="27"/>
          <w:szCs w:val="27"/>
        </w:rPr>
      </w:pPr>
      <w:r>
        <w:br w:type="page"/>
      </w:r>
    </w:p>
    <w:p w14:paraId="09267229" w14:textId="336CAA0E" w:rsidR="009451B3" w:rsidRDefault="009451B3" w:rsidP="00E847D8">
      <w:pPr>
        <w:pStyle w:val="Heading1"/>
      </w:pPr>
      <w:r>
        <w:lastRenderedPageBreak/>
        <w:t xml:space="preserve">MITA </w:t>
      </w:r>
      <w:r w:rsidR="009421C9">
        <w:t xml:space="preserve">Business </w:t>
      </w:r>
      <w:r>
        <w:t>Processes</w:t>
      </w:r>
    </w:p>
    <w:p w14:paraId="08D43603" w14:textId="4B8DBE9C" w:rsidR="00770E04" w:rsidRDefault="00770E04" w:rsidP="00770E04">
      <w:r>
        <w:t>Although the focus of this</w:t>
      </w:r>
      <w:r w:rsidR="005707F2">
        <w:t xml:space="preserve"> document</w:t>
      </w:r>
      <w:r>
        <w:t xml:space="preserve"> is to look at Case Management processes, which falls under the Care Management </w:t>
      </w:r>
      <w:r w:rsidR="00393092">
        <w:t>B</w:t>
      </w:r>
      <w:r>
        <w:t xml:space="preserve">usiness </w:t>
      </w:r>
      <w:r w:rsidR="00393092">
        <w:t>A</w:t>
      </w:r>
      <w:r>
        <w:t xml:space="preserve">rea, we find </w:t>
      </w:r>
      <w:r w:rsidR="000C69CE">
        <w:t xml:space="preserve">important </w:t>
      </w:r>
      <w:r>
        <w:t xml:space="preserve">dependencies to most other business areas. </w:t>
      </w:r>
      <w:r w:rsidR="000C69CE">
        <w:t xml:space="preserve">These dependencies highlight the areas where standard services, or API’s, must be established for modularity to be possible. </w:t>
      </w:r>
      <w:r>
        <w:t>The two figures below show the MITA processes by Business Area.</w:t>
      </w:r>
    </w:p>
    <w:p w14:paraId="394FFA2A" w14:textId="7FF656B5" w:rsidR="00770E04" w:rsidRDefault="00770E04" w:rsidP="0036570D">
      <w:pPr>
        <w:keepNext/>
        <w:jc w:val="center"/>
      </w:pPr>
      <w:r>
        <w:rPr>
          <w:noProof/>
        </w:rPr>
        <w:drawing>
          <wp:inline distT="0" distB="0" distL="0" distR="0" wp14:anchorId="0676D4ED" wp14:editId="73B1A081">
            <wp:extent cx="5759450" cy="3288301"/>
            <wp:effectExtent l="19050" t="19050" r="1270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1221" cy="3295022"/>
                    </a:xfrm>
                    <a:prstGeom prst="rect">
                      <a:avLst/>
                    </a:prstGeom>
                    <a:solidFill>
                      <a:srgbClr val="FFFFFF">
                        <a:shade val="85000"/>
                      </a:srgbClr>
                    </a:solidFill>
                    <a:ln w="9525" cap="sq">
                      <a:solidFill>
                        <a:schemeClr val="tx1"/>
                      </a:solidFill>
                      <a:miter lim="800000"/>
                    </a:ln>
                    <a:effectLst/>
                  </pic:spPr>
                </pic:pic>
              </a:graphicData>
            </a:graphic>
          </wp:inline>
        </w:drawing>
      </w:r>
      <w:r w:rsidR="0036570D">
        <w:t xml:space="preserve"> </w:t>
      </w:r>
    </w:p>
    <w:p w14:paraId="1C7DE121" w14:textId="547445DB" w:rsidR="00770E04" w:rsidRDefault="00770E04" w:rsidP="008B13A5">
      <w:pPr>
        <w:pStyle w:val="Caption"/>
      </w:pPr>
      <w:r>
        <w:t xml:space="preserve">Figure </w:t>
      </w:r>
      <w:fldSimple w:instr=" SEQ Figure \* ARABIC ">
        <w:r w:rsidR="008B13A5">
          <w:rPr>
            <w:noProof/>
          </w:rPr>
          <w:t>3</w:t>
        </w:r>
      </w:fldSimple>
      <w:r>
        <w:t xml:space="preserve"> - MITA Business Processes A</w:t>
      </w:r>
    </w:p>
    <w:p w14:paraId="0BA5F4FB" w14:textId="77777777" w:rsidR="0036570D" w:rsidRPr="0036570D" w:rsidRDefault="0036570D" w:rsidP="0036570D"/>
    <w:p w14:paraId="4FBED4C2" w14:textId="77777777" w:rsidR="00770E04" w:rsidRDefault="00770E04" w:rsidP="00770E04">
      <w:pPr>
        <w:keepNext/>
        <w:jc w:val="center"/>
      </w:pPr>
      <w:r>
        <w:rPr>
          <w:noProof/>
        </w:rPr>
        <w:lastRenderedPageBreak/>
        <w:drawing>
          <wp:inline distT="0" distB="0" distL="0" distR="0" wp14:anchorId="0840293C" wp14:editId="54B0D4ED">
            <wp:extent cx="5765800" cy="2895837"/>
            <wp:effectExtent l="19050" t="19050" r="254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594" cy="2908792"/>
                    </a:xfrm>
                    <a:prstGeom prst="rect">
                      <a:avLst/>
                    </a:prstGeom>
                    <a:ln w="12700">
                      <a:solidFill>
                        <a:schemeClr val="tx1"/>
                      </a:solidFill>
                    </a:ln>
                    <a:effectLst/>
                  </pic:spPr>
                </pic:pic>
              </a:graphicData>
            </a:graphic>
          </wp:inline>
        </w:drawing>
      </w:r>
    </w:p>
    <w:p w14:paraId="7365FB5B" w14:textId="2A350BE6" w:rsidR="00770E04" w:rsidRDefault="00770E04" w:rsidP="008B13A5">
      <w:pPr>
        <w:pStyle w:val="Caption"/>
      </w:pPr>
      <w:r>
        <w:t xml:space="preserve">Figure </w:t>
      </w:r>
      <w:fldSimple w:instr=" SEQ Figure \* ARABIC ">
        <w:r w:rsidR="008B13A5">
          <w:rPr>
            <w:noProof/>
          </w:rPr>
          <w:t>4</w:t>
        </w:r>
      </w:fldSimple>
      <w:r>
        <w:t xml:space="preserve"> - </w:t>
      </w:r>
      <w:r w:rsidRPr="00A157A7">
        <w:t xml:space="preserve">MITA Business Processes </w:t>
      </w:r>
      <w:r>
        <w:t>B</w:t>
      </w:r>
    </w:p>
    <w:p w14:paraId="2CE28816" w14:textId="77777777" w:rsidR="000C69CE" w:rsidRDefault="000C69CE" w:rsidP="00770E04"/>
    <w:p w14:paraId="2F934B63" w14:textId="73CA2461" w:rsidR="0036570D" w:rsidRDefault="0036570D" w:rsidP="00770E04">
      <w:r>
        <w:t xml:space="preserve">The next two figures show the MITA Care Management Business </w:t>
      </w:r>
      <w:r w:rsidR="00393092">
        <w:t>Area p</w:t>
      </w:r>
      <w:r w:rsidR="00CD7E88">
        <w:t>rocesses</w:t>
      </w:r>
      <w:r>
        <w:t xml:space="preserve"> </w:t>
      </w:r>
      <w:r w:rsidR="00393092">
        <w:t xml:space="preserve">and their </w:t>
      </w:r>
      <w:r>
        <w:t>dependencies to other MITA Business Area</w:t>
      </w:r>
      <w:r w:rsidR="00393092">
        <w:t xml:space="preserve"> processes:</w:t>
      </w:r>
    </w:p>
    <w:p w14:paraId="4D48B050" w14:textId="77777777" w:rsidR="0036570D" w:rsidRDefault="00760CA8" w:rsidP="0036570D">
      <w:pPr>
        <w:keepNext/>
        <w:jc w:val="center"/>
      </w:pPr>
      <w:r>
        <w:rPr>
          <w:noProof/>
        </w:rPr>
        <w:drawing>
          <wp:inline distT="0" distB="0" distL="0" distR="0" wp14:anchorId="55FF0C41" wp14:editId="58D7E83D">
            <wp:extent cx="5943600" cy="2823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3845"/>
                    </a:xfrm>
                    <a:prstGeom prst="rect">
                      <a:avLst/>
                    </a:prstGeom>
                  </pic:spPr>
                </pic:pic>
              </a:graphicData>
            </a:graphic>
          </wp:inline>
        </w:drawing>
      </w:r>
    </w:p>
    <w:p w14:paraId="5D48CB65" w14:textId="4E3D4DD5" w:rsidR="009451B3" w:rsidRDefault="0036570D" w:rsidP="008B13A5">
      <w:pPr>
        <w:pStyle w:val="Caption"/>
      </w:pPr>
      <w:r>
        <w:t xml:space="preserve">Figure </w:t>
      </w:r>
      <w:fldSimple w:instr=" SEQ Figure \* ARABIC ">
        <w:r w:rsidR="008B13A5">
          <w:rPr>
            <w:noProof/>
          </w:rPr>
          <w:t>5</w:t>
        </w:r>
      </w:fldSimple>
      <w:r>
        <w:t xml:space="preserve"> - MITA CM Dependencies A</w:t>
      </w:r>
    </w:p>
    <w:p w14:paraId="2C329ED4" w14:textId="77777777" w:rsidR="0036570D" w:rsidRPr="0036570D" w:rsidRDefault="0036570D" w:rsidP="0036570D"/>
    <w:p w14:paraId="6E42E6FF" w14:textId="77777777" w:rsidR="0036570D" w:rsidRDefault="00760CA8" w:rsidP="0036570D">
      <w:pPr>
        <w:keepNext/>
        <w:jc w:val="center"/>
      </w:pPr>
      <w:r>
        <w:rPr>
          <w:noProof/>
        </w:rPr>
        <w:lastRenderedPageBreak/>
        <w:drawing>
          <wp:inline distT="0" distB="0" distL="0" distR="0" wp14:anchorId="0BDEF757" wp14:editId="1533333E">
            <wp:extent cx="5943600" cy="2063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63115"/>
                    </a:xfrm>
                    <a:prstGeom prst="rect">
                      <a:avLst/>
                    </a:prstGeom>
                  </pic:spPr>
                </pic:pic>
              </a:graphicData>
            </a:graphic>
          </wp:inline>
        </w:drawing>
      </w:r>
    </w:p>
    <w:p w14:paraId="76ECCFC3" w14:textId="2EAF7ACA" w:rsidR="00760CA8" w:rsidRDefault="0036570D" w:rsidP="008B13A5">
      <w:pPr>
        <w:pStyle w:val="Caption"/>
      </w:pPr>
      <w:r>
        <w:t xml:space="preserve">Figure </w:t>
      </w:r>
      <w:fldSimple w:instr=" SEQ Figure \* ARABIC ">
        <w:r w:rsidR="008B13A5">
          <w:rPr>
            <w:noProof/>
          </w:rPr>
          <w:t>6</w:t>
        </w:r>
      </w:fldSimple>
      <w:r w:rsidRPr="00BA150D">
        <w:t xml:space="preserve"> - MITA CM Dependencies </w:t>
      </w:r>
      <w:r>
        <w:t>B</w:t>
      </w:r>
    </w:p>
    <w:p w14:paraId="65327E62" w14:textId="5D275D3A" w:rsidR="0036570D" w:rsidRDefault="0036570D" w:rsidP="0036570D"/>
    <w:p w14:paraId="651DE1C2" w14:textId="77777777" w:rsidR="00F84C53" w:rsidRDefault="00F84C53">
      <w:pPr>
        <w:rPr>
          <w:rFonts w:asciiTheme="majorHAnsi" w:eastAsia="Times New Roman" w:hAnsiTheme="majorHAnsi" w:cstheme="majorBidi"/>
          <w:color w:val="2F5496" w:themeColor="accent1" w:themeShade="BF"/>
          <w:sz w:val="32"/>
          <w:szCs w:val="32"/>
        </w:rPr>
      </w:pPr>
      <w:r>
        <w:br w:type="page"/>
      </w:r>
    </w:p>
    <w:p w14:paraId="436CC54C" w14:textId="5F40B582" w:rsidR="007E78B5" w:rsidRDefault="00346993" w:rsidP="00E847D8">
      <w:pPr>
        <w:pStyle w:val="Heading1"/>
      </w:pPr>
      <w:r>
        <w:lastRenderedPageBreak/>
        <w:t>Communications</w:t>
      </w:r>
    </w:p>
    <w:p w14:paraId="7EF15616" w14:textId="3D50BFB7" w:rsidR="00346993" w:rsidRDefault="00346993" w:rsidP="00773247">
      <w:r>
        <w:t xml:space="preserve">Before we begin identifying </w:t>
      </w:r>
      <w:r w:rsidR="007E78B5" w:rsidRPr="00773247">
        <w:t>minim</w:t>
      </w:r>
      <w:r>
        <w:t>um</w:t>
      </w:r>
      <w:r w:rsidR="007E78B5" w:rsidRPr="00773247">
        <w:t xml:space="preserve"> functionality of </w:t>
      </w:r>
      <w:r w:rsidR="00944751" w:rsidRPr="00773247">
        <w:t>services</w:t>
      </w:r>
      <w:r w:rsidR="007E78B5" w:rsidRPr="00773247">
        <w:t xml:space="preserve"> for MES implementations</w:t>
      </w:r>
      <w:r>
        <w:t xml:space="preserve"> we want to identify what means should exist to allow systems to interact.</w:t>
      </w:r>
    </w:p>
    <w:p w14:paraId="5CA738E5" w14:textId="10AA1724" w:rsidR="00346993" w:rsidRDefault="00346993" w:rsidP="00773247">
      <w:r>
        <w:t xml:space="preserve">There are basically </w:t>
      </w:r>
      <w:r w:rsidR="00D77AE7">
        <w:t>three ways systems can communicate with each other</w:t>
      </w:r>
    </w:p>
    <w:p w14:paraId="6846780C" w14:textId="4462E5EA" w:rsidR="00D77AE7" w:rsidRDefault="00D77AE7" w:rsidP="00D77AE7">
      <w:pPr>
        <w:pStyle w:val="ListParagraph"/>
        <w:numPr>
          <w:ilvl w:val="0"/>
          <w:numId w:val="35"/>
        </w:numPr>
      </w:pPr>
      <w:r>
        <w:t>Batch Interface</w:t>
      </w:r>
      <w:r>
        <w:br/>
        <w:t>Best suited to exchange reference data that does not change frequently. One example would be a list of ICD-10 codes.</w:t>
      </w:r>
      <w:r w:rsidR="00F9714F">
        <w:t xml:space="preserve"> This method is not preferred.</w:t>
      </w:r>
    </w:p>
    <w:p w14:paraId="378C2626" w14:textId="4011B0B5" w:rsidR="00D77AE7" w:rsidRDefault="00D77AE7" w:rsidP="00D77AE7">
      <w:pPr>
        <w:pStyle w:val="ListParagraph"/>
        <w:numPr>
          <w:ilvl w:val="0"/>
          <w:numId w:val="35"/>
        </w:numPr>
      </w:pPr>
      <w:r>
        <w:t>Real-Time Interface</w:t>
      </w:r>
      <w:r>
        <w:br/>
        <w:t xml:space="preserve">This type of interface is necessary when requesting time sensitive information or the most accurate data in an </w:t>
      </w:r>
      <w:r w:rsidR="00FC707B">
        <w:t>ever-changing</w:t>
      </w:r>
      <w:r>
        <w:t xml:space="preserve"> environment. One example of this would be a request to see if a client is currently enrolled, or eligible, to receive a service. </w:t>
      </w:r>
    </w:p>
    <w:p w14:paraId="18B4C09D" w14:textId="7CCA59D4" w:rsidR="00521CAA" w:rsidRDefault="00D77AE7" w:rsidP="00FC707B">
      <w:pPr>
        <w:pStyle w:val="ListParagraph"/>
        <w:numPr>
          <w:ilvl w:val="0"/>
          <w:numId w:val="35"/>
        </w:numPr>
      </w:pPr>
      <w:r>
        <w:t>Event Driven Interface</w:t>
      </w:r>
      <w:r>
        <w:br/>
        <w:t xml:space="preserve">This is a key component of any enterprise. When data is changing in multiple systems there is a need for notifying others of changes that could affect their activities. One example would be if a provider was no longer eligible to perform services we would want the Case system to be aware of this as soon as possible. In this type of </w:t>
      </w:r>
      <w:r w:rsidR="00FC707B">
        <w:t>environment,</w:t>
      </w:r>
      <w:r>
        <w:t xml:space="preserve"> a message would be </w:t>
      </w:r>
      <w:r w:rsidR="000F621F">
        <w:t>generated,</w:t>
      </w:r>
      <w:r>
        <w:t xml:space="preserve"> and the Case solution would see the message and process it as needed.</w:t>
      </w:r>
    </w:p>
    <w:p w14:paraId="41D5B0F2" w14:textId="036F4ED3" w:rsidR="00D77AE7" w:rsidRDefault="00124814" w:rsidP="00521CAA">
      <w:r>
        <w:t xml:space="preserve">Solutions can expose functionality in multiple ways to handle these types of communications. Publishing API’s, SOA Services, and </w:t>
      </w:r>
      <w:r w:rsidR="001335B5">
        <w:t xml:space="preserve">a </w:t>
      </w:r>
      <w:r>
        <w:t xml:space="preserve">Messaging </w:t>
      </w:r>
      <w:r w:rsidR="001335B5">
        <w:t>Service</w:t>
      </w:r>
      <w:r w:rsidR="00521CAA">
        <w:t xml:space="preserve"> are a few of the desirable ways</w:t>
      </w:r>
      <w:r>
        <w:t xml:space="preserve">. </w:t>
      </w:r>
      <w:r w:rsidR="00FC707B">
        <w:t>These</w:t>
      </w:r>
      <w:r>
        <w:t xml:space="preserve"> methods are really a layer of abstraction away from the underlying complexity that allows multiple systems to communicate in a standard way. This also enables the realization of a more modular enterprise.</w:t>
      </w:r>
    </w:p>
    <w:p w14:paraId="3BC5CCC0" w14:textId="0F95E0FC" w:rsidR="00124814" w:rsidRDefault="00124814" w:rsidP="00D77AE7"/>
    <w:p w14:paraId="241A471F" w14:textId="77777777" w:rsidR="00F84C53" w:rsidRDefault="00F84C53"/>
    <w:p w14:paraId="7BACCA2E" w14:textId="77777777" w:rsidR="00F84C53" w:rsidRDefault="00F84C53">
      <w:pPr>
        <w:rPr>
          <w:rFonts w:asciiTheme="majorHAnsi" w:eastAsia="Times New Roman" w:hAnsiTheme="majorHAnsi" w:cstheme="majorBidi"/>
          <w:color w:val="2F5496" w:themeColor="accent1" w:themeShade="BF"/>
          <w:sz w:val="32"/>
          <w:szCs w:val="32"/>
        </w:rPr>
      </w:pPr>
      <w:r>
        <w:br w:type="page"/>
      </w:r>
    </w:p>
    <w:p w14:paraId="2F9B36A5" w14:textId="77777777" w:rsidR="00D25057" w:rsidRDefault="00D25057" w:rsidP="00D25057">
      <w:pPr>
        <w:pStyle w:val="Heading1"/>
      </w:pPr>
      <w:r>
        <w:lastRenderedPageBreak/>
        <w:t>High Level Case Management Business Processes</w:t>
      </w:r>
    </w:p>
    <w:p w14:paraId="708C196D" w14:textId="77777777" w:rsidR="00D25057" w:rsidRDefault="00D25057" w:rsidP="00D25057">
      <w:r>
        <w:t xml:space="preserve">As we focus more specifically on case management we find many standards that identify Case Processes. A generally accepted list of </w:t>
      </w:r>
      <w:proofErr w:type="gramStart"/>
      <w:r>
        <w:t>high level</w:t>
      </w:r>
      <w:proofErr w:type="gramEnd"/>
      <w:r>
        <w:t xml:space="preserve"> case functionality includes:</w:t>
      </w:r>
    </w:p>
    <w:p w14:paraId="49B8615C" w14:textId="77777777" w:rsidR="00D25057" w:rsidRDefault="00D25057" w:rsidP="00D25057"/>
    <w:tbl>
      <w:tblPr>
        <w:tblW w:w="9316" w:type="dxa"/>
        <w:tblLook w:val="04A0" w:firstRow="1" w:lastRow="0" w:firstColumn="1" w:lastColumn="0" w:noHBand="0" w:noVBand="1"/>
      </w:tblPr>
      <w:tblGrid>
        <w:gridCol w:w="9316"/>
      </w:tblGrid>
      <w:tr w:rsidR="00D25057" w:rsidRPr="00966386" w14:paraId="47C7827A" w14:textId="77777777" w:rsidTr="00003BCF">
        <w:trPr>
          <w:trHeight w:val="598"/>
        </w:trPr>
        <w:tc>
          <w:tcPr>
            <w:tcW w:w="9316" w:type="dxa"/>
            <w:tcBorders>
              <w:top w:val="nil"/>
              <w:left w:val="nil"/>
              <w:bottom w:val="nil"/>
              <w:right w:val="nil"/>
            </w:tcBorders>
            <w:shd w:val="clear" w:color="000000" w:fill="538DD5"/>
            <w:vAlign w:val="center"/>
            <w:hideMark/>
          </w:tcPr>
          <w:p w14:paraId="417BDC84" w14:textId="77777777" w:rsidR="00D25057" w:rsidRPr="00966386" w:rsidRDefault="00D25057" w:rsidP="00003BCF">
            <w:pPr>
              <w:spacing w:before="0" w:beforeAutospacing="0"/>
              <w:jc w:val="center"/>
              <w:rPr>
                <w:rFonts w:ascii="Calibri" w:eastAsia="Times New Roman" w:hAnsi="Calibri" w:cs="Times New Roman"/>
                <w:b/>
                <w:bCs/>
                <w:color w:val="000000"/>
                <w:sz w:val="36"/>
                <w:szCs w:val="36"/>
              </w:rPr>
            </w:pPr>
            <w:r w:rsidRPr="00966386">
              <w:rPr>
                <w:rFonts w:ascii="Calibri" w:eastAsia="Times New Roman" w:hAnsi="Calibri" w:cs="Times New Roman"/>
                <w:b/>
                <w:bCs/>
                <w:color w:val="000000"/>
                <w:sz w:val="36"/>
                <w:szCs w:val="36"/>
              </w:rPr>
              <w:t>Op-</w:t>
            </w:r>
            <w:proofErr w:type="spellStart"/>
            <w:r w:rsidRPr="00966386">
              <w:rPr>
                <w:rFonts w:ascii="Calibri" w:eastAsia="Times New Roman" w:hAnsi="Calibri" w:cs="Times New Roman"/>
                <w:b/>
                <w:bCs/>
                <w:color w:val="000000"/>
                <w:sz w:val="36"/>
                <w:szCs w:val="36"/>
              </w:rPr>
              <w:t>Pr</w:t>
            </w:r>
            <w:proofErr w:type="spellEnd"/>
            <w:r w:rsidRPr="00966386">
              <w:rPr>
                <w:rFonts w:ascii="Calibri" w:eastAsia="Times New Roman" w:hAnsi="Calibri" w:cs="Times New Roman"/>
                <w:b/>
                <w:bCs/>
                <w:color w:val="000000"/>
                <w:sz w:val="36"/>
                <w:szCs w:val="36"/>
              </w:rPr>
              <w:t xml:space="preserve"> High Level Case and Care Activities Table</w:t>
            </w:r>
          </w:p>
        </w:tc>
      </w:tr>
    </w:tbl>
    <w:p w14:paraId="4BE569F2" w14:textId="77777777" w:rsidR="00D25057" w:rsidRPr="005F5CD8" w:rsidRDefault="00D25057" w:rsidP="00D25057">
      <w:pPr>
        <w:spacing w:before="0" w:beforeAutospacing="0"/>
        <w:rPr>
          <w:sz w:val="2"/>
        </w:rPr>
      </w:pPr>
    </w:p>
    <w:tbl>
      <w:tblPr>
        <w:tblW w:w="9316" w:type="dxa"/>
        <w:tblLook w:val="04A0" w:firstRow="1" w:lastRow="0" w:firstColumn="1" w:lastColumn="0" w:noHBand="0" w:noVBand="1"/>
      </w:tblPr>
      <w:tblGrid>
        <w:gridCol w:w="2048"/>
        <w:gridCol w:w="7268"/>
      </w:tblGrid>
      <w:tr w:rsidR="00D25057" w:rsidRPr="00966386" w14:paraId="424CB5B6" w14:textId="77777777" w:rsidTr="00003BCF">
        <w:trPr>
          <w:trHeight w:val="299"/>
          <w:tblHeader/>
        </w:trPr>
        <w:tc>
          <w:tcPr>
            <w:tcW w:w="2048" w:type="dxa"/>
            <w:tcBorders>
              <w:top w:val="nil"/>
              <w:left w:val="nil"/>
              <w:bottom w:val="single" w:sz="12" w:space="0" w:color="FFFFFF"/>
              <w:right w:val="single" w:sz="4" w:space="0" w:color="FFFFFF"/>
            </w:tcBorders>
            <w:shd w:val="clear" w:color="000000" w:fill="8DB4E2"/>
            <w:vAlign w:val="bottom"/>
            <w:hideMark/>
          </w:tcPr>
          <w:p w14:paraId="3B1E4AC5" w14:textId="77777777" w:rsidR="00D25057" w:rsidRPr="00966386" w:rsidRDefault="00D25057" w:rsidP="00003BCF">
            <w:pPr>
              <w:spacing w:before="0" w:beforeAutospacing="0"/>
              <w:jc w:val="center"/>
              <w:rPr>
                <w:rFonts w:ascii="Calibri" w:eastAsia="Times New Roman" w:hAnsi="Calibri" w:cs="Times New Roman"/>
                <w:b/>
                <w:bCs/>
                <w:color w:val="FFFFFF"/>
                <w:sz w:val="22"/>
                <w:szCs w:val="22"/>
              </w:rPr>
            </w:pPr>
            <w:r w:rsidRPr="00966386">
              <w:rPr>
                <w:rFonts w:ascii="Calibri" w:eastAsia="Times New Roman" w:hAnsi="Calibri" w:cs="Times New Roman"/>
                <w:b/>
                <w:bCs/>
                <w:color w:val="FFFFFF"/>
                <w:sz w:val="22"/>
                <w:szCs w:val="22"/>
              </w:rPr>
              <w:t>Name</w:t>
            </w:r>
          </w:p>
        </w:tc>
        <w:tc>
          <w:tcPr>
            <w:tcW w:w="7268" w:type="dxa"/>
            <w:tcBorders>
              <w:top w:val="nil"/>
              <w:left w:val="single" w:sz="4" w:space="0" w:color="FFFFFF"/>
              <w:bottom w:val="single" w:sz="12" w:space="0" w:color="FFFFFF"/>
              <w:right w:val="nil"/>
            </w:tcBorders>
            <w:shd w:val="clear" w:color="000000" w:fill="8DB4E2"/>
            <w:vAlign w:val="bottom"/>
            <w:hideMark/>
          </w:tcPr>
          <w:p w14:paraId="142749F3" w14:textId="77777777" w:rsidR="00D25057" w:rsidRPr="00966386" w:rsidRDefault="00D25057" w:rsidP="00003BCF">
            <w:pPr>
              <w:spacing w:before="0" w:beforeAutospacing="0"/>
              <w:jc w:val="center"/>
              <w:rPr>
                <w:rFonts w:ascii="Calibri" w:eastAsia="Times New Roman" w:hAnsi="Calibri" w:cs="Times New Roman"/>
                <w:b/>
                <w:bCs/>
                <w:color w:val="FFFFFF"/>
                <w:sz w:val="22"/>
                <w:szCs w:val="22"/>
              </w:rPr>
            </w:pPr>
            <w:r w:rsidRPr="00966386">
              <w:rPr>
                <w:rFonts w:ascii="Calibri" w:eastAsia="Times New Roman" w:hAnsi="Calibri" w:cs="Times New Roman"/>
                <w:b/>
                <w:bCs/>
                <w:color w:val="FFFFFF"/>
                <w:sz w:val="22"/>
                <w:szCs w:val="22"/>
              </w:rPr>
              <w:t>Documentation</w:t>
            </w:r>
          </w:p>
        </w:tc>
      </w:tr>
      <w:tr w:rsidR="00D25057" w:rsidRPr="00966386" w14:paraId="745174AB" w14:textId="77777777" w:rsidTr="00003BCF">
        <w:trPr>
          <w:trHeight w:val="999"/>
        </w:trPr>
        <w:tc>
          <w:tcPr>
            <w:tcW w:w="2048" w:type="dxa"/>
            <w:tcBorders>
              <w:top w:val="single" w:sz="4" w:space="0" w:color="FFFFFF"/>
              <w:left w:val="nil"/>
              <w:bottom w:val="single" w:sz="4" w:space="0" w:color="FFFFFF"/>
              <w:right w:val="single" w:sz="4" w:space="0" w:color="FFFFFF"/>
            </w:tcBorders>
            <w:shd w:val="clear" w:color="B8CCE4" w:fill="B8CCE4"/>
            <w:hideMark/>
          </w:tcPr>
          <w:p w14:paraId="13E3D712" w14:textId="77777777" w:rsidR="00D25057" w:rsidRPr="00966386" w:rsidRDefault="00D25057" w:rsidP="00003BCF">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Case - Initiate</w:t>
            </w:r>
          </w:p>
        </w:tc>
        <w:tc>
          <w:tcPr>
            <w:tcW w:w="7268" w:type="dxa"/>
            <w:tcBorders>
              <w:top w:val="single" w:sz="4" w:space="0" w:color="FFFFFF"/>
              <w:left w:val="single" w:sz="4" w:space="0" w:color="FFFFFF"/>
              <w:bottom w:val="single" w:sz="4" w:space="0" w:color="FFFFFF"/>
              <w:right w:val="nil"/>
            </w:tcBorders>
            <w:shd w:val="clear" w:color="B8CCE4" w:fill="B8CCE4"/>
            <w:hideMark/>
          </w:tcPr>
          <w:p w14:paraId="26BE79C0" w14:textId="77777777" w:rsidR="00D25057" w:rsidRPr="00966386" w:rsidRDefault="00D25057" w:rsidP="00003BCF">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This covers the processing of incoming referrals and other information that are the basis for case creation. </w:t>
            </w:r>
          </w:p>
        </w:tc>
      </w:tr>
      <w:tr w:rsidR="00D25057" w:rsidRPr="00966386" w14:paraId="6752A43E" w14:textId="77777777" w:rsidTr="00003BCF">
        <w:trPr>
          <w:trHeight w:val="999"/>
        </w:trPr>
        <w:tc>
          <w:tcPr>
            <w:tcW w:w="2048" w:type="dxa"/>
            <w:tcBorders>
              <w:top w:val="single" w:sz="4" w:space="0" w:color="FFFFFF"/>
              <w:left w:val="nil"/>
              <w:bottom w:val="single" w:sz="4" w:space="0" w:color="FFFFFF"/>
              <w:right w:val="single" w:sz="4" w:space="0" w:color="FFFFFF"/>
            </w:tcBorders>
            <w:shd w:val="clear" w:color="DCE6F1" w:fill="DCE6F1"/>
            <w:hideMark/>
          </w:tcPr>
          <w:p w14:paraId="73F5AD9E" w14:textId="77777777" w:rsidR="00D25057" w:rsidRPr="00966386" w:rsidRDefault="00D25057" w:rsidP="00003BCF">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Case - Engage</w:t>
            </w:r>
          </w:p>
        </w:tc>
        <w:tc>
          <w:tcPr>
            <w:tcW w:w="7268" w:type="dxa"/>
            <w:tcBorders>
              <w:top w:val="single" w:sz="4" w:space="0" w:color="FFFFFF"/>
              <w:left w:val="single" w:sz="4" w:space="0" w:color="FFFFFF"/>
              <w:bottom w:val="single" w:sz="4" w:space="0" w:color="FFFFFF"/>
              <w:right w:val="nil"/>
            </w:tcBorders>
            <w:shd w:val="clear" w:color="DCE6F1" w:fill="DCE6F1"/>
            <w:hideMark/>
          </w:tcPr>
          <w:p w14:paraId="33127D03" w14:textId="77777777" w:rsidR="00D25057" w:rsidRPr="00966386" w:rsidRDefault="00D25057" w:rsidP="00003BCF">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Successful engagement is the basis of effective case management. Engagement establishes the relationship and sets the ground rules which are enhanced and reviewed throughout the phases of case management. Engagement begins prior to the initial contact between the case manager and the person requiring services, their family and/or career.</w:t>
            </w:r>
          </w:p>
        </w:tc>
      </w:tr>
      <w:tr w:rsidR="00D25057" w:rsidRPr="00966386" w14:paraId="09BCC966" w14:textId="77777777" w:rsidTr="00003BCF">
        <w:trPr>
          <w:trHeight w:val="999"/>
        </w:trPr>
        <w:tc>
          <w:tcPr>
            <w:tcW w:w="2048" w:type="dxa"/>
            <w:tcBorders>
              <w:top w:val="single" w:sz="4" w:space="0" w:color="FFFFFF"/>
              <w:left w:val="single" w:sz="4" w:space="0" w:color="FFFFFF"/>
              <w:bottom w:val="single" w:sz="4" w:space="0" w:color="FFFFFF"/>
              <w:right w:val="single" w:sz="4" w:space="0" w:color="FFFFFF"/>
            </w:tcBorders>
            <w:shd w:val="clear" w:color="B8CCE4" w:fill="B8CCE4"/>
            <w:hideMark/>
          </w:tcPr>
          <w:p w14:paraId="6873DBA7" w14:textId="77777777" w:rsidR="00D25057" w:rsidRPr="00966386" w:rsidRDefault="00D25057" w:rsidP="00003BCF">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Case - Assess</w:t>
            </w:r>
          </w:p>
        </w:tc>
        <w:tc>
          <w:tcPr>
            <w:tcW w:w="7268" w:type="dxa"/>
            <w:tcBorders>
              <w:top w:val="single" w:sz="4" w:space="0" w:color="FFFFFF"/>
              <w:left w:val="single" w:sz="4" w:space="0" w:color="FFFFFF"/>
              <w:bottom w:val="single" w:sz="4" w:space="0" w:color="FFFFFF"/>
              <w:right w:val="nil"/>
            </w:tcBorders>
            <w:shd w:val="clear" w:color="B8CCE4" w:fill="B8CCE4"/>
            <w:hideMark/>
          </w:tcPr>
          <w:p w14:paraId="3FBE7C8B" w14:textId="77777777" w:rsidR="00D25057" w:rsidRPr="00966386" w:rsidRDefault="00D25057" w:rsidP="00003BCF">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Assessment is a dynamic and ongoing process where information is gathered from a range of sources about a person, including their life situation, and formal and informal supports. The range of information is then considered in the context of information and advice from the person with a disability, their family and/or careers and informal supports. Information may be obtained from a range of sources, including written reports or records, verbal reports and observations and impressions of the case manager.</w:t>
            </w:r>
          </w:p>
        </w:tc>
      </w:tr>
      <w:tr w:rsidR="00D25057" w:rsidRPr="00966386" w14:paraId="2C3D080A" w14:textId="77777777" w:rsidTr="00003BCF">
        <w:trPr>
          <w:trHeight w:val="999"/>
        </w:trPr>
        <w:tc>
          <w:tcPr>
            <w:tcW w:w="2048" w:type="dxa"/>
            <w:tcBorders>
              <w:top w:val="single" w:sz="4" w:space="0" w:color="FFFFFF"/>
              <w:left w:val="single" w:sz="4" w:space="0" w:color="FFFFFF"/>
              <w:bottom w:val="single" w:sz="4" w:space="0" w:color="FFFFFF"/>
              <w:right w:val="single" w:sz="4" w:space="0" w:color="FFFFFF"/>
            </w:tcBorders>
            <w:shd w:val="clear" w:color="DCE6F1" w:fill="DCE6F1"/>
            <w:hideMark/>
          </w:tcPr>
          <w:p w14:paraId="2A870CEC" w14:textId="77777777" w:rsidR="00D25057" w:rsidRPr="00966386" w:rsidRDefault="00D25057" w:rsidP="00003BCF">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Case - Plan</w:t>
            </w:r>
          </w:p>
        </w:tc>
        <w:tc>
          <w:tcPr>
            <w:tcW w:w="7268" w:type="dxa"/>
            <w:tcBorders>
              <w:top w:val="single" w:sz="4" w:space="0" w:color="FFFFFF"/>
              <w:left w:val="single" w:sz="4" w:space="0" w:color="FFFFFF"/>
              <w:bottom w:val="single" w:sz="4" w:space="0" w:color="FFFFFF"/>
              <w:right w:val="nil"/>
            </w:tcBorders>
            <w:shd w:val="clear" w:color="DCE6F1" w:fill="DCE6F1"/>
            <w:hideMark/>
          </w:tcPr>
          <w:p w14:paraId="1A077C6C" w14:textId="77777777" w:rsidR="00D25057" w:rsidRPr="00966386" w:rsidRDefault="00D25057" w:rsidP="00003BCF">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The goals, needs and wishes of the client form the basis of a plan. A plan is a map of actions that documents the issues, methods, responsibilities and timeframes needed to meet the identified goals.</w:t>
            </w:r>
          </w:p>
        </w:tc>
      </w:tr>
      <w:tr w:rsidR="00D25057" w:rsidRPr="00966386" w14:paraId="709FF9B0" w14:textId="77777777" w:rsidTr="00003BCF">
        <w:trPr>
          <w:trHeight w:val="999"/>
        </w:trPr>
        <w:tc>
          <w:tcPr>
            <w:tcW w:w="2048" w:type="dxa"/>
            <w:tcBorders>
              <w:top w:val="single" w:sz="4" w:space="0" w:color="FFFFFF"/>
              <w:left w:val="single" w:sz="4" w:space="0" w:color="FFFFFF"/>
              <w:bottom w:val="single" w:sz="4" w:space="0" w:color="FFFFFF"/>
              <w:right w:val="single" w:sz="4" w:space="0" w:color="FFFFFF"/>
            </w:tcBorders>
            <w:shd w:val="clear" w:color="B8CCE4" w:fill="B8CCE4"/>
            <w:hideMark/>
          </w:tcPr>
          <w:p w14:paraId="3C6A2214" w14:textId="77777777" w:rsidR="00D25057" w:rsidRPr="00966386" w:rsidRDefault="00D25057" w:rsidP="00003BCF">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Case - Implement</w:t>
            </w:r>
          </w:p>
        </w:tc>
        <w:tc>
          <w:tcPr>
            <w:tcW w:w="7268" w:type="dxa"/>
            <w:tcBorders>
              <w:top w:val="single" w:sz="4" w:space="0" w:color="FFFFFF"/>
              <w:left w:val="single" w:sz="4" w:space="0" w:color="FFFFFF"/>
              <w:bottom w:val="single" w:sz="4" w:space="0" w:color="FFFFFF"/>
              <w:right w:val="nil"/>
            </w:tcBorders>
            <w:shd w:val="clear" w:color="B8CCE4" w:fill="B8CCE4"/>
            <w:hideMark/>
          </w:tcPr>
          <w:p w14:paraId="4EAA26D1" w14:textId="77777777" w:rsidR="00D25057" w:rsidRPr="00966386" w:rsidRDefault="00D25057" w:rsidP="00003BCF">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Implementation is the process of putting into action the plan developed by the case manager, together with the person, their family and other supporting team members. The aim of implementation is to help the person achieve their goals and desired outcomes, identified in the assessment and planning phases. </w:t>
            </w:r>
          </w:p>
        </w:tc>
      </w:tr>
      <w:tr w:rsidR="00D25057" w:rsidRPr="00966386" w14:paraId="0DB0CC19" w14:textId="77777777" w:rsidTr="00003BCF">
        <w:trPr>
          <w:trHeight w:val="999"/>
        </w:trPr>
        <w:tc>
          <w:tcPr>
            <w:tcW w:w="2048" w:type="dxa"/>
            <w:tcBorders>
              <w:top w:val="single" w:sz="4" w:space="0" w:color="FFFFFF"/>
              <w:left w:val="single" w:sz="4" w:space="0" w:color="FFFFFF"/>
              <w:bottom w:val="single" w:sz="4" w:space="0" w:color="FFFFFF"/>
              <w:right w:val="single" w:sz="4" w:space="0" w:color="FFFFFF"/>
            </w:tcBorders>
            <w:shd w:val="clear" w:color="DCE6F1" w:fill="DCE6F1"/>
            <w:hideMark/>
          </w:tcPr>
          <w:p w14:paraId="443AC601" w14:textId="77777777" w:rsidR="00D25057" w:rsidRPr="00966386" w:rsidRDefault="00D25057" w:rsidP="00003BCF">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Case - Monitor</w:t>
            </w:r>
          </w:p>
        </w:tc>
        <w:tc>
          <w:tcPr>
            <w:tcW w:w="7268" w:type="dxa"/>
            <w:tcBorders>
              <w:top w:val="single" w:sz="4" w:space="0" w:color="FFFFFF"/>
              <w:left w:val="single" w:sz="4" w:space="0" w:color="FFFFFF"/>
              <w:bottom w:val="single" w:sz="4" w:space="0" w:color="FFFFFF"/>
              <w:right w:val="nil"/>
            </w:tcBorders>
            <w:shd w:val="clear" w:color="DCE6F1" w:fill="DCE6F1"/>
            <w:hideMark/>
          </w:tcPr>
          <w:p w14:paraId="1DCAF1F3" w14:textId="77777777" w:rsidR="00D25057" w:rsidRPr="00966386" w:rsidRDefault="00D25057" w:rsidP="00003BCF">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Monitoring is an active and ongoing process where aspects of the planning and implementation phases are reviewed. It identifies the effectiveness and relevance of planned goals, focusing on the timeliness and success of strategies being used to achieve these goals. Additionally, it provides the opportunity to adjust the plan to address any unanticipated problems. </w:t>
            </w:r>
          </w:p>
        </w:tc>
      </w:tr>
      <w:tr w:rsidR="00D25057" w:rsidRPr="00966386" w14:paraId="24C1C39A" w14:textId="77777777" w:rsidTr="00003BCF">
        <w:trPr>
          <w:trHeight w:val="999"/>
        </w:trPr>
        <w:tc>
          <w:tcPr>
            <w:tcW w:w="2048" w:type="dxa"/>
            <w:tcBorders>
              <w:top w:val="single" w:sz="4" w:space="0" w:color="FFFFFF"/>
              <w:left w:val="single" w:sz="4" w:space="0" w:color="FFFFFF"/>
              <w:bottom w:val="single" w:sz="4" w:space="0" w:color="FFFFFF"/>
              <w:right w:val="single" w:sz="4" w:space="0" w:color="FFFFFF"/>
            </w:tcBorders>
            <w:shd w:val="clear" w:color="B8CCE4" w:fill="B8CCE4"/>
            <w:hideMark/>
          </w:tcPr>
          <w:p w14:paraId="5292A63C" w14:textId="77777777" w:rsidR="00D25057" w:rsidRPr="00966386" w:rsidRDefault="00D25057" w:rsidP="00003BCF">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Case - Review</w:t>
            </w:r>
          </w:p>
        </w:tc>
        <w:tc>
          <w:tcPr>
            <w:tcW w:w="7268" w:type="dxa"/>
            <w:tcBorders>
              <w:top w:val="single" w:sz="4" w:space="0" w:color="FFFFFF"/>
              <w:left w:val="single" w:sz="4" w:space="0" w:color="FFFFFF"/>
              <w:bottom w:val="single" w:sz="4" w:space="0" w:color="FFFFFF"/>
              <w:right w:val="nil"/>
            </w:tcBorders>
            <w:shd w:val="clear" w:color="B8CCE4" w:fill="B8CCE4"/>
            <w:hideMark/>
          </w:tcPr>
          <w:p w14:paraId="5F002CC1" w14:textId="77777777" w:rsidR="00D25057" w:rsidRPr="00966386" w:rsidRDefault="00D25057" w:rsidP="00003BCF">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Case management practice involves regular formal and informal review processes. The review phase is important to help ensure that outcomes for people are relevant to their needs and include a focus on community inclusion and participation. The review process should be driven by, and inclusive of, the client and how they feel the process is working. </w:t>
            </w:r>
          </w:p>
        </w:tc>
      </w:tr>
      <w:tr w:rsidR="00D25057" w:rsidRPr="00966386" w14:paraId="022789D5" w14:textId="77777777" w:rsidTr="00003BCF">
        <w:trPr>
          <w:trHeight w:val="999"/>
        </w:trPr>
        <w:tc>
          <w:tcPr>
            <w:tcW w:w="2048" w:type="dxa"/>
            <w:tcBorders>
              <w:top w:val="single" w:sz="4" w:space="0" w:color="FFFFFF"/>
              <w:left w:val="single" w:sz="4" w:space="0" w:color="FFFFFF"/>
              <w:bottom w:val="single" w:sz="4" w:space="0" w:color="FFFFFF"/>
              <w:right w:val="single" w:sz="4" w:space="0" w:color="FFFFFF"/>
            </w:tcBorders>
            <w:shd w:val="clear" w:color="DCE6F1" w:fill="DCE6F1"/>
            <w:hideMark/>
          </w:tcPr>
          <w:p w14:paraId="3879BC78" w14:textId="77777777" w:rsidR="00D25057" w:rsidRPr="00966386" w:rsidRDefault="00D25057" w:rsidP="00003BCF">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lastRenderedPageBreak/>
              <w:t>Case - Transition</w:t>
            </w:r>
          </w:p>
        </w:tc>
        <w:tc>
          <w:tcPr>
            <w:tcW w:w="7268" w:type="dxa"/>
            <w:tcBorders>
              <w:top w:val="single" w:sz="4" w:space="0" w:color="FFFFFF"/>
              <w:left w:val="single" w:sz="4" w:space="0" w:color="FFFFFF"/>
              <w:bottom w:val="single" w:sz="4" w:space="0" w:color="FFFFFF"/>
              <w:right w:val="nil"/>
            </w:tcBorders>
            <w:shd w:val="clear" w:color="DCE6F1" w:fill="DCE6F1"/>
            <w:hideMark/>
          </w:tcPr>
          <w:p w14:paraId="3140130C" w14:textId="77777777" w:rsidR="00D25057" w:rsidRPr="00966386" w:rsidRDefault="00D25057" w:rsidP="00003BCF">
            <w:pPr>
              <w:keepLines/>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Transition can occur for many reasons and involves creating a plan with the clients and other supports to insure they receive the care needed. This could happen when a client has reached the goals applicable to the services being rendered or is no longer eligible. In these cases, clients are generally referred to other resources for continued assistance.</w:t>
            </w:r>
          </w:p>
        </w:tc>
      </w:tr>
      <w:tr w:rsidR="00D25057" w:rsidRPr="00966386" w14:paraId="77E1D379" w14:textId="77777777" w:rsidTr="00003BCF">
        <w:trPr>
          <w:trHeight w:val="999"/>
        </w:trPr>
        <w:tc>
          <w:tcPr>
            <w:tcW w:w="2048" w:type="dxa"/>
            <w:tcBorders>
              <w:top w:val="single" w:sz="4" w:space="0" w:color="FFFFFF"/>
              <w:left w:val="single" w:sz="4" w:space="0" w:color="FFFFFF"/>
              <w:bottom w:val="single" w:sz="4" w:space="0" w:color="FFFFFF"/>
              <w:right w:val="single" w:sz="4" w:space="0" w:color="FFFFFF"/>
            </w:tcBorders>
            <w:shd w:val="clear" w:color="B8CCE4" w:fill="B8CCE4"/>
            <w:hideMark/>
          </w:tcPr>
          <w:p w14:paraId="41DF5505" w14:textId="77777777" w:rsidR="00D25057" w:rsidRPr="00966386" w:rsidRDefault="00D25057" w:rsidP="00003BCF">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Case - Close</w:t>
            </w:r>
          </w:p>
        </w:tc>
        <w:tc>
          <w:tcPr>
            <w:tcW w:w="7268" w:type="dxa"/>
            <w:tcBorders>
              <w:top w:val="single" w:sz="4" w:space="0" w:color="FFFFFF"/>
              <w:left w:val="single" w:sz="4" w:space="0" w:color="FFFFFF"/>
              <w:bottom w:val="single" w:sz="4" w:space="0" w:color="FFFFFF"/>
              <w:right w:val="nil"/>
            </w:tcBorders>
            <w:shd w:val="clear" w:color="B8CCE4" w:fill="B8CCE4"/>
            <w:hideMark/>
          </w:tcPr>
          <w:p w14:paraId="2FCD73D7" w14:textId="77777777" w:rsidR="00D25057" w:rsidRPr="00966386" w:rsidRDefault="00D25057" w:rsidP="00003BCF">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Cessation of involvement by a case manager or the closure of a case may be influenced by many factors. These factors may relate to organizational or agency requirements in which a limited time frame is identified for the case manager involvement with any one client. This may raise significant concerns or questions as to the appropriateness of terminating contact. The decision as to whether to cease involvement or close the relationship can be influenced by </w:t>
            </w:r>
            <w:proofErr w:type="gramStart"/>
            <w:r w:rsidRPr="00966386">
              <w:rPr>
                <w:rFonts w:ascii="Calibri" w:eastAsia="Times New Roman" w:hAnsi="Calibri" w:cs="Times New Roman"/>
                <w:color w:val="000000"/>
                <w:sz w:val="22"/>
                <w:szCs w:val="22"/>
              </w:rPr>
              <w:t>a number of</w:t>
            </w:r>
            <w:proofErr w:type="gramEnd"/>
            <w:r w:rsidRPr="00966386">
              <w:rPr>
                <w:rFonts w:ascii="Calibri" w:eastAsia="Times New Roman" w:hAnsi="Calibri" w:cs="Times New Roman"/>
                <w:color w:val="000000"/>
                <w:sz w:val="22"/>
                <w:szCs w:val="22"/>
              </w:rPr>
              <w:t xml:space="preserve"> factors.</w:t>
            </w:r>
          </w:p>
        </w:tc>
      </w:tr>
      <w:tr w:rsidR="00D25057" w:rsidRPr="00966386" w14:paraId="55C98965" w14:textId="77777777" w:rsidTr="00003BCF">
        <w:trPr>
          <w:trHeight w:val="999"/>
        </w:trPr>
        <w:tc>
          <w:tcPr>
            <w:tcW w:w="2048" w:type="dxa"/>
            <w:tcBorders>
              <w:top w:val="single" w:sz="4" w:space="0" w:color="FFFFFF"/>
              <w:left w:val="single" w:sz="4" w:space="0" w:color="FFFFFF"/>
              <w:bottom w:val="single" w:sz="4" w:space="0" w:color="FFFFFF"/>
              <w:right w:val="single" w:sz="4" w:space="0" w:color="FFFFFF"/>
            </w:tcBorders>
            <w:shd w:val="clear" w:color="DCE6F1" w:fill="DCE6F1"/>
            <w:hideMark/>
          </w:tcPr>
          <w:p w14:paraId="2D7AB707" w14:textId="77777777" w:rsidR="00D25057" w:rsidRPr="00966386" w:rsidRDefault="00D25057" w:rsidP="00003BCF">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Case - Analyze</w:t>
            </w:r>
          </w:p>
        </w:tc>
        <w:tc>
          <w:tcPr>
            <w:tcW w:w="7268" w:type="dxa"/>
            <w:tcBorders>
              <w:top w:val="single" w:sz="4" w:space="0" w:color="FFFFFF"/>
              <w:left w:val="single" w:sz="4" w:space="0" w:color="FFFFFF"/>
              <w:bottom w:val="single" w:sz="4" w:space="0" w:color="FFFFFF"/>
              <w:right w:val="nil"/>
            </w:tcBorders>
            <w:shd w:val="clear" w:color="DCE6F1" w:fill="DCE6F1"/>
            <w:hideMark/>
          </w:tcPr>
          <w:p w14:paraId="57CC5AF0" w14:textId="77777777" w:rsidR="00D25057" w:rsidRPr="00966386" w:rsidRDefault="00D25057" w:rsidP="00003BCF">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Analyze data to determine where evidence shows changes are needed to improve outcomes, to detect fraud, and to verify utilization of services.</w:t>
            </w:r>
          </w:p>
        </w:tc>
      </w:tr>
      <w:tr w:rsidR="00D25057" w:rsidRPr="00966386" w14:paraId="5C95E3F8" w14:textId="77777777" w:rsidTr="00003BCF">
        <w:trPr>
          <w:trHeight w:val="999"/>
        </w:trPr>
        <w:tc>
          <w:tcPr>
            <w:tcW w:w="2048" w:type="dxa"/>
            <w:tcBorders>
              <w:top w:val="single" w:sz="4" w:space="0" w:color="FFFFFF"/>
              <w:left w:val="single" w:sz="4" w:space="0" w:color="FFFFFF"/>
              <w:bottom w:val="nil"/>
              <w:right w:val="single" w:sz="4" w:space="0" w:color="FFFFFF"/>
            </w:tcBorders>
            <w:shd w:val="clear" w:color="B8CCE4" w:fill="B8CCE4"/>
            <w:hideMark/>
          </w:tcPr>
          <w:p w14:paraId="2FA8CA39" w14:textId="77777777" w:rsidR="00D25057" w:rsidRPr="00966386" w:rsidRDefault="00D25057" w:rsidP="00003BCF">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Case - Supports</w:t>
            </w:r>
          </w:p>
        </w:tc>
        <w:tc>
          <w:tcPr>
            <w:tcW w:w="7268" w:type="dxa"/>
            <w:tcBorders>
              <w:top w:val="single" w:sz="4" w:space="0" w:color="FFFFFF"/>
              <w:left w:val="single" w:sz="4" w:space="0" w:color="FFFFFF"/>
              <w:bottom w:val="nil"/>
              <w:right w:val="nil"/>
            </w:tcBorders>
            <w:shd w:val="clear" w:color="B8CCE4" w:fill="B8CCE4"/>
            <w:hideMark/>
          </w:tcPr>
          <w:p w14:paraId="7962C113" w14:textId="77777777" w:rsidR="00D25057" w:rsidRPr="00966386" w:rsidRDefault="00D25057" w:rsidP="00003BCF">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There are many supporting functions necessary for enabling the care and case functionality. Managing reference data, security, auditing, and historical data are just a few areas of concern.</w:t>
            </w:r>
          </w:p>
        </w:tc>
      </w:tr>
    </w:tbl>
    <w:p w14:paraId="7D579AD9" w14:textId="77777777" w:rsidR="00D25057" w:rsidRDefault="00D25057" w:rsidP="00D25057"/>
    <w:p w14:paraId="24DC7D68" w14:textId="77777777" w:rsidR="00D25057" w:rsidRDefault="00D25057" w:rsidP="00D25057"/>
    <w:p w14:paraId="39C3BAF3" w14:textId="77777777" w:rsidR="00D25057" w:rsidRDefault="00D25057" w:rsidP="00D25057">
      <w:r>
        <w:t xml:space="preserve">Tracing each process in any system that is part of the Medicaid enterprise is essential in identifying the areas where standards are needed. Without this analysis and the development of the standards around information and processes to be exposed the desired level of modularity will be difficult to obtain. </w:t>
      </w:r>
    </w:p>
    <w:p w14:paraId="24E7D0A6" w14:textId="77777777" w:rsidR="00D25057" w:rsidRDefault="00D25057" w:rsidP="00D25057">
      <w:r>
        <w:t>The next two figures we have traced the high-level case processes to the applicable MITA Business Processes. The results are shown in the following two figures:</w:t>
      </w:r>
    </w:p>
    <w:p w14:paraId="6C3C3802" w14:textId="77777777" w:rsidR="00D25057" w:rsidRDefault="00D25057" w:rsidP="00D25057"/>
    <w:p w14:paraId="5D3D9E69" w14:textId="77777777" w:rsidR="00D25057" w:rsidRDefault="00D25057" w:rsidP="00D25057">
      <w:pPr>
        <w:keepNext/>
        <w:jc w:val="center"/>
      </w:pPr>
      <w:r>
        <w:rPr>
          <w:noProof/>
        </w:rPr>
        <w:lastRenderedPageBreak/>
        <w:drawing>
          <wp:inline distT="0" distB="0" distL="0" distR="0" wp14:anchorId="662CAF86" wp14:editId="5B569AFE">
            <wp:extent cx="5943600" cy="3152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2140"/>
                    </a:xfrm>
                    <a:prstGeom prst="rect">
                      <a:avLst/>
                    </a:prstGeom>
                  </pic:spPr>
                </pic:pic>
              </a:graphicData>
            </a:graphic>
          </wp:inline>
        </w:drawing>
      </w:r>
    </w:p>
    <w:p w14:paraId="1FF2FB63" w14:textId="3C9AB800" w:rsidR="00D25057" w:rsidRDefault="00D25057" w:rsidP="008B13A5">
      <w:pPr>
        <w:pStyle w:val="Caption"/>
      </w:pPr>
      <w:r>
        <w:t xml:space="preserve">Figure </w:t>
      </w:r>
      <w:fldSimple w:instr=" SEQ Figure \* ARABIC ">
        <w:r w:rsidR="008B13A5">
          <w:rPr>
            <w:noProof/>
          </w:rPr>
          <w:t>7</w:t>
        </w:r>
      </w:fldSimple>
      <w:r>
        <w:t xml:space="preserve"> </w:t>
      </w:r>
      <w:r w:rsidRPr="00112852">
        <w:t>- Case to MITA Business Processes A</w:t>
      </w:r>
    </w:p>
    <w:p w14:paraId="47A2C541" w14:textId="77777777" w:rsidR="00D25057" w:rsidRDefault="00D25057" w:rsidP="00D25057"/>
    <w:p w14:paraId="4A76229C" w14:textId="77777777" w:rsidR="00D25057" w:rsidRDefault="00D25057" w:rsidP="00D25057">
      <w:pPr>
        <w:keepNext/>
        <w:jc w:val="center"/>
      </w:pPr>
      <w:r>
        <w:rPr>
          <w:noProof/>
        </w:rPr>
        <w:drawing>
          <wp:inline distT="0" distB="0" distL="0" distR="0" wp14:anchorId="2484F105" wp14:editId="1B1F1221">
            <wp:extent cx="5943600" cy="2535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35555"/>
                    </a:xfrm>
                    <a:prstGeom prst="rect">
                      <a:avLst/>
                    </a:prstGeom>
                  </pic:spPr>
                </pic:pic>
              </a:graphicData>
            </a:graphic>
          </wp:inline>
        </w:drawing>
      </w:r>
    </w:p>
    <w:p w14:paraId="311A85E7" w14:textId="4C3AD638" w:rsidR="00D25057" w:rsidRPr="000C69CE" w:rsidRDefault="00D25057" w:rsidP="008B13A5">
      <w:pPr>
        <w:pStyle w:val="Caption"/>
      </w:pPr>
      <w:r>
        <w:t xml:space="preserve">Figure </w:t>
      </w:r>
      <w:fldSimple w:instr=" SEQ Figure \* ARABIC ">
        <w:r w:rsidR="008B13A5">
          <w:rPr>
            <w:noProof/>
          </w:rPr>
          <w:t>8</w:t>
        </w:r>
      </w:fldSimple>
      <w:r w:rsidRPr="003F387F">
        <w:t xml:space="preserve"> - Case to MITA Business Processes B</w:t>
      </w:r>
    </w:p>
    <w:p w14:paraId="618FB07A" w14:textId="77777777" w:rsidR="00D25057" w:rsidRDefault="00D25057" w:rsidP="008B13A5">
      <w:pPr>
        <w:pStyle w:val="Caption"/>
      </w:pPr>
    </w:p>
    <w:p w14:paraId="6072360C" w14:textId="77777777" w:rsidR="00D25057" w:rsidRDefault="00D25057" w:rsidP="00D25057">
      <w:pPr>
        <w:keepNext/>
        <w:jc w:val="center"/>
      </w:pPr>
    </w:p>
    <w:p w14:paraId="1890629F" w14:textId="77777777" w:rsidR="00D25057" w:rsidRDefault="00D25057" w:rsidP="00D25057">
      <w:pPr>
        <w:keepNext/>
        <w:jc w:val="center"/>
      </w:pPr>
    </w:p>
    <w:p w14:paraId="762435B1" w14:textId="77777777" w:rsidR="00D25057" w:rsidRDefault="00D25057" w:rsidP="00D25057">
      <w:r>
        <w:br w:type="page"/>
      </w:r>
    </w:p>
    <w:p w14:paraId="1CFF7C1E" w14:textId="4A8E39E6" w:rsidR="00C808F4" w:rsidRDefault="00816F45" w:rsidP="00E847D8">
      <w:pPr>
        <w:pStyle w:val="Heading1"/>
      </w:pPr>
      <w:r>
        <w:lastRenderedPageBreak/>
        <w:t>System Dependencies</w:t>
      </w:r>
    </w:p>
    <w:p w14:paraId="4D500BB7" w14:textId="03E3482F" w:rsidR="00816F45" w:rsidRPr="00816F45" w:rsidRDefault="00816F45" w:rsidP="00816F45">
      <w:pPr>
        <w:ind w:left="360"/>
      </w:pPr>
      <w:r>
        <w:t xml:space="preserve">When you look at Care and Case Management </w:t>
      </w:r>
      <w:r w:rsidR="00D92AE4">
        <w:t xml:space="preserve">processes </w:t>
      </w:r>
      <w:r>
        <w:t xml:space="preserve">you find that there are many dependencies required within the Medicaid enterprise. We will break down these individual </w:t>
      </w:r>
      <w:r w:rsidR="00C135D0">
        <w:t xml:space="preserve">dependencies </w:t>
      </w:r>
      <w:r w:rsidR="00286CCC">
        <w:t xml:space="preserve">where they apply and </w:t>
      </w:r>
      <w:r>
        <w:t>outline the necessary services required to allow these components to communicate.</w:t>
      </w:r>
    </w:p>
    <w:p w14:paraId="1F40B7EF" w14:textId="77777777" w:rsidR="00E31FAA" w:rsidRDefault="00E31FAA" w:rsidP="00E31FAA">
      <w:pPr>
        <w:keepNext/>
        <w:ind w:left="360"/>
        <w:jc w:val="center"/>
      </w:pPr>
      <w:r>
        <w:rPr>
          <w:noProof/>
        </w:rPr>
        <w:drawing>
          <wp:inline distT="0" distB="0" distL="0" distR="0" wp14:anchorId="75B292AB" wp14:editId="3EC24A96">
            <wp:extent cx="5943600" cy="3667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67760"/>
                    </a:xfrm>
                    <a:prstGeom prst="rect">
                      <a:avLst/>
                    </a:prstGeom>
                  </pic:spPr>
                </pic:pic>
              </a:graphicData>
            </a:graphic>
          </wp:inline>
        </w:drawing>
      </w:r>
    </w:p>
    <w:p w14:paraId="06211E91" w14:textId="10D4C779" w:rsidR="00816F45" w:rsidRDefault="00E31FAA" w:rsidP="008B13A5">
      <w:pPr>
        <w:pStyle w:val="Caption"/>
      </w:pPr>
      <w:r>
        <w:t xml:space="preserve">Figure </w:t>
      </w:r>
      <w:fldSimple w:instr=" SEQ Figure \* ARABIC ">
        <w:r w:rsidR="008B13A5">
          <w:rPr>
            <w:noProof/>
          </w:rPr>
          <w:t>9</w:t>
        </w:r>
      </w:fldSimple>
      <w:r>
        <w:t xml:space="preserve"> </w:t>
      </w:r>
      <w:r w:rsidR="001A23CB">
        <w:t>–</w:t>
      </w:r>
      <w:r>
        <w:t xml:space="preserve"> </w:t>
      </w:r>
      <w:r w:rsidR="001A23CB">
        <w:t xml:space="preserve">High Level </w:t>
      </w:r>
      <w:r>
        <w:t>Care and Case Dependencies</w:t>
      </w:r>
    </w:p>
    <w:p w14:paraId="4E200367" w14:textId="77777777" w:rsidR="00834B2F" w:rsidRDefault="001A23CB" w:rsidP="00834B2F">
      <w:r>
        <w:t>From the image above its easy to see how interconnected the systems that make up Human Services can be. It is essential that the proper sub-systems are in place to make the migration to a common modular future state possible, progress in a logical fashion, and reusable.</w:t>
      </w:r>
    </w:p>
    <w:p w14:paraId="5FA8FD55" w14:textId="77777777" w:rsidR="00834B2F" w:rsidRDefault="00834B2F" w:rsidP="00834B2F"/>
    <w:p w14:paraId="65BE9302" w14:textId="700412CC" w:rsidR="00834B2F" w:rsidRDefault="008B193F" w:rsidP="00834B2F">
      <w:pPr>
        <w:pStyle w:val="Heading2"/>
      </w:pPr>
      <w:r>
        <w:t>Foundational Dependencies</w:t>
      </w:r>
    </w:p>
    <w:p w14:paraId="4644AF81" w14:textId="77777777" w:rsidR="008B13A5" w:rsidRDefault="00834B2F" w:rsidP="00834B2F">
      <w:r>
        <w:t xml:space="preserve">The image below shows a sample of how systems and their dependencies build on each other. </w:t>
      </w:r>
    </w:p>
    <w:p w14:paraId="0AFC2DDF" w14:textId="3BA50F31" w:rsidR="00206A6D" w:rsidRDefault="00834B2F" w:rsidP="00834B2F">
      <w:r>
        <w:t>At the root of any effort is the necessity of policy and governance to set the stage for all future efforts. Management of data begins with, and is the realization of, policy and governance.</w:t>
      </w:r>
    </w:p>
    <w:p w14:paraId="135F15F7" w14:textId="5E1DCFE9" w:rsidR="00206A6D" w:rsidRDefault="008B13A5" w:rsidP="00834B2F">
      <w:r>
        <w:t xml:space="preserve">Moving up, the next layer contains </w:t>
      </w:r>
      <w:r w:rsidR="00206A6D">
        <w:t>base infrastructure requirements and common components required to enable and support the enterprise. The components at this level implement the common functions such as rules, workflows, and security.</w:t>
      </w:r>
    </w:p>
    <w:p w14:paraId="73F79293" w14:textId="77777777" w:rsidR="00206A6D" w:rsidRDefault="00206A6D" w:rsidP="00834B2F"/>
    <w:p w14:paraId="6F90A199" w14:textId="77777777" w:rsidR="008B13A5" w:rsidRDefault="008B13A5" w:rsidP="00834B2F">
      <w:r>
        <w:t>The next layer enables the business of providing services. This includes all the tool for analysis, management of business information (such as plans), and financial processing.</w:t>
      </w:r>
    </w:p>
    <w:p w14:paraId="67521198" w14:textId="060453EE" w:rsidR="00834B2F" w:rsidRDefault="008B13A5" w:rsidP="00834B2F">
      <w:r>
        <w:t xml:space="preserve">The uppermost layer contains the modules that allow us to directly engage with those who have a need. Here we manage and implement the processes necessary to support individuals. </w:t>
      </w:r>
      <w:r w:rsidR="00206A6D">
        <w:t xml:space="preserve">    </w:t>
      </w:r>
      <w:r w:rsidR="00834B2F">
        <w:t xml:space="preserve">    </w:t>
      </w:r>
    </w:p>
    <w:p w14:paraId="17497539" w14:textId="77777777" w:rsidR="008B13A5" w:rsidRDefault="008B193F" w:rsidP="008B13A5">
      <w:pPr>
        <w:keepNext/>
        <w:ind w:left="360"/>
      </w:pPr>
      <w:r>
        <w:rPr>
          <w:noProof/>
        </w:rPr>
        <w:drawing>
          <wp:inline distT="0" distB="0" distL="0" distR="0" wp14:anchorId="7732A77B" wp14:editId="77AC5755">
            <wp:extent cx="4743450" cy="16779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3676" cy="1695712"/>
                    </a:xfrm>
                    <a:prstGeom prst="rect">
                      <a:avLst/>
                    </a:prstGeom>
                  </pic:spPr>
                </pic:pic>
              </a:graphicData>
            </a:graphic>
          </wp:inline>
        </w:drawing>
      </w:r>
      <w:r>
        <w:br/>
      </w:r>
      <w:r>
        <w:rPr>
          <w:noProof/>
        </w:rPr>
        <w:drawing>
          <wp:inline distT="0" distB="0" distL="0" distR="0" wp14:anchorId="74CB2D0C" wp14:editId="6D63B5B3">
            <wp:extent cx="4743450" cy="464462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9904" cy="4680324"/>
                    </a:xfrm>
                    <a:prstGeom prst="rect">
                      <a:avLst/>
                    </a:prstGeom>
                  </pic:spPr>
                </pic:pic>
              </a:graphicData>
            </a:graphic>
          </wp:inline>
        </w:drawing>
      </w:r>
    </w:p>
    <w:p w14:paraId="1559C4D3" w14:textId="30876C6C" w:rsidR="008B193F" w:rsidRDefault="008B13A5" w:rsidP="008B13A5">
      <w:pPr>
        <w:pStyle w:val="Caption"/>
      </w:pPr>
      <w:r>
        <w:t xml:space="preserve">Figure </w:t>
      </w:r>
      <w:fldSimple w:instr=" SEQ Figure \* ARABIC ">
        <w:r>
          <w:rPr>
            <w:noProof/>
          </w:rPr>
          <w:t>10</w:t>
        </w:r>
      </w:fldSimple>
      <w:r>
        <w:t xml:space="preserve"> - Enterprise Module Foundation</w:t>
      </w:r>
    </w:p>
    <w:sectPr w:rsidR="008B193F" w:rsidSect="00462E7B">
      <w:headerReference w:type="even" r:id="rId19"/>
      <w:headerReference w:type="default" r:id="rId20"/>
      <w:footerReference w:type="even" r:id="rId21"/>
      <w:footerReference w:type="default" r:id="rId22"/>
      <w:headerReference w:type="first" r:id="rId23"/>
      <w:footerReference w:type="first" r:id="rId24"/>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BA7BC" w14:textId="77777777" w:rsidR="0032636D" w:rsidRDefault="0032636D">
      <w:r>
        <w:separator/>
      </w:r>
    </w:p>
  </w:endnote>
  <w:endnote w:type="continuationSeparator" w:id="0">
    <w:p w14:paraId="26DCA1C9" w14:textId="77777777" w:rsidR="0032636D" w:rsidRDefault="003263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773213" w14:textId="77777777" w:rsidR="002B6985" w:rsidRDefault="002B69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CFA86" w14:textId="77777777" w:rsidR="002B6985" w:rsidRDefault="002B69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973D2" w14:textId="77777777" w:rsidR="002B6985" w:rsidRDefault="002B69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37D0B5" w14:textId="77777777" w:rsidR="0032636D" w:rsidRDefault="0032636D">
      <w:r>
        <w:separator/>
      </w:r>
    </w:p>
  </w:footnote>
  <w:footnote w:type="continuationSeparator" w:id="0">
    <w:p w14:paraId="5E245EDE" w14:textId="77777777" w:rsidR="0032636D" w:rsidRDefault="003263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65BD9" w14:textId="6A90DCA5" w:rsidR="002B6985" w:rsidRDefault="0032636D">
    <w:pPr>
      <w:pStyle w:val="Header"/>
    </w:pPr>
    <w:r>
      <w:rPr>
        <w:noProof/>
      </w:rPr>
      <w:pict w14:anchorId="2BBF72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94.9pt;height:164.95pt;rotation:315;z-index:-251655168;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7AEC3" w14:textId="190AE9A7" w:rsidR="002B6985" w:rsidRDefault="0032636D">
    <w:pPr>
      <w:pStyle w:val="Header"/>
    </w:pPr>
    <w:r>
      <w:rPr>
        <w:noProof/>
      </w:rPr>
      <w:pict w14:anchorId="310B49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94.9pt;height:164.95pt;rotation:315;z-index:-251657216;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953326" w14:textId="3939C069" w:rsidR="002B6985" w:rsidRDefault="0032636D">
    <w:pPr>
      <w:pStyle w:val="Header"/>
    </w:pPr>
    <w:r>
      <w:rPr>
        <w:noProof/>
      </w:rPr>
      <w:pict w14:anchorId="7BBA682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94.9pt;height:164.95pt;rotation:315;z-index:-251653120;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F1EC4"/>
    <w:multiLevelType w:val="multilevel"/>
    <w:tmpl w:val="D6947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3494C"/>
    <w:multiLevelType w:val="hybridMultilevel"/>
    <w:tmpl w:val="D3EECB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026F64"/>
    <w:multiLevelType w:val="multilevel"/>
    <w:tmpl w:val="353A7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7604B0"/>
    <w:multiLevelType w:val="multilevel"/>
    <w:tmpl w:val="DA523B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E947336"/>
    <w:multiLevelType w:val="hybridMultilevel"/>
    <w:tmpl w:val="4AE4A5DC"/>
    <w:lvl w:ilvl="0" w:tplc="C2F84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BB5029"/>
    <w:multiLevelType w:val="multilevel"/>
    <w:tmpl w:val="0436E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2176F0"/>
    <w:multiLevelType w:val="hybridMultilevel"/>
    <w:tmpl w:val="715EB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A0300C"/>
    <w:multiLevelType w:val="hybridMultilevel"/>
    <w:tmpl w:val="EB0A6BEA"/>
    <w:lvl w:ilvl="0" w:tplc="1624C354">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2375D5"/>
    <w:multiLevelType w:val="multilevel"/>
    <w:tmpl w:val="5AE432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6B959E2"/>
    <w:multiLevelType w:val="multilevel"/>
    <w:tmpl w:val="0FBA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1A041B"/>
    <w:multiLevelType w:val="multilevel"/>
    <w:tmpl w:val="7122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332586"/>
    <w:multiLevelType w:val="hybridMultilevel"/>
    <w:tmpl w:val="1EA635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BD1880"/>
    <w:multiLevelType w:val="multilevel"/>
    <w:tmpl w:val="24400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DC4DE2"/>
    <w:multiLevelType w:val="multilevel"/>
    <w:tmpl w:val="29642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FA1A3F"/>
    <w:multiLevelType w:val="multilevel"/>
    <w:tmpl w:val="4E3EF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016714"/>
    <w:multiLevelType w:val="multilevel"/>
    <w:tmpl w:val="6012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9035B6"/>
    <w:multiLevelType w:val="multilevel"/>
    <w:tmpl w:val="958A76C2"/>
    <w:lvl w:ilvl="0">
      <w:start w:val="8"/>
      <w:numFmt w:val="decimal"/>
      <w:lvlText w:val="%1"/>
      <w:lvlJc w:val="left"/>
      <w:pPr>
        <w:ind w:left="405" w:hanging="405"/>
      </w:pPr>
      <w:rPr>
        <w:rFonts w:hint="default"/>
      </w:rPr>
    </w:lvl>
    <w:lvl w:ilvl="1">
      <w:start w:val="1"/>
      <w:numFmt w:val="decima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FF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94A7ED1"/>
    <w:multiLevelType w:val="multilevel"/>
    <w:tmpl w:val="CB46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6835B2"/>
    <w:multiLevelType w:val="hybridMultilevel"/>
    <w:tmpl w:val="D012BBAE"/>
    <w:lvl w:ilvl="0" w:tplc="8F3C849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E6D2D60"/>
    <w:multiLevelType w:val="multilevel"/>
    <w:tmpl w:val="0602E5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0D72721"/>
    <w:multiLevelType w:val="multilevel"/>
    <w:tmpl w:val="B6B2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852A22"/>
    <w:multiLevelType w:val="hybridMultilevel"/>
    <w:tmpl w:val="468840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A33432"/>
    <w:multiLevelType w:val="multilevel"/>
    <w:tmpl w:val="5240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7F53CE"/>
    <w:multiLevelType w:val="multilevel"/>
    <w:tmpl w:val="7A9C2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5B6AB2"/>
    <w:multiLevelType w:val="multilevel"/>
    <w:tmpl w:val="FA04F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D5E4E5D"/>
    <w:multiLevelType w:val="multilevel"/>
    <w:tmpl w:val="3AC4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F5230BD"/>
    <w:multiLevelType w:val="multilevel"/>
    <w:tmpl w:val="0CB61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DC598C"/>
    <w:multiLevelType w:val="multilevel"/>
    <w:tmpl w:val="37AA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8A6EE6"/>
    <w:multiLevelType w:val="hybridMultilevel"/>
    <w:tmpl w:val="4078A70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CB1352B"/>
    <w:multiLevelType w:val="hybridMultilevel"/>
    <w:tmpl w:val="ECF89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2145D50"/>
    <w:multiLevelType w:val="hybridMultilevel"/>
    <w:tmpl w:val="22ACA3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2F0569D"/>
    <w:multiLevelType w:val="hybridMultilevel"/>
    <w:tmpl w:val="36C457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616102"/>
    <w:multiLevelType w:val="hybridMultilevel"/>
    <w:tmpl w:val="B2C015BA"/>
    <w:lvl w:ilvl="0" w:tplc="C530477A">
      <w:start w:val="1"/>
      <w:numFmt w:val="decimal"/>
      <w:lvlText w:val="%1."/>
      <w:lvlJc w:val="left"/>
      <w:pPr>
        <w:ind w:left="1080" w:hanging="720"/>
      </w:pPr>
      <w:rPr>
        <w:rFonts w:hint="default"/>
      </w:rPr>
    </w:lvl>
    <w:lvl w:ilvl="1" w:tplc="E2BC022A">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283C5A"/>
    <w:multiLevelType w:val="hybridMultilevel"/>
    <w:tmpl w:val="A41EBAD2"/>
    <w:lvl w:ilvl="0" w:tplc="BB9CD7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E3C3F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FE27AAB"/>
    <w:multiLevelType w:val="multilevel"/>
    <w:tmpl w:val="9B30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09D0C54"/>
    <w:multiLevelType w:val="multilevel"/>
    <w:tmpl w:val="30BE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CF781F"/>
    <w:multiLevelType w:val="hybridMultilevel"/>
    <w:tmpl w:val="C246951E"/>
    <w:lvl w:ilvl="0" w:tplc="6A6413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106574"/>
    <w:multiLevelType w:val="multilevel"/>
    <w:tmpl w:val="CFBAB68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080" w:hanging="720"/>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7B64CE9"/>
    <w:multiLevelType w:val="multilevel"/>
    <w:tmpl w:val="85F0A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80299A"/>
    <w:multiLevelType w:val="multilevel"/>
    <w:tmpl w:val="8B34E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EC1790"/>
    <w:multiLevelType w:val="hybridMultilevel"/>
    <w:tmpl w:val="63901D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0"/>
  </w:num>
  <w:num w:numId="3">
    <w:abstractNumId w:val="13"/>
  </w:num>
  <w:num w:numId="4">
    <w:abstractNumId w:val="39"/>
  </w:num>
  <w:num w:numId="5">
    <w:abstractNumId w:val="36"/>
  </w:num>
  <w:num w:numId="6">
    <w:abstractNumId w:val="15"/>
  </w:num>
  <w:num w:numId="7">
    <w:abstractNumId w:val="20"/>
  </w:num>
  <w:num w:numId="8">
    <w:abstractNumId w:val="12"/>
  </w:num>
  <w:num w:numId="9">
    <w:abstractNumId w:val="26"/>
  </w:num>
  <w:num w:numId="10">
    <w:abstractNumId w:val="9"/>
  </w:num>
  <w:num w:numId="11">
    <w:abstractNumId w:val="40"/>
  </w:num>
  <w:num w:numId="12">
    <w:abstractNumId w:val="14"/>
  </w:num>
  <w:num w:numId="13">
    <w:abstractNumId w:val="25"/>
  </w:num>
  <w:num w:numId="14">
    <w:abstractNumId w:val="2"/>
  </w:num>
  <w:num w:numId="15">
    <w:abstractNumId w:val="22"/>
  </w:num>
  <w:num w:numId="16">
    <w:abstractNumId w:val="35"/>
  </w:num>
  <w:num w:numId="17">
    <w:abstractNumId w:val="5"/>
  </w:num>
  <w:num w:numId="18">
    <w:abstractNumId w:val="24"/>
  </w:num>
  <w:num w:numId="19">
    <w:abstractNumId w:val="23"/>
  </w:num>
  <w:num w:numId="20">
    <w:abstractNumId w:val="17"/>
  </w:num>
  <w:num w:numId="21">
    <w:abstractNumId w:val="10"/>
  </w:num>
  <w:num w:numId="22">
    <w:abstractNumId w:val="28"/>
  </w:num>
  <w:num w:numId="23">
    <w:abstractNumId w:val="31"/>
  </w:num>
  <w:num w:numId="24">
    <w:abstractNumId w:val="32"/>
  </w:num>
  <w:num w:numId="25">
    <w:abstractNumId w:val="37"/>
  </w:num>
  <w:num w:numId="26">
    <w:abstractNumId w:val="19"/>
  </w:num>
  <w:num w:numId="27">
    <w:abstractNumId w:val="8"/>
  </w:num>
  <w:num w:numId="28">
    <w:abstractNumId w:val="21"/>
  </w:num>
  <w:num w:numId="29">
    <w:abstractNumId w:val="41"/>
  </w:num>
  <w:num w:numId="30">
    <w:abstractNumId w:val="7"/>
  </w:num>
  <w:num w:numId="31">
    <w:abstractNumId w:val="18"/>
  </w:num>
  <w:num w:numId="32">
    <w:abstractNumId w:val="4"/>
  </w:num>
  <w:num w:numId="33">
    <w:abstractNumId w:val="29"/>
  </w:num>
  <w:num w:numId="34">
    <w:abstractNumId w:val="1"/>
  </w:num>
  <w:num w:numId="35">
    <w:abstractNumId w:val="11"/>
  </w:num>
  <w:num w:numId="36">
    <w:abstractNumId w:val="6"/>
  </w:num>
  <w:num w:numId="37">
    <w:abstractNumId w:val="34"/>
  </w:num>
  <w:num w:numId="38">
    <w:abstractNumId w:val="30"/>
  </w:num>
  <w:num w:numId="39">
    <w:abstractNumId w:val="3"/>
  </w:num>
  <w:num w:numId="40">
    <w:abstractNumId w:val="16"/>
  </w:num>
  <w:num w:numId="41">
    <w:abstractNumId w:val="38"/>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76C"/>
    <w:rsid w:val="00001718"/>
    <w:rsid w:val="00024D8C"/>
    <w:rsid w:val="00025DE2"/>
    <w:rsid w:val="0003063E"/>
    <w:rsid w:val="000527F8"/>
    <w:rsid w:val="000744B2"/>
    <w:rsid w:val="00074A38"/>
    <w:rsid w:val="0008364C"/>
    <w:rsid w:val="000A1B91"/>
    <w:rsid w:val="000B7576"/>
    <w:rsid w:val="000C523F"/>
    <w:rsid w:val="000C69CE"/>
    <w:rsid w:val="000F621F"/>
    <w:rsid w:val="00105737"/>
    <w:rsid w:val="0011737E"/>
    <w:rsid w:val="00124814"/>
    <w:rsid w:val="001335B5"/>
    <w:rsid w:val="00157AED"/>
    <w:rsid w:val="0016114F"/>
    <w:rsid w:val="0016379B"/>
    <w:rsid w:val="001657E9"/>
    <w:rsid w:val="001A23CB"/>
    <w:rsid w:val="001A3F66"/>
    <w:rsid w:val="001A4936"/>
    <w:rsid w:val="001B2552"/>
    <w:rsid w:val="001B795E"/>
    <w:rsid w:val="001E3DEE"/>
    <w:rsid w:val="00206A6D"/>
    <w:rsid w:val="002212D7"/>
    <w:rsid w:val="002436E3"/>
    <w:rsid w:val="00256B03"/>
    <w:rsid w:val="00286CCC"/>
    <w:rsid w:val="002B0875"/>
    <w:rsid w:val="002B6985"/>
    <w:rsid w:val="002D59E7"/>
    <w:rsid w:val="002F75C7"/>
    <w:rsid w:val="00302B94"/>
    <w:rsid w:val="0032334E"/>
    <w:rsid w:val="0032636D"/>
    <w:rsid w:val="00327C33"/>
    <w:rsid w:val="00332575"/>
    <w:rsid w:val="00342FAC"/>
    <w:rsid w:val="00346993"/>
    <w:rsid w:val="00363656"/>
    <w:rsid w:val="0036570D"/>
    <w:rsid w:val="00371E3C"/>
    <w:rsid w:val="0037606C"/>
    <w:rsid w:val="00393092"/>
    <w:rsid w:val="003D4746"/>
    <w:rsid w:val="003D4BBA"/>
    <w:rsid w:val="003E12DF"/>
    <w:rsid w:val="003F5540"/>
    <w:rsid w:val="00401D2A"/>
    <w:rsid w:val="00404D00"/>
    <w:rsid w:val="00427491"/>
    <w:rsid w:val="00462E7B"/>
    <w:rsid w:val="00471A39"/>
    <w:rsid w:val="004A6048"/>
    <w:rsid w:val="004C5B4B"/>
    <w:rsid w:val="00502010"/>
    <w:rsid w:val="00521CAA"/>
    <w:rsid w:val="005707F2"/>
    <w:rsid w:val="0057348B"/>
    <w:rsid w:val="005852ED"/>
    <w:rsid w:val="005D058C"/>
    <w:rsid w:val="005D7DE8"/>
    <w:rsid w:val="005E3369"/>
    <w:rsid w:val="005E4F0C"/>
    <w:rsid w:val="005F5CD8"/>
    <w:rsid w:val="006133E3"/>
    <w:rsid w:val="0063673E"/>
    <w:rsid w:val="00646DC3"/>
    <w:rsid w:val="00652566"/>
    <w:rsid w:val="00655F4B"/>
    <w:rsid w:val="006962C3"/>
    <w:rsid w:val="006A4203"/>
    <w:rsid w:val="006C045E"/>
    <w:rsid w:val="006D4CF5"/>
    <w:rsid w:val="006E5867"/>
    <w:rsid w:val="00744AA2"/>
    <w:rsid w:val="007467D5"/>
    <w:rsid w:val="00760CA8"/>
    <w:rsid w:val="00770E04"/>
    <w:rsid w:val="007712D4"/>
    <w:rsid w:val="00773247"/>
    <w:rsid w:val="00775F11"/>
    <w:rsid w:val="00795BC7"/>
    <w:rsid w:val="007E17DE"/>
    <w:rsid w:val="007E78B5"/>
    <w:rsid w:val="008007A6"/>
    <w:rsid w:val="0080196A"/>
    <w:rsid w:val="00801C3D"/>
    <w:rsid w:val="00816F45"/>
    <w:rsid w:val="00817410"/>
    <w:rsid w:val="00834B2F"/>
    <w:rsid w:val="00845046"/>
    <w:rsid w:val="008A0CB6"/>
    <w:rsid w:val="008A4F7A"/>
    <w:rsid w:val="008B13A5"/>
    <w:rsid w:val="008B193F"/>
    <w:rsid w:val="008C29E7"/>
    <w:rsid w:val="008D55C1"/>
    <w:rsid w:val="008E2500"/>
    <w:rsid w:val="008E7826"/>
    <w:rsid w:val="008F5B62"/>
    <w:rsid w:val="00903F59"/>
    <w:rsid w:val="00911BCF"/>
    <w:rsid w:val="00916B4E"/>
    <w:rsid w:val="0092299B"/>
    <w:rsid w:val="009271A3"/>
    <w:rsid w:val="009421C9"/>
    <w:rsid w:val="00944751"/>
    <w:rsid w:val="009451B3"/>
    <w:rsid w:val="00966386"/>
    <w:rsid w:val="00982B86"/>
    <w:rsid w:val="009D6EEC"/>
    <w:rsid w:val="009E0264"/>
    <w:rsid w:val="009E47E3"/>
    <w:rsid w:val="00A40839"/>
    <w:rsid w:val="00A46BEE"/>
    <w:rsid w:val="00A627F4"/>
    <w:rsid w:val="00A77F24"/>
    <w:rsid w:val="00AA5AB3"/>
    <w:rsid w:val="00AC0C57"/>
    <w:rsid w:val="00B009BA"/>
    <w:rsid w:val="00B10389"/>
    <w:rsid w:val="00B2372D"/>
    <w:rsid w:val="00B35FF8"/>
    <w:rsid w:val="00B62693"/>
    <w:rsid w:val="00B731DC"/>
    <w:rsid w:val="00B77EB3"/>
    <w:rsid w:val="00B8328B"/>
    <w:rsid w:val="00B96019"/>
    <w:rsid w:val="00BB168D"/>
    <w:rsid w:val="00BC6D57"/>
    <w:rsid w:val="00BD32A7"/>
    <w:rsid w:val="00BD6E0F"/>
    <w:rsid w:val="00C135D0"/>
    <w:rsid w:val="00C23DB6"/>
    <w:rsid w:val="00C27F21"/>
    <w:rsid w:val="00C36598"/>
    <w:rsid w:val="00C4134B"/>
    <w:rsid w:val="00C46F9F"/>
    <w:rsid w:val="00C55F42"/>
    <w:rsid w:val="00C561BB"/>
    <w:rsid w:val="00C808F4"/>
    <w:rsid w:val="00C9166A"/>
    <w:rsid w:val="00C94E01"/>
    <w:rsid w:val="00CB482F"/>
    <w:rsid w:val="00CC0A1A"/>
    <w:rsid w:val="00CD7E88"/>
    <w:rsid w:val="00CE10E3"/>
    <w:rsid w:val="00CF3EA2"/>
    <w:rsid w:val="00D05785"/>
    <w:rsid w:val="00D25057"/>
    <w:rsid w:val="00D27996"/>
    <w:rsid w:val="00D27B68"/>
    <w:rsid w:val="00D37ECE"/>
    <w:rsid w:val="00D50E5C"/>
    <w:rsid w:val="00D54E7A"/>
    <w:rsid w:val="00D65EFC"/>
    <w:rsid w:val="00D70F07"/>
    <w:rsid w:val="00D72F03"/>
    <w:rsid w:val="00D77AE7"/>
    <w:rsid w:val="00D92AE4"/>
    <w:rsid w:val="00D9475C"/>
    <w:rsid w:val="00DC66D8"/>
    <w:rsid w:val="00DF07F1"/>
    <w:rsid w:val="00E056B5"/>
    <w:rsid w:val="00E1624E"/>
    <w:rsid w:val="00E31FAA"/>
    <w:rsid w:val="00E3381B"/>
    <w:rsid w:val="00E35DE6"/>
    <w:rsid w:val="00E525A3"/>
    <w:rsid w:val="00E661F3"/>
    <w:rsid w:val="00E847D8"/>
    <w:rsid w:val="00EA5194"/>
    <w:rsid w:val="00EB376C"/>
    <w:rsid w:val="00EB725A"/>
    <w:rsid w:val="00ED1D96"/>
    <w:rsid w:val="00ED1FFA"/>
    <w:rsid w:val="00EF3C55"/>
    <w:rsid w:val="00F03A7D"/>
    <w:rsid w:val="00F3259A"/>
    <w:rsid w:val="00F84C53"/>
    <w:rsid w:val="00F9247C"/>
    <w:rsid w:val="00F93EA4"/>
    <w:rsid w:val="00F9714F"/>
    <w:rsid w:val="00FC707B"/>
    <w:rsid w:val="00FF3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9C2F1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before="100" w:beforeAutospacing="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47D8"/>
    <w:pPr>
      <w:keepNext/>
      <w:keepLines/>
      <w:numPr>
        <w:numId w:val="41"/>
      </w:numPr>
      <w:spacing w:before="120" w:beforeAutospacing="0"/>
      <w:outlineLvl w:val="0"/>
    </w:pPr>
    <w:rPr>
      <w:rFonts w:asciiTheme="majorHAnsi" w:eastAsia="Times New Roman"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1A4936"/>
    <w:pPr>
      <w:numPr>
        <w:ilvl w:val="1"/>
      </w:numPr>
      <w:outlineLvl w:val="1"/>
    </w:pPr>
  </w:style>
  <w:style w:type="paragraph" w:styleId="Heading3">
    <w:name w:val="heading 3"/>
    <w:basedOn w:val="Heading2"/>
    <w:next w:val="Normal"/>
    <w:link w:val="Heading3Char"/>
    <w:autoRedefine/>
    <w:uiPriority w:val="9"/>
    <w:qFormat/>
    <w:rsid w:val="00C94E01"/>
    <w:pPr>
      <w:numPr>
        <w:ilvl w:val="2"/>
      </w:numPr>
      <w:spacing w:after="100" w:afterAutospacing="1"/>
      <w:outlineLvl w:val="2"/>
    </w:pPr>
    <w:rPr>
      <w:bCs/>
      <w:sz w:val="24"/>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376C"/>
    <w:rPr>
      <w:color w:val="0563C1" w:themeColor="hyperlink"/>
      <w:u w:val="single"/>
    </w:rPr>
  </w:style>
  <w:style w:type="character" w:customStyle="1" w:styleId="Heading3Char">
    <w:name w:val="Heading 3 Char"/>
    <w:basedOn w:val="DefaultParagraphFont"/>
    <w:link w:val="Heading3"/>
    <w:uiPriority w:val="9"/>
    <w:rsid w:val="00C94E01"/>
    <w:rPr>
      <w:rFonts w:asciiTheme="majorHAnsi" w:eastAsia="Times New Roman" w:hAnsiTheme="majorHAnsi" w:cstheme="majorBidi"/>
      <w:bCs/>
      <w:color w:val="2F5496" w:themeColor="accent1" w:themeShade="BF"/>
      <w:szCs w:val="27"/>
    </w:rPr>
  </w:style>
  <w:style w:type="paragraph" w:styleId="NormalWeb">
    <w:name w:val="Normal (Web)"/>
    <w:basedOn w:val="Normal"/>
    <w:uiPriority w:val="99"/>
    <w:semiHidden/>
    <w:unhideWhenUsed/>
    <w:rsid w:val="00EB376C"/>
    <w:pPr>
      <w:spacing w:after="100" w:afterAutospacing="1"/>
    </w:pPr>
    <w:rPr>
      <w:rFonts w:ascii="Times New Roman" w:hAnsi="Times New Roman" w:cs="Times New Roman"/>
    </w:rPr>
  </w:style>
  <w:style w:type="character" w:customStyle="1" w:styleId="apple-converted-space">
    <w:name w:val="apple-converted-space"/>
    <w:basedOn w:val="DefaultParagraphFont"/>
    <w:rsid w:val="00EB376C"/>
  </w:style>
  <w:style w:type="character" w:styleId="HTMLCode">
    <w:name w:val="HTML Code"/>
    <w:basedOn w:val="DefaultParagraphFont"/>
    <w:uiPriority w:val="99"/>
    <w:semiHidden/>
    <w:unhideWhenUsed/>
    <w:rsid w:val="00EB376C"/>
    <w:rPr>
      <w:rFonts w:ascii="Courier New" w:eastAsiaTheme="minorHAnsi" w:hAnsi="Courier New" w:cs="Courier New"/>
      <w:sz w:val="20"/>
      <w:szCs w:val="20"/>
    </w:rPr>
  </w:style>
  <w:style w:type="character" w:customStyle="1" w:styleId="Heading1Char">
    <w:name w:val="Heading 1 Char"/>
    <w:basedOn w:val="DefaultParagraphFont"/>
    <w:link w:val="Heading1"/>
    <w:uiPriority w:val="9"/>
    <w:rsid w:val="00E847D8"/>
    <w:rPr>
      <w:rFonts w:asciiTheme="majorHAnsi" w:eastAsia="Times New Roman"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4936"/>
    <w:rPr>
      <w:rFonts w:asciiTheme="majorHAnsi" w:eastAsia="Times New Roman" w:hAnsiTheme="majorHAnsi" w:cstheme="majorBidi"/>
      <w:color w:val="2F5496" w:themeColor="accent1" w:themeShade="BF"/>
      <w:sz w:val="32"/>
      <w:szCs w:val="32"/>
    </w:rPr>
  </w:style>
  <w:style w:type="character" w:styleId="Strong">
    <w:name w:val="Strong"/>
    <w:basedOn w:val="DefaultParagraphFont"/>
    <w:uiPriority w:val="22"/>
    <w:qFormat/>
    <w:rsid w:val="00D27996"/>
    <w:rPr>
      <w:b/>
      <w:bCs/>
    </w:rPr>
  </w:style>
  <w:style w:type="character" w:styleId="FollowedHyperlink">
    <w:name w:val="FollowedHyperlink"/>
    <w:basedOn w:val="DefaultParagraphFont"/>
    <w:uiPriority w:val="99"/>
    <w:semiHidden/>
    <w:unhideWhenUsed/>
    <w:rsid w:val="00D27996"/>
    <w:rPr>
      <w:color w:val="954F72" w:themeColor="followedHyperlink"/>
      <w:u w:val="single"/>
    </w:rPr>
  </w:style>
  <w:style w:type="character" w:customStyle="1" w:styleId="divider">
    <w:name w:val="divider"/>
    <w:basedOn w:val="DefaultParagraphFont"/>
    <w:rsid w:val="00D27996"/>
  </w:style>
  <w:style w:type="paragraph" w:styleId="HTMLPreformatted">
    <w:name w:val="HTML Preformatted"/>
    <w:basedOn w:val="Normal"/>
    <w:link w:val="HTMLPreformattedChar"/>
    <w:uiPriority w:val="99"/>
    <w:semiHidden/>
    <w:unhideWhenUsed/>
    <w:rsid w:val="00D279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27996"/>
    <w:rPr>
      <w:rFonts w:ascii="Courier New" w:hAnsi="Courier New" w:cs="Courier New"/>
      <w:sz w:val="20"/>
      <w:szCs w:val="20"/>
    </w:rPr>
  </w:style>
  <w:style w:type="character" w:customStyle="1" w:styleId="pln">
    <w:name w:val="pln"/>
    <w:basedOn w:val="DefaultParagraphFont"/>
    <w:rsid w:val="00D27996"/>
  </w:style>
  <w:style w:type="character" w:customStyle="1" w:styleId="pun">
    <w:name w:val="pun"/>
    <w:basedOn w:val="DefaultParagraphFont"/>
    <w:rsid w:val="00D27996"/>
  </w:style>
  <w:style w:type="character" w:customStyle="1" w:styleId="lit">
    <w:name w:val="lit"/>
    <w:basedOn w:val="DefaultParagraphFont"/>
    <w:rsid w:val="00D27996"/>
  </w:style>
  <w:style w:type="character" w:customStyle="1" w:styleId="str">
    <w:name w:val="str"/>
    <w:basedOn w:val="DefaultParagraphFont"/>
    <w:rsid w:val="00D27996"/>
  </w:style>
  <w:style w:type="character" w:customStyle="1" w:styleId="kwd">
    <w:name w:val="kwd"/>
    <w:basedOn w:val="DefaultParagraphFont"/>
    <w:rsid w:val="00D27996"/>
  </w:style>
  <w:style w:type="paragraph" w:customStyle="1" w:styleId="Author">
    <w:name w:val="Author"/>
    <w:rsid w:val="007E78B5"/>
    <w:pPr>
      <w:spacing w:before="360" w:after="40"/>
      <w:jc w:val="center"/>
    </w:pPr>
    <w:rPr>
      <w:rFonts w:ascii="Times New Roman" w:eastAsia="SimSun" w:hAnsi="Times New Roman" w:cs="Times New Roman"/>
      <w:noProof/>
      <w:sz w:val="22"/>
      <w:szCs w:val="22"/>
    </w:rPr>
  </w:style>
  <w:style w:type="paragraph" w:styleId="Caption">
    <w:name w:val="caption"/>
    <w:basedOn w:val="Normal"/>
    <w:next w:val="Normal"/>
    <w:autoRedefine/>
    <w:unhideWhenUsed/>
    <w:qFormat/>
    <w:rsid w:val="008B13A5"/>
    <w:pPr>
      <w:spacing w:before="0" w:beforeAutospacing="0"/>
      <w:ind w:left="2880"/>
    </w:pPr>
    <w:rPr>
      <w:rFonts w:ascii="Times New Roman" w:eastAsia="SimSun" w:hAnsi="Times New Roman" w:cs="Times New Roman"/>
      <w:b/>
      <w:bCs/>
      <w:sz w:val="16"/>
      <w:szCs w:val="20"/>
    </w:rPr>
  </w:style>
  <w:style w:type="paragraph" w:styleId="Header">
    <w:name w:val="header"/>
    <w:basedOn w:val="Normal"/>
    <w:link w:val="HeaderChar"/>
    <w:uiPriority w:val="99"/>
    <w:unhideWhenUsed/>
    <w:rsid w:val="00B62693"/>
    <w:pPr>
      <w:tabs>
        <w:tab w:val="center" w:pos="4680"/>
        <w:tab w:val="right" w:pos="9360"/>
      </w:tabs>
    </w:pPr>
  </w:style>
  <w:style w:type="character" w:customStyle="1" w:styleId="HeaderChar">
    <w:name w:val="Header Char"/>
    <w:basedOn w:val="DefaultParagraphFont"/>
    <w:link w:val="Header"/>
    <w:uiPriority w:val="99"/>
    <w:rsid w:val="00B62693"/>
  </w:style>
  <w:style w:type="paragraph" w:styleId="Footer">
    <w:name w:val="footer"/>
    <w:basedOn w:val="Normal"/>
    <w:link w:val="FooterChar"/>
    <w:uiPriority w:val="99"/>
    <w:unhideWhenUsed/>
    <w:rsid w:val="00B62693"/>
    <w:pPr>
      <w:tabs>
        <w:tab w:val="center" w:pos="4680"/>
        <w:tab w:val="right" w:pos="9360"/>
      </w:tabs>
    </w:pPr>
  </w:style>
  <w:style w:type="character" w:customStyle="1" w:styleId="FooterChar">
    <w:name w:val="Footer Char"/>
    <w:basedOn w:val="DefaultParagraphFont"/>
    <w:link w:val="Footer"/>
    <w:uiPriority w:val="99"/>
    <w:rsid w:val="00B62693"/>
  </w:style>
  <w:style w:type="paragraph" w:styleId="ListParagraph">
    <w:name w:val="List Paragraph"/>
    <w:basedOn w:val="Normal"/>
    <w:uiPriority w:val="34"/>
    <w:qFormat/>
    <w:rsid w:val="008E7826"/>
    <w:pPr>
      <w:ind w:left="720"/>
      <w:contextualSpacing/>
    </w:pPr>
  </w:style>
  <w:style w:type="character" w:styleId="UnresolvedMention">
    <w:name w:val="Unresolved Mention"/>
    <w:basedOn w:val="DefaultParagraphFont"/>
    <w:uiPriority w:val="99"/>
    <w:rsid w:val="0036570D"/>
    <w:rPr>
      <w:color w:val="808080"/>
      <w:shd w:val="clear" w:color="auto" w:fill="E6E6E6"/>
    </w:rPr>
  </w:style>
  <w:style w:type="table" w:styleId="GridTable1Light-Accent5">
    <w:name w:val="Grid Table 1 Light Accent 5"/>
    <w:basedOn w:val="TableNormal"/>
    <w:uiPriority w:val="46"/>
    <w:rsid w:val="00E35DE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E35DE6"/>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5">
    <w:name w:val="List Table 4 Accent 5"/>
    <w:basedOn w:val="TableNormal"/>
    <w:uiPriority w:val="49"/>
    <w:rsid w:val="00E35DE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8054">
      <w:bodyDiv w:val="1"/>
      <w:marLeft w:val="0"/>
      <w:marRight w:val="0"/>
      <w:marTop w:val="0"/>
      <w:marBottom w:val="0"/>
      <w:divBdr>
        <w:top w:val="none" w:sz="0" w:space="0" w:color="auto"/>
        <w:left w:val="none" w:sz="0" w:space="0" w:color="auto"/>
        <w:bottom w:val="none" w:sz="0" w:space="0" w:color="auto"/>
        <w:right w:val="none" w:sz="0" w:space="0" w:color="auto"/>
      </w:divBdr>
    </w:div>
    <w:div w:id="169687400">
      <w:bodyDiv w:val="1"/>
      <w:marLeft w:val="0"/>
      <w:marRight w:val="0"/>
      <w:marTop w:val="0"/>
      <w:marBottom w:val="0"/>
      <w:divBdr>
        <w:top w:val="none" w:sz="0" w:space="0" w:color="auto"/>
        <w:left w:val="none" w:sz="0" w:space="0" w:color="auto"/>
        <w:bottom w:val="none" w:sz="0" w:space="0" w:color="auto"/>
        <w:right w:val="none" w:sz="0" w:space="0" w:color="auto"/>
      </w:divBdr>
      <w:divsChild>
        <w:div w:id="1081290859">
          <w:marLeft w:val="0"/>
          <w:marRight w:val="0"/>
          <w:marTop w:val="0"/>
          <w:marBottom w:val="0"/>
          <w:divBdr>
            <w:top w:val="none" w:sz="0" w:space="0" w:color="auto"/>
            <w:left w:val="none" w:sz="0" w:space="0" w:color="auto"/>
            <w:bottom w:val="none" w:sz="0" w:space="0" w:color="auto"/>
            <w:right w:val="none" w:sz="0" w:space="0" w:color="auto"/>
          </w:divBdr>
          <w:divsChild>
            <w:div w:id="1843930293">
              <w:marLeft w:val="0"/>
              <w:marRight w:val="0"/>
              <w:marTop w:val="0"/>
              <w:marBottom w:val="0"/>
              <w:divBdr>
                <w:top w:val="none" w:sz="0" w:space="0" w:color="auto"/>
                <w:left w:val="none" w:sz="0" w:space="0" w:color="auto"/>
                <w:bottom w:val="none" w:sz="0" w:space="0" w:color="auto"/>
                <w:right w:val="none" w:sz="0" w:space="0" w:color="auto"/>
              </w:divBdr>
              <w:divsChild>
                <w:div w:id="243295888">
                  <w:marLeft w:val="0"/>
                  <w:marRight w:val="0"/>
                  <w:marTop w:val="270"/>
                  <w:marBottom w:val="270"/>
                  <w:divBdr>
                    <w:top w:val="none" w:sz="0" w:space="0" w:color="auto"/>
                    <w:left w:val="none" w:sz="0" w:space="0" w:color="auto"/>
                    <w:bottom w:val="single" w:sz="6" w:space="13" w:color="EEEEEE"/>
                    <w:right w:val="none" w:sz="0" w:space="0" w:color="auto"/>
                  </w:divBdr>
                </w:div>
                <w:div w:id="190310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16874">
      <w:bodyDiv w:val="1"/>
      <w:marLeft w:val="0"/>
      <w:marRight w:val="0"/>
      <w:marTop w:val="0"/>
      <w:marBottom w:val="0"/>
      <w:divBdr>
        <w:top w:val="none" w:sz="0" w:space="0" w:color="auto"/>
        <w:left w:val="none" w:sz="0" w:space="0" w:color="auto"/>
        <w:bottom w:val="none" w:sz="0" w:space="0" w:color="auto"/>
        <w:right w:val="none" w:sz="0" w:space="0" w:color="auto"/>
      </w:divBdr>
    </w:div>
    <w:div w:id="553471785">
      <w:bodyDiv w:val="1"/>
      <w:marLeft w:val="0"/>
      <w:marRight w:val="0"/>
      <w:marTop w:val="0"/>
      <w:marBottom w:val="0"/>
      <w:divBdr>
        <w:top w:val="none" w:sz="0" w:space="0" w:color="auto"/>
        <w:left w:val="none" w:sz="0" w:space="0" w:color="auto"/>
        <w:bottom w:val="none" w:sz="0" w:space="0" w:color="auto"/>
        <w:right w:val="none" w:sz="0" w:space="0" w:color="auto"/>
      </w:divBdr>
      <w:divsChild>
        <w:div w:id="1546679702">
          <w:marLeft w:val="0"/>
          <w:marRight w:val="0"/>
          <w:marTop w:val="0"/>
          <w:marBottom w:val="0"/>
          <w:divBdr>
            <w:top w:val="none" w:sz="0" w:space="0" w:color="auto"/>
            <w:left w:val="none" w:sz="0" w:space="0" w:color="auto"/>
            <w:bottom w:val="none" w:sz="0" w:space="0" w:color="auto"/>
            <w:right w:val="none" w:sz="0" w:space="0" w:color="auto"/>
          </w:divBdr>
          <w:divsChild>
            <w:div w:id="336809071">
              <w:marLeft w:val="0"/>
              <w:marRight w:val="0"/>
              <w:marTop w:val="0"/>
              <w:marBottom w:val="0"/>
              <w:divBdr>
                <w:top w:val="none" w:sz="0" w:space="0" w:color="auto"/>
                <w:left w:val="none" w:sz="0" w:space="0" w:color="auto"/>
                <w:bottom w:val="none" w:sz="0" w:space="0" w:color="auto"/>
                <w:right w:val="none" w:sz="0" w:space="0" w:color="auto"/>
              </w:divBdr>
              <w:divsChild>
                <w:div w:id="200486381">
                  <w:marLeft w:val="0"/>
                  <w:marRight w:val="0"/>
                  <w:marTop w:val="270"/>
                  <w:marBottom w:val="270"/>
                  <w:divBdr>
                    <w:top w:val="none" w:sz="0" w:space="0" w:color="auto"/>
                    <w:left w:val="none" w:sz="0" w:space="0" w:color="auto"/>
                    <w:bottom w:val="single" w:sz="6" w:space="13" w:color="EEEEEE"/>
                    <w:right w:val="none" w:sz="0" w:space="0" w:color="auto"/>
                  </w:divBdr>
                </w:div>
                <w:div w:id="102891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658922">
      <w:bodyDiv w:val="1"/>
      <w:marLeft w:val="0"/>
      <w:marRight w:val="0"/>
      <w:marTop w:val="0"/>
      <w:marBottom w:val="0"/>
      <w:divBdr>
        <w:top w:val="none" w:sz="0" w:space="0" w:color="auto"/>
        <w:left w:val="none" w:sz="0" w:space="0" w:color="auto"/>
        <w:bottom w:val="none" w:sz="0" w:space="0" w:color="auto"/>
        <w:right w:val="none" w:sz="0" w:space="0" w:color="auto"/>
      </w:divBdr>
      <w:divsChild>
        <w:div w:id="240216873">
          <w:marLeft w:val="0"/>
          <w:marRight w:val="0"/>
          <w:marTop w:val="0"/>
          <w:marBottom w:val="0"/>
          <w:divBdr>
            <w:top w:val="none" w:sz="0" w:space="0" w:color="auto"/>
            <w:left w:val="none" w:sz="0" w:space="0" w:color="auto"/>
            <w:bottom w:val="none" w:sz="0" w:space="0" w:color="auto"/>
            <w:right w:val="none" w:sz="0" w:space="0" w:color="auto"/>
          </w:divBdr>
          <w:divsChild>
            <w:div w:id="549809817">
              <w:marLeft w:val="0"/>
              <w:marRight w:val="0"/>
              <w:marTop w:val="0"/>
              <w:marBottom w:val="0"/>
              <w:divBdr>
                <w:top w:val="none" w:sz="0" w:space="0" w:color="auto"/>
                <w:left w:val="none" w:sz="0" w:space="0" w:color="auto"/>
                <w:bottom w:val="none" w:sz="0" w:space="0" w:color="auto"/>
                <w:right w:val="none" w:sz="0" w:space="0" w:color="auto"/>
              </w:divBdr>
              <w:divsChild>
                <w:div w:id="200528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885540">
      <w:bodyDiv w:val="1"/>
      <w:marLeft w:val="0"/>
      <w:marRight w:val="0"/>
      <w:marTop w:val="0"/>
      <w:marBottom w:val="0"/>
      <w:divBdr>
        <w:top w:val="none" w:sz="0" w:space="0" w:color="auto"/>
        <w:left w:val="none" w:sz="0" w:space="0" w:color="auto"/>
        <w:bottom w:val="none" w:sz="0" w:space="0" w:color="auto"/>
        <w:right w:val="none" w:sz="0" w:space="0" w:color="auto"/>
      </w:divBdr>
    </w:div>
    <w:div w:id="746346705">
      <w:bodyDiv w:val="1"/>
      <w:marLeft w:val="0"/>
      <w:marRight w:val="0"/>
      <w:marTop w:val="0"/>
      <w:marBottom w:val="0"/>
      <w:divBdr>
        <w:top w:val="none" w:sz="0" w:space="0" w:color="auto"/>
        <w:left w:val="none" w:sz="0" w:space="0" w:color="auto"/>
        <w:bottom w:val="none" w:sz="0" w:space="0" w:color="auto"/>
        <w:right w:val="none" w:sz="0" w:space="0" w:color="auto"/>
      </w:divBdr>
    </w:div>
    <w:div w:id="752899976">
      <w:bodyDiv w:val="1"/>
      <w:marLeft w:val="0"/>
      <w:marRight w:val="0"/>
      <w:marTop w:val="0"/>
      <w:marBottom w:val="0"/>
      <w:divBdr>
        <w:top w:val="none" w:sz="0" w:space="0" w:color="auto"/>
        <w:left w:val="none" w:sz="0" w:space="0" w:color="auto"/>
        <w:bottom w:val="none" w:sz="0" w:space="0" w:color="auto"/>
        <w:right w:val="none" w:sz="0" w:space="0" w:color="auto"/>
      </w:divBdr>
    </w:div>
    <w:div w:id="873620975">
      <w:bodyDiv w:val="1"/>
      <w:marLeft w:val="0"/>
      <w:marRight w:val="0"/>
      <w:marTop w:val="0"/>
      <w:marBottom w:val="0"/>
      <w:divBdr>
        <w:top w:val="none" w:sz="0" w:space="0" w:color="auto"/>
        <w:left w:val="none" w:sz="0" w:space="0" w:color="auto"/>
        <w:bottom w:val="none" w:sz="0" w:space="0" w:color="auto"/>
        <w:right w:val="none" w:sz="0" w:space="0" w:color="auto"/>
      </w:divBdr>
    </w:div>
    <w:div w:id="1161503239">
      <w:bodyDiv w:val="1"/>
      <w:marLeft w:val="0"/>
      <w:marRight w:val="0"/>
      <w:marTop w:val="0"/>
      <w:marBottom w:val="0"/>
      <w:divBdr>
        <w:top w:val="none" w:sz="0" w:space="0" w:color="auto"/>
        <w:left w:val="none" w:sz="0" w:space="0" w:color="auto"/>
        <w:bottom w:val="none" w:sz="0" w:space="0" w:color="auto"/>
        <w:right w:val="none" w:sz="0" w:space="0" w:color="auto"/>
      </w:divBdr>
    </w:div>
    <w:div w:id="1251041611">
      <w:bodyDiv w:val="1"/>
      <w:marLeft w:val="0"/>
      <w:marRight w:val="0"/>
      <w:marTop w:val="0"/>
      <w:marBottom w:val="0"/>
      <w:divBdr>
        <w:top w:val="none" w:sz="0" w:space="0" w:color="auto"/>
        <w:left w:val="none" w:sz="0" w:space="0" w:color="auto"/>
        <w:bottom w:val="none" w:sz="0" w:space="0" w:color="auto"/>
        <w:right w:val="none" w:sz="0" w:space="0" w:color="auto"/>
      </w:divBdr>
    </w:div>
    <w:div w:id="1320573673">
      <w:bodyDiv w:val="1"/>
      <w:marLeft w:val="0"/>
      <w:marRight w:val="0"/>
      <w:marTop w:val="0"/>
      <w:marBottom w:val="0"/>
      <w:divBdr>
        <w:top w:val="none" w:sz="0" w:space="0" w:color="auto"/>
        <w:left w:val="none" w:sz="0" w:space="0" w:color="auto"/>
        <w:bottom w:val="none" w:sz="0" w:space="0" w:color="auto"/>
        <w:right w:val="none" w:sz="0" w:space="0" w:color="auto"/>
      </w:divBdr>
    </w:div>
    <w:div w:id="1360817496">
      <w:bodyDiv w:val="1"/>
      <w:marLeft w:val="0"/>
      <w:marRight w:val="0"/>
      <w:marTop w:val="0"/>
      <w:marBottom w:val="0"/>
      <w:divBdr>
        <w:top w:val="none" w:sz="0" w:space="0" w:color="auto"/>
        <w:left w:val="none" w:sz="0" w:space="0" w:color="auto"/>
        <w:bottom w:val="none" w:sz="0" w:space="0" w:color="auto"/>
        <w:right w:val="none" w:sz="0" w:space="0" w:color="auto"/>
      </w:divBdr>
    </w:div>
    <w:div w:id="1462916099">
      <w:bodyDiv w:val="1"/>
      <w:marLeft w:val="0"/>
      <w:marRight w:val="0"/>
      <w:marTop w:val="0"/>
      <w:marBottom w:val="0"/>
      <w:divBdr>
        <w:top w:val="none" w:sz="0" w:space="0" w:color="auto"/>
        <w:left w:val="none" w:sz="0" w:space="0" w:color="auto"/>
        <w:bottom w:val="none" w:sz="0" w:space="0" w:color="auto"/>
        <w:right w:val="none" w:sz="0" w:space="0" w:color="auto"/>
      </w:divBdr>
    </w:div>
    <w:div w:id="1589270802">
      <w:bodyDiv w:val="1"/>
      <w:marLeft w:val="0"/>
      <w:marRight w:val="0"/>
      <w:marTop w:val="0"/>
      <w:marBottom w:val="0"/>
      <w:divBdr>
        <w:top w:val="none" w:sz="0" w:space="0" w:color="auto"/>
        <w:left w:val="none" w:sz="0" w:space="0" w:color="auto"/>
        <w:bottom w:val="none" w:sz="0" w:space="0" w:color="auto"/>
        <w:right w:val="none" w:sz="0" w:space="0" w:color="auto"/>
      </w:divBdr>
    </w:div>
    <w:div w:id="1935628067">
      <w:bodyDiv w:val="1"/>
      <w:marLeft w:val="0"/>
      <w:marRight w:val="0"/>
      <w:marTop w:val="0"/>
      <w:marBottom w:val="0"/>
      <w:divBdr>
        <w:top w:val="none" w:sz="0" w:space="0" w:color="auto"/>
        <w:left w:val="none" w:sz="0" w:space="0" w:color="auto"/>
        <w:bottom w:val="none" w:sz="0" w:space="0" w:color="auto"/>
        <w:right w:val="none" w:sz="0" w:space="0" w:color="auto"/>
      </w:divBdr>
      <w:divsChild>
        <w:div w:id="95372424">
          <w:marLeft w:val="0"/>
          <w:marRight w:val="0"/>
          <w:marTop w:val="0"/>
          <w:marBottom w:val="0"/>
          <w:divBdr>
            <w:top w:val="none" w:sz="0" w:space="0" w:color="auto"/>
            <w:left w:val="none" w:sz="0" w:space="0" w:color="auto"/>
            <w:bottom w:val="none" w:sz="0" w:space="0" w:color="auto"/>
            <w:right w:val="none" w:sz="0" w:space="0" w:color="auto"/>
          </w:divBdr>
        </w:div>
        <w:div w:id="1960840572">
          <w:marLeft w:val="0"/>
          <w:marRight w:val="0"/>
          <w:marTop w:val="0"/>
          <w:marBottom w:val="0"/>
          <w:divBdr>
            <w:top w:val="single" w:sz="6" w:space="0" w:color="C3D9EC"/>
            <w:left w:val="single" w:sz="6" w:space="0" w:color="C3D9EC"/>
            <w:bottom w:val="single" w:sz="6" w:space="0" w:color="C3D9EC"/>
            <w:right w:val="single" w:sz="6" w:space="0" w:color="C3D9EC"/>
          </w:divBdr>
        </w:div>
        <w:div w:id="135725164">
          <w:marLeft w:val="0"/>
          <w:marRight w:val="0"/>
          <w:marTop w:val="0"/>
          <w:marBottom w:val="0"/>
          <w:divBdr>
            <w:top w:val="single" w:sz="6" w:space="0" w:color="C3E8D1"/>
            <w:left w:val="single" w:sz="6" w:space="0" w:color="C3E8D1"/>
            <w:bottom w:val="single" w:sz="6" w:space="0" w:color="C3E8D1"/>
            <w:right w:val="single" w:sz="6" w:space="0" w:color="C3E8D1"/>
          </w:divBdr>
        </w:div>
        <w:div w:id="1627613402">
          <w:marLeft w:val="0"/>
          <w:marRight w:val="0"/>
          <w:marTop w:val="0"/>
          <w:marBottom w:val="0"/>
          <w:divBdr>
            <w:top w:val="single" w:sz="6" w:space="0" w:color="C3D9EC"/>
            <w:left w:val="single" w:sz="6" w:space="0" w:color="C3D9EC"/>
            <w:bottom w:val="single" w:sz="6" w:space="0" w:color="C3D9EC"/>
            <w:right w:val="single" w:sz="6" w:space="0" w:color="C3D9EC"/>
          </w:divBdr>
        </w:div>
        <w:div w:id="119961377">
          <w:marLeft w:val="0"/>
          <w:marRight w:val="0"/>
          <w:marTop w:val="0"/>
          <w:marBottom w:val="0"/>
          <w:divBdr>
            <w:top w:val="single" w:sz="6" w:space="0" w:color="C3E8D1"/>
            <w:left w:val="single" w:sz="6" w:space="0" w:color="C3E8D1"/>
            <w:bottom w:val="single" w:sz="6" w:space="0" w:color="C3E8D1"/>
            <w:right w:val="single" w:sz="6" w:space="0" w:color="C3E8D1"/>
          </w:divBdr>
        </w:div>
        <w:div w:id="17160832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B1A63-44D1-4409-88A2-D42B38D6C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1639</Words>
  <Characters>9348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Hill</dc:creator>
  <cp:keywords/>
  <dc:description/>
  <cp:lastModifiedBy>Hebert, CJ</cp:lastModifiedBy>
  <cp:revision>4</cp:revision>
  <dcterms:created xsi:type="dcterms:W3CDTF">2018-01-31T15:54:00Z</dcterms:created>
  <dcterms:modified xsi:type="dcterms:W3CDTF">2018-01-31T15:54:00Z</dcterms:modified>
</cp:coreProperties>
</file>