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121573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6EE63F" w14:textId="20888CBF" w:rsidR="00A67007" w:rsidRDefault="00A67007">
          <w:pPr>
            <w:pStyle w:val="TOCHeading"/>
          </w:pPr>
          <w:r>
            <w:t>Table of Contents</w:t>
          </w:r>
          <w:bookmarkStart w:id="0" w:name="_GoBack"/>
          <w:bookmarkEnd w:id="0"/>
        </w:p>
        <w:p w14:paraId="0D299451" w14:textId="22F22BA1" w:rsidR="007B6C01" w:rsidRDefault="00A6700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163634" w:history="1">
            <w:r w:rsidR="007B6C01" w:rsidRPr="00BA1943">
              <w:rPr>
                <w:rStyle w:val="Hyperlink"/>
                <w:noProof/>
              </w:rPr>
              <w:t>1</w:t>
            </w:r>
            <w:r w:rsidR="007B6C01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B6C01" w:rsidRPr="00BA1943">
              <w:rPr>
                <w:rStyle w:val="Hyperlink"/>
                <w:noProof/>
              </w:rPr>
              <w:t>Introduction</w:t>
            </w:r>
            <w:r w:rsidR="007B6C01">
              <w:rPr>
                <w:noProof/>
                <w:webHidden/>
              </w:rPr>
              <w:tab/>
            </w:r>
            <w:r w:rsidR="007B6C01">
              <w:rPr>
                <w:noProof/>
                <w:webHidden/>
              </w:rPr>
              <w:fldChar w:fldCharType="begin"/>
            </w:r>
            <w:r w:rsidR="007B6C01">
              <w:rPr>
                <w:noProof/>
                <w:webHidden/>
              </w:rPr>
              <w:instrText xml:space="preserve"> PAGEREF _Toc500163634 \h </w:instrText>
            </w:r>
            <w:r w:rsidR="007B6C01">
              <w:rPr>
                <w:noProof/>
                <w:webHidden/>
              </w:rPr>
            </w:r>
            <w:r w:rsidR="007B6C01">
              <w:rPr>
                <w:noProof/>
                <w:webHidden/>
              </w:rPr>
              <w:fldChar w:fldCharType="separate"/>
            </w:r>
            <w:r w:rsidR="007B6C01">
              <w:rPr>
                <w:noProof/>
                <w:webHidden/>
              </w:rPr>
              <w:t>2</w:t>
            </w:r>
            <w:r w:rsidR="007B6C01">
              <w:rPr>
                <w:noProof/>
                <w:webHidden/>
              </w:rPr>
              <w:fldChar w:fldCharType="end"/>
            </w:r>
          </w:hyperlink>
        </w:p>
        <w:p w14:paraId="0F2BAD7D" w14:textId="25244EC7" w:rsidR="007B6C01" w:rsidRDefault="007B6C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35" w:history="1">
            <w:r w:rsidRPr="00BA1943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A1943">
              <w:rPr>
                <w:rStyle w:val="Hyperlink"/>
                <w:noProof/>
              </w:rPr>
              <w:t>Business Process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4185" w14:textId="729357F0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36" w:history="1">
            <w:r w:rsidRPr="00BA1943">
              <w:rPr>
                <w:rStyle w:val="Hyperlink"/>
                <w:noProof/>
              </w:rPr>
              <w:t>Determine Provider Eligibility Business Process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D4C21" w14:textId="524BF916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37" w:history="1">
            <w:r w:rsidRPr="00BA1943">
              <w:rPr>
                <w:rStyle w:val="Hyperlink"/>
                <w:noProof/>
              </w:rPr>
              <w:t>Enroll Provider Business Process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6C65" w14:textId="55C83D9D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38" w:history="1">
            <w:r w:rsidRPr="00BA1943">
              <w:rPr>
                <w:rStyle w:val="Hyperlink"/>
                <w:noProof/>
              </w:rPr>
              <w:t>Disenroll Provider Business Process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159CC" w14:textId="114FF3CC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39" w:history="1">
            <w:r w:rsidRPr="00BA1943">
              <w:rPr>
                <w:rStyle w:val="Hyperlink"/>
                <w:noProof/>
              </w:rPr>
              <w:t>Inquire Provider Information Business Process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ED1A9" w14:textId="5FD6261F" w:rsidR="007B6C01" w:rsidRDefault="007B6C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0" w:history="1">
            <w:r w:rsidRPr="00BA1943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A1943">
              <w:rPr>
                <w:rStyle w:val="Hyperlink"/>
                <w:noProof/>
              </w:rPr>
              <w:t>Object/Resource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FF42" w14:textId="45249AE7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1" w:history="1">
            <w:r w:rsidRPr="00BA1943">
              <w:rPr>
                <w:rStyle w:val="Hyperlink"/>
                <w:noProof/>
              </w:rPr>
              <w:t>Determine Provider Eligibility Object/Resource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67007" w14:textId="608CD976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2" w:history="1">
            <w:r w:rsidRPr="00BA1943">
              <w:rPr>
                <w:rStyle w:val="Hyperlink"/>
                <w:noProof/>
              </w:rPr>
              <w:t>Enroll Provider Object/Resource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94D0" w14:textId="55287ED0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3" w:history="1">
            <w:r w:rsidRPr="00BA1943">
              <w:rPr>
                <w:rStyle w:val="Hyperlink"/>
                <w:noProof/>
              </w:rPr>
              <w:t>Disenroll Provider Object/Resource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DA1FE" w14:textId="2C627561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4" w:history="1">
            <w:r w:rsidRPr="00BA1943">
              <w:rPr>
                <w:rStyle w:val="Hyperlink"/>
                <w:noProof/>
              </w:rPr>
              <w:t>Inquire Provider Information Object/Resource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4A1F" w14:textId="0A5BB1F2" w:rsidR="007B6C01" w:rsidRDefault="007B6C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5" w:history="1">
            <w:r w:rsidRPr="00BA1943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A1943">
              <w:rPr>
                <w:rStyle w:val="Hyperlink"/>
                <w:noProof/>
              </w:rPr>
              <w:t>Object/Resource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2741" w14:textId="6FFC891F" w:rsidR="007B6C01" w:rsidRDefault="007B6C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6" w:history="1">
            <w:r w:rsidRPr="00BA1943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A1943">
              <w:rPr>
                <w:rStyle w:val="Hyperlink"/>
                <w:noProof/>
              </w:rPr>
              <w:t>API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2D7F6" w14:textId="2AD55B6B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7" w:history="1">
            <w:r w:rsidRPr="00BA1943">
              <w:rPr>
                <w:rStyle w:val="Hyperlink"/>
                <w:noProof/>
              </w:rPr>
              <w:t>Determime Provider Eligibility API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BFC5" w14:textId="753A1E1B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8" w:history="1">
            <w:r w:rsidRPr="00BA1943">
              <w:rPr>
                <w:rStyle w:val="Hyperlink"/>
                <w:noProof/>
              </w:rPr>
              <w:t>Enroll Provider API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0ECBD" w14:textId="6EA03A7F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49" w:history="1">
            <w:r w:rsidRPr="00BA1943">
              <w:rPr>
                <w:rStyle w:val="Hyperlink"/>
                <w:noProof/>
              </w:rPr>
              <w:t>Disenroll Provider API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6F862" w14:textId="0030973B" w:rsidR="007B6C01" w:rsidRDefault="007B6C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00163650" w:history="1">
            <w:r w:rsidRPr="00BA1943">
              <w:rPr>
                <w:rStyle w:val="Hyperlink"/>
                <w:noProof/>
              </w:rPr>
              <w:t>Inquire Provider Information API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_Toc500163650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0C9BC" w14:textId="2B4EE811" w:rsidR="007B6C01" w:rsidRDefault="00A67007" w:rsidP="00C44280">
          <w:pPr>
            <w:sectPr w:rsidR="007B6C01" w:rsidSect="00BC043C">
              <w:headerReference w:type="even" r:id="rId11"/>
              <w:headerReference w:type="default" r:id="rId12"/>
              <w:footerReference w:type="default" r:id="rId13"/>
              <w:headerReference w:type="first" r:id="rId14"/>
              <w:footerReference w:type="first" r:id="rId15"/>
              <w:pgSz w:w="12240" w:h="15840" w:code="1"/>
              <w:pgMar w:top="1800" w:right="1440" w:bottom="1800" w:left="1440" w:header="432" w:footer="720" w:gutter="0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667CC48" w14:textId="1D693346" w:rsidR="00D86257" w:rsidRDefault="00D86257" w:rsidP="00C44280"/>
    <w:p w14:paraId="48A8E8EE" w14:textId="5FC630C9" w:rsidR="001962CC" w:rsidRPr="00C44280" w:rsidRDefault="00494A55" w:rsidP="00C44280">
      <w:pPr>
        <w:pStyle w:val="Heading1"/>
      </w:pPr>
      <w:bookmarkStart w:id="1" w:name="_Toc500163634"/>
      <w:r w:rsidRPr="00C44280">
        <w:t>Introduction</w:t>
      </w:r>
      <w:bookmarkEnd w:id="1"/>
    </w:p>
    <w:p w14:paraId="0D33C965" w14:textId="708D4A41" w:rsidR="00A4661B" w:rsidRDefault="00A4661B" w:rsidP="00A4661B">
      <w:pPr>
        <w:pStyle w:val="p1"/>
        <w:rPr>
          <w:rFonts w:asciiTheme="minorHAnsi" w:hAnsiTheme="minorHAnsi"/>
          <w:color w:val="auto"/>
          <w:sz w:val="24"/>
          <w:szCs w:val="24"/>
        </w:rPr>
      </w:pPr>
      <w:r w:rsidRPr="00A4661B">
        <w:rPr>
          <w:rFonts w:asciiTheme="minorHAnsi" w:hAnsiTheme="minorHAnsi"/>
          <w:color w:val="auto"/>
          <w:sz w:val="24"/>
          <w:szCs w:val="24"/>
        </w:rPr>
        <w:t xml:space="preserve">The Poplin Provider Enrollment Reference Architecture </w:t>
      </w:r>
      <w:r w:rsidR="0047674D">
        <w:rPr>
          <w:rFonts w:asciiTheme="minorHAnsi" w:hAnsiTheme="minorHAnsi"/>
          <w:color w:val="auto"/>
          <w:sz w:val="24"/>
          <w:szCs w:val="24"/>
        </w:rPr>
        <w:t xml:space="preserve">(RA) </w:t>
      </w:r>
      <w:r w:rsidRPr="00A4661B">
        <w:rPr>
          <w:rFonts w:asciiTheme="minorHAnsi" w:hAnsiTheme="minorHAnsi"/>
          <w:color w:val="auto"/>
          <w:sz w:val="24"/>
          <w:szCs w:val="24"/>
        </w:rPr>
        <w:t>define</w:t>
      </w:r>
      <w:r w:rsidR="00187870">
        <w:rPr>
          <w:rFonts w:asciiTheme="minorHAnsi" w:hAnsiTheme="minorHAnsi"/>
          <w:color w:val="auto"/>
          <w:sz w:val="24"/>
          <w:szCs w:val="24"/>
        </w:rPr>
        <w:t>s</w:t>
      </w:r>
      <w:r w:rsidRPr="00A4661B">
        <w:rPr>
          <w:rFonts w:asciiTheme="minorHAnsi" w:hAnsiTheme="minorHAnsi"/>
          <w:color w:val="auto"/>
          <w:sz w:val="24"/>
          <w:szCs w:val="24"/>
        </w:rPr>
        <w:t xml:space="preserve"> a comprehensive, reusable, open</w:t>
      </w:r>
      <w:r w:rsidR="00B2146B">
        <w:rPr>
          <w:rFonts w:asciiTheme="minorHAnsi" w:hAnsiTheme="minorHAnsi"/>
          <w:color w:val="auto"/>
          <w:sz w:val="24"/>
          <w:szCs w:val="24"/>
        </w:rPr>
        <w:t>-</w:t>
      </w:r>
      <w:r w:rsidRPr="00A4661B">
        <w:rPr>
          <w:rFonts w:asciiTheme="minorHAnsi" w:hAnsiTheme="minorHAnsi"/>
          <w:color w:val="auto"/>
          <w:sz w:val="24"/>
          <w:szCs w:val="24"/>
        </w:rPr>
        <w:t>source technical architecture to support the Medicaid Information Technology Architecture</w:t>
      </w:r>
      <w:r w:rsidR="00B2446A">
        <w:rPr>
          <w:rFonts w:asciiTheme="minorHAnsi" w:hAnsiTheme="minorHAnsi"/>
          <w:color w:val="auto"/>
          <w:sz w:val="24"/>
          <w:szCs w:val="24"/>
        </w:rPr>
        <w:t>’s</w:t>
      </w:r>
      <w:r w:rsidRPr="00A4661B">
        <w:rPr>
          <w:rFonts w:asciiTheme="minorHAnsi" w:hAnsiTheme="minorHAnsi"/>
          <w:color w:val="auto"/>
          <w:sz w:val="24"/>
          <w:szCs w:val="24"/>
        </w:rPr>
        <w:t xml:space="preserve"> (MITA) Provider Enrollment business category. </w:t>
      </w:r>
    </w:p>
    <w:p w14:paraId="14D19C99" w14:textId="77777777" w:rsidR="00A4661B" w:rsidRDefault="00A4661B" w:rsidP="00A4661B">
      <w:pPr>
        <w:pStyle w:val="p1"/>
        <w:rPr>
          <w:rFonts w:asciiTheme="minorHAnsi" w:hAnsiTheme="minorHAnsi"/>
          <w:color w:val="auto"/>
          <w:sz w:val="24"/>
          <w:szCs w:val="24"/>
        </w:rPr>
      </w:pPr>
    </w:p>
    <w:p w14:paraId="772BB589" w14:textId="181D7EA6" w:rsidR="00A4661B" w:rsidRDefault="00A4661B" w:rsidP="00A4661B">
      <w:pPr>
        <w:pStyle w:val="p1"/>
        <w:rPr>
          <w:rFonts w:asciiTheme="minorHAnsi" w:hAnsiTheme="minorHAnsi"/>
          <w:color w:val="auto"/>
          <w:sz w:val="24"/>
          <w:szCs w:val="24"/>
        </w:rPr>
      </w:pPr>
      <w:r w:rsidRPr="00A4661B">
        <w:rPr>
          <w:rFonts w:asciiTheme="minorHAnsi" w:hAnsiTheme="minorHAnsi"/>
          <w:color w:val="auto"/>
          <w:sz w:val="24"/>
          <w:szCs w:val="24"/>
        </w:rPr>
        <w:t xml:space="preserve">The Provider Enrollment </w:t>
      </w:r>
      <w:r w:rsidR="0047674D">
        <w:rPr>
          <w:rFonts w:asciiTheme="minorHAnsi" w:hAnsiTheme="minorHAnsi"/>
          <w:color w:val="auto"/>
          <w:sz w:val="24"/>
          <w:szCs w:val="24"/>
        </w:rPr>
        <w:t>RA</w:t>
      </w:r>
      <w:r w:rsidRPr="00A4661B">
        <w:rPr>
          <w:rFonts w:asciiTheme="minorHAnsi" w:hAnsiTheme="minorHAnsi"/>
          <w:color w:val="auto"/>
          <w:sz w:val="24"/>
          <w:szCs w:val="24"/>
        </w:rPr>
        <w:t xml:space="preserve"> provides standard definitions for application services </w:t>
      </w:r>
      <w:r w:rsidR="00B2146B">
        <w:rPr>
          <w:rFonts w:asciiTheme="minorHAnsi" w:hAnsiTheme="minorHAnsi"/>
          <w:color w:val="auto"/>
          <w:sz w:val="24"/>
          <w:szCs w:val="24"/>
        </w:rPr>
        <w:t>that</w:t>
      </w:r>
      <w:r w:rsidR="00B2146B" w:rsidRPr="00A4661B">
        <w:rPr>
          <w:rFonts w:asciiTheme="minorHAnsi" w:hAnsiTheme="minorHAnsi"/>
          <w:color w:val="auto"/>
          <w:sz w:val="24"/>
          <w:szCs w:val="24"/>
        </w:rPr>
        <w:t xml:space="preserve"> </w:t>
      </w:r>
      <w:r w:rsidRPr="00A4661B">
        <w:rPr>
          <w:rFonts w:asciiTheme="minorHAnsi" w:hAnsiTheme="minorHAnsi"/>
          <w:color w:val="auto"/>
          <w:sz w:val="24"/>
          <w:szCs w:val="24"/>
        </w:rPr>
        <w:t>can be used to combine provider enrollment business processes into</w:t>
      </w:r>
      <w:r w:rsidR="00B2446A">
        <w:rPr>
          <w:rFonts w:asciiTheme="minorHAnsi" w:hAnsiTheme="minorHAnsi"/>
          <w:color w:val="auto"/>
          <w:sz w:val="24"/>
          <w:szCs w:val="24"/>
        </w:rPr>
        <w:t xml:space="preserve"> a set of standard objects packaged in a single module. This Provider Enrollment module</w:t>
      </w:r>
      <w:r w:rsidRPr="00A4661B">
        <w:rPr>
          <w:rFonts w:asciiTheme="minorHAnsi" w:hAnsiTheme="minorHAnsi"/>
          <w:color w:val="auto"/>
          <w:sz w:val="24"/>
          <w:szCs w:val="24"/>
        </w:rPr>
        <w:t xml:space="preserve"> may be leveraged across State Medicaid Agencies</w:t>
      </w:r>
      <w:r>
        <w:rPr>
          <w:rFonts w:asciiTheme="minorHAnsi" w:hAnsiTheme="minorHAnsi"/>
          <w:color w:val="auto"/>
          <w:sz w:val="24"/>
          <w:szCs w:val="24"/>
        </w:rPr>
        <w:t xml:space="preserve"> (SMA)</w:t>
      </w:r>
      <w:r w:rsidRPr="00A4661B">
        <w:rPr>
          <w:rFonts w:asciiTheme="minorHAnsi" w:hAnsiTheme="minorHAnsi"/>
          <w:color w:val="auto"/>
          <w:sz w:val="24"/>
          <w:szCs w:val="24"/>
        </w:rPr>
        <w:t xml:space="preserve"> to implement commutable, interoperable Medicaid Management Informatio</w:t>
      </w:r>
      <w:r>
        <w:rPr>
          <w:rFonts w:asciiTheme="minorHAnsi" w:hAnsiTheme="minorHAnsi"/>
          <w:color w:val="auto"/>
          <w:sz w:val="24"/>
          <w:szCs w:val="24"/>
        </w:rPr>
        <w:t xml:space="preserve">n Systems (MMIS). The development of </w:t>
      </w:r>
      <w:r w:rsidRPr="00A4661B">
        <w:rPr>
          <w:rFonts w:asciiTheme="minorHAnsi" w:hAnsiTheme="minorHAnsi"/>
          <w:color w:val="auto"/>
          <w:sz w:val="24"/>
          <w:szCs w:val="24"/>
        </w:rPr>
        <w:t xml:space="preserve">modular </w:t>
      </w:r>
      <w:r w:rsidR="00B2146B">
        <w:rPr>
          <w:rFonts w:asciiTheme="minorHAnsi" w:hAnsiTheme="minorHAnsi"/>
          <w:color w:val="auto"/>
          <w:sz w:val="24"/>
          <w:szCs w:val="24"/>
        </w:rPr>
        <w:t>RA</w:t>
      </w:r>
      <w:r w:rsidR="00AC75C2">
        <w:rPr>
          <w:rFonts w:asciiTheme="minorHAnsi" w:hAnsiTheme="minorHAnsi"/>
          <w:color w:val="auto"/>
          <w:sz w:val="24"/>
          <w:szCs w:val="24"/>
        </w:rPr>
        <w:t>s</w:t>
      </w:r>
      <w:r w:rsidRPr="00A4661B">
        <w:rPr>
          <w:rFonts w:asciiTheme="minorHAnsi" w:hAnsiTheme="minorHAnsi"/>
          <w:color w:val="auto"/>
          <w:sz w:val="24"/>
          <w:szCs w:val="24"/>
        </w:rPr>
        <w:t xml:space="preserve"> across MITA business categories </w:t>
      </w:r>
      <w:r>
        <w:rPr>
          <w:rFonts w:asciiTheme="minorHAnsi" w:hAnsiTheme="minorHAnsi"/>
          <w:color w:val="auto"/>
          <w:sz w:val="24"/>
          <w:szCs w:val="24"/>
        </w:rPr>
        <w:t xml:space="preserve">progresses modular design, reinforces the Medicaid Enterprise commitment to the Seven Standards and Conditions, and </w:t>
      </w:r>
      <w:r w:rsidRPr="00A4661B">
        <w:rPr>
          <w:rFonts w:asciiTheme="minorHAnsi" w:hAnsiTheme="minorHAnsi"/>
          <w:color w:val="auto"/>
          <w:sz w:val="24"/>
          <w:szCs w:val="24"/>
        </w:rPr>
        <w:t xml:space="preserve">supports the </w:t>
      </w:r>
      <w:r w:rsidR="0047674D">
        <w:rPr>
          <w:rFonts w:asciiTheme="minorHAnsi" w:hAnsiTheme="minorHAnsi"/>
          <w:color w:val="auto"/>
          <w:sz w:val="24"/>
          <w:szCs w:val="24"/>
        </w:rPr>
        <w:t xml:space="preserve">technical </w:t>
      </w:r>
      <w:r>
        <w:rPr>
          <w:rFonts w:asciiTheme="minorHAnsi" w:hAnsiTheme="minorHAnsi"/>
          <w:color w:val="auto"/>
          <w:sz w:val="24"/>
          <w:szCs w:val="24"/>
        </w:rPr>
        <w:t>evolution of SMAs.</w:t>
      </w:r>
      <w:r w:rsidR="00E651A7">
        <w:rPr>
          <w:rStyle w:val="FootnoteReference"/>
          <w:rFonts w:asciiTheme="minorHAnsi" w:hAnsiTheme="minorHAnsi"/>
          <w:color w:val="auto"/>
          <w:sz w:val="24"/>
          <w:szCs w:val="24"/>
        </w:rPr>
        <w:footnoteReference w:id="1"/>
      </w:r>
      <w:r>
        <w:rPr>
          <w:rFonts w:asciiTheme="minorHAnsi" w:hAnsiTheme="minorHAnsi"/>
          <w:color w:val="auto"/>
          <w:sz w:val="24"/>
          <w:szCs w:val="24"/>
        </w:rPr>
        <w:t xml:space="preserve"> </w:t>
      </w:r>
    </w:p>
    <w:p w14:paraId="678CF5AD" w14:textId="77777777" w:rsidR="00A4661B" w:rsidRPr="00A4661B" w:rsidRDefault="00A4661B" w:rsidP="00A4661B">
      <w:pPr>
        <w:pStyle w:val="p1"/>
        <w:rPr>
          <w:rFonts w:asciiTheme="minorHAnsi" w:hAnsiTheme="minorHAnsi"/>
          <w:color w:val="auto"/>
          <w:sz w:val="24"/>
          <w:szCs w:val="24"/>
        </w:rPr>
      </w:pPr>
    </w:p>
    <w:p w14:paraId="19926E95" w14:textId="38804D02" w:rsidR="00B2446A" w:rsidRDefault="00A4661B" w:rsidP="00A4661B">
      <w:pPr>
        <w:pStyle w:val="p1"/>
        <w:rPr>
          <w:rFonts w:asciiTheme="minorHAnsi" w:hAnsiTheme="minorHAnsi"/>
          <w:color w:val="auto"/>
          <w:sz w:val="24"/>
          <w:szCs w:val="24"/>
        </w:rPr>
      </w:pPr>
      <w:r w:rsidRPr="00A4661B">
        <w:rPr>
          <w:rFonts w:asciiTheme="minorHAnsi" w:hAnsiTheme="minorHAnsi"/>
          <w:color w:val="auto"/>
          <w:sz w:val="24"/>
          <w:szCs w:val="24"/>
        </w:rPr>
        <w:t xml:space="preserve">The MITA Provider Enrollment business category falls under the Eligibility and Enrollment Management MITA business area and is </w:t>
      </w:r>
      <w:r w:rsidR="00B2146B">
        <w:rPr>
          <w:rFonts w:asciiTheme="minorHAnsi" w:hAnsiTheme="minorHAnsi"/>
          <w:color w:val="auto"/>
          <w:sz w:val="24"/>
          <w:szCs w:val="24"/>
        </w:rPr>
        <w:t>composed</w:t>
      </w:r>
      <w:r w:rsidR="00B2146B" w:rsidRPr="00A4661B">
        <w:rPr>
          <w:rFonts w:asciiTheme="minorHAnsi" w:hAnsiTheme="minorHAnsi"/>
          <w:color w:val="auto"/>
          <w:sz w:val="24"/>
          <w:szCs w:val="24"/>
        </w:rPr>
        <w:t xml:space="preserve"> </w:t>
      </w:r>
      <w:r w:rsidRPr="00A4661B">
        <w:rPr>
          <w:rFonts w:asciiTheme="minorHAnsi" w:hAnsiTheme="minorHAnsi"/>
          <w:color w:val="auto"/>
          <w:sz w:val="24"/>
          <w:szCs w:val="24"/>
        </w:rPr>
        <w:t>o</w:t>
      </w:r>
      <w:r w:rsidR="00B2446A">
        <w:rPr>
          <w:rFonts w:asciiTheme="minorHAnsi" w:hAnsiTheme="minorHAnsi"/>
          <w:color w:val="auto"/>
          <w:sz w:val="24"/>
          <w:szCs w:val="24"/>
        </w:rPr>
        <w:t>f four MITA business processes:</w:t>
      </w:r>
    </w:p>
    <w:p w14:paraId="19E09301" w14:textId="1C3E7F34" w:rsidR="00B2446A" w:rsidRDefault="00936DEB" w:rsidP="00B2446A">
      <w:pPr>
        <w:pStyle w:val="p1"/>
        <w:numPr>
          <w:ilvl w:val="0"/>
          <w:numId w:val="25"/>
        </w:numPr>
        <w:rPr>
          <w:rFonts w:asciiTheme="minorHAnsi" w:hAnsiTheme="minorHAnsi"/>
          <w:color w:val="auto"/>
          <w:sz w:val="24"/>
          <w:szCs w:val="24"/>
        </w:rPr>
      </w:pPr>
      <w:r>
        <w:rPr>
          <w:rFonts w:asciiTheme="minorHAnsi" w:hAnsiTheme="minorHAnsi"/>
          <w:color w:val="auto"/>
          <w:sz w:val="24"/>
          <w:szCs w:val="24"/>
        </w:rPr>
        <w:t xml:space="preserve">EE05 </w:t>
      </w:r>
      <w:r w:rsidR="00A4661B" w:rsidRPr="00A4661B">
        <w:rPr>
          <w:rFonts w:asciiTheme="minorHAnsi" w:hAnsiTheme="minorHAnsi"/>
          <w:color w:val="auto"/>
          <w:sz w:val="24"/>
          <w:szCs w:val="24"/>
        </w:rPr>
        <w:t>Determi</w:t>
      </w:r>
      <w:r w:rsidR="00B2446A">
        <w:rPr>
          <w:rFonts w:asciiTheme="minorHAnsi" w:hAnsiTheme="minorHAnsi"/>
          <w:color w:val="auto"/>
          <w:sz w:val="24"/>
          <w:szCs w:val="24"/>
        </w:rPr>
        <w:t>ne Provider Eligibility</w:t>
      </w:r>
    </w:p>
    <w:p w14:paraId="2935F891" w14:textId="0AE52522" w:rsidR="00B2446A" w:rsidRDefault="00936DEB" w:rsidP="00B2446A">
      <w:pPr>
        <w:pStyle w:val="p1"/>
        <w:numPr>
          <w:ilvl w:val="0"/>
          <w:numId w:val="25"/>
        </w:numPr>
        <w:rPr>
          <w:rFonts w:asciiTheme="minorHAnsi" w:hAnsiTheme="minorHAnsi"/>
          <w:color w:val="auto"/>
          <w:sz w:val="24"/>
          <w:szCs w:val="24"/>
        </w:rPr>
      </w:pPr>
      <w:r>
        <w:rPr>
          <w:rFonts w:asciiTheme="minorHAnsi" w:hAnsiTheme="minorHAnsi"/>
          <w:color w:val="auto"/>
          <w:sz w:val="24"/>
          <w:szCs w:val="24"/>
        </w:rPr>
        <w:t xml:space="preserve">EE06 </w:t>
      </w:r>
      <w:r w:rsidR="00B2446A">
        <w:rPr>
          <w:rFonts w:asciiTheme="minorHAnsi" w:hAnsiTheme="minorHAnsi"/>
          <w:color w:val="auto"/>
          <w:sz w:val="24"/>
          <w:szCs w:val="24"/>
        </w:rPr>
        <w:t>Enroll Provider</w:t>
      </w:r>
    </w:p>
    <w:p w14:paraId="388287FC" w14:textId="326C8BEC" w:rsidR="00B2446A" w:rsidRDefault="00936DEB" w:rsidP="00B2446A">
      <w:pPr>
        <w:pStyle w:val="p1"/>
        <w:numPr>
          <w:ilvl w:val="0"/>
          <w:numId w:val="25"/>
        </w:numPr>
        <w:rPr>
          <w:rFonts w:asciiTheme="minorHAnsi" w:hAnsiTheme="minorHAnsi"/>
          <w:color w:val="auto"/>
          <w:sz w:val="24"/>
          <w:szCs w:val="24"/>
        </w:rPr>
      </w:pPr>
      <w:r>
        <w:rPr>
          <w:rFonts w:asciiTheme="minorHAnsi" w:hAnsiTheme="minorHAnsi"/>
          <w:color w:val="auto"/>
          <w:sz w:val="24"/>
          <w:szCs w:val="24"/>
        </w:rPr>
        <w:t xml:space="preserve">EE07 </w:t>
      </w:r>
      <w:proofErr w:type="spellStart"/>
      <w:r w:rsidR="00B2446A">
        <w:rPr>
          <w:rFonts w:asciiTheme="minorHAnsi" w:hAnsiTheme="minorHAnsi"/>
          <w:color w:val="auto"/>
          <w:sz w:val="24"/>
          <w:szCs w:val="24"/>
        </w:rPr>
        <w:t>Disenroll</w:t>
      </w:r>
      <w:proofErr w:type="spellEnd"/>
      <w:r w:rsidR="00B2446A">
        <w:rPr>
          <w:rFonts w:asciiTheme="minorHAnsi" w:hAnsiTheme="minorHAnsi"/>
          <w:color w:val="auto"/>
          <w:sz w:val="24"/>
          <w:szCs w:val="24"/>
        </w:rPr>
        <w:t xml:space="preserve"> Provider</w:t>
      </w:r>
    </w:p>
    <w:p w14:paraId="3FB3AE57" w14:textId="2DDB074F" w:rsidR="00B2446A" w:rsidRDefault="00936DEB" w:rsidP="00B2446A">
      <w:pPr>
        <w:pStyle w:val="p1"/>
        <w:numPr>
          <w:ilvl w:val="0"/>
          <w:numId w:val="25"/>
        </w:numPr>
        <w:rPr>
          <w:rFonts w:asciiTheme="minorHAnsi" w:hAnsiTheme="minorHAnsi"/>
          <w:color w:val="auto"/>
          <w:sz w:val="24"/>
          <w:szCs w:val="24"/>
        </w:rPr>
      </w:pPr>
      <w:r>
        <w:rPr>
          <w:rFonts w:asciiTheme="minorHAnsi" w:hAnsiTheme="minorHAnsi"/>
          <w:color w:val="auto"/>
          <w:sz w:val="24"/>
          <w:szCs w:val="24"/>
        </w:rPr>
        <w:t xml:space="preserve">EE08 </w:t>
      </w:r>
      <w:r w:rsidR="00B2446A">
        <w:rPr>
          <w:rFonts w:asciiTheme="minorHAnsi" w:hAnsiTheme="minorHAnsi"/>
          <w:color w:val="auto"/>
          <w:sz w:val="24"/>
          <w:szCs w:val="24"/>
        </w:rPr>
        <w:t>Inquire Provider Information</w:t>
      </w:r>
      <w:r w:rsidR="009367F5">
        <w:rPr>
          <w:rStyle w:val="FootnoteReference"/>
          <w:rFonts w:asciiTheme="minorHAnsi" w:hAnsiTheme="minorHAnsi"/>
          <w:color w:val="auto"/>
          <w:sz w:val="24"/>
          <w:szCs w:val="24"/>
        </w:rPr>
        <w:footnoteReference w:id="2"/>
      </w:r>
    </w:p>
    <w:p w14:paraId="78C6966E" w14:textId="77777777" w:rsidR="00B2446A" w:rsidRDefault="00B2446A" w:rsidP="00B2446A">
      <w:pPr>
        <w:pStyle w:val="p1"/>
        <w:rPr>
          <w:rFonts w:asciiTheme="minorHAnsi" w:hAnsiTheme="minorHAnsi"/>
          <w:color w:val="auto"/>
          <w:sz w:val="24"/>
          <w:szCs w:val="24"/>
        </w:rPr>
      </w:pPr>
    </w:p>
    <w:p w14:paraId="4DA38BD2" w14:textId="1ACB0671" w:rsidR="00651C05" w:rsidRDefault="00B2446A" w:rsidP="00D86257">
      <w:pPr>
        <w:pStyle w:val="p1"/>
      </w:pPr>
      <w:r>
        <w:rPr>
          <w:rFonts w:asciiTheme="minorHAnsi" w:hAnsiTheme="minorHAnsi"/>
          <w:color w:val="auto"/>
          <w:sz w:val="24"/>
          <w:szCs w:val="24"/>
        </w:rPr>
        <w:t>Therefore</w:t>
      </w:r>
      <w:r w:rsidR="00A4661B" w:rsidRPr="00A4661B">
        <w:rPr>
          <w:rFonts w:asciiTheme="minorHAnsi" w:hAnsiTheme="minorHAnsi"/>
          <w:color w:val="auto"/>
          <w:sz w:val="24"/>
          <w:szCs w:val="24"/>
        </w:rPr>
        <w:t xml:space="preserve">, the Provider Enrollment </w:t>
      </w:r>
      <w:r w:rsidR="00922DBF">
        <w:rPr>
          <w:rFonts w:asciiTheme="minorHAnsi" w:hAnsiTheme="minorHAnsi"/>
          <w:color w:val="auto"/>
          <w:sz w:val="24"/>
          <w:szCs w:val="24"/>
        </w:rPr>
        <w:t>RA</w:t>
      </w:r>
      <w:r w:rsidR="00A4661B" w:rsidRPr="00A4661B">
        <w:rPr>
          <w:rFonts w:asciiTheme="minorHAnsi" w:hAnsiTheme="minorHAnsi"/>
          <w:color w:val="auto"/>
          <w:sz w:val="24"/>
          <w:szCs w:val="24"/>
        </w:rPr>
        <w:t xml:space="preserve"> is broken down </w:t>
      </w:r>
      <w:r w:rsidR="00922DBF">
        <w:rPr>
          <w:rFonts w:asciiTheme="minorHAnsi" w:hAnsiTheme="minorHAnsi"/>
          <w:color w:val="auto"/>
          <w:sz w:val="24"/>
          <w:szCs w:val="24"/>
        </w:rPr>
        <w:t>into four equivalent Business Process Models each accompanied by an Object Model, Resource Definitions, and Application Programming Interface (API) Definitions.</w:t>
      </w:r>
    </w:p>
    <w:p w14:paraId="52C445FA" w14:textId="1289E458" w:rsidR="00922DBF" w:rsidRPr="00922DBF" w:rsidRDefault="00922DBF" w:rsidP="00922DBF">
      <w:pPr>
        <w:pStyle w:val="Heading1"/>
      </w:pPr>
      <w:bookmarkStart w:id="2" w:name="_Toc500163635"/>
      <w:r>
        <w:t xml:space="preserve">Business </w:t>
      </w:r>
      <w:r w:rsidR="00494A55">
        <w:t>Process Model</w:t>
      </w:r>
      <w:r>
        <w:t>s</w:t>
      </w:r>
      <w:bookmarkEnd w:id="2"/>
    </w:p>
    <w:p w14:paraId="0C7AEC93" w14:textId="5B1E015A" w:rsidR="00936DEB" w:rsidRPr="00936DEB" w:rsidRDefault="00922DBF" w:rsidP="006A5396">
      <w:pPr>
        <w:pStyle w:val="Heading2"/>
        <w:spacing w:after="240"/>
      </w:pPr>
      <w:bookmarkStart w:id="3" w:name="_Toc500163636"/>
      <w:r>
        <w:t>Determine Provider Eligibility Business Process Model</w:t>
      </w:r>
      <w:bookmarkEnd w:id="3"/>
    </w:p>
    <w:p w14:paraId="77453E60" w14:textId="43940CAC" w:rsidR="00C101C9" w:rsidRDefault="00936DEB" w:rsidP="00936DEB">
      <w:r>
        <w:t>The MITA Determine Provider Eligibility</w:t>
      </w:r>
      <w:r w:rsidR="00E36050">
        <w:t xml:space="preserve"> (EE05)</w:t>
      </w:r>
      <w:r>
        <w:t xml:space="preserve"> business process is used to collect information </w:t>
      </w:r>
      <w:r w:rsidR="005D26D5">
        <w:t>through a provider</w:t>
      </w:r>
      <w:r>
        <w:t xml:space="preserve"> application</w:t>
      </w:r>
      <w:r w:rsidR="005D26D5">
        <w:t xml:space="preserve"> </w:t>
      </w:r>
      <w:r>
        <w:t xml:space="preserve">for enrolling, re-enrolling, or revalidating a Medicaid service provider. The business process determines a </w:t>
      </w:r>
      <w:proofErr w:type="gramStart"/>
      <w:r>
        <w:t>providers</w:t>
      </w:r>
      <w:proofErr w:type="gramEnd"/>
      <w:r>
        <w:t xml:space="preserve"> eligibility through a configurable set of validations and screening with internal and external entities. </w:t>
      </w:r>
      <w:r w:rsidR="005D26D5">
        <w:t xml:space="preserve">The </w:t>
      </w:r>
      <w:r w:rsidR="00E027C8">
        <w:t>EE05</w:t>
      </w:r>
      <w:r w:rsidR="005D26D5">
        <w:t xml:space="preserve"> business process also triggers downstream MITA business processes including: EE06 Enroll Provider, EE07 </w:t>
      </w:r>
      <w:proofErr w:type="spellStart"/>
      <w:r w:rsidR="005D26D5">
        <w:t>Disenroll</w:t>
      </w:r>
      <w:proofErr w:type="spellEnd"/>
      <w:r w:rsidR="005D26D5">
        <w:t xml:space="preserve"> Provider, PM02 Manage Provider Communication, and </w:t>
      </w:r>
      <w:r w:rsidR="0013775D">
        <w:t xml:space="preserve">FM07 </w:t>
      </w:r>
      <w:r w:rsidR="005D26D5">
        <w:t>Manage Accounts Receivable</w:t>
      </w:r>
      <w:r w:rsidR="0013775D">
        <w:t xml:space="preserve"> Funds</w:t>
      </w:r>
      <w:r w:rsidR="005D26D5">
        <w:t xml:space="preserve">. </w:t>
      </w:r>
      <w:r w:rsidR="00E027C8">
        <w:t>Furthermore, t</w:t>
      </w:r>
      <w:r w:rsidR="005D26D5">
        <w:t xml:space="preserve">his business process also </w:t>
      </w:r>
      <w:r w:rsidR="0013775D">
        <w:t>provides the data necess</w:t>
      </w:r>
      <w:r w:rsidR="00E027C8">
        <w:t xml:space="preserve">ary for </w:t>
      </w:r>
      <w:r w:rsidR="0013775D">
        <w:t xml:space="preserve">the MITA </w:t>
      </w:r>
      <w:r w:rsidR="0013775D">
        <w:lastRenderedPageBreak/>
        <w:t>Provider Management business category.</w:t>
      </w:r>
      <w:r w:rsidR="00D86257">
        <w:t xml:space="preserve"> </w:t>
      </w:r>
      <w:r w:rsidR="00C101C9">
        <w:t>Figure 1 depicts the EE05 Determine Provider Eligibility business process model according to MITA.</w:t>
      </w:r>
    </w:p>
    <w:p w14:paraId="3F5360EC" w14:textId="77777777" w:rsidR="00E651A7" w:rsidRDefault="00E651A7" w:rsidP="00936DEB"/>
    <w:p w14:paraId="5934A140" w14:textId="059290E6" w:rsidR="00936DEB" w:rsidRPr="00936DEB" w:rsidRDefault="00CE4F2A" w:rsidP="00936DEB">
      <w:r>
        <w:object w:dxaOrig="22725" w:dyaOrig="22950" w14:anchorId="07DB73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71.75pt" o:ole="">
            <v:imagedata r:id="rId16" o:title=""/>
          </v:shape>
          <o:OLEObject Type="Embed" ProgID="Visio.Drawing.15" ShapeID="_x0000_i1025" DrawAspect="Content" ObjectID="_1573905487" r:id="rId17"/>
        </w:object>
      </w:r>
    </w:p>
    <w:p w14:paraId="339A6FF2" w14:textId="7126B08C" w:rsidR="00E36050" w:rsidRDefault="00922DBF" w:rsidP="006A5396">
      <w:pPr>
        <w:pStyle w:val="Heading2"/>
        <w:spacing w:after="240"/>
      </w:pPr>
      <w:bookmarkStart w:id="4" w:name="_Toc500163637"/>
      <w:r>
        <w:t>Enroll Provider Business Process Model</w:t>
      </w:r>
      <w:bookmarkEnd w:id="4"/>
    </w:p>
    <w:p w14:paraId="708CC767" w14:textId="0632D3C2" w:rsidR="00752F77" w:rsidRDefault="00E36050" w:rsidP="00E36050">
      <w:r>
        <w:t xml:space="preserve">The MITA Enroll Provider (EE06) business process is used for enrolling providers in </w:t>
      </w:r>
      <w:r w:rsidR="00E027C8">
        <w:t>a</w:t>
      </w:r>
      <w:r w:rsidR="008F75EA">
        <w:t xml:space="preserve"> State Medicaid program</w:t>
      </w:r>
      <w:r w:rsidR="00B04B80">
        <w:t xml:space="preserve">. Successfully enrolled Medicaid providers may </w:t>
      </w:r>
      <w:r>
        <w:t>begin</w:t>
      </w:r>
      <w:r w:rsidR="00B04B80">
        <w:t xml:space="preserve"> </w:t>
      </w:r>
      <w:r>
        <w:t xml:space="preserve">or continue rendering services to Medicaid beneficiaries. </w:t>
      </w:r>
      <w:r w:rsidR="00B04B80">
        <w:t>The EE06 busi</w:t>
      </w:r>
      <w:r w:rsidR="00900677">
        <w:t>ness process can be triggered through</w:t>
      </w:r>
      <w:r w:rsidR="00B04B80">
        <w:t xml:space="preserve"> several other MITA business processes. An obvious trigger f</w:t>
      </w:r>
      <w:r w:rsidR="00900677">
        <w:t xml:space="preserve">or the process comes from EE05 Determine </w:t>
      </w:r>
      <w:r w:rsidR="00900677">
        <w:lastRenderedPageBreak/>
        <w:t xml:space="preserve">Provider Eligibility </w:t>
      </w:r>
      <w:r w:rsidR="00654748">
        <w:t xml:space="preserve">as </w:t>
      </w:r>
      <w:r w:rsidR="00B04B80">
        <w:t>providers must be enrolled</w:t>
      </w:r>
      <w:r w:rsidR="00FA780C">
        <w:t xml:space="preserve"> in Medicaid </w:t>
      </w:r>
      <w:proofErr w:type="gramStart"/>
      <w:r w:rsidR="00FA780C">
        <w:t>in order</w:t>
      </w:r>
      <w:r w:rsidR="00B04B80">
        <w:t xml:space="preserve"> to</w:t>
      </w:r>
      <w:proofErr w:type="gramEnd"/>
      <w:r w:rsidR="00B04B80">
        <w:t xml:space="preserve"> provide services once eligibility is determined.  Other MITA business processes triggering EE06 include: Manage Performance Measures (PL05) </w:t>
      </w:r>
      <w:r w:rsidR="00752F77">
        <w:t xml:space="preserve">– </w:t>
      </w:r>
      <w:r w:rsidR="00B04B80">
        <w:t>for providers who must complete revalidation</w:t>
      </w:r>
      <w:r w:rsidR="0081794B">
        <w:t xml:space="preserve"> or State-determined periodic review</w:t>
      </w:r>
      <w:r w:rsidR="00752F77">
        <w:t xml:space="preserve"> –</w:t>
      </w:r>
      <w:r w:rsidR="00B04B80">
        <w:t xml:space="preserve"> and Award Contract (CO06) </w:t>
      </w:r>
      <w:r w:rsidR="00752F77">
        <w:t xml:space="preserve">– </w:t>
      </w:r>
      <w:r w:rsidR="00B04B80">
        <w:t>for providers such as Mana</w:t>
      </w:r>
      <w:r w:rsidR="00752F77">
        <w:t>ged Care Organizations which have gained a new or continuing contract with the SMA</w:t>
      </w:r>
      <w:r w:rsidR="00B04B80">
        <w:t xml:space="preserve">. </w:t>
      </w:r>
      <w:r w:rsidR="00752F77">
        <w:t xml:space="preserve">Furthermore, an example of an environmental trigger for the EE06 business process would be the receipt of enrollment or disenrollment information for the provider from another SMA or CHIP. </w:t>
      </w:r>
    </w:p>
    <w:p w14:paraId="58A19F21" w14:textId="77777777" w:rsidR="00752F77" w:rsidRDefault="00752F77" w:rsidP="00E36050"/>
    <w:p w14:paraId="7515B8A0" w14:textId="1950C1A3" w:rsidR="00E36050" w:rsidRPr="00E36050" w:rsidRDefault="00752F77" w:rsidP="00E36050">
      <w:r>
        <w:t xml:space="preserve">The EE06 business process primarily accomplishes </w:t>
      </w:r>
      <w:r w:rsidR="0081794B">
        <w:t xml:space="preserve">three business needs – determination of contracting parameters, program assignment, and establishment of rates. As such, the Enroll Provider business process is not a complex process; but, </w:t>
      </w:r>
      <w:r w:rsidR="00B861A0">
        <w:t xml:space="preserve">rather, serves </w:t>
      </w:r>
      <w:r w:rsidR="0081794B">
        <w:t>as a gateway to subsequent MITA business processes. Inherently, many MITA business processes are triggered or “alerted” via EE06, these include: Manage Contractor Payment (FM09), Manage Contract (CO07), Perform Provider Outreach (PM03), Manage Provider and Contractor Communication (PM</w:t>
      </w:r>
      <w:r w:rsidR="004B0C6C">
        <w:t>02 and CO02), and Manage Provider and Contractor Information (PM01 and CO01).</w:t>
      </w:r>
      <w:r w:rsidR="0081794B">
        <w:t xml:space="preserve"> </w:t>
      </w:r>
      <w:r w:rsidR="004B0C6C">
        <w:t>Figure 2 depicts the EE06 Enroll Provider business process model according to MITA.</w:t>
      </w:r>
    </w:p>
    <w:p w14:paraId="10AC6503" w14:textId="77777777" w:rsidR="00E36050" w:rsidRPr="00E36050" w:rsidRDefault="00E36050" w:rsidP="00E36050"/>
    <w:p w14:paraId="5AFB96A9" w14:textId="4FBA7E47" w:rsidR="00E36050" w:rsidRPr="00E36050" w:rsidRDefault="00E36050" w:rsidP="00E36050">
      <w:r>
        <w:object w:dxaOrig="19621" w:dyaOrig="13366" w14:anchorId="5B11922E">
          <v:shape id="_x0000_i1026" type="#_x0000_t75" style="width:467.25pt;height:319.5pt" o:ole="">
            <v:imagedata r:id="rId18" o:title=""/>
          </v:shape>
          <o:OLEObject Type="Embed" ProgID="Visio.Drawing.15" ShapeID="_x0000_i1026" DrawAspect="Content" ObjectID="_1573905488" r:id="rId19"/>
        </w:object>
      </w:r>
    </w:p>
    <w:p w14:paraId="1E22D62C" w14:textId="7BD80EC0" w:rsidR="008F75EA" w:rsidRDefault="00922DBF" w:rsidP="006A5396">
      <w:pPr>
        <w:pStyle w:val="Heading2"/>
        <w:spacing w:after="240"/>
      </w:pPr>
      <w:bookmarkStart w:id="5" w:name="_Toc500163638"/>
      <w:proofErr w:type="spellStart"/>
      <w:r>
        <w:lastRenderedPageBreak/>
        <w:t>Disenroll</w:t>
      </w:r>
      <w:proofErr w:type="spellEnd"/>
      <w:r>
        <w:t xml:space="preserve"> Provider Business Process Model</w:t>
      </w:r>
      <w:bookmarkEnd w:id="5"/>
    </w:p>
    <w:p w14:paraId="327E48DE" w14:textId="015E3A86" w:rsidR="00A65937" w:rsidRPr="00E36050" w:rsidRDefault="00654748" w:rsidP="00A65937">
      <w:r>
        <w:t xml:space="preserve">The MITA </w:t>
      </w:r>
      <w:proofErr w:type="spellStart"/>
      <w:r>
        <w:t>Disenroll</w:t>
      </w:r>
      <w:proofErr w:type="spellEnd"/>
      <w:r>
        <w:t xml:space="preserve"> Provider (EE07</w:t>
      </w:r>
      <w:r w:rsidRPr="00654748">
        <w:t xml:space="preserve">) business process is used for </w:t>
      </w:r>
      <w:proofErr w:type="spellStart"/>
      <w:r>
        <w:t>disenrolling</w:t>
      </w:r>
      <w:proofErr w:type="spellEnd"/>
      <w:r>
        <w:t xml:space="preserve"> providers from a</w:t>
      </w:r>
      <w:r w:rsidRPr="00654748">
        <w:t xml:space="preserve"> State Medicaid program</w:t>
      </w:r>
      <w:r w:rsidR="008F75EA">
        <w:t xml:space="preserve">. </w:t>
      </w:r>
      <w:proofErr w:type="gramStart"/>
      <w:r w:rsidR="008F75EA">
        <w:t>Similar to</w:t>
      </w:r>
      <w:proofErr w:type="gramEnd"/>
      <w:r w:rsidR="008F75EA">
        <w:t xml:space="preserve"> the EE06</w:t>
      </w:r>
      <w:r>
        <w:t xml:space="preserve"> Enroll Provider</w:t>
      </w:r>
      <w:r w:rsidR="008F75EA">
        <w:t xml:space="preserve"> business process, the EE07 </w:t>
      </w:r>
      <w:proofErr w:type="spellStart"/>
      <w:r w:rsidR="008F75EA">
        <w:t>Disenroll</w:t>
      </w:r>
      <w:proofErr w:type="spellEnd"/>
      <w:r w:rsidR="008F75EA">
        <w:t xml:space="preserve"> Provider business process can be triggered through several other MITA business processes.</w:t>
      </w:r>
      <w:r w:rsidR="00900677">
        <w:t xml:space="preserve"> </w:t>
      </w:r>
      <w:r>
        <w:t>Also similar</w:t>
      </w:r>
      <w:r w:rsidR="00900677">
        <w:t xml:space="preserve"> to EE06, </w:t>
      </w:r>
      <w:r>
        <w:t>the</w:t>
      </w:r>
      <w:r w:rsidR="00900677">
        <w:t xml:space="preserve"> </w:t>
      </w:r>
      <w:r>
        <w:t>inherent</w:t>
      </w:r>
      <w:r w:rsidR="00900677">
        <w:t xml:space="preserve"> trigger for this business process comes from EE05 Determine Provider Eligibility </w:t>
      </w:r>
      <w:r>
        <w:t xml:space="preserve">in order </w:t>
      </w:r>
      <w:proofErr w:type="gramStart"/>
      <w:r>
        <w:t xml:space="preserve">to </w:t>
      </w:r>
      <w:r w:rsidR="00900677">
        <w:t xml:space="preserve"> </w:t>
      </w:r>
      <w:proofErr w:type="spellStart"/>
      <w:r>
        <w:t>disenroll</w:t>
      </w:r>
      <w:proofErr w:type="spellEnd"/>
      <w:proofErr w:type="gramEnd"/>
      <w:r>
        <w:t xml:space="preserve"> providers</w:t>
      </w:r>
      <w:r w:rsidR="00900677">
        <w:t xml:space="preserve"> from Medicaid if</w:t>
      </w:r>
      <w:r>
        <w:t xml:space="preserve"> a</w:t>
      </w:r>
      <w:r w:rsidR="00900677">
        <w:t xml:space="preserve"> </w:t>
      </w:r>
      <w:r>
        <w:t xml:space="preserve">provider’s </w:t>
      </w:r>
      <w:r w:rsidR="00900677">
        <w:t>eligibility determination is unsuccessful.</w:t>
      </w:r>
      <w:r w:rsidR="00B861A0">
        <w:t xml:space="preserve"> T</w:t>
      </w:r>
      <w:r>
        <w:t>he EE07 business process can</w:t>
      </w:r>
      <w:r w:rsidR="00B861A0">
        <w:t xml:space="preserve"> also </w:t>
      </w:r>
      <w:r>
        <w:t xml:space="preserve">be triggered </w:t>
      </w:r>
      <w:r w:rsidR="00B861A0">
        <w:t xml:space="preserve">through </w:t>
      </w:r>
      <w:r>
        <w:t xml:space="preserve">other MITA business processes such as: </w:t>
      </w:r>
      <w:r w:rsidR="00A65937">
        <w:t xml:space="preserve">PE03 </w:t>
      </w:r>
      <w:r>
        <w:t xml:space="preserve">Manage Compliance Incident Information, </w:t>
      </w:r>
      <w:r w:rsidR="00A65937">
        <w:t xml:space="preserve">PM01 </w:t>
      </w:r>
      <w:r>
        <w:t xml:space="preserve">Manage Provider Information, </w:t>
      </w:r>
      <w:r w:rsidR="00A65937">
        <w:t xml:space="preserve">CO01 </w:t>
      </w:r>
      <w:r>
        <w:t xml:space="preserve">Manage Contractor Information, </w:t>
      </w:r>
      <w:r w:rsidR="00A65937">
        <w:t xml:space="preserve">PE04 </w:t>
      </w:r>
      <w:r>
        <w:t xml:space="preserve">Determine Adverse Action Incident, and </w:t>
      </w:r>
      <w:r w:rsidR="00A65937">
        <w:t xml:space="preserve">CO08 </w:t>
      </w:r>
      <w:r>
        <w:t xml:space="preserve">Close Out Contract. </w:t>
      </w:r>
      <w:proofErr w:type="spellStart"/>
      <w:r w:rsidR="00B861A0">
        <w:t>Addtionally</w:t>
      </w:r>
      <w:proofErr w:type="spellEnd"/>
      <w:r>
        <w:t>,</w:t>
      </w:r>
      <w:r w:rsidR="00B861A0">
        <w:t xml:space="preserve"> there are some </w:t>
      </w:r>
      <w:r>
        <w:t>external environmental factor</w:t>
      </w:r>
      <w:r w:rsidR="00B861A0">
        <w:t>s</w:t>
      </w:r>
      <w:r>
        <w:t xml:space="preserve"> which can initiate the </w:t>
      </w:r>
      <w:proofErr w:type="spellStart"/>
      <w:r>
        <w:t>Disenroll</w:t>
      </w:r>
      <w:proofErr w:type="spellEnd"/>
      <w:r>
        <w:t xml:space="preserve"> Provider business process</w:t>
      </w:r>
      <w:r w:rsidR="00B861A0">
        <w:t xml:space="preserve"> – these</w:t>
      </w:r>
      <w:r>
        <w:t xml:space="preserve"> </w:t>
      </w:r>
      <w:r w:rsidR="00B861A0">
        <w:t>include: information received of provider’s death, retirement, or disability; notification of provider sanction from federal or state credentialing entity; or, request for disenrollment from State insurance affordability program.</w:t>
      </w:r>
      <w:r>
        <w:t xml:space="preserve"> </w:t>
      </w:r>
      <w:r w:rsidR="00B861A0">
        <w:t xml:space="preserve">Once the primary goal to </w:t>
      </w:r>
      <w:proofErr w:type="spellStart"/>
      <w:r w:rsidR="00B861A0">
        <w:t>disenroll</w:t>
      </w:r>
      <w:proofErr w:type="spellEnd"/>
      <w:r w:rsidR="00B861A0">
        <w:t xml:space="preserve"> a Medicaid provide is completed via the EE07 business process, subsequent MITA business processes are triggered.  Again, </w:t>
      </w:r>
      <w:proofErr w:type="gramStart"/>
      <w:r w:rsidR="00B861A0">
        <w:t>similar to</w:t>
      </w:r>
      <w:proofErr w:type="gramEnd"/>
      <w:r w:rsidR="00B861A0">
        <w:t xml:space="preserve"> the EE06 Enroll Provider business process, EE07 </w:t>
      </w:r>
      <w:proofErr w:type="spellStart"/>
      <w:r w:rsidR="00B861A0">
        <w:t>Disenroll</w:t>
      </w:r>
      <w:proofErr w:type="spellEnd"/>
      <w:r w:rsidR="00B861A0">
        <w:t xml:space="preserve"> Provider is not a complex process; but, rather, serves as a gateway to subsequent MITA business processes. </w:t>
      </w:r>
      <w:r w:rsidR="00184750">
        <w:t>Figure 3 depicts the EE07</w:t>
      </w:r>
      <w:r w:rsidR="00A65937">
        <w:t xml:space="preserve"> </w:t>
      </w:r>
      <w:proofErr w:type="spellStart"/>
      <w:r w:rsidR="00A65937">
        <w:t>Disenroll</w:t>
      </w:r>
      <w:proofErr w:type="spellEnd"/>
      <w:r w:rsidR="00A65937">
        <w:t xml:space="preserve"> Provider business process model according to MITA.</w:t>
      </w:r>
    </w:p>
    <w:p w14:paraId="31BE33FB" w14:textId="77777777" w:rsidR="00A65937" w:rsidRPr="00E36050" w:rsidRDefault="00A65937" w:rsidP="00A65937"/>
    <w:p w14:paraId="5C62A24D" w14:textId="031C1B60" w:rsidR="00B861A0" w:rsidRPr="008F75EA" w:rsidRDefault="002C7B3A" w:rsidP="008F75EA">
      <w:r>
        <w:object w:dxaOrig="16583" w:dyaOrig="13478" w14:anchorId="45EA03DA">
          <v:shape id="_x0000_i1027" type="#_x0000_t75" style="width:468pt;height:380.25pt" o:ole="">
            <v:imagedata r:id="rId20" o:title=""/>
          </v:shape>
          <o:OLEObject Type="Embed" ProgID="Visio.Drawing.15" ShapeID="_x0000_i1027" DrawAspect="Content" ObjectID="_1573905489" r:id="rId21"/>
        </w:object>
      </w:r>
    </w:p>
    <w:p w14:paraId="33E85CE6" w14:textId="77777777" w:rsidR="00FD078E" w:rsidRDefault="00FD078E" w:rsidP="00E36050">
      <w:pPr>
        <w:rPr>
          <w:rFonts w:eastAsiaTheme="minorEastAsia"/>
          <w:color w:val="5A5A5A" w:themeColor="text1" w:themeTint="A5"/>
          <w:spacing w:val="15"/>
          <w:sz w:val="22"/>
          <w:szCs w:val="22"/>
        </w:rPr>
      </w:pPr>
    </w:p>
    <w:p w14:paraId="4D75A767" w14:textId="319E9718" w:rsidR="00E36050" w:rsidRPr="00E36050" w:rsidRDefault="00FD078E" w:rsidP="00FD078E">
      <w:pPr>
        <w:jc w:val="center"/>
      </w:pPr>
      <w:bookmarkStart w:id="6" w:name="_Hlk496185902"/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Figure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3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>. EE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07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 </w:t>
      </w:r>
      <w:proofErr w:type="spellStart"/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Disenroll</w:t>
      </w:r>
      <w:proofErr w:type="spellEnd"/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 </w:t>
      </w:r>
      <w:proofErr w:type="gramStart"/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Provider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  Business</w:t>
      </w:r>
      <w:proofErr w:type="gramEnd"/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 Process Model</w:t>
      </w:r>
      <w:bookmarkEnd w:id="6"/>
      <w:r>
        <w:rPr>
          <w:rStyle w:val="FootnoteReference"/>
          <w:rFonts w:eastAsiaTheme="minorEastAsia"/>
          <w:color w:val="5A5A5A" w:themeColor="text1" w:themeTint="A5"/>
          <w:spacing w:val="15"/>
          <w:sz w:val="22"/>
          <w:szCs w:val="22"/>
        </w:rPr>
        <w:footnoteReference w:id="3"/>
      </w:r>
    </w:p>
    <w:p w14:paraId="72FBFD48" w14:textId="4D0F9E90" w:rsidR="00922DBF" w:rsidRDefault="00922DBF" w:rsidP="006A5396">
      <w:pPr>
        <w:pStyle w:val="Heading2"/>
        <w:spacing w:after="240"/>
      </w:pPr>
      <w:bookmarkStart w:id="7" w:name="_Toc500163639"/>
      <w:r>
        <w:t>Inquire Provider Information Business Process Model</w:t>
      </w:r>
      <w:bookmarkEnd w:id="7"/>
    </w:p>
    <w:p w14:paraId="6B42D606" w14:textId="63EC5065" w:rsidR="006A5396" w:rsidRDefault="006A5396" w:rsidP="006A5396">
      <w:r>
        <w:t xml:space="preserve">The MITA Inquire Provider Information (EE08) business process model is a </w:t>
      </w:r>
      <w:proofErr w:type="gramStart"/>
      <w:r>
        <w:t>more simple</w:t>
      </w:r>
      <w:proofErr w:type="gramEnd"/>
      <w:r>
        <w:t xml:space="preserve"> process model than the three previous models discussed in this document. The business process consists primarily of the system/State receiving a provider verification request and the system/State sending a response back to the requesting system/entity/individual. Interestingly, there are no MITA business processes that trigger this process nor are there any MITA business processes that this process triggers. The provider information shared </w:t>
      </w:r>
      <w:proofErr w:type="gramStart"/>
      <w:r>
        <w:t>as a result of</w:t>
      </w:r>
      <w:proofErr w:type="gramEnd"/>
      <w:r>
        <w:t xml:space="preserve"> the successful complet</w:t>
      </w:r>
      <w:r w:rsidR="00184750">
        <w:t>ion of this business process is data received through the completion of the three previously defined business processes. For example, according to MITA, shared provider information may include:</w:t>
      </w:r>
    </w:p>
    <w:p w14:paraId="53CF3A6A" w14:textId="77777777" w:rsidR="00184750" w:rsidRDefault="00184750" w:rsidP="00184750">
      <w:pPr>
        <w:pStyle w:val="ListParagraph"/>
        <w:numPr>
          <w:ilvl w:val="0"/>
          <w:numId w:val="27"/>
        </w:numPr>
      </w:pPr>
      <w:r>
        <w:lastRenderedPageBreak/>
        <w:t xml:space="preserve">Provider demographics </w:t>
      </w:r>
    </w:p>
    <w:p w14:paraId="3874D759" w14:textId="77777777" w:rsidR="00184750" w:rsidRDefault="00184750" w:rsidP="00184750">
      <w:pPr>
        <w:pStyle w:val="ListParagraph"/>
        <w:numPr>
          <w:ilvl w:val="0"/>
          <w:numId w:val="27"/>
        </w:numPr>
      </w:pPr>
      <w:r>
        <w:t xml:space="preserve">Provider network </w:t>
      </w:r>
    </w:p>
    <w:p w14:paraId="187B06AB" w14:textId="77777777" w:rsidR="00184750" w:rsidRDefault="00184750" w:rsidP="00184750">
      <w:pPr>
        <w:pStyle w:val="ListParagraph"/>
        <w:numPr>
          <w:ilvl w:val="0"/>
          <w:numId w:val="27"/>
        </w:numPr>
      </w:pPr>
      <w:r>
        <w:t>Contract information</w:t>
      </w:r>
    </w:p>
    <w:p w14:paraId="7BD51704" w14:textId="74951043" w:rsidR="00184750" w:rsidRDefault="00184750" w:rsidP="00184750">
      <w:pPr>
        <w:pStyle w:val="ListParagraph"/>
        <w:numPr>
          <w:ilvl w:val="1"/>
          <w:numId w:val="27"/>
        </w:numPr>
      </w:pPr>
      <w:r>
        <w:t>Type</w:t>
      </w:r>
    </w:p>
    <w:p w14:paraId="0E16F1DA" w14:textId="77777777" w:rsidR="00184750" w:rsidRDefault="00184750" w:rsidP="00184750">
      <w:pPr>
        <w:pStyle w:val="ListParagraph"/>
        <w:numPr>
          <w:ilvl w:val="1"/>
          <w:numId w:val="27"/>
        </w:numPr>
      </w:pPr>
      <w:r>
        <w:t>Specialty</w:t>
      </w:r>
    </w:p>
    <w:p w14:paraId="1DCEFD4A" w14:textId="77777777" w:rsidR="00184750" w:rsidRDefault="00184750" w:rsidP="00184750">
      <w:pPr>
        <w:pStyle w:val="ListParagraph"/>
        <w:numPr>
          <w:ilvl w:val="1"/>
          <w:numId w:val="27"/>
        </w:numPr>
      </w:pPr>
      <w:r>
        <w:t>Enrolled Program</w:t>
      </w:r>
    </w:p>
    <w:p w14:paraId="73CE5E3D" w14:textId="77777777" w:rsidR="00184750" w:rsidRDefault="00184750" w:rsidP="00184750">
      <w:pPr>
        <w:pStyle w:val="ListParagraph"/>
        <w:numPr>
          <w:ilvl w:val="1"/>
          <w:numId w:val="27"/>
        </w:numPr>
      </w:pPr>
      <w:r>
        <w:t>Jurisdiction</w:t>
      </w:r>
    </w:p>
    <w:p w14:paraId="70F3BDB8" w14:textId="77777777" w:rsidR="00184750" w:rsidRDefault="00184750" w:rsidP="00184750">
      <w:pPr>
        <w:pStyle w:val="ListParagraph"/>
        <w:numPr>
          <w:ilvl w:val="1"/>
          <w:numId w:val="27"/>
        </w:numPr>
      </w:pPr>
      <w:r>
        <w:t>Payment Information</w:t>
      </w:r>
    </w:p>
    <w:p w14:paraId="35385E99" w14:textId="77777777" w:rsidR="00184750" w:rsidRDefault="00184750" w:rsidP="00184750">
      <w:pPr>
        <w:pStyle w:val="ListParagraph"/>
        <w:numPr>
          <w:ilvl w:val="0"/>
          <w:numId w:val="27"/>
        </w:numPr>
      </w:pPr>
      <w:r>
        <w:t>Provider taxonomy</w:t>
      </w:r>
    </w:p>
    <w:p w14:paraId="03F9C4F6" w14:textId="77777777" w:rsidR="00184750" w:rsidRDefault="00184750" w:rsidP="00184750">
      <w:pPr>
        <w:pStyle w:val="ListParagraph"/>
        <w:numPr>
          <w:ilvl w:val="0"/>
          <w:numId w:val="27"/>
        </w:numPr>
      </w:pPr>
      <w:r>
        <w:t>Service Location Information</w:t>
      </w:r>
    </w:p>
    <w:p w14:paraId="0AF88E86" w14:textId="77777777" w:rsidR="00184750" w:rsidRDefault="00184750" w:rsidP="00184750">
      <w:pPr>
        <w:pStyle w:val="ListParagraph"/>
        <w:numPr>
          <w:ilvl w:val="1"/>
          <w:numId w:val="27"/>
        </w:numPr>
      </w:pPr>
      <w:r>
        <w:t>Category of Service</w:t>
      </w:r>
    </w:p>
    <w:p w14:paraId="340FD5B3" w14:textId="77777777" w:rsidR="00184750" w:rsidRDefault="00184750" w:rsidP="00184750">
      <w:pPr>
        <w:pStyle w:val="ListParagraph"/>
        <w:numPr>
          <w:ilvl w:val="1"/>
          <w:numId w:val="27"/>
        </w:numPr>
      </w:pPr>
      <w:r>
        <w:t>Services</w:t>
      </w:r>
    </w:p>
    <w:p w14:paraId="2F29641D" w14:textId="77777777" w:rsidR="00184750" w:rsidRDefault="00184750" w:rsidP="00184750">
      <w:pPr>
        <w:pStyle w:val="ListParagraph"/>
        <w:numPr>
          <w:ilvl w:val="1"/>
          <w:numId w:val="27"/>
        </w:numPr>
      </w:pPr>
      <w:r>
        <w:t>Limitations</w:t>
      </w:r>
    </w:p>
    <w:p w14:paraId="159DC15F" w14:textId="33207992" w:rsidR="00184750" w:rsidRDefault="00184750" w:rsidP="00184750">
      <w:pPr>
        <w:pStyle w:val="ListParagraph"/>
        <w:numPr>
          <w:ilvl w:val="1"/>
          <w:numId w:val="27"/>
        </w:numPr>
      </w:pPr>
      <w:r>
        <w:t>Business Arrangement</w:t>
      </w:r>
    </w:p>
    <w:p w14:paraId="14569E44" w14:textId="77777777" w:rsidR="00184750" w:rsidRDefault="00184750" w:rsidP="00184750"/>
    <w:p w14:paraId="7FE4B3EC" w14:textId="236A17E9" w:rsidR="00184750" w:rsidRPr="006A5396" w:rsidRDefault="00184750" w:rsidP="00184750">
      <w:r>
        <w:t>Figure 4 depicts the EE08 Inquire Provider Information business process model according to MITA.</w:t>
      </w:r>
    </w:p>
    <w:p w14:paraId="23EE79ED" w14:textId="0F4FB6B3" w:rsidR="006A5396" w:rsidRDefault="006A5396" w:rsidP="00184750">
      <w:pPr>
        <w:spacing w:after="240"/>
      </w:pPr>
    </w:p>
    <w:p w14:paraId="21F0D1E8" w14:textId="5F847DC7" w:rsidR="006A5396" w:rsidRDefault="004462B6" w:rsidP="006A5396">
      <w:pPr>
        <w:jc w:val="center"/>
      </w:pPr>
      <w:r>
        <w:object w:dxaOrig="22725" w:dyaOrig="17265" w14:anchorId="1099BEDA">
          <v:shape id="_x0000_i1028" type="#_x0000_t75" style="width:467.25pt;height:354.75pt" o:ole="">
            <v:imagedata r:id="rId22" o:title=""/>
          </v:shape>
          <o:OLEObject Type="Embed" ProgID="Visio.Drawing.15" ShapeID="_x0000_i1028" DrawAspect="Content" ObjectID="_1573905490" r:id="rId23"/>
        </w:object>
      </w:r>
    </w:p>
    <w:p w14:paraId="05238C75" w14:textId="77777777" w:rsidR="006A5396" w:rsidRDefault="006A5396" w:rsidP="006A5396">
      <w:pPr>
        <w:jc w:val="center"/>
        <w:rPr>
          <w:rFonts w:eastAsiaTheme="minorEastAsia"/>
          <w:color w:val="5A5A5A" w:themeColor="text1" w:themeTint="A5"/>
          <w:spacing w:val="15"/>
          <w:sz w:val="22"/>
          <w:szCs w:val="22"/>
        </w:rPr>
      </w:pPr>
    </w:p>
    <w:p w14:paraId="3BDD4C75" w14:textId="752B7CB0" w:rsidR="006A5396" w:rsidRPr="006A5396" w:rsidRDefault="006A5396" w:rsidP="006A5396">
      <w:pPr>
        <w:jc w:val="center"/>
      </w:pP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Figure </w:t>
      </w:r>
      <w:r w:rsidR="00A3031D">
        <w:rPr>
          <w:rFonts w:eastAsiaTheme="minorEastAsia"/>
          <w:color w:val="5A5A5A" w:themeColor="text1" w:themeTint="A5"/>
          <w:spacing w:val="15"/>
          <w:sz w:val="22"/>
          <w:szCs w:val="22"/>
        </w:rPr>
        <w:t>4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.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EE08 Inquire Provider Information 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>Business Process Model</w:t>
      </w:r>
      <w:r>
        <w:rPr>
          <w:rStyle w:val="FootnoteReference"/>
          <w:rFonts w:eastAsiaTheme="minorEastAsia"/>
          <w:color w:val="5A5A5A" w:themeColor="text1" w:themeTint="A5"/>
          <w:spacing w:val="15"/>
          <w:sz w:val="22"/>
          <w:szCs w:val="22"/>
        </w:rPr>
        <w:footnoteReference w:id="4"/>
      </w:r>
    </w:p>
    <w:p w14:paraId="69B1B07A" w14:textId="67B063E1" w:rsidR="002B38CE" w:rsidRPr="009F356D" w:rsidRDefault="002A1A18" w:rsidP="009F356D">
      <w:pPr>
        <w:pStyle w:val="Heading1"/>
      </w:pPr>
      <w:bookmarkStart w:id="8" w:name="_Toc500163640"/>
      <w:r>
        <w:lastRenderedPageBreak/>
        <w:t>Object</w:t>
      </w:r>
      <w:r w:rsidR="003D0656">
        <w:t>/Resource Diagram</w:t>
      </w:r>
      <w:r w:rsidR="00922DBF">
        <w:t>s</w:t>
      </w:r>
      <w:bookmarkEnd w:id="8"/>
    </w:p>
    <w:p w14:paraId="0CF59BFC" w14:textId="4009FDCE" w:rsidR="00B2446A" w:rsidRDefault="00B2446A" w:rsidP="00B2446A">
      <w:pPr>
        <w:pStyle w:val="Heading2"/>
      </w:pPr>
      <w:bookmarkStart w:id="9" w:name="_Toc500163641"/>
      <w:r>
        <w:t>Determine Provider Eligibility Object</w:t>
      </w:r>
      <w:r w:rsidR="003D0656">
        <w:t>/Resource Diagram</w:t>
      </w:r>
      <w:bookmarkEnd w:id="9"/>
    </w:p>
    <w:p w14:paraId="5A5A9862" w14:textId="56F6D77E" w:rsidR="00C87732" w:rsidRDefault="007C60EB" w:rsidP="00A3031D">
      <w:pPr>
        <w:jc w:val="center"/>
      </w:pPr>
      <w:r>
        <w:rPr>
          <w:noProof/>
        </w:rPr>
        <w:drawing>
          <wp:inline distT="0" distB="0" distL="0" distR="0" wp14:anchorId="56B5D4AA" wp14:editId="71B627C3">
            <wp:extent cx="5943600" cy="4317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E05Bloc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1D0" w14:textId="2E762019" w:rsidR="00A3031D" w:rsidRDefault="00A3031D" w:rsidP="00A3031D">
      <w:pPr>
        <w:jc w:val="center"/>
      </w:pPr>
    </w:p>
    <w:p w14:paraId="04BA3867" w14:textId="440509EA" w:rsidR="00A3031D" w:rsidRPr="00C87732" w:rsidRDefault="00A3031D" w:rsidP="00A3031D">
      <w:pPr>
        <w:jc w:val="center"/>
      </w:pP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Figure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5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.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Determine Provider Eligibility Object/Resource Diagram</w:t>
      </w:r>
    </w:p>
    <w:p w14:paraId="32A20752" w14:textId="58DEB855" w:rsidR="00B2446A" w:rsidRDefault="00B2446A" w:rsidP="00B2446A">
      <w:pPr>
        <w:pStyle w:val="Heading2"/>
      </w:pPr>
      <w:bookmarkStart w:id="10" w:name="_Toc500163642"/>
      <w:r>
        <w:lastRenderedPageBreak/>
        <w:t>Enroll Provider Object</w:t>
      </w:r>
      <w:r w:rsidR="003D0656">
        <w:t>/Resource Diagram</w:t>
      </w:r>
      <w:bookmarkEnd w:id="10"/>
    </w:p>
    <w:p w14:paraId="73527C96" w14:textId="72F70435" w:rsidR="00AF3C2C" w:rsidRDefault="007C60EB" w:rsidP="00AF3C2C">
      <w:r>
        <w:rPr>
          <w:noProof/>
        </w:rPr>
        <w:drawing>
          <wp:inline distT="0" distB="0" distL="0" distR="0" wp14:anchorId="09694B29" wp14:editId="53AEB044">
            <wp:extent cx="594360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E06Bloc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FE77" w14:textId="22C8DA54" w:rsidR="00A3031D" w:rsidRDefault="00A3031D" w:rsidP="00AF3C2C"/>
    <w:p w14:paraId="04617D10" w14:textId="0A7D3DBC" w:rsidR="00A3031D" w:rsidRPr="00C87732" w:rsidRDefault="00A3031D" w:rsidP="00A3031D">
      <w:pPr>
        <w:jc w:val="center"/>
      </w:pP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Figure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6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.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Enroll Provider Object/Resource Diagram</w:t>
      </w:r>
    </w:p>
    <w:p w14:paraId="0E6C99AB" w14:textId="77777777" w:rsidR="00A3031D" w:rsidRPr="00AF3C2C" w:rsidRDefault="00A3031D" w:rsidP="00AF3C2C"/>
    <w:p w14:paraId="3D8C917A" w14:textId="77777777" w:rsidR="00A3031D" w:rsidRDefault="00A3031D" w:rsidP="00B2446A">
      <w:pPr>
        <w:pStyle w:val="Heading2"/>
        <w:sectPr w:rsidR="00A3031D" w:rsidSect="00BC043C">
          <w:pgSz w:w="12240" w:h="15840" w:code="1"/>
          <w:pgMar w:top="1800" w:right="1440" w:bottom="1800" w:left="1440" w:header="432" w:footer="720" w:gutter="0"/>
          <w:cols w:space="720"/>
          <w:docGrid w:linePitch="360"/>
        </w:sectPr>
      </w:pPr>
    </w:p>
    <w:p w14:paraId="18A98646" w14:textId="0EC8846A" w:rsidR="00B2446A" w:rsidRDefault="00B2446A" w:rsidP="00B2446A">
      <w:pPr>
        <w:pStyle w:val="Heading2"/>
      </w:pPr>
      <w:bookmarkStart w:id="11" w:name="_Toc500163643"/>
      <w:proofErr w:type="spellStart"/>
      <w:r>
        <w:lastRenderedPageBreak/>
        <w:t>Disenroll</w:t>
      </w:r>
      <w:proofErr w:type="spellEnd"/>
      <w:r>
        <w:t xml:space="preserve"> Provider Objec</w:t>
      </w:r>
      <w:r w:rsidR="003D0656">
        <w:t>t/Resource Diagram</w:t>
      </w:r>
      <w:bookmarkEnd w:id="11"/>
    </w:p>
    <w:p w14:paraId="75B05BD2" w14:textId="44087D43" w:rsidR="00AC7CF7" w:rsidRDefault="007C60EB" w:rsidP="00AC7CF7">
      <w:r>
        <w:rPr>
          <w:noProof/>
        </w:rPr>
        <w:drawing>
          <wp:inline distT="0" distB="0" distL="0" distR="0" wp14:anchorId="14BA428B" wp14:editId="63F06981">
            <wp:extent cx="5943600" cy="3416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E07Blo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0F13" w14:textId="1E6A7935" w:rsidR="00A3031D" w:rsidRDefault="00A3031D" w:rsidP="00AC7CF7"/>
    <w:p w14:paraId="2071C3AD" w14:textId="77777777" w:rsidR="006F5018" w:rsidRDefault="00A3031D" w:rsidP="00A3031D">
      <w:pPr>
        <w:jc w:val="center"/>
        <w:rPr>
          <w:rFonts w:eastAsiaTheme="minorEastAsia"/>
          <w:color w:val="5A5A5A" w:themeColor="text1" w:themeTint="A5"/>
          <w:spacing w:val="15"/>
          <w:sz w:val="22"/>
          <w:szCs w:val="22"/>
        </w:rPr>
        <w:sectPr w:rsidR="006F5018" w:rsidSect="00BC043C">
          <w:pgSz w:w="12240" w:h="15840" w:code="1"/>
          <w:pgMar w:top="1800" w:right="1440" w:bottom="1800" w:left="1440" w:header="432" w:footer="720" w:gutter="0"/>
          <w:cols w:space="720"/>
          <w:docGrid w:linePitch="360"/>
        </w:sectPr>
      </w:pP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Figure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7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.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Determine Provider Eligibility Object/Resource Diagram</w:t>
      </w:r>
    </w:p>
    <w:p w14:paraId="5FFE11DA" w14:textId="23982FE2" w:rsidR="00A3031D" w:rsidRPr="00C87732" w:rsidRDefault="00A3031D" w:rsidP="00A3031D">
      <w:pPr>
        <w:jc w:val="center"/>
      </w:pPr>
    </w:p>
    <w:p w14:paraId="75B8A710" w14:textId="77777777" w:rsidR="00A3031D" w:rsidRPr="00AC7CF7" w:rsidRDefault="00A3031D" w:rsidP="00AC7CF7"/>
    <w:p w14:paraId="539EE0B2" w14:textId="5CFE4CF2" w:rsidR="00B2446A" w:rsidRDefault="00B2446A" w:rsidP="00B2446A">
      <w:pPr>
        <w:pStyle w:val="Heading2"/>
      </w:pPr>
      <w:bookmarkStart w:id="12" w:name="_Toc500163644"/>
      <w:r>
        <w:t>Inquire Provider Information Object</w:t>
      </w:r>
      <w:r w:rsidR="003D0656">
        <w:t>/Resource Diagram</w:t>
      </w:r>
      <w:bookmarkEnd w:id="12"/>
    </w:p>
    <w:p w14:paraId="22DAD57B" w14:textId="51794C54" w:rsidR="006D54CF" w:rsidRDefault="007C60EB" w:rsidP="006D54CF">
      <w:r>
        <w:rPr>
          <w:noProof/>
        </w:rPr>
        <w:drawing>
          <wp:inline distT="0" distB="0" distL="0" distR="0" wp14:anchorId="357200F7" wp14:editId="23F050CD">
            <wp:extent cx="5943600" cy="330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E08Bloc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D99E" w14:textId="77777777" w:rsidR="006D54CF" w:rsidRDefault="006D54CF" w:rsidP="006D54CF"/>
    <w:p w14:paraId="032267EE" w14:textId="11440B1E" w:rsidR="006D54CF" w:rsidRPr="00C87732" w:rsidRDefault="006D54CF" w:rsidP="006D54CF">
      <w:pPr>
        <w:jc w:val="center"/>
      </w:pP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Figure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8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.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Inquire Provider Information Object/Resource Diagram</w:t>
      </w:r>
    </w:p>
    <w:p w14:paraId="62F74237" w14:textId="77777777" w:rsidR="006D54CF" w:rsidRPr="006D54CF" w:rsidRDefault="006D54CF" w:rsidP="006D54CF"/>
    <w:p w14:paraId="1ED51014" w14:textId="61CB5268" w:rsidR="002A1A18" w:rsidRDefault="003D0656" w:rsidP="002A1A18">
      <w:pPr>
        <w:pStyle w:val="Heading1"/>
      </w:pPr>
      <w:bookmarkStart w:id="13" w:name="_Toc500163645"/>
      <w:r>
        <w:lastRenderedPageBreak/>
        <w:t>Object/</w:t>
      </w:r>
      <w:r w:rsidR="002A1A18">
        <w:t xml:space="preserve">Resource </w:t>
      </w:r>
      <w:r w:rsidR="00DA4D02">
        <w:t>De</w:t>
      </w:r>
      <w:r>
        <w:t>scriptions</w:t>
      </w:r>
      <w:bookmarkEnd w:id="13"/>
    </w:p>
    <w:p w14:paraId="50254C6D" w14:textId="0B6CAB7D" w:rsidR="005B49FF" w:rsidRDefault="007C60EB" w:rsidP="007C60EB">
      <w:r>
        <w:rPr>
          <w:noProof/>
        </w:rPr>
        <w:drawing>
          <wp:inline distT="0" distB="0" distL="0" distR="0" wp14:anchorId="5BE511E6" wp14:editId="22A41B5C">
            <wp:extent cx="5943600" cy="504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5FE3" w14:textId="77777777" w:rsidR="006F5018" w:rsidRDefault="006F5018" w:rsidP="005B49FF">
      <w:pPr>
        <w:jc w:val="center"/>
        <w:rPr>
          <w:rFonts w:eastAsiaTheme="minorEastAsia"/>
          <w:color w:val="5A5A5A" w:themeColor="text1" w:themeTint="A5"/>
          <w:spacing w:val="15"/>
          <w:sz w:val="22"/>
          <w:szCs w:val="22"/>
        </w:rPr>
      </w:pPr>
    </w:p>
    <w:p w14:paraId="0639E1F0" w14:textId="3F36E203" w:rsidR="005B49FF" w:rsidRPr="005B49FF" w:rsidRDefault="005B49FF" w:rsidP="005B49FF">
      <w:pPr>
        <w:jc w:val="center"/>
      </w:pP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Figure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9</w:t>
      </w:r>
      <w:r w:rsidRPr="00E36050">
        <w:rPr>
          <w:rFonts w:eastAsiaTheme="minorEastAsia"/>
          <w:color w:val="5A5A5A" w:themeColor="text1" w:themeTint="A5"/>
          <w:spacing w:val="15"/>
          <w:sz w:val="22"/>
          <w:szCs w:val="22"/>
        </w:rPr>
        <w:t xml:space="preserve">. </w:t>
      </w:r>
      <w:r>
        <w:rPr>
          <w:rFonts w:eastAsiaTheme="minorEastAsia"/>
          <w:color w:val="5A5A5A" w:themeColor="text1" w:themeTint="A5"/>
          <w:spacing w:val="15"/>
          <w:sz w:val="22"/>
          <w:szCs w:val="22"/>
        </w:rPr>
        <w:t>Provider Enrollment Class Model Diagram</w:t>
      </w:r>
    </w:p>
    <w:p w14:paraId="62FB94ED" w14:textId="61F7C3DF" w:rsidR="005B49FF" w:rsidRDefault="005B49FF" w:rsidP="005B49FF"/>
    <w:p w14:paraId="79223027" w14:textId="65530D6E" w:rsidR="007C60EB" w:rsidRPr="005B49FF" w:rsidRDefault="005B49FF" w:rsidP="005B49FF">
      <w:pPr>
        <w:tabs>
          <w:tab w:val="left" w:pos="2415"/>
        </w:tabs>
      </w:pPr>
      <w:r>
        <w:tab/>
      </w:r>
    </w:p>
    <w:p w14:paraId="3246856F" w14:textId="5D40EA1C" w:rsidR="00B2446A" w:rsidRPr="00B2446A" w:rsidRDefault="002A1A18" w:rsidP="00B2446A">
      <w:pPr>
        <w:pStyle w:val="Heading1"/>
      </w:pPr>
      <w:bookmarkStart w:id="14" w:name="_Toc500163646"/>
      <w:r>
        <w:t xml:space="preserve">API </w:t>
      </w:r>
      <w:r w:rsidR="00DA4D02">
        <w:t>Definitions</w:t>
      </w:r>
      <w:bookmarkEnd w:id="14"/>
    </w:p>
    <w:p w14:paraId="78DFACB8" w14:textId="23140345" w:rsidR="00B2446A" w:rsidRDefault="00B2446A" w:rsidP="00B2446A">
      <w:pPr>
        <w:pStyle w:val="Heading2"/>
      </w:pPr>
      <w:bookmarkStart w:id="15" w:name="_Toc500163647"/>
      <w:proofErr w:type="spellStart"/>
      <w:r>
        <w:t>Determime</w:t>
      </w:r>
      <w:proofErr w:type="spellEnd"/>
      <w:r>
        <w:t xml:space="preserve"> Provider Eligibility API Definitions</w:t>
      </w:r>
      <w:bookmarkEnd w:id="15"/>
    </w:p>
    <w:p w14:paraId="7E7A7186" w14:textId="26BB4521" w:rsidR="00B2446A" w:rsidRDefault="00B2446A" w:rsidP="00B2446A">
      <w:pPr>
        <w:pStyle w:val="Heading2"/>
      </w:pPr>
      <w:bookmarkStart w:id="16" w:name="_Toc500163648"/>
      <w:r>
        <w:t>Enroll Provider API Definitions</w:t>
      </w:r>
      <w:bookmarkEnd w:id="16"/>
    </w:p>
    <w:p w14:paraId="363E2F34" w14:textId="705A968B" w:rsidR="00B2446A" w:rsidRDefault="00B2446A" w:rsidP="00B2446A">
      <w:pPr>
        <w:pStyle w:val="Heading2"/>
      </w:pPr>
      <w:bookmarkStart w:id="17" w:name="_Toc500163649"/>
      <w:proofErr w:type="spellStart"/>
      <w:r>
        <w:t>Disenroll</w:t>
      </w:r>
      <w:proofErr w:type="spellEnd"/>
      <w:r>
        <w:t xml:space="preserve"> Provider API Definitions</w:t>
      </w:r>
      <w:bookmarkEnd w:id="17"/>
    </w:p>
    <w:p w14:paraId="4D586AA5" w14:textId="3882D439" w:rsidR="00B2446A" w:rsidRDefault="00B2446A" w:rsidP="00B2446A">
      <w:pPr>
        <w:pStyle w:val="Heading2"/>
      </w:pPr>
      <w:bookmarkStart w:id="18" w:name="_Toc500163650"/>
      <w:r>
        <w:t>Inquire Provider Information API Definitions</w:t>
      </w:r>
      <w:bookmarkEnd w:id="18"/>
    </w:p>
    <w:sectPr w:rsidR="00B2446A" w:rsidSect="00BC043C">
      <w:pgSz w:w="12240" w:h="15840" w:code="1"/>
      <w:pgMar w:top="1800" w:right="1440" w:bottom="180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0A8092" w14:textId="77777777" w:rsidR="005570AE" w:rsidRDefault="005570AE">
      <w:r>
        <w:separator/>
      </w:r>
    </w:p>
  </w:endnote>
  <w:endnote w:type="continuationSeparator" w:id="0">
    <w:p w14:paraId="15A6AC37" w14:textId="77777777" w:rsidR="005570AE" w:rsidRDefault="005570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altName w:val="Sylfaen"/>
    <w:charset w:val="00"/>
    <w:family w:val="swiss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07579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7EB04E" w14:textId="36E93024" w:rsidR="006A5396" w:rsidRDefault="006A53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6C01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563E8F74" w14:textId="77777777" w:rsidR="006A5396" w:rsidRDefault="006A53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2087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F45618" w14:textId="4877F16B" w:rsidR="006A5396" w:rsidRDefault="006A53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B97B282" w14:textId="77777777" w:rsidR="006A5396" w:rsidRPr="00E421C5" w:rsidRDefault="006A5396" w:rsidP="00E421C5">
    <w:pPr>
      <w:pStyle w:val="CenterNam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0D60E3" w14:textId="77777777" w:rsidR="005570AE" w:rsidRDefault="005570AE">
      <w:r>
        <w:separator/>
      </w:r>
    </w:p>
  </w:footnote>
  <w:footnote w:type="continuationSeparator" w:id="0">
    <w:p w14:paraId="0709584E" w14:textId="77777777" w:rsidR="005570AE" w:rsidRDefault="005570AE">
      <w:r>
        <w:continuationSeparator/>
      </w:r>
    </w:p>
  </w:footnote>
  <w:footnote w:id="1">
    <w:p w14:paraId="3E905E20" w14:textId="3141DFA1" w:rsidR="006A5396" w:rsidRDefault="006A53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2122175986"/>
          <w:citation/>
        </w:sdtPr>
        <w:sdtEndPr/>
        <w:sdtContent>
          <w:r>
            <w:fldChar w:fldCharType="begin"/>
          </w:r>
          <w:r>
            <w:instrText xml:space="preserve"> CITATION MIT \l 1033 </w:instrText>
          </w:r>
          <w:r>
            <w:fldChar w:fldCharType="separate"/>
          </w:r>
          <w:r>
            <w:rPr>
              <w:noProof/>
            </w:rPr>
            <w:t>(MITA Governance Board Poplin Working Group)</w:t>
          </w:r>
          <w:r>
            <w:fldChar w:fldCharType="end"/>
          </w:r>
        </w:sdtContent>
      </w:sdt>
    </w:p>
  </w:footnote>
  <w:footnote w:id="2">
    <w:p w14:paraId="02B2A99A" w14:textId="795B9152" w:rsidR="006A5396" w:rsidRDefault="006A53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E10ACA">
          <w:rPr>
            <w:rStyle w:val="Hyperlink"/>
          </w:rPr>
          <w:t>https://www.medicaid.gov/medicaid-chip-program-information/by-topics/data-and-systems/downloads/parti_appendixc_bpm_draft_jun2013.pdf</w:t>
        </w:r>
      </w:hyperlink>
    </w:p>
  </w:footnote>
  <w:footnote w:id="3">
    <w:p w14:paraId="2C175341" w14:textId="4912D0BB" w:rsidR="006A5396" w:rsidRDefault="006A5396">
      <w:pPr>
        <w:pStyle w:val="FootnoteText"/>
      </w:pPr>
      <w:r>
        <w:rPr>
          <w:rStyle w:val="FootnoteReference"/>
        </w:rPr>
        <w:footnoteRef/>
      </w:r>
      <w:hyperlink r:id="rId2" w:history="1">
        <w:r w:rsidRPr="00E10ACA">
          <w:rPr>
            <w:rStyle w:val="Hyperlink"/>
          </w:rPr>
          <w:t>https://www.medicaid.gov/medicaid-chip-program-information/by-topics/data-and-systems/downloads/parti_appendixc_bpm_draft_jun2013.pdf</w:t>
        </w:r>
      </w:hyperlink>
    </w:p>
  </w:footnote>
  <w:footnote w:id="4">
    <w:p w14:paraId="2F242E46" w14:textId="6C422F3B" w:rsidR="006A5396" w:rsidRDefault="006A53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E10ACA">
          <w:rPr>
            <w:rStyle w:val="Hyperlink"/>
          </w:rPr>
          <w:t>https://www.medicaid.gov/medicaid-chip-program-information/by-topics/data-and-systems/downloads/parti_appendixc_bpm_draft_jun2013.pdf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CEDEAC" w14:textId="4C7C6145" w:rsidR="006A5396" w:rsidRDefault="005570AE">
    <w:pPr>
      <w:pStyle w:val="Header"/>
    </w:pPr>
    <w:r>
      <w:rPr>
        <w:noProof/>
      </w:rPr>
      <w:pict w14:anchorId="1827DE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3" type="#_x0000_t136" style="position:absolute;margin-left:0;margin-top:0;width:494.9pt;height:164.95pt;rotation:315;z-index:-251646976;mso-position-horizontal:center;mso-position-horizontal-relative:margin;mso-position-vertical:center;mso-position-vertical-relative:margin" o:allowincell="f" fillcolor="silver" stroked="f">
          <v:textpath style="font-family:&quot;Calibri&quot;;font-size:1pt" string="DRAFT"/>
          <w10:wrap anchorx="margin" anchory="margin"/>
        </v:shape>
      </w:pict>
    </w:r>
    <w:r>
      <w:rPr>
        <w:noProof/>
      </w:rPr>
      <w:pict w14:anchorId="2BE18F5E">
        <v:shape id="PowerPlusWaterMarkObject2" o:spid="_x0000_s2050" type="#_x0000_t136" style="position:absolute;margin-left:0;margin-top:0;width:494.9pt;height:164.95pt;rotation:315;z-index:-251653120;mso-position-horizontal:center;mso-position-horizontal-relative:margin;mso-position-vertical:center;mso-position-vertical-relative:margin" o:allowincell="f" fillcolor="silver" stroked="f">
          <v:textpath style="font-family:&quot;Calibri&quot;;font-size:1pt" string="DRAFT"/>
          <w10:wrap anchorx="margin" anchory="margin"/>
        </v:shape>
      </w:pict>
    </w:r>
    <w:r>
      <w:rPr>
        <w:noProof/>
      </w:rPr>
      <w:pict w14:anchorId="2086F747">
        <v:shape id="PowerPlusWaterMarkObject1" o:spid="_x0000_s2049" type="#_x0000_t136" style="position:absolute;margin-left:0;margin-top:0;width:494.9pt;height:164.95pt;rotation:315;z-index:-251655168;mso-position-horizontal:center;mso-position-horizontal-relative:margin;mso-position-vertical:center;mso-position-vertical-relative:margin" o:allowincell="f" fillcolor="silver" stroked="f">
          <v:textpath style="font-family:&quot;Calibri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0FEB2A" w14:textId="77777777" w:rsidR="006A5396" w:rsidRDefault="005570AE" w:rsidP="00C44280">
    <w:pPr>
      <w:pStyle w:val="Title"/>
      <w:rPr>
        <w:sz w:val="44"/>
      </w:rPr>
    </w:pPr>
    <w:r>
      <w:rPr>
        <w:noProof/>
      </w:rPr>
      <w:pict w14:anchorId="0C2815C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2" type="#_x0000_t136" style="position:absolute;margin-left:0;margin-top:0;width:494.9pt;height:164.95pt;rotation:315;z-index:-251649024;mso-position-horizontal:center;mso-position-horizontal-relative:margin;mso-position-vertical:center;mso-position-vertical-relative:margin" o:allowincell="f" fillcolor="silver" stroked="f">
          <v:textpath style="font-family:&quot;Calibri&quot;;font-size:1pt" string="DRAFT"/>
          <w10:wrap anchorx="margin" anchory="margin"/>
        </v:shape>
      </w:pict>
    </w:r>
    <w:r w:rsidR="006A5396" w:rsidRPr="00BC043C">
      <w:rPr>
        <w:noProof/>
        <w:sz w:val="44"/>
      </w:rPr>
      <w:drawing>
        <wp:anchor distT="0" distB="0" distL="114300" distR="114300" simplePos="0" relativeHeight="251659264" behindDoc="0" locked="0" layoutInCell="1" allowOverlap="1" wp14:anchorId="7444A3B8" wp14:editId="0849AFC0">
          <wp:simplePos x="0" y="0"/>
          <wp:positionH relativeFrom="column">
            <wp:posOffset>5448300</wp:posOffset>
          </wp:positionH>
          <wp:positionV relativeFrom="page">
            <wp:posOffset>161925</wp:posOffset>
          </wp:positionV>
          <wp:extent cx="1171575" cy="414655"/>
          <wp:effectExtent l="0" t="0" r="9525" b="4445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oplin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414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5396">
      <w:rPr>
        <w:sz w:val="44"/>
      </w:rPr>
      <w:t xml:space="preserve">Provider Enrollment </w:t>
    </w:r>
  </w:p>
  <w:p w14:paraId="03A88D62" w14:textId="4803EFB6" w:rsidR="006A5396" w:rsidRPr="001017B3" w:rsidRDefault="006A5396" w:rsidP="00C44280">
    <w:pPr>
      <w:pStyle w:val="Title"/>
      <w:rPr>
        <w:sz w:val="44"/>
      </w:rPr>
    </w:pPr>
    <w:r>
      <w:rPr>
        <w:sz w:val="44"/>
      </w:rPr>
      <w:t>Reference Architecture</w:t>
    </w:r>
  </w:p>
  <w:p w14:paraId="15B73C9B" w14:textId="77777777" w:rsidR="006A5396" w:rsidRDefault="006A53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9C326A" w14:textId="3AE55520" w:rsidR="006A5396" w:rsidRDefault="005570AE">
    <w:pPr>
      <w:pStyle w:val="Header"/>
    </w:pPr>
    <w:r>
      <w:rPr>
        <w:noProof/>
      </w:rPr>
      <w:pict w14:anchorId="451E6A6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4" type="#_x0000_t136" style="position:absolute;margin-left:0;margin-top:0;width:494.9pt;height:164.95pt;rotation:315;z-index:-251644928;mso-position-horizontal:center;mso-position-horizontal-relative:margin;mso-position-vertical:center;mso-position-vertical-relative:margin" o:allowincell="f" fillcolor="silver" stroked="f">
          <v:textpath style="font-family:&quot;Calibri&quot;;font-size:1pt" string="DRAFT"/>
          <w10:wrap anchorx="margin" anchory="margin"/>
        </v:shape>
      </w:pict>
    </w:r>
    <w:r>
      <w:rPr>
        <w:noProof/>
      </w:rPr>
      <w:pict w14:anchorId="4F51FB7F">
        <v:shape id="PowerPlusWaterMarkObject3" o:spid="_x0000_s2051" type="#_x0000_t136" style="position:absolute;margin-left:0;margin-top:0;width:494.9pt;height:164.95pt;rotation:315;z-index:-251651072;mso-position-horizontal:center;mso-position-horizontal-relative:margin;mso-position-vertical:center;mso-position-vertical-relative:margin" o:allowincell="f" fillcolor="silver" stroked="f">
          <v:textpath style="font-family:&quot;Calibri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F2895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DE6D50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2FC32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878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076C3E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8E1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AC76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0E86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6AAE4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D0E8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1F33E0"/>
    <w:multiLevelType w:val="hybridMultilevel"/>
    <w:tmpl w:val="A27AD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D315AB"/>
    <w:multiLevelType w:val="hybridMultilevel"/>
    <w:tmpl w:val="10142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50BD8"/>
    <w:multiLevelType w:val="hybridMultilevel"/>
    <w:tmpl w:val="3BE8B3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AD4740"/>
    <w:multiLevelType w:val="hybridMultilevel"/>
    <w:tmpl w:val="0E6A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455EEA"/>
    <w:multiLevelType w:val="multilevel"/>
    <w:tmpl w:val="1D7C5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190573"/>
    <w:multiLevelType w:val="hybridMultilevel"/>
    <w:tmpl w:val="76E00094"/>
    <w:lvl w:ilvl="0" w:tplc="332A43AC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02D1606"/>
    <w:multiLevelType w:val="hybridMultilevel"/>
    <w:tmpl w:val="5E4E3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0540AD"/>
    <w:multiLevelType w:val="hybridMultilevel"/>
    <w:tmpl w:val="F0AE0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D92AC1"/>
    <w:multiLevelType w:val="multilevel"/>
    <w:tmpl w:val="C188324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2EB46C68"/>
    <w:multiLevelType w:val="hybridMultilevel"/>
    <w:tmpl w:val="28D01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58A9"/>
    <w:multiLevelType w:val="hybridMultilevel"/>
    <w:tmpl w:val="39C6E464"/>
    <w:lvl w:ilvl="0" w:tplc="CB5C3C6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B392CD9"/>
    <w:multiLevelType w:val="hybridMultilevel"/>
    <w:tmpl w:val="624C8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A2768E"/>
    <w:multiLevelType w:val="multilevel"/>
    <w:tmpl w:val="D23862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59E49AE"/>
    <w:multiLevelType w:val="hybridMultilevel"/>
    <w:tmpl w:val="9724B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C6775E"/>
    <w:multiLevelType w:val="multilevel"/>
    <w:tmpl w:val="213C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D60BE2"/>
    <w:multiLevelType w:val="multilevel"/>
    <w:tmpl w:val="1A940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8F5187"/>
    <w:multiLevelType w:val="hybridMultilevel"/>
    <w:tmpl w:val="8E1AF3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6"/>
  </w:num>
  <w:num w:numId="13">
    <w:abstractNumId w:val="22"/>
  </w:num>
  <w:num w:numId="14">
    <w:abstractNumId w:val="25"/>
  </w:num>
  <w:num w:numId="15">
    <w:abstractNumId w:val="20"/>
  </w:num>
  <w:num w:numId="16">
    <w:abstractNumId w:val="24"/>
  </w:num>
  <w:num w:numId="17">
    <w:abstractNumId w:val="12"/>
  </w:num>
  <w:num w:numId="18">
    <w:abstractNumId w:val="14"/>
  </w:num>
  <w:num w:numId="19">
    <w:abstractNumId w:val="17"/>
  </w:num>
  <w:num w:numId="20">
    <w:abstractNumId w:val="10"/>
  </w:num>
  <w:num w:numId="21">
    <w:abstractNumId w:val="16"/>
  </w:num>
  <w:num w:numId="22">
    <w:abstractNumId w:val="23"/>
  </w:num>
  <w:num w:numId="23">
    <w:abstractNumId w:val="13"/>
  </w:num>
  <w:num w:numId="24">
    <w:abstractNumId w:val="15"/>
  </w:num>
  <w:num w:numId="25">
    <w:abstractNumId w:val="11"/>
  </w:num>
  <w:num w:numId="26">
    <w:abstractNumId w:val="2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2CC"/>
    <w:rsid w:val="00033737"/>
    <w:rsid w:val="000353DF"/>
    <w:rsid w:val="000570B7"/>
    <w:rsid w:val="000574BB"/>
    <w:rsid w:val="00065DF9"/>
    <w:rsid w:val="00072BA1"/>
    <w:rsid w:val="00085EE7"/>
    <w:rsid w:val="000930BC"/>
    <w:rsid w:val="000B522F"/>
    <w:rsid w:val="000C115B"/>
    <w:rsid w:val="000C44B7"/>
    <w:rsid w:val="000D022D"/>
    <w:rsid w:val="000D5BCE"/>
    <w:rsid w:val="000F6C49"/>
    <w:rsid w:val="000F6C4A"/>
    <w:rsid w:val="0010148A"/>
    <w:rsid w:val="001017B3"/>
    <w:rsid w:val="00110180"/>
    <w:rsid w:val="00112DBB"/>
    <w:rsid w:val="00131FF1"/>
    <w:rsid w:val="0013775D"/>
    <w:rsid w:val="001723C8"/>
    <w:rsid w:val="00184750"/>
    <w:rsid w:val="00187870"/>
    <w:rsid w:val="00191AF7"/>
    <w:rsid w:val="001962CC"/>
    <w:rsid w:val="001D71D7"/>
    <w:rsid w:val="001F40C9"/>
    <w:rsid w:val="001F67CE"/>
    <w:rsid w:val="00204456"/>
    <w:rsid w:val="00207813"/>
    <w:rsid w:val="00212D58"/>
    <w:rsid w:val="00213444"/>
    <w:rsid w:val="002313B3"/>
    <w:rsid w:val="002478B2"/>
    <w:rsid w:val="00262C5F"/>
    <w:rsid w:val="002707E9"/>
    <w:rsid w:val="002737F3"/>
    <w:rsid w:val="002867B0"/>
    <w:rsid w:val="002876A5"/>
    <w:rsid w:val="002A1A18"/>
    <w:rsid w:val="002A57F4"/>
    <w:rsid w:val="002A60AB"/>
    <w:rsid w:val="002B38CE"/>
    <w:rsid w:val="002C7B3A"/>
    <w:rsid w:val="002D0F31"/>
    <w:rsid w:val="002F043A"/>
    <w:rsid w:val="002F3C06"/>
    <w:rsid w:val="003007DE"/>
    <w:rsid w:val="003013EF"/>
    <w:rsid w:val="00304FA7"/>
    <w:rsid w:val="00306DD5"/>
    <w:rsid w:val="003210BC"/>
    <w:rsid w:val="00350221"/>
    <w:rsid w:val="0037191F"/>
    <w:rsid w:val="003767C7"/>
    <w:rsid w:val="003813E7"/>
    <w:rsid w:val="003B5B6E"/>
    <w:rsid w:val="003B5BE8"/>
    <w:rsid w:val="003C05A9"/>
    <w:rsid w:val="003D0656"/>
    <w:rsid w:val="003D5612"/>
    <w:rsid w:val="003E3359"/>
    <w:rsid w:val="003F1980"/>
    <w:rsid w:val="00415F08"/>
    <w:rsid w:val="00424861"/>
    <w:rsid w:val="00432913"/>
    <w:rsid w:val="00436DFB"/>
    <w:rsid w:val="004462B6"/>
    <w:rsid w:val="0045417A"/>
    <w:rsid w:val="00455DF4"/>
    <w:rsid w:val="004640B8"/>
    <w:rsid w:val="004718E5"/>
    <w:rsid w:val="0047674D"/>
    <w:rsid w:val="00490A39"/>
    <w:rsid w:val="00490D21"/>
    <w:rsid w:val="00494A55"/>
    <w:rsid w:val="00495232"/>
    <w:rsid w:val="004A55FA"/>
    <w:rsid w:val="004B0C6C"/>
    <w:rsid w:val="004B58EC"/>
    <w:rsid w:val="004B6918"/>
    <w:rsid w:val="004D35D5"/>
    <w:rsid w:val="004F2EC7"/>
    <w:rsid w:val="0050154E"/>
    <w:rsid w:val="00514873"/>
    <w:rsid w:val="00526EE2"/>
    <w:rsid w:val="00545942"/>
    <w:rsid w:val="005570AE"/>
    <w:rsid w:val="00561EF1"/>
    <w:rsid w:val="005720EA"/>
    <w:rsid w:val="005B49FF"/>
    <w:rsid w:val="005C3D7F"/>
    <w:rsid w:val="005D26D5"/>
    <w:rsid w:val="005E2750"/>
    <w:rsid w:val="0063465E"/>
    <w:rsid w:val="00651C05"/>
    <w:rsid w:val="00654748"/>
    <w:rsid w:val="00687445"/>
    <w:rsid w:val="006A4E68"/>
    <w:rsid w:val="006A5396"/>
    <w:rsid w:val="006A64CF"/>
    <w:rsid w:val="006C5105"/>
    <w:rsid w:val="006D54CF"/>
    <w:rsid w:val="006F49FC"/>
    <w:rsid w:val="006F5018"/>
    <w:rsid w:val="006F5C52"/>
    <w:rsid w:val="006F61AA"/>
    <w:rsid w:val="00714DD6"/>
    <w:rsid w:val="007249EF"/>
    <w:rsid w:val="00735509"/>
    <w:rsid w:val="0073621A"/>
    <w:rsid w:val="007426B9"/>
    <w:rsid w:val="007461F5"/>
    <w:rsid w:val="00752F77"/>
    <w:rsid w:val="0075523F"/>
    <w:rsid w:val="00760128"/>
    <w:rsid w:val="00781430"/>
    <w:rsid w:val="007860FC"/>
    <w:rsid w:val="007872FB"/>
    <w:rsid w:val="00794872"/>
    <w:rsid w:val="007B6C01"/>
    <w:rsid w:val="007C60EB"/>
    <w:rsid w:val="007C739A"/>
    <w:rsid w:val="007D735A"/>
    <w:rsid w:val="007F03B3"/>
    <w:rsid w:val="007F0D46"/>
    <w:rsid w:val="008069BF"/>
    <w:rsid w:val="0081794B"/>
    <w:rsid w:val="00831B59"/>
    <w:rsid w:val="008405C8"/>
    <w:rsid w:val="008474A9"/>
    <w:rsid w:val="00866606"/>
    <w:rsid w:val="008741A2"/>
    <w:rsid w:val="0088528D"/>
    <w:rsid w:val="008857C0"/>
    <w:rsid w:val="008872E3"/>
    <w:rsid w:val="0089107B"/>
    <w:rsid w:val="00892097"/>
    <w:rsid w:val="00895913"/>
    <w:rsid w:val="00895A5D"/>
    <w:rsid w:val="008A49EE"/>
    <w:rsid w:val="008B47F8"/>
    <w:rsid w:val="008B6675"/>
    <w:rsid w:val="008C09DD"/>
    <w:rsid w:val="008D0189"/>
    <w:rsid w:val="008D769E"/>
    <w:rsid w:val="008E4E67"/>
    <w:rsid w:val="008F5D00"/>
    <w:rsid w:val="008F73F9"/>
    <w:rsid w:val="008F75EA"/>
    <w:rsid w:val="00900677"/>
    <w:rsid w:val="00920083"/>
    <w:rsid w:val="00922DBF"/>
    <w:rsid w:val="0092501F"/>
    <w:rsid w:val="009252BF"/>
    <w:rsid w:val="0092696A"/>
    <w:rsid w:val="00931242"/>
    <w:rsid w:val="009367F5"/>
    <w:rsid w:val="00936DEB"/>
    <w:rsid w:val="00955872"/>
    <w:rsid w:val="00965B8C"/>
    <w:rsid w:val="00972941"/>
    <w:rsid w:val="00972EE2"/>
    <w:rsid w:val="009A61EE"/>
    <w:rsid w:val="009E262C"/>
    <w:rsid w:val="009E3E87"/>
    <w:rsid w:val="009E5678"/>
    <w:rsid w:val="009F356D"/>
    <w:rsid w:val="009F4DFB"/>
    <w:rsid w:val="00A3031D"/>
    <w:rsid w:val="00A344A9"/>
    <w:rsid w:val="00A447AD"/>
    <w:rsid w:val="00A4661B"/>
    <w:rsid w:val="00A65937"/>
    <w:rsid w:val="00A67007"/>
    <w:rsid w:val="00A774CB"/>
    <w:rsid w:val="00A92BA2"/>
    <w:rsid w:val="00AA1D66"/>
    <w:rsid w:val="00AA6D47"/>
    <w:rsid w:val="00AC18AE"/>
    <w:rsid w:val="00AC40DE"/>
    <w:rsid w:val="00AC5E40"/>
    <w:rsid w:val="00AC75C2"/>
    <w:rsid w:val="00AC7CF7"/>
    <w:rsid w:val="00AD4D21"/>
    <w:rsid w:val="00AE3E94"/>
    <w:rsid w:val="00AF3C2C"/>
    <w:rsid w:val="00AF5CD3"/>
    <w:rsid w:val="00B02253"/>
    <w:rsid w:val="00B04B80"/>
    <w:rsid w:val="00B05306"/>
    <w:rsid w:val="00B147C0"/>
    <w:rsid w:val="00B2146B"/>
    <w:rsid w:val="00B2446A"/>
    <w:rsid w:val="00B44017"/>
    <w:rsid w:val="00B45BB3"/>
    <w:rsid w:val="00B51799"/>
    <w:rsid w:val="00B53DE9"/>
    <w:rsid w:val="00B56C9F"/>
    <w:rsid w:val="00B70D7F"/>
    <w:rsid w:val="00B861A0"/>
    <w:rsid w:val="00BB5124"/>
    <w:rsid w:val="00BB728D"/>
    <w:rsid w:val="00BC043C"/>
    <w:rsid w:val="00BC1951"/>
    <w:rsid w:val="00BC25B0"/>
    <w:rsid w:val="00BC5135"/>
    <w:rsid w:val="00C031F9"/>
    <w:rsid w:val="00C101C9"/>
    <w:rsid w:val="00C11243"/>
    <w:rsid w:val="00C13C5B"/>
    <w:rsid w:val="00C2065C"/>
    <w:rsid w:val="00C22912"/>
    <w:rsid w:val="00C30075"/>
    <w:rsid w:val="00C41065"/>
    <w:rsid w:val="00C44280"/>
    <w:rsid w:val="00C50E38"/>
    <w:rsid w:val="00C619A5"/>
    <w:rsid w:val="00C730B3"/>
    <w:rsid w:val="00C734B8"/>
    <w:rsid w:val="00C87732"/>
    <w:rsid w:val="00CA26D3"/>
    <w:rsid w:val="00CC0C83"/>
    <w:rsid w:val="00CC26C2"/>
    <w:rsid w:val="00CE4F2A"/>
    <w:rsid w:val="00D00FBA"/>
    <w:rsid w:val="00D03DC6"/>
    <w:rsid w:val="00D114CD"/>
    <w:rsid w:val="00D20C7B"/>
    <w:rsid w:val="00D26177"/>
    <w:rsid w:val="00D541D1"/>
    <w:rsid w:val="00D72FCA"/>
    <w:rsid w:val="00D8180A"/>
    <w:rsid w:val="00D86132"/>
    <w:rsid w:val="00D86257"/>
    <w:rsid w:val="00D91A18"/>
    <w:rsid w:val="00D9501C"/>
    <w:rsid w:val="00DA04EF"/>
    <w:rsid w:val="00DA4D02"/>
    <w:rsid w:val="00DC4535"/>
    <w:rsid w:val="00DD689F"/>
    <w:rsid w:val="00DE0854"/>
    <w:rsid w:val="00DF7A90"/>
    <w:rsid w:val="00E027C8"/>
    <w:rsid w:val="00E04E21"/>
    <w:rsid w:val="00E07262"/>
    <w:rsid w:val="00E12578"/>
    <w:rsid w:val="00E21C86"/>
    <w:rsid w:val="00E36050"/>
    <w:rsid w:val="00E37F59"/>
    <w:rsid w:val="00E421C5"/>
    <w:rsid w:val="00E445F6"/>
    <w:rsid w:val="00E651A7"/>
    <w:rsid w:val="00E704DE"/>
    <w:rsid w:val="00E70AB3"/>
    <w:rsid w:val="00E77C5A"/>
    <w:rsid w:val="00E84C46"/>
    <w:rsid w:val="00EB1845"/>
    <w:rsid w:val="00EB4E93"/>
    <w:rsid w:val="00EB69A0"/>
    <w:rsid w:val="00EC29D2"/>
    <w:rsid w:val="00EF2AD4"/>
    <w:rsid w:val="00F04F8F"/>
    <w:rsid w:val="00F06CDF"/>
    <w:rsid w:val="00F1010B"/>
    <w:rsid w:val="00F2309A"/>
    <w:rsid w:val="00F23A09"/>
    <w:rsid w:val="00F23EFA"/>
    <w:rsid w:val="00F535B5"/>
    <w:rsid w:val="00F67866"/>
    <w:rsid w:val="00F73099"/>
    <w:rsid w:val="00F94876"/>
    <w:rsid w:val="00FA1829"/>
    <w:rsid w:val="00FA780C"/>
    <w:rsid w:val="00FB5DDE"/>
    <w:rsid w:val="00FB7637"/>
    <w:rsid w:val="00FC4AE2"/>
    <w:rsid w:val="00FD078E"/>
    <w:rsid w:val="00FD3737"/>
    <w:rsid w:val="00FD531E"/>
    <w:rsid w:val="00FE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1"/>
    </o:shapelayout>
  </w:shapeDefaults>
  <w:decimalSymbol w:val="."/>
  <w:listSeparator w:val=","/>
  <w14:docId w14:val="691B4D20"/>
  <w15:docId w15:val="{257EA8F8-28FC-47D6-B533-A08CB73E0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962CC"/>
    <w:rPr>
      <w:rFonts w:asciiTheme="minorHAnsi" w:eastAsiaTheme="minorHAnsi" w:hAnsiTheme="minorHAnsi" w:cstheme="minorBidi"/>
      <w:sz w:val="24"/>
      <w:szCs w:val="24"/>
    </w:rPr>
  </w:style>
  <w:style w:type="paragraph" w:styleId="Heading1">
    <w:name w:val="heading 1"/>
    <w:basedOn w:val="Normal"/>
    <w:next w:val="Normal"/>
    <w:autoRedefine/>
    <w:qFormat/>
    <w:rsid w:val="00C4428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C442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C05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F0D4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5417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45417A"/>
    <w:pPr>
      <w:tabs>
        <w:tab w:val="center" w:pos="4320"/>
        <w:tab w:val="right" w:pos="8640"/>
      </w:tabs>
    </w:pPr>
  </w:style>
  <w:style w:type="paragraph" w:customStyle="1" w:styleId="Memorandum">
    <w:name w:val="Memorandum"/>
    <w:basedOn w:val="Normal"/>
    <w:next w:val="Normal"/>
    <w:rsid w:val="0045417A"/>
    <w:pPr>
      <w:spacing w:before="120"/>
      <w:jc w:val="center"/>
    </w:pPr>
    <w:rPr>
      <w:rFonts w:ascii="Arial" w:hAnsi="Arial"/>
      <w:sz w:val="28"/>
      <w:szCs w:val="20"/>
    </w:rPr>
  </w:style>
  <w:style w:type="paragraph" w:customStyle="1" w:styleId="CenterName">
    <w:name w:val="CenterName"/>
    <w:basedOn w:val="Normal"/>
    <w:rsid w:val="0045417A"/>
    <w:pPr>
      <w:spacing w:line="240" w:lineRule="exact"/>
      <w:jc w:val="center"/>
    </w:pPr>
    <w:rPr>
      <w:rFonts w:ascii="Arial" w:hAnsi="Arial"/>
      <w:sz w:val="20"/>
      <w:szCs w:val="20"/>
    </w:rPr>
  </w:style>
  <w:style w:type="paragraph" w:customStyle="1" w:styleId="ForCorporateUse">
    <w:name w:val="ForCorporateUse"/>
    <w:basedOn w:val="Normal"/>
    <w:next w:val="Normal"/>
    <w:rsid w:val="0045417A"/>
    <w:pPr>
      <w:spacing w:before="240" w:after="216" w:line="240" w:lineRule="exact"/>
      <w:jc w:val="center"/>
    </w:pPr>
    <w:rPr>
      <w:rFonts w:ascii="Arial" w:hAnsi="Arial"/>
      <w:sz w:val="28"/>
      <w:szCs w:val="20"/>
    </w:rPr>
  </w:style>
  <w:style w:type="paragraph" w:customStyle="1" w:styleId="StyleRight">
    <w:name w:val="Style Right"/>
    <w:basedOn w:val="Normal"/>
    <w:rsid w:val="00794872"/>
    <w:pPr>
      <w:jc w:val="right"/>
    </w:pPr>
  </w:style>
  <w:style w:type="paragraph" w:customStyle="1" w:styleId="StyleArial9pt">
    <w:name w:val="Style Arial 9 pt"/>
    <w:basedOn w:val="Normal"/>
    <w:link w:val="StyleArial9ptChar"/>
    <w:rsid w:val="00794872"/>
    <w:pPr>
      <w:spacing w:before="40" w:after="40"/>
    </w:pPr>
    <w:rPr>
      <w:rFonts w:ascii="Arial" w:hAnsi="Arial" w:cs="Arial"/>
      <w:sz w:val="18"/>
      <w:szCs w:val="18"/>
    </w:rPr>
  </w:style>
  <w:style w:type="character" w:customStyle="1" w:styleId="StyleArial9ptChar">
    <w:name w:val="Style Arial 9 pt Char"/>
    <w:basedOn w:val="DefaultParagraphFont"/>
    <w:link w:val="StyleArial9pt"/>
    <w:rsid w:val="00794872"/>
    <w:rPr>
      <w:rFonts w:ascii="Arial" w:hAnsi="Arial" w:cs="Arial"/>
      <w:sz w:val="18"/>
      <w:szCs w:val="18"/>
      <w:lang w:val="en-US" w:eastAsia="en-US" w:bidi="ar-SA"/>
    </w:rPr>
  </w:style>
  <w:style w:type="character" w:styleId="PageNumber">
    <w:name w:val="page number"/>
    <w:basedOn w:val="DefaultParagraphFont"/>
    <w:rsid w:val="00D86132"/>
  </w:style>
  <w:style w:type="paragraph" w:styleId="BodyText">
    <w:name w:val="Body Text"/>
    <w:basedOn w:val="Normal"/>
    <w:autoRedefine/>
    <w:rsid w:val="00D72FCA"/>
    <w:pPr>
      <w:spacing w:after="240"/>
    </w:pPr>
  </w:style>
  <w:style w:type="paragraph" w:customStyle="1" w:styleId="p1">
    <w:name w:val="p1"/>
    <w:basedOn w:val="Normal"/>
    <w:rsid w:val="001962CC"/>
    <w:rPr>
      <w:rFonts w:ascii="Helvetica Neue" w:hAnsi="Helvetica Neue" w:cs="Times New Roman"/>
      <w:color w:val="454545"/>
      <w:sz w:val="18"/>
      <w:szCs w:val="18"/>
    </w:rPr>
  </w:style>
  <w:style w:type="paragraph" w:customStyle="1" w:styleId="p2">
    <w:name w:val="p2"/>
    <w:basedOn w:val="Normal"/>
    <w:rsid w:val="001962CC"/>
    <w:rPr>
      <w:rFonts w:ascii="Helvetica Neue" w:hAnsi="Helvetica Neue" w:cs="Times New Roman"/>
      <w:color w:val="454545"/>
      <w:sz w:val="18"/>
      <w:szCs w:val="18"/>
    </w:rPr>
  </w:style>
  <w:style w:type="character" w:customStyle="1" w:styleId="apple-converted-space">
    <w:name w:val="apple-converted-space"/>
    <w:basedOn w:val="DefaultParagraphFont"/>
    <w:rsid w:val="001962CC"/>
  </w:style>
  <w:style w:type="table" w:styleId="TableGrid">
    <w:name w:val="Table Grid"/>
    <w:basedOn w:val="TableNormal"/>
    <w:uiPriority w:val="39"/>
    <w:rsid w:val="001962CC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962CC"/>
    <w:rPr>
      <w:rFonts w:ascii="Times New Roman" w:hAnsi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1962CC"/>
  </w:style>
  <w:style w:type="character" w:customStyle="1" w:styleId="FootnoteTextChar">
    <w:name w:val="Footnote Text Char"/>
    <w:basedOn w:val="DefaultParagraphFont"/>
    <w:link w:val="FootnoteText"/>
    <w:uiPriority w:val="99"/>
    <w:rsid w:val="001962CC"/>
    <w:rPr>
      <w:rFonts w:asciiTheme="minorHAnsi" w:eastAsiaTheme="minorHAnsi" w:hAnsiTheme="minorHAnsi" w:cstheme="minorBidi"/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1962C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962CC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62CC"/>
    <w:rPr>
      <w:color w:val="0000FF" w:themeColor="hyperlink"/>
      <w:u w:val="single"/>
    </w:rPr>
  </w:style>
  <w:style w:type="paragraph" w:customStyle="1" w:styleId="TableColumnHeading">
    <w:name w:val="TableColumnHeading"/>
    <w:next w:val="Normal"/>
    <w:qFormat/>
    <w:rsid w:val="001962CC"/>
    <w:pPr>
      <w:keepNext/>
      <w:spacing w:before="60" w:after="60"/>
      <w:jc w:val="center"/>
    </w:pPr>
    <w:rPr>
      <w:rFonts w:ascii="Arial" w:hAnsi="Arial"/>
      <w:b/>
    </w:rPr>
  </w:style>
  <w:style w:type="paragraph" w:customStyle="1" w:styleId="TableText">
    <w:name w:val="TableText"/>
    <w:aliases w:val="tt"/>
    <w:link w:val="TableTextChar"/>
    <w:qFormat/>
    <w:rsid w:val="001962CC"/>
    <w:pPr>
      <w:spacing w:before="40" w:after="40"/>
    </w:pPr>
    <w:rPr>
      <w:rFonts w:ascii="Arial" w:hAnsi="Arial"/>
    </w:rPr>
  </w:style>
  <w:style w:type="paragraph" w:customStyle="1" w:styleId="TableTextCenter">
    <w:name w:val="TableTextCenter"/>
    <w:basedOn w:val="Normal"/>
    <w:qFormat/>
    <w:rsid w:val="001962CC"/>
    <w:pPr>
      <w:tabs>
        <w:tab w:val="center" w:pos="4320"/>
      </w:tabs>
      <w:spacing w:before="40" w:after="40"/>
      <w:jc w:val="center"/>
    </w:pPr>
    <w:rPr>
      <w:rFonts w:ascii="Arial" w:eastAsia="Times New Roman" w:hAnsi="Arial" w:cs="Times New Roman"/>
      <w:noProof/>
      <w:sz w:val="20"/>
      <w:szCs w:val="20"/>
    </w:rPr>
  </w:style>
  <w:style w:type="character" w:customStyle="1" w:styleId="TableTextChar">
    <w:name w:val="TableText Char"/>
    <w:aliases w:val="tt Char"/>
    <w:basedOn w:val="DefaultParagraphFont"/>
    <w:link w:val="TableText"/>
    <w:rsid w:val="001962CC"/>
    <w:rPr>
      <w:rFonts w:ascii="Arial" w:hAnsi="Arial"/>
    </w:rPr>
  </w:style>
  <w:style w:type="table" w:customStyle="1" w:styleId="TableGrid1">
    <w:name w:val="Table Grid1"/>
    <w:basedOn w:val="TableNormal"/>
    <w:next w:val="TableGrid"/>
    <w:uiPriority w:val="59"/>
    <w:rsid w:val="001962C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1962CC"/>
    <w:rPr>
      <w:rFonts w:asciiTheme="minorHAnsi" w:eastAsiaTheme="minorHAnsi" w:hAnsiTheme="minorHAnsi" w:cstheme="min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C442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C4428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C44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306DD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DD5"/>
    <w:rPr>
      <w:rFonts w:asciiTheme="minorHAnsi" w:eastAsiaTheme="minorHAnsi" w:hAnsiTheme="minorHAnsi" w:cstheme="minorBidi"/>
      <w:i/>
      <w:iCs/>
      <w:color w:val="404040" w:themeColor="text1" w:themeTint="BF"/>
      <w:sz w:val="24"/>
      <w:szCs w:val="24"/>
    </w:rPr>
  </w:style>
  <w:style w:type="character" w:styleId="Strong">
    <w:name w:val="Strong"/>
    <w:basedOn w:val="DefaultParagraphFont"/>
    <w:uiPriority w:val="22"/>
    <w:qFormat/>
    <w:rsid w:val="00FD3737"/>
    <w:rPr>
      <w:b/>
      <w:bCs/>
      <w:color w:val="303030"/>
    </w:rPr>
  </w:style>
  <w:style w:type="character" w:styleId="Emphasis">
    <w:name w:val="Emphasis"/>
    <w:basedOn w:val="DefaultParagraphFont"/>
    <w:uiPriority w:val="20"/>
    <w:qFormat/>
    <w:rsid w:val="00FD3737"/>
    <w:rPr>
      <w:i/>
      <w:iCs/>
    </w:rPr>
  </w:style>
  <w:style w:type="paragraph" w:styleId="ListParagraph">
    <w:name w:val="List Paragraph"/>
    <w:basedOn w:val="Normal"/>
    <w:uiPriority w:val="34"/>
    <w:qFormat/>
    <w:rsid w:val="004A55F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semiHidden/>
    <w:rsid w:val="007F0D4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graf">
    <w:name w:val="graf"/>
    <w:basedOn w:val="Normal"/>
    <w:rsid w:val="007F0D46"/>
    <w:pPr>
      <w:spacing w:before="100" w:beforeAutospacing="1" w:after="450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rsid w:val="003C05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D5612"/>
    <w:rPr>
      <w:rFonts w:ascii="Courier New" w:eastAsia="Times New Roman" w:hAnsi="Courier New" w:cs="Courier New" w:hint="default"/>
      <w:color w:val="555555"/>
      <w:sz w:val="20"/>
      <w:szCs w:val="20"/>
      <w:bdr w:val="single" w:sz="6" w:space="0" w:color="DDDDDD" w:frame="1"/>
      <w:shd w:val="clear" w:color="auto" w:fill="FFFFFF"/>
    </w:rPr>
  </w:style>
  <w:style w:type="character" w:styleId="CommentReference">
    <w:name w:val="annotation reference"/>
    <w:basedOn w:val="DefaultParagraphFont"/>
    <w:semiHidden/>
    <w:unhideWhenUsed/>
    <w:rsid w:val="002876A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876A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876A5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876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876A5"/>
    <w:rPr>
      <w:rFonts w:asciiTheme="minorHAnsi" w:eastAsiaTheme="minorHAnsi" w:hAnsiTheme="minorHAnsi" w:cstheme="minorBidi"/>
      <w:b/>
      <w:bCs/>
    </w:rPr>
  </w:style>
  <w:style w:type="paragraph" w:styleId="BalloonText">
    <w:name w:val="Balloon Text"/>
    <w:basedOn w:val="Normal"/>
    <w:link w:val="BalloonTextChar"/>
    <w:rsid w:val="002876A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876A5"/>
    <w:rPr>
      <w:rFonts w:ascii="Segoe UI" w:eastAsiaTheme="minorHAnsi" w:hAnsi="Segoe UI" w:cs="Segoe UI"/>
      <w:sz w:val="18"/>
      <w:szCs w:val="18"/>
    </w:rPr>
  </w:style>
  <w:style w:type="character" w:styleId="Mention">
    <w:name w:val="Mention"/>
    <w:basedOn w:val="DefaultParagraphFont"/>
    <w:uiPriority w:val="99"/>
    <w:semiHidden/>
    <w:unhideWhenUsed/>
    <w:rsid w:val="003210BC"/>
    <w:rPr>
      <w:color w:val="2B579A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A67007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A67007"/>
    <w:pPr>
      <w:spacing w:after="100"/>
    </w:pPr>
  </w:style>
  <w:style w:type="character" w:styleId="FollowedHyperlink">
    <w:name w:val="FollowedHyperlink"/>
    <w:basedOn w:val="DefaultParagraphFont"/>
    <w:semiHidden/>
    <w:unhideWhenUsed/>
    <w:rsid w:val="0037191F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367F5"/>
    <w:rPr>
      <w:color w:val="808080"/>
      <w:shd w:val="clear" w:color="auto" w:fill="E6E6E6"/>
    </w:rPr>
  </w:style>
  <w:style w:type="paragraph" w:styleId="Subtitle">
    <w:name w:val="Subtitle"/>
    <w:basedOn w:val="Normal"/>
    <w:next w:val="Normal"/>
    <w:link w:val="SubtitleChar"/>
    <w:qFormat/>
    <w:rsid w:val="009367F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9367F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D8625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4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393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656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54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2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6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79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260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0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43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086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20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23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3.emf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Visio_Drawing2.vsdx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package" Target="embeddings/Microsoft_Visio_Drawing.vsdx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4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package" Target="embeddings/Microsoft_Visio_Drawing1.vsdx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5.emf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edicaid.gov/medicaid-chip-program-information/by-topics/data-and-systems/downloads/parti_appendixc_bpm_draft_jun2013.pdf" TargetMode="External"/><Relationship Id="rId2" Type="http://schemas.openxmlformats.org/officeDocument/2006/relationships/hyperlink" Target="https://www.medicaid.gov/medicaid-chip-program-information/by-topics/data-and-systems/downloads/parti_appendixc_bpm_draft_jun2013.pdf" TargetMode="External"/><Relationship Id="rId1" Type="http://schemas.openxmlformats.org/officeDocument/2006/relationships/hyperlink" Target="https://www.medicaid.gov/medicaid-chip-program-information/by-topics/data-and-systems/downloads/parti_appendixc_bpm_draft_jun2013.pdf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Data\Microsoft\Windows\Templates\MITRE\mitre_lett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CFF7BFBFF99442BA3056E5919AB27D" ma:contentTypeVersion="3" ma:contentTypeDescription="Create a new document." ma:contentTypeScope="" ma:versionID="97fa7a4c726eab4f82205f641080e30f">
  <xsd:schema xmlns:xsd="http://www.w3.org/2001/XMLSchema" xmlns:xs="http://www.w3.org/2001/XMLSchema" xmlns:p="http://schemas.microsoft.com/office/2006/metadata/properties" xmlns:ns2="24f11f4c-8236-4b4b-90e8-ec0d9b2842fe" targetNamespace="http://schemas.microsoft.com/office/2006/metadata/properties" ma:root="true" ma:fieldsID="858af1e08d018ded7216369ad543b45a" ns2:_="">
    <xsd:import namespace="24f11f4c-8236-4b4b-90e8-ec0d9b2842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f11f4c-8236-4b4b-90e8-ec0d9b2842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MIT</b:Tag>
    <b:SourceType>Misc</b:SourceType>
    <b:Guid>{3B2B1A71-1618-4EF9-9346-E28F997B97FC}</b:Guid>
    <b:Author>
      <b:Author>
        <b:Corporate>MITA Governance Board Poplin Working Group</b:Corporate>
      </b:Author>
    </b:Author>
    <b:Title>Project Poplin Medicaid Reference Architecture: Service Definition Template</b:Title>
    <b:RefOrder>1</b:RefOrder>
  </b:Source>
</b:Sources>
</file>

<file path=customXml/itemProps1.xml><?xml version="1.0" encoding="utf-8"?>
<ds:datastoreItem xmlns:ds="http://schemas.openxmlformats.org/officeDocument/2006/customXml" ds:itemID="{C5E24C53-B40A-4574-928D-E07C9CC3D5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B3A689D-B177-4EE4-AC72-68B572F5D6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f11f4c-8236-4b4b-90e8-ec0d9b2842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28ACB0-262C-47CB-8180-D803B6925B5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D5C619-29BD-4978-8B9D-2854BA8EF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mitre_letter</Template>
  <TotalTime>11</TotalTime>
  <Pages>13</Pages>
  <Words>1420</Words>
  <Characters>8097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 August 2008</vt:lpstr>
    </vt:vector>
  </TitlesOfParts>
  <Company>The MITRE Corporation</Company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 August 2008</dc:title>
  <dc:subject/>
  <dc:creator>Patel, Sejal</dc:creator>
  <cp:keywords/>
  <dc:description>Normal is Cambria 11 pt</dc:description>
  <cp:lastModifiedBy>Chambers, Colby</cp:lastModifiedBy>
  <cp:revision>4</cp:revision>
  <cp:lastPrinted>2003-12-17T15:01:00Z</cp:lastPrinted>
  <dcterms:created xsi:type="dcterms:W3CDTF">2017-12-04T20:04:00Z</dcterms:created>
  <dcterms:modified xsi:type="dcterms:W3CDTF">2017-12-04T20:12:00Z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0x01010019CFF7BFBFF99442BA3056E5919AB27D</vt:lpwstr>
  </property>
</Properties>
</file>