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ED85" w14:textId="77777777" w:rsidR="00A92B4B" w:rsidRPr="00596326" w:rsidRDefault="00A92B4B" w:rsidP="00A92B4B">
      <w:pPr>
        <w:spacing w:after="160" w:line="259" w:lineRule="auto"/>
        <w:rPr>
          <w:rFonts w:cs="Arial"/>
        </w:rPr>
      </w:pPr>
      <w:r>
        <w:rPr>
          <w:noProof/>
        </w:rPr>
        <w:drawing>
          <wp:inline distT="0" distB="0" distL="0" distR="0" wp14:anchorId="142E61DD" wp14:editId="526D1295">
            <wp:extent cx="2582212" cy="628650"/>
            <wp:effectExtent l="0" t="0" r="889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EB5D6E-7DBE-4DBA-9BBE-B0E9EA2A3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EB5D6E-7DBE-4DBA-9BBE-B0E9EA2A3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0566" t="25623" r="44527" b="53851"/>
                    <a:stretch/>
                  </pic:blipFill>
                  <pic:spPr>
                    <a:xfrm>
                      <a:off x="0" y="0"/>
                      <a:ext cx="2606749" cy="6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92E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2C08B697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65518044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02B2A080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19C40247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0F9824FB" w14:textId="77777777" w:rsidR="00A92B4B" w:rsidRPr="00596326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5ACF6ABA" w14:textId="77777777" w:rsidR="00A92B4B" w:rsidRPr="00222FAE" w:rsidRDefault="00A92B4B" w:rsidP="00A92B4B">
      <w:pPr>
        <w:spacing w:line="276" w:lineRule="auto"/>
        <w:ind w:left="426" w:hanging="426"/>
        <w:jc w:val="center"/>
        <w:rPr>
          <w:rFonts w:cs="Arial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FAE">
        <w:rPr>
          <w:rFonts w:cs="Arial" w:hint="eastAsia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222FAE">
        <w:rPr>
          <w:rFonts w:cs="Arial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 Policy and Procedure </w:t>
      </w:r>
    </w:p>
    <w:p w14:paraId="623E4E97" w14:textId="77777777" w:rsidR="00A92B4B" w:rsidRPr="00222FAE" w:rsidRDefault="00A92B4B" w:rsidP="00A92B4B">
      <w:pPr>
        <w:spacing w:line="276" w:lineRule="auto"/>
        <w:ind w:left="426" w:hanging="426"/>
        <w:jc w:val="right"/>
        <w:rPr>
          <w:rFonts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FAE">
        <w:rPr>
          <w:rFonts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Foodstuffs-North Island</w:t>
      </w:r>
    </w:p>
    <w:p w14:paraId="0B59DBB6" w14:textId="77777777" w:rsidR="00A92B4B" w:rsidRDefault="00A92B4B" w:rsidP="00A92B4B">
      <w:pPr>
        <w:jc w:val="right"/>
        <w:rPr>
          <w:rFonts w:cs="Arial"/>
          <w:bCs/>
          <w:i/>
          <w:iCs/>
          <w:szCs w:val="24"/>
        </w:rPr>
      </w:pPr>
    </w:p>
    <w:p w14:paraId="114E9B54" w14:textId="77777777" w:rsidR="00A92B4B" w:rsidRPr="00EF5D6A" w:rsidRDefault="00A92B4B" w:rsidP="00A92B4B">
      <w:pPr>
        <w:jc w:val="right"/>
        <w:rPr>
          <w:rFonts w:cs="Arial"/>
          <w:bCs/>
          <w:i/>
          <w:iCs/>
          <w:szCs w:val="24"/>
        </w:rPr>
      </w:pPr>
      <w:r w:rsidRPr="00EF5D6A">
        <w:rPr>
          <w:rFonts w:cs="Arial"/>
          <w:bCs/>
          <w:i/>
          <w:iCs/>
          <w:szCs w:val="24"/>
        </w:rPr>
        <w:t>Effective date:1/10/2019</w:t>
      </w:r>
    </w:p>
    <w:p w14:paraId="0FA9A090" w14:textId="77777777" w:rsidR="00A92B4B" w:rsidRPr="00EF5D6A" w:rsidRDefault="00A92B4B" w:rsidP="00A92B4B">
      <w:pPr>
        <w:jc w:val="right"/>
        <w:rPr>
          <w:rFonts w:cs="Arial"/>
          <w:bCs/>
          <w:i/>
          <w:iCs/>
          <w:szCs w:val="24"/>
        </w:rPr>
      </w:pPr>
      <w:r w:rsidRPr="00EF5D6A">
        <w:rPr>
          <w:rFonts w:cs="Arial"/>
          <w:bCs/>
          <w:i/>
          <w:iCs/>
          <w:szCs w:val="24"/>
        </w:rPr>
        <w:t>Revision date:28/6/2019</w:t>
      </w:r>
    </w:p>
    <w:p w14:paraId="79816CE1" w14:textId="77777777" w:rsidR="00A92B4B" w:rsidRDefault="00A92B4B" w:rsidP="00A92B4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753AF942" w14:textId="77777777" w:rsidR="00A92B4B" w:rsidRPr="00B72FF8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</w:rPr>
      </w:pPr>
      <w:bookmarkStart w:id="0" w:name="_Toc406651971"/>
      <w:bookmarkStart w:id="1" w:name="_Toc354384038"/>
      <w:bookmarkStart w:id="2" w:name="_Toc10665651"/>
      <w:r w:rsidRPr="00B72FF8">
        <w:rPr>
          <w:rFonts w:ascii="Arial" w:hAnsi="Arial" w:cs="Arial"/>
          <w:color w:val="002060"/>
          <w:sz w:val="28"/>
          <w:szCs w:val="28"/>
        </w:rPr>
        <w:lastRenderedPageBreak/>
        <w:t>Introduction</w:t>
      </w:r>
      <w:bookmarkEnd w:id="0"/>
      <w:bookmarkEnd w:id="1"/>
      <w:r w:rsidRPr="00B72FF8">
        <w:rPr>
          <w:rFonts w:ascii="Arial" w:hAnsi="Arial" w:cs="Arial"/>
          <w:color w:val="002060"/>
          <w:sz w:val="28"/>
          <w:szCs w:val="28"/>
        </w:rPr>
        <w:t xml:space="preserve"> &amp; Background</w:t>
      </w:r>
      <w:r>
        <w:rPr>
          <w:rFonts w:ascii="Arial" w:hAnsi="Arial" w:cs="Arial"/>
          <w:color w:val="002060"/>
          <w:sz w:val="28"/>
          <w:szCs w:val="28"/>
        </w:rPr>
        <w:t xml:space="preserve"> </w:t>
      </w:r>
      <w:r w:rsidRPr="00B72FF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-</w:t>
      </w:r>
      <w:r w:rsidRPr="00B72FF8">
        <w:rPr>
          <w:b w:val="0"/>
          <w:bCs w:val="0"/>
          <w:color w:val="000000" w:themeColor="text1"/>
          <w:sz w:val="20"/>
          <w:szCs w:val="20"/>
        </w:rPr>
        <w:t xml:space="preserve"> </w:t>
      </w:r>
      <w:r w:rsidRPr="00B72FF8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Brief description of any reasons, history, and intent that led to the creation of the policy, which may be listed as motivating factors.</w:t>
      </w:r>
      <w:bookmarkEnd w:id="2"/>
    </w:p>
    <w:p w14:paraId="72794D30" w14:textId="77777777" w:rsidR="00A92B4B" w:rsidRPr="00B72FF8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  <w:lang w:val="en-AU"/>
        </w:rPr>
      </w:pPr>
      <w:bookmarkStart w:id="3" w:name="_Toc406651973"/>
      <w:bookmarkStart w:id="4" w:name="_Toc354384076"/>
      <w:bookmarkStart w:id="5" w:name="_Toc354384015"/>
      <w:bookmarkStart w:id="6" w:name="_Toc10665652"/>
      <w:r w:rsidRPr="00B72FF8">
        <w:rPr>
          <w:rFonts w:ascii="Arial" w:hAnsi="Arial" w:cs="Arial"/>
          <w:color w:val="002060"/>
          <w:sz w:val="28"/>
          <w:szCs w:val="28"/>
        </w:rPr>
        <w:t xml:space="preserve">Purpose </w:t>
      </w:r>
      <w:bookmarkEnd w:id="3"/>
      <w:bookmarkEnd w:id="4"/>
      <w:bookmarkEnd w:id="5"/>
      <w:r>
        <w:rPr>
          <w:rFonts w:ascii="Arial" w:hAnsi="Arial" w:cs="Arial"/>
          <w:color w:val="002060"/>
          <w:sz w:val="28"/>
          <w:szCs w:val="28"/>
        </w:rPr>
        <w:t xml:space="preserve">statement </w:t>
      </w:r>
      <w:r w:rsidRPr="00596326">
        <w:rPr>
          <w:rFonts w:cs="Arial"/>
        </w:rPr>
        <w:t>-</w:t>
      </w:r>
      <w:r w:rsidRPr="00B72FF8">
        <w:rPr>
          <w:rFonts w:ascii="Arial" w:hAnsi="Arial" w:cs="Arial"/>
          <w:b w:val="0"/>
          <w:bCs w:val="0"/>
          <w:sz w:val="20"/>
          <w:szCs w:val="20"/>
        </w:rPr>
        <w:t xml:space="preserve"> Outlining the policy goal, desired effect or outcome</w:t>
      </w:r>
      <w:bookmarkEnd w:id="6"/>
    </w:p>
    <w:p w14:paraId="32932027" w14:textId="77777777" w:rsidR="00A92B4B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</w:rPr>
      </w:pPr>
      <w:bookmarkStart w:id="7" w:name="_Toc10665653"/>
      <w:r w:rsidRPr="0041551D">
        <w:rPr>
          <w:rFonts w:ascii="Arial" w:hAnsi="Arial" w:cs="Arial"/>
          <w:color w:val="002060"/>
          <w:sz w:val="28"/>
          <w:szCs w:val="28"/>
        </w:rPr>
        <w:t>Policy statements</w:t>
      </w:r>
      <w:bookmarkEnd w:id="7"/>
    </w:p>
    <w:p w14:paraId="5145396E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Access Management</w:t>
      </w:r>
    </w:p>
    <w:p w14:paraId="67B912D1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4213BE4F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0A78A323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Security Management</w:t>
      </w:r>
    </w:p>
    <w:p w14:paraId="51171F4D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7F189F8A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6EAD77C7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Social Media</w:t>
      </w:r>
    </w:p>
    <w:p w14:paraId="0FD8F6DF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118379F1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7BE9DD7A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BYOD and Private Usage of Company Devices</w:t>
      </w:r>
    </w:p>
    <w:p w14:paraId="55E283BC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6DE4AB38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78898112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Communication</w:t>
      </w:r>
    </w:p>
    <w:p w14:paraId="4E2987F3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2A514B39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0BBF8A4C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Privacy and Ethical</w:t>
      </w:r>
    </w:p>
    <w:p w14:paraId="4E294F1D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21CCECA5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4D9F3900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Data Management</w:t>
      </w:r>
    </w:p>
    <w:p w14:paraId="705AA4A4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606B1A24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07D6CCF2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Knowledge Management</w:t>
      </w:r>
    </w:p>
    <w:p w14:paraId="568108AD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2F36A77F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5EC47406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Hardware and Software Acquisition, Update and Maintenance</w:t>
      </w:r>
    </w:p>
    <w:p w14:paraId="31A3EF8F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792A1192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5DF0F8F6" w14:textId="77777777" w:rsidR="00A92B4B" w:rsidRDefault="00A92B4B" w:rsidP="00A92B4B">
      <w:pPr>
        <w:pStyle w:val="ListParagraph"/>
        <w:numPr>
          <w:ilvl w:val="0"/>
          <w:numId w:val="1"/>
        </w:numPr>
        <w:rPr>
          <w:b/>
          <w:bCs/>
        </w:rPr>
      </w:pPr>
      <w:r w:rsidRPr="007C7069">
        <w:rPr>
          <w:b/>
          <w:bCs/>
        </w:rPr>
        <w:t>ICT Project Management</w:t>
      </w:r>
    </w:p>
    <w:p w14:paraId="008BD701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t>Purpose of the Policy</w:t>
      </w:r>
    </w:p>
    <w:p w14:paraId="0FC3E87B" w14:textId="77777777" w:rsidR="00A92B4B" w:rsidRPr="000C42BB" w:rsidRDefault="00A92B4B" w:rsidP="00A92B4B">
      <w:pPr>
        <w:pStyle w:val="ListParagraph"/>
        <w:numPr>
          <w:ilvl w:val="0"/>
          <w:numId w:val="2"/>
        </w:numPr>
      </w:pPr>
      <w:r w:rsidRPr="000C42BB">
        <w:rPr>
          <w:rFonts w:hint="eastAsia"/>
        </w:rPr>
        <w:t>P</w:t>
      </w:r>
      <w:r w:rsidRPr="000C42BB">
        <w:t>rocedures</w:t>
      </w:r>
    </w:p>
    <w:p w14:paraId="69BA631D" w14:textId="77777777" w:rsidR="00A92B4B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</w:rPr>
      </w:pPr>
      <w:bookmarkStart w:id="8" w:name="_Toc10665654"/>
      <w:r w:rsidRPr="0041551D">
        <w:rPr>
          <w:rFonts w:ascii="Arial" w:hAnsi="Arial" w:cs="Arial"/>
          <w:color w:val="002060"/>
          <w:sz w:val="28"/>
          <w:szCs w:val="28"/>
        </w:rPr>
        <w:lastRenderedPageBreak/>
        <w:t>ICT Risk management plan</w:t>
      </w:r>
      <w:bookmarkEnd w:id="8"/>
    </w:p>
    <w:p w14:paraId="2E79503A" w14:textId="77777777" w:rsidR="00A92B4B" w:rsidRDefault="00A92B4B" w:rsidP="00A92B4B">
      <w:pPr>
        <w:pStyle w:val="Heading2"/>
        <w:rPr>
          <w:rFonts w:ascii="Arial" w:hAnsi="Arial" w:cs="Arial"/>
          <w:b w:val="0"/>
          <w:sz w:val="20"/>
          <w:szCs w:val="20"/>
        </w:rPr>
      </w:pPr>
      <w:bookmarkStart w:id="9" w:name="_Toc10665655"/>
      <w:r w:rsidRPr="0041551D">
        <w:rPr>
          <w:rFonts w:ascii="Arial" w:hAnsi="Arial" w:cs="Arial"/>
          <w:color w:val="002060"/>
          <w:sz w:val="28"/>
          <w:szCs w:val="28"/>
        </w:rPr>
        <w:t>Policy Implementation guidelines</w:t>
      </w:r>
      <w:r>
        <w:rPr>
          <w:rFonts w:ascii="Arial" w:hAnsi="Arial" w:cs="Arial"/>
          <w:color w:val="002060"/>
          <w:sz w:val="28"/>
          <w:szCs w:val="28"/>
        </w:rPr>
        <w:t xml:space="preserve"> -</w:t>
      </w:r>
      <w:r w:rsidRPr="0041551D">
        <w:rPr>
          <w:rFonts w:ascii="Arial" w:hAnsi="Arial" w:cs="Arial"/>
          <w:b w:val="0"/>
          <w:sz w:val="20"/>
          <w:szCs w:val="20"/>
        </w:rPr>
        <w:t xml:space="preserve"> Outline how each policy statement will be enforced.</w:t>
      </w:r>
      <w:bookmarkEnd w:id="9"/>
    </w:p>
    <w:p w14:paraId="7F078673" w14:textId="77777777" w:rsidR="00A92B4B" w:rsidRPr="007C7069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</w:rPr>
      </w:pPr>
      <w:bookmarkStart w:id="10" w:name="_Toc10665656"/>
      <w:r w:rsidRPr="007C7069">
        <w:rPr>
          <w:rFonts w:ascii="Arial" w:hAnsi="Arial" w:cs="Arial"/>
          <w:color w:val="002060"/>
          <w:sz w:val="28"/>
          <w:szCs w:val="28"/>
        </w:rPr>
        <w:t xml:space="preserve">Overall responsibility </w:t>
      </w:r>
      <w:r w:rsidRPr="007C7069">
        <w:rPr>
          <w:rFonts w:ascii="Arial" w:hAnsi="Arial" w:cs="Arial"/>
          <w:b w:val="0"/>
          <w:bCs w:val="0"/>
          <w:sz w:val="20"/>
          <w:szCs w:val="20"/>
        </w:rPr>
        <w:t>- Responsible for overseeing the policy.</w:t>
      </w:r>
      <w:bookmarkEnd w:id="10"/>
    </w:p>
    <w:p w14:paraId="5EBDF19F" w14:textId="77777777" w:rsidR="00A92B4B" w:rsidRPr="007C7069" w:rsidRDefault="00A92B4B" w:rsidP="00A92B4B"/>
    <w:p w14:paraId="37EB46BD" w14:textId="77777777" w:rsidR="00A92B4B" w:rsidRPr="00596326" w:rsidRDefault="00A92B4B" w:rsidP="00A92B4B">
      <w:pPr>
        <w:spacing w:after="160" w:line="259" w:lineRule="auto"/>
        <w:rPr>
          <w:rFonts w:cs="Arial"/>
          <w:sz w:val="20"/>
        </w:rPr>
      </w:pPr>
      <w:r w:rsidRPr="00596326">
        <w:rPr>
          <w:rFonts w:cs="Arial"/>
          <w:sz w:val="20"/>
        </w:rPr>
        <w:br w:type="page"/>
      </w:r>
    </w:p>
    <w:p w14:paraId="5805A2AA" w14:textId="77777777" w:rsidR="00A92B4B" w:rsidRPr="00275E29" w:rsidRDefault="00A92B4B" w:rsidP="00A92B4B">
      <w:pPr>
        <w:rPr>
          <w:rFonts w:cs="Arial"/>
        </w:rPr>
      </w:pPr>
    </w:p>
    <w:p w14:paraId="6B3E4413" w14:textId="77777777" w:rsidR="00A92B4B" w:rsidRPr="006439A9" w:rsidRDefault="00A92B4B" w:rsidP="00A92B4B">
      <w:pPr>
        <w:pStyle w:val="NormalWeb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Reference:</w:t>
      </w:r>
    </w:p>
    <w:p w14:paraId="4EC67175" w14:textId="77777777" w:rsidR="00795097" w:rsidRDefault="00795097">
      <w:bookmarkStart w:id="11" w:name="_GoBack"/>
      <w:bookmarkEnd w:id="11"/>
    </w:p>
    <w:sectPr w:rsidR="0079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7D0D"/>
    <w:multiLevelType w:val="hybridMultilevel"/>
    <w:tmpl w:val="D6028328"/>
    <w:lvl w:ilvl="0" w:tplc="960A89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E2274"/>
    <w:multiLevelType w:val="hybridMultilevel"/>
    <w:tmpl w:val="D07CA7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4B"/>
    <w:rsid w:val="00795097"/>
    <w:rsid w:val="00A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3367"/>
  <w15:chartTrackingRefBased/>
  <w15:docId w15:val="{04963983-3EEE-41D7-BDFE-A0DBA43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4B"/>
    <w:rPr>
      <w:rFonts w:ascii="Arial" w:eastAsia="Times New Roman" w:hAnsi="Arial" w:cs="Times New Roman"/>
      <w:kern w:val="0"/>
      <w:sz w:val="24"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B4B"/>
    <w:rPr>
      <w:rFonts w:asciiTheme="majorHAnsi" w:eastAsiaTheme="majorEastAsia" w:hAnsiTheme="majorHAnsi" w:cstheme="majorBidi"/>
      <w:b/>
      <w:bCs/>
      <w:kern w:val="0"/>
      <w:sz w:val="32"/>
      <w:szCs w:val="32"/>
      <w:lang w:val="en-NZ" w:eastAsia="en-US"/>
    </w:rPr>
  </w:style>
  <w:style w:type="paragraph" w:styleId="ListParagraph">
    <w:name w:val="List Paragraph"/>
    <w:basedOn w:val="Normal"/>
    <w:uiPriority w:val="34"/>
    <w:qFormat/>
    <w:rsid w:val="00A92B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2B4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Sun</dc:creator>
  <cp:keywords/>
  <dc:description/>
  <cp:lastModifiedBy>Chris Sun</cp:lastModifiedBy>
  <cp:revision>1</cp:revision>
  <dcterms:created xsi:type="dcterms:W3CDTF">2019-06-05T10:32:00Z</dcterms:created>
  <dcterms:modified xsi:type="dcterms:W3CDTF">2019-06-05T10:33:00Z</dcterms:modified>
</cp:coreProperties>
</file>