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2304A"/>
          <w:sz w:val="62"/>
        </w:rPr>
        <w:t>MTQ Σ</w:t>
      </w:r>
    </w:p>
    <w:p>
      <w:pPr>
        <w:jc w:val="center"/>
      </w:pPr>
      <w:r>
        <w:rPr>
          <w:b/>
          <w:color w:val="176B73"/>
          <w:sz w:val="38"/>
        </w:rPr>
        <w:t>Equation-by-Equation Developer Alignment Specification</w:t>
      </w:r>
    </w:p>
    <w:p>
      <w:pPr>
        <w:jc w:val="center"/>
      </w:pPr>
      <w:r>
        <w:rPr>
          <w:sz w:val="22"/>
        </w:rPr>
        <w:t>Formula descriptions, implementation checks, constants, and source-level reconciliation gates</w:t>
      </w:r>
    </w:p>
    <w:p>
      <w:pPr>
        <w:spacing w:before="400"/>
        <w:jc w:val="center"/>
      </w:pPr>
      <w:r>
        <w:rPr>
          <w:sz w:val="18"/>
        </w:rPr>
        <w:t>Source: MTQ Σ Master Monetary Architecture &amp; Quantitative Specification v1.0</w:t>
        <w:br/>
        <w:t>Issued 2026-09-08 · Status in source: Candidate for Public Testing — Not Production-Authorized</w:t>
      </w:r>
    </w:p>
    <w:p>
      <w:pPr>
        <w:spacing w:before="900"/>
        <w:jc w:val="center"/>
      </w:pPr>
      <w:r>
        <w:rPr>
          <w:b/>
          <w:color w:val="964128"/>
          <w:sz w:val="20"/>
        </w:rPr>
        <w:t>Purpose: implementation alignment only. No formula is approved, corrected, or production-validated by this document.</w:t>
      </w:r>
    </w:p>
    <w:p>
      <w:r>
        <w:br w:type="page"/>
      </w:r>
    </w:p>
    <w:p>
      <w:pPr>
        <w:pStyle w:val="Heading1"/>
        <w:keepNext/>
      </w:pPr>
      <w:r>
        <w:t>Developer handoff: mandatory instruction</w:t>
      </w:r>
    </w:p>
    <w:p>
      <w:r>
        <w:t>Use this document together with the full 301-page master blueprint. The blueprint remains the authoritative source; this handoff is a navigable formula catalogue and verification checklist, not a replacement for the full specification.</w:t>
      </w:r>
    </w:p>
    <w:p>
      <w:pPr>
        <w:pStyle w:val="ListBullet"/>
        <w:spacing w:after="60"/>
      </w:pPr>
      <w:r>
        <w:t>Read the blueprint line by line, including tables, worked examples, formula paragraphs and all smart-contract listings. Trace every formula from input data through calculation, constraints, state transition, execution, publication and tests.</w:t>
      </w:r>
    </w:p>
    <w:p>
      <w:pPr>
        <w:pStyle w:val="ListBullet"/>
        <w:spacing w:after="60"/>
      </w:pPr>
      <w:r>
        <w:t>Implement formulas as written unless the source itself contains an ambiguity or conflict. Where a conflict is listed in Section “Source-level reconciliation gates”, stop and document the discrepancy; do not silently choose, simplify, “correct”, or invent a coefficient.</w:t>
      </w:r>
    </w:p>
    <w:p>
      <w:pPr>
        <w:pStyle w:val="ListBullet"/>
        <w:spacing w:after="60"/>
      </w:pPr>
      <w:r>
        <w:t>Keep the three independent mathematical layers separate: (1) constituency/eligibility, (2) MASE target weights, and (3) MARP execution plus reserve management.</w:t>
      </w:r>
    </w:p>
    <w:p>
      <w:pPr>
        <w:pStyle w:val="ListBullet"/>
        <w:spacing w:after="60"/>
      </w:pPr>
      <w:r>
        <w:t>Keep reference-basket value, MTQ token liability, and reserve backing as different quantities. Keep index weights and reserve weights independent.</w:t>
      </w:r>
    </w:p>
    <w:p>
      <w:pPr>
        <w:pStyle w:val="ListBullet"/>
        <w:spacing w:after="60"/>
      </w:pPr>
      <w:r>
        <w:t>Keep the four weight states distinct: W^Prior, W^Target, W^Smooth and W^Execution. Show each in logs/API/UI with clear labels.</w:t>
      </w:r>
    </w:p>
    <w:p>
      <w:pPr>
        <w:pStyle w:val="ListBullet"/>
        <w:spacing w:after="60"/>
      </w:pPr>
      <w:r>
        <w:t>The initial 27/20/9/8/5/5/26 vector is a strategic prior and genesis snapshot, not a fixed basket definition or a final optimal allocation.</w:t>
      </w:r>
    </w:p>
    <w:p>
      <w:pPr>
        <w:pStyle w:val="ListBullet"/>
        <w:spacing w:after="60"/>
      </w:pPr>
      <w:r>
        <w:t>PAR = 1 basket-unit is not a fixed $1 peg. Mint pricing must use the adaptive reference price; redemption uses the specified reserve/NAV method, with the exact meaning of NAV disambiguated as noted below.</w:t>
      </w:r>
    </w:p>
    <w:p>
      <w:pPr>
        <w:pStyle w:val="ListBullet"/>
        <w:spacing w:after="60"/>
      </w:pPr>
      <w:r>
        <w:t>Daily calculation does not imply daily trading. MARP requires trigger eligibility plus cost-benefit, liquidity, reserve, oracle and execution guards.</w:t>
      </w:r>
    </w:p>
    <w:p>
      <w:pPr>
        <w:pStyle w:val="ListBullet"/>
        <w:spacing w:after="60"/>
      </w:pPr>
      <w:r>
        <w:t>Publish the data version, methodology version, oracle versions, target/smoothed/execution states and decision log so an independent auditor can reproduce outputs.</w:t>
      </w:r>
    </w:p>
    <w:p>
      <w:pPr>
        <w:pStyle w:val="ListBullet"/>
        <w:spacing w:after="60"/>
      </w:pPr>
      <w:r>
        <w:t>Keep legacy v1.2/fixed-quantity formulas explicitly marked historical; do not let them override the current adaptive v2.0 / Master v1.0 equations.</w:t>
      </w:r>
    </w:p>
    <w:p>
      <w:pPr>
        <w:pStyle w:val="ListBullet"/>
        <w:spacing w:after="60"/>
      </w:pPr>
      <w:r>
        <w:t>Production must remain disabled until the blueprint’s validation gates are evidenced and the on-chain honest-status state permits production. The uploaded blueprint status is not production-authorized.</w:t>
      </w:r>
    </w:p>
    <w:p>
      <w:pPr>
        <w:pStyle w:val="Heading1"/>
        <w:keepNext/>
      </w:pPr>
      <w:r>
        <w:t>Reading and notation rules</w:t>
      </w:r>
    </w:p>
    <w:p>
      <w:r>
        <w:t>The “Equation as specified” lines preserve the mathematical relationship as rendered in the source text. The DOCX may render subscripts/superscripts as plain text in places; where exact index/weight timing or symbol meaning matters, use the source section and reconciliation gate instead of guessing. “Developer alignment check” means what needs to be verified against the normative section and source code; it is not a claim that the current implementation is already correct.</w:t>
      </w:r>
    </w:p>
    <w:p>
      <w:pPr>
        <w:pStyle w:val="Heading1"/>
        <w:keepNext/>
      </w:pPr>
      <w:r>
        <w:t>Constitutional concept gates — do not violate</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2304A"/>
          </w:tcPr>
          <w:p>
            <w:r>
              <w:rPr>
                <w:b/>
                <w:color w:val="FFFFFF"/>
                <w:sz w:val="16"/>
              </w:rPr>
              <w:t>Concept</w:t>
            </w:r>
          </w:p>
        </w:tc>
        <w:tc>
          <w:tcPr>
            <w:tcW w:type="dxa" w:w="3389"/>
            <w:shd w:fill="12304A"/>
          </w:tcPr>
          <w:p>
            <w:r>
              <w:rPr>
                <w:b/>
                <w:color w:val="FFFFFF"/>
                <w:sz w:val="16"/>
              </w:rPr>
              <w:t>What it means</w:t>
            </w:r>
          </w:p>
        </w:tc>
        <w:tc>
          <w:tcPr>
            <w:tcW w:type="dxa" w:w="3389"/>
            <w:shd w:fill="12304A"/>
          </w:tcPr>
          <w:p>
            <w:r>
              <w:rPr>
                <w:b/>
                <w:color w:val="FFFFFF"/>
                <w:sz w:val="16"/>
              </w:rPr>
              <w:t>Non-negotiable implementation implication</w:t>
            </w:r>
          </w:p>
        </w:tc>
      </w:tr>
      <w:tr>
        <w:trPr>
          <w:cantSplit/>
        </w:trPr>
        <w:tc>
          <w:tcPr>
            <w:tcW w:type="dxa" w:w="3389"/>
            <w:tcMar>
              <w:top w:w="90" w:type="dxa"/>
              <w:start w:w="110" w:type="dxa"/>
              <w:bottom w:w="90" w:type="dxa"/>
              <w:end w:w="110" w:type="dxa"/>
            </w:tcMar>
          </w:tcPr>
          <w:p>
            <w:r>
              <w:rPr>
                <w:b/>
              </w:rPr>
              <w:t>Reference basket</w:t>
            </w:r>
          </w:p>
        </w:tc>
        <w:tc>
          <w:tcPr>
            <w:tcW w:type="dxa" w:w="3389"/>
            <w:tcMar>
              <w:top w:w="90" w:type="dxa"/>
              <w:start w:w="110" w:type="dxa"/>
              <w:bottom w:w="90" w:type="dxa"/>
              <w:end w:w="110" w:type="dxa"/>
            </w:tcMar>
          </w:tcPr>
          <w:p>
            <w:r>
              <w:t>Defines one unit of account / the adaptive index value.</w:t>
            </w:r>
          </w:p>
        </w:tc>
        <w:tc>
          <w:tcPr>
            <w:tcW w:type="dxa" w:w="3389"/>
            <w:tcMar>
              <w:top w:w="90" w:type="dxa"/>
              <w:start w:w="110" w:type="dxa"/>
              <w:bottom w:w="90" w:type="dxa"/>
              <w:end w:w="110" w:type="dxa"/>
            </w:tcMar>
          </w:tcPr>
          <w:p>
            <w:r>
              <w:t>Its weights are model outputs under a fixed published methodology.</w:t>
            </w:r>
          </w:p>
        </w:tc>
      </w:tr>
      <w:tr>
        <w:trPr>
          <w:cantSplit/>
        </w:trPr>
        <w:tc>
          <w:tcPr>
            <w:tcW w:type="dxa" w:w="3389"/>
            <w:tcMar>
              <w:top w:w="90" w:type="dxa"/>
              <w:start w:w="110" w:type="dxa"/>
              <w:bottom w:w="90" w:type="dxa"/>
              <w:end w:w="110" w:type="dxa"/>
            </w:tcMar>
          </w:tcPr>
          <w:p>
            <w:r>
              <w:rPr>
                <w:b/>
              </w:rPr>
              <w:t>MTQ Σ token</w:t>
            </w:r>
          </w:p>
        </w:tc>
        <w:tc>
          <w:tcPr>
            <w:tcW w:type="dxa" w:w="3389"/>
            <w:tcMar>
              <w:top w:w="90" w:type="dxa"/>
              <w:start w:w="110" w:type="dxa"/>
              <w:bottom w:w="90" w:type="dxa"/>
              <w:end w:w="110" w:type="dxa"/>
            </w:tcMar>
          </w:tcPr>
          <w:p>
            <w:r>
              <w:t>Transferable monetary unit / liability.</w:t>
            </w:r>
          </w:p>
        </w:tc>
        <w:tc>
          <w:tcPr>
            <w:tcW w:type="dxa" w:w="3389"/>
            <w:tcMar>
              <w:top w:w="90" w:type="dxa"/>
              <w:start w:w="110" w:type="dxa"/>
              <w:bottom w:w="90" w:type="dxa"/>
              <w:end w:w="110" w:type="dxa"/>
            </w:tcMar>
          </w:tcPr>
          <w:p>
            <w:r>
              <w:t>Its issue and redemption calculations must reference current index/NAV rules.</w:t>
            </w:r>
          </w:p>
        </w:tc>
      </w:tr>
      <w:tr>
        <w:trPr>
          <w:cantSplit/>
        </w:trPr>
        <w:tc>
          <w:tcPr>
            <w:tcW w:type="dxa" w:w="3389"/>
            <w:tcMar>
              <w:top w:w="90" w:type="dxa"/>
              <w:start w:w="110" w:type="dxa"/>
              <w:bottom w:w="90" w:type="dxa"/>
              <w:end w:w="110" w:type="dxa"/>
            </w:tcMar>
          </w:tcPr>
          <w:p>
            <w:r>
              <w:rPr>
                <w:b/>
              </w:rPr>
              <w:t>Reserve portfolio</w:t>
            </w:r>
          </w:p>
        </w:tc>
        <w:tc>
          <w:tcPr>
            <w:tcW w:type="dxa" w:w="3389"/>
            <w:tcMar>
              <w:top w:w="90" w:type="dxa"/>
              <w:start w:w="110" w:type="dxa"/>
              <w:bottom w:w="90" w:type="dxa"/>
              <w:end w:w="110" w:type="dxa"/>
            </w:tcMar>
          </w:tcPr>
          <w:p>
            <w:r>
              <w:t>Eligible collateral and liquidity that back obligations.</w:t>
            </w:r>
          </w:p>
        </w:tc>
        <w:tc>
          <w:tcPr>
            <w:tcW w:type="dxa" w:w="3389"/>
            <w:tcMar>
              <w:top w:w="90" w:type="dxa"/>
              <w:start w:w="110" w:type="dxa"/>
              <w:bottom w:w="90" w:type="dxa"/>
              <w:end w:w="110" w:type="dxa"/>
            </w:tcMar>
          </w:tcPr>
          <w:p>
            <w:r>
              <w:t>Its allocation is not forced to equal reference-basket weights.</w:t>
            </w:r>
          </w:p>
        </w:tc>
      </w:tr>
      <w:tr>
        <w:trPr>
          <w:cantSplit/>
        </w:trPr>
        <w:tc>
          <w:tcPr>
            <w:tcW w:type="dxa" w:w="3389"/>
            <w:tcMar>
              <w:top w:w="90" w:type="dxa"/>
              <w:start w:w="110" w:type="dxa"/>
              <w:bottom w:w="90" w:type="dxa"/>
              <w:end w:w="110" w:type="dxa"/>
            </w:tcMar>
          </w:tcPr>
          <w:p>
            <w:r>
              <w:rPr>
                <w:b/>
              </w:rPr>
              <w:t>Constituency engine</w:t>
            </w:r>
          </w:p>
        </w:tc>
        <w:tc>
          <w:tcPr>
            <w:tcW w:type="dxa" w:w="3389"/>
            <w:tcMar>
              <w:top w:w="90" w:type="dxa"/>
              <w:start w:w="110" w:type="dxa"/>
              <w:bottom w:w="90" w:type="dxa"/>
              <w:end w:w="110" w:type="dxa"/>
            </w:tcMar>
          </w:tcPr>
          <w:p>
            <w:r>
              <w:t>Determines which currencies/Gold qualify.</w:t>
            </w:r>
          </w:p>
        </w:tc>
        <w:tc>
          <w:tcPr>
            <w:tcW w:type="dxa" w:w="3389"/>
            <w:tcMar>
              <w:top w:w="90" w:type="dxa"/>
              <w:start w:w="110" w:type="dxa"/>
              <w:bottom w:w="90" w:type="dxa"/>
              <w:end w:w="110" w:type="dxa"/>
            </w:tcMar>
          </w:tcPr>
          <w:p>
            <w:r>
              <w:t>Eligibility is scored and hysteresis-controlled, not a manual weight allocation.</w:t>
            </w:r>
          </w:p>
        </w:tc>
      </w:tr>
      <w:tr>
        <w:trPr>
          <w:cantSplit/>
        </w:trPr>
        <w:tc>
          <w:tcPr>
            <w:tcW w:type="dxa" w:w="3389"/>
            <w:tcMar>
              <w:top w:w="90" w:type="dxa"/>
              <w:start w:w="110" w:type="dxa"/>
              <w:bottom w:w="90" w:type="dxa"/>
              <w:end w:w="110" w:type="dxa"/>
            </w:tcMar>
          </w:tcPr>
          <w:p>
            <w:r>
              <w:rPr>
                <w:b/>
              </w:rPr>
              <w:t>MASE</w:t>
            </w:r>
          </w:p>
        </w:tc>
        <w:tc>
          <w:tcPr>
            <w:tcW w:type="dxa" w:w="3389"/>
            <w:tcMar>
              <w:top w:w="90" w:type="dxa"/>
              <w:start w:w="110" w:type="dxa"/>
              <w:bottom w:w="90" w:type="dxa"/>
              <w:end w:w="110" w:type="dxa"/>
            </w:tcMar>
          </w:tcPr>
          <w:p>
            <w:r>
              <w:t>Determines target weights for eligible assets.</w:t>
            </w:r>
          </w:p>
        </w:tc>
        <w:tc>
          <w:tcPr>
            <w:tcW w:type="dxa" w:w="3389"/>
            <w:tcMar>
              <w:top w:w="90" w:type="dxa"/>
              <w:start w:w="110" w:type="dxa"/>
              <w:bottom w:w="90" w:type="dxa"/>
              <w:end w:w="110" w:type="dxa"/>
            </w:tcMar>
          </w:tcPr>
          <w:p>
            <w:r>
              <w:t>Ensemble of multiple models plus constraints; no fixed outcome guarantee.</w:t>
            </w:r>
          </w:p>
        </w:tc>
      </w:tr>
      <w:tr>
        <w:trPr>
          <w:cantSplit/>
        </w:trPr>
        <w:tc>
          <w:tcPr>
            <w:tcW w:type="dxa" w:w="3389"/>
            <w:tcMar>
              <w:top w:w="90" w:type="dxa"/>
              <w:start w:w="110" w:type="dxa"/>
              <w:bottom w:w="90" w:type="dxa"/>
              <w:end w:w="110" w:type="dxa"/>
            </w:tcMar>
          </w:tcPr>
          <w:p>
            <w:r>
              <w:rPr>
                <w:b/>
              </w:rPr>
              <w:t>MARP / reserve engine</w:t>
            </w:r>
          </w:p>
        </w:tc>
        <w:tc>
          <w:tcPr>
            <w:tcW w:type="dxa" w:w="3389"/>
            <w:tcMar>
              <w:top w:w="90" w:type="dxa"/>
              <w:start w:w="110" w:type="dxa"/>
              <w:bottom w:w="90" w:type="dxa"/>
              <w:end w:w="110" w:type="dxa"/>
            </w:tcMar>
          </w:tcPr>
          <w:p>
            <w:r>
              <w:t>Decides if, when and how target gaps are actually corrected.</w:t>
            </w:r>
          </w:p>
        </w:tc>
        <w:tc>
          <w:tcPr>
            <w:tcW w:type="dxa" w:w="3389"/>
            <w:tcMar>
              <w:top w:w="90" w:type="dxa"/>
              <w:start w:w="110" w:type="dxa"/>
              <w:bottom w:w="90" w:type="dxa"/>
              <w:end w:w="110" w:type="dxa"/>
            </w:tcMar>
          </w:tcPr>
          <w:p>
            <w:r>
              <w:t>No-trade bands, cost-benefit, partial execution, liquidity and reserve controls.</w:t>
            </w:r>
          </w:p>
        </w:tc>
      </w:tr>
      <w:tr>
        <w:trPr>
          <w:cantSplit/>
        </w:trPr>
        <w:tc>
          <w:tcPr>
            <w:tcW w:type="dxa" w:w="3389"/>
            <w:tcMar>
              <w:top w:w="90" w:type="dxa"/>
              <w:start w:w="110" w:type="dxa"/>
              <w:bottom w:w="90" w:type="dxa"/>
              <w:end w:w="110" w:type="dxa"/>
            </w:tcMar>
          </w:tcPr>
          <w:p>
            <w:r>
              <w:rPr>
                <w:b/>
              </w:rPr>
              <w:t>Weight states</w:t>
            </w:r>
          </w:p>
        </w:tc>
        <w:tc>
          <w:tcPr>
            <w:tcW w:type="dxa" w:w="3389"/>
            <w:tcMar>
              <w:top w:w="90" w:type="dxa"/>
              <w:start w:w="110" w:type="dxa"/>
              <w:bottom w:w="90" w:type="dxa"/>
              <w:end w:w="110" w:type="dxa"/>
            </w:tcMar>
          </w:tcPr>
          <w:p>
            <w:r>
              <w:t>Prior → Target → Smooth → Execution.</w:t>
            </w:r>
          </w:p>
        </w:tc>
        <w:tc>
          <w:tcPr>
            <w:tcW w:type="dxa" w:w="3389"/>
            <w:tcMar>
              <w:top w:w="90" w:type="dxa"/>
              <w:start w:w="110" w:type="dxa"/>
              <w:bottom w:w="90" w:type="dxa"/>
              <w:end w:w="110" w:type="dxa"/>
            </w:tcMar>
          </w:tcPr>
          <w:p>
            <w:r>
              <w:t>Do not label any intermediate state as the effective live state without saying which state.</w:t>
            </w:r>
          </w:p>
        </w:tc>
      </w:tr>
      <w:tr>
        <w:trPr>
          <w:cantSplit/>
        </w:trPr>
        <w:tc>
          <w:tcPr>
            <w:tcW w:type="dxa" w:w="3389"/>
            <w:tcMar>
              <w:top w:w="90" w:type="dxa"/>
              <w:start w:w="110" w:type="dxa"/>
              <w:bottom w:w="90" w:type="dxa"/>
              <w:end w:w="110" w:type="dxa"/>
            </w:tcMar>
          </w:tcPr>
          <w:p>
            <w:r>
              <w:rPr>
                <w:b/>
              </w:rPr>
              <w:t>Index vs reserve</w:t>
            </w:r>
          </w:p>
        </w:tc>
        <w:tc>
          <w:tcPr>
            <w:tcW w:type="dxa" w:w="3389"/>
            <w:tcMar>
              <w:top w:w="90" w:type="dxa"/>
              <w:start w:w="110" w:type="dxa"/>
              <w:bottom w:w="90" w:type="dxa"/>
              <w:end w:w="110" w:type="dxa"/>
            </w:tcMar>
          </w:tcPr>
          <w:p>
            <w:r>
              <w:t>W^Index ≠ W^Reserve in general.</w:t>
            </w:r>
          </w:p>
        </w:tc>
        <w:tc>
          <w:tcPr>
            <w:tcW w:type="dxa" w:w="3389"/>
            <w:tcMar>
              <w:top w:w="90" w:type="dxa"/>
              <w:start w:w="110" w:type="dxa"/>
              <w:bottom w:w="90" w:type="dxa"/>
              <w:end w:w="110" w:type="dxa"/>
            </w:tcMar>
          </w:tcPr>
          <w:p>
            <w:r>
              <w:t>Reserve size/composition follows obligations, redemptions, liquidity, custody and collateral constraints.</w:t>
            </w:r>
          </w:p>
        </w:tc>
      </w:tr>
    </w:tbl>
    <w:p>
      <w:pPr>
        <w:pStyle w:val="Heading1"/>
        <w:keepNext/>
      </w:pPr>
      <w:r>
        <w:t>Equation and calculation catalogue</w:t>
      </w:r>
    </w:p>
    <w:p>
      <w:r>
        <w:t>Each entry contains the source section, an equation rendered from that section, the equation’s role, and a concrete implementation check. If a source expression is symbolic (for example f(…)) rather than fully parameterized, the entry says so; no missing numerical function is invented here.</w:t>
      </w:r>
    </w:p>
    <w:p>
      <w:pPr>
        <w:pStyle w:val="Heading1"/>
        <w:keepNext/>
      </w:pPr>
      <w:r>
        <w:t>1–2. Architecture, variables and invariants</w:t>
      </w:r>
    </w:p>
    <w:p>
      <w:pPr>
        <w:pStyle w:val="Heading2"/>
        <w:keepNext/>
      </w:pPr>
      <w:r>
        <w:t>EQ-001 · Four distinct weight states</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W^Prior ≠ W^Target ≠ W^Smooth ≠ W^Execution</w:t>
      </w:r>
    </w:p>
    <w:p>
      <w:pPr>
        <w:keepNext/>
        <w:spacing w:after="40"/>
      </w:pPr>
      <w:r>
        <w:rPr>
          <w:b/>
        </w:rPr>
        <w:t xml:space="preserve">Source: </w:t>
      </w:r>
      <w:r>
        <w:t>§2.3; §3.2</w:t>
      </w:r>
    </w:p>
    <w:p>
      <w:pPr>
        <w:keepNext/>
        <w:spacing w:after="40"/>
      </w:pPr>
      <w:r>
        <w:rPr>
          <w:b/>
        </w:rPr>
        <w:t xml:space="preserve">Description: </w:t>
      </w:r>
      <w:r>
        <w:t>The strategic prior is only an anchor; target is the optimizer output; smooth is the risk-paced published/live state; execution is the trade decision after MARP checks.</w:t>
      </w:r>
    </w:p>
    <w:p>
      <w:pPr>
        <w:spacing w:after="140"/>
      </w:pPr>
      <w:r>
        <w:rPr>
          <w:b/>
        </w:rPr>
        <w:t xml:space="preserve">Developer alignment check: </w:t>
      </w:r>
      <w:r>
        <w:t>Do not collapse these values into one variable. Store and publish each state separately; log every transformation between them.</w:t>
      </w:r>
    </w:p>
    <w:p>
      <w:pPr>
        <w:pStyle w:val="Heading2"/>
        <w:keepNext/>
      </w:pPr>
      <w:r>
        <w:t>EQ-002 · Index weights and reserve weights are decoupled</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W^Index ≠ W^Reserve (in general)</w:t>
      </w:r>
    </w:p>
    <w:p>
      <w:pPr>
        <w:keepNext/>
        <w:spacing w:after="40"/>
      </w:pPr>
      <w:r>
        <w:rPr>
          <w:b/>
        </w:rPr>
        <w:t xml:space="preserve">Source: </w:t>
      </w:r>
      <w:r>
        <w:t>§2.4</w:t>
      </w:r>
    </w:p>
    <w:p>
      <w:pPr>
        <w:keepNext/>
        <w:spacing w:after="40"/>
      </w:pPr>
      <w:r>
        <w:rPr>
          <w:b/>
        </w:rPr>
        <w:t xml:space="preserve">Description: </w:t>
      </w:r>
      <w:r>
        <w:t>The reference basket defines the monetary unit; the reserve portfolio supplies collateral and liquidity. They are operationally related but must not have identical weights by assumption.</w:t>
      </w:r>
    </w:p>
    <w:p>
      <w:pPr>
        <w:spacing w:after="140"/>
      </w:pPr>
      <w:r>
        <w:rPr>
          <w:b/>
        </w:rPr>
        <w:t xml:space="preserve">Developer alignment check: </w:t>
      </w:r>
      <w:r>
        <w:t>Do not automatically allocate reserve assets using the reference-index weights. Reserve management is obligation-, liquidity-, and collateral-driven.</w:t>
      </w:r>
    </w:p>
    <w:p>
      <w:pPr>
        <w:pStyle w:val="Heading2"/>
        <w:keepNext/>
      </w:pPr>
      <w:r>
        <w:t>EQ-003 · Immutable denomination constant</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PAR = 1.00 basket-unit</w:t>
      </w:r>
    </w:p>
    <w:p>
      <w:pPr>
        <w:keepNext/>
        <w:spacing w:after="40"/>
      </w:pPr>
      <w:r>
        <w:rPr>
          <w:b/>
        </w:rPr>
        <w:t xml:space="preserve">Source: </w:t>
      </w:r>
      <w:r>
        <w:t>§2.5; §18.1</w:t>
      </w:r>
    </w:p>
    <w:p>
      <w:pPr>
        <w:keepNext/>
        <w:spacing w:after="40"/>
      </w:pPr>
      <w:r>
        <w:rPr>
          <w:b/>
        </w:rPr>
        <w:t xml:space="preserve">Description: </w:t>
      </w:r>
      <w:r>
        <w:t>One MTQ Σ is denominated as one unit of the reference basket at genesis. PAR is a unit-of-account convention, not a fixed USD price.</w:t>
      </w:r>
    </w:p>
    <w:p>
      <w:pPr>
        <w:spacing w:after="140"/>
      </w:pPr>
      <w:r>
        <w:rPr>
          <w:b/>
        </w:rPr>
        <w:t xml:space="preserve">Developer alignment check: </w:t>
      </w:r>
      <w:r>
        <w:t>Do not implement PAR as a USD peg or hardcode 1 MTQ = $1 at all times.</w:t>
      </w:r>
    </w:p>
    <w:p>
      <w:pPr>
        <w:pStyle w:val="Heading2"/>
        <w:keepNext/>
      </w:pPr>
      <w:r>
        <w:t>EQ-004 · Token supply identity</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S_t = Minted_t − Burned_t</w:t>
      </w:r>
    </w:p>
    <w:p>
      <w:pPr>
        <w:keepNext/>
        <w:spacing w:after="40"/>
      </w:pPr>
      <w:r>
        <w:rPr>
          <w:b/>
        </w:rPr>
        <w:t xml:space="preserve">Source: </w:t>
      </w:r>
      <w:r>
        <w:t>§2.5; §20.1</w:t>
      </w:r>
    </w:p>
    <w:p>
      <w:pPr>
        <w:keepNext/>
        <w:spacing w:after="40"/>
      </w:pPr>
      <w:r>
        <w:rPr>
          <w:b/>
        </w:rPr>
        <w:t xml:space="preserve">Description: </w:t>
      </w:r>
      <w:r>
        <w:t>Total token supply follows cumulative minting less cumulative burning; distinguish total supply from circulating supply where the blueprint does so.</w:t>
      </w:r>
    </w:p>
    <w:p>
      <w:pPr>
        <w:spacing w:after="140"/>
      </w:pPr>
      <w:r>
        <w:rPr>
          <w:b/>
        </w:rPr>
        <w:t xml:space="preserve">Developer alignment check: </w:t>
      </w:r>
      <w:r>
        <w:t>Check treasury-held tokens, burns, and circulating-supply accounting are not conflated.</w:t>
      </w:r>
    </w:p>
    <w:p>
      <w:pPr>
        <w:pStyle w:val="Heading2"/>
        <w:keepNext/>
      </w:pPr>
      <w:r>
        <w:t>EQ-005 · Liability identity</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L_t = S_circ,t × P_MTQ,t</w:t>
      </w:r>
    </w:p>
    <w:p>
      <w:pPr>
        <w:keepNext/>
        <w:spacing w:after="40"/>
      </w:pPr>
      <w:r>
        <w:rPr>
          <w:b/>
        </w:rPr>
        <w:t xml:space="preserve">Source: </w:t>
      </w:r>
      <w:r>
        <w:t>§2.5; §18.2</w:t>
      </w:r>
    </w:p>
    <w:p>
      <w:pPr>
        <w:keepNext/>
        <w:spacing w:after="40"/>
      </w:pPr>
      <w:r>
        <w:rPr>
          <w:b/>
        </w:rPr>
        <w:t xml:space="preserve">Description: </w:t>
      </w:r>
      <w:r>
        <w:t>USD-equivalent liabilities are circulating supply multiplied by the current adaptive reference price.</w:t>
      </w:r>
    </w:p>
    <w:p>
      <w:pPr>
        <w:spacing w:after="140"/>
      </w:pPr>
      <w:r>
        <w:rPr>
          <w:b/>
        </w:rPr>
        <w:t xml:space="preserve">Developer alignment check: </w:t>
      </w:r>
      <w:r>
        <w:t>Use circulating supply and current reference price; do not use a fixed USD peg or total minted supply unless the definition specifically calls for it.</w:t>
      </w:r>
    </w:p>
    <w:p>
      <w:pPr>
        <w:pStyle w:val="Heading2"/>
        <w:keepNext/>
      </w:pPr>
      <w:r>
        <w:t>EQ-006 · Net reserve asset value</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V_net,t = Σ_j Q_j,t × P_j,t × (1 − H_j)</w:t>
      </w:r>
    </w:p>
    <w:p>
      <w:pPr>
        <w:keepNext/>
        <w:spacing w:after="40"/>
      </w:pPr>
      <w:r>
        <w:rPr>
          <w:b/>
        </w:rPr>
        <w:t xml:space="preserve">Source: </w:t>
      </w:r>
      <w:r>
        <w:t>§2.5; §14.1</w:t>
      </w:r>
    </w:p>
    <w:p>
      <w:pPr>
        <w:keepNext/>
        <w:spacing w:after="40"/>
      </w:pPr>
      <w:r>
        <w:rPr>
          <w:b/>
        </w:rPr>
        <w:t xml:space="preserve">Description: </w:t>
      </w:r>
      <w:r>
        <w:t>Each reserve position is valued at quantity times oracle price, discounted by its asset-specific haircut.</w:t>
      </w:r>
    </w:p>
    <w:p>
      <w:pPr>
        <w:spacing w:after="140"/>
      </w:pPr>
      <w:r>
        <w:rPr>
          <w:b/>
        </w:rPr>
        <w:t xml:space="preserve">Developer alignment check: </w:t>
      </w:r>
      <w:r>
        <w:t>Every applicable NAV/coverage calculation must use the haircut-adjusted value. A raw gross-value number must not silently substitute for V_net.</w:t>
      </w:r>
    </w:p>
    <w:p>
      <w:pPr>
        <w:pStyle w:val="Heading2"/>
        <w:keepNext/>
      </w:pPr>
      <w:r>
        <w:t>EQ-007 · Reserve ratio</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RR_t = V_net,t / L_t</w:t>
      </w:r>
    </w:p>
    <w:p>
      <w:pPr>
        <w:keepNext/>
        <w:spacing w:after="40"/>
      </w:pPr>
      <w:r>
        <w:rPr>
          <w:b/>
        </w:rPr>
        <w:t xml:space="preserve">Source: </w:t>
      </w:r>
      <w:r>
        <w:t>§2.5; §14.2</w:t>
      </w:r>
    </w:p>
    <w:p>
      <w:pPr>
        <w:keepNext/>
        <w:spacing w:after="40"/>
      </w:pPr>
      <w:r>
        <w:rPr>
          <w:b/>
        </w:rPr>
        <w:t xml:space="preserve">Description: </w:t>
      </w:r>
      <w:r>
        <w:t>Measures haircut-adjusted reserve value relative to token liabilities.</w:t>
      </w:r>
    </w:p>
    <w:p>
      <w:pPr>
        <w:spacing w:after="140"/>
      </w:pPr>
      <w:r>
        <w:rPr>
          <w:b/>
        </w:rPr>
        <w:t xml:space="preserve">Developer alignment check: </w:t>
      </w:r>
      <w:r>
        <w:t>Enforce the three reserve-ratio tiers described in §§2.9, 14.2, and 21; do not permit RR below the constitutional hard floor in normal operation.</w:t>
      </w:r>
    </w:p>
    <w:p>
      <w:pPr>
        <w:pStyle w:val="Heading2"/>
        <w:keepNext/>
      </w:pPr>
      <w:r>
        <w:t>EQ-008 · Liquidity coverage ratio</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LCR_t = LiquidAssets_t / StressRedemption_t</w:t>
      </w:r>
    </w:p>
    <w:p>
      <w:pPr>
        <w:keepNext/>
        <w:spacing w:after="40"/>
      </w:pPr>
      <w:r>
        <w:rPr>
          <w:b/>
        </w:rPr>
        <w:t xml:space="preserve">Source: </w:t>
      </w:r>
      <w:r>
        <w:t>§2.5; §13.4</w:t>
      </w:r>
    </w:p>
    <w:p>
      <w:pPr>
        <w:keepNext/>
        <w:spacing w:after="40"/>
      </w:pPr>
      <w:r>
        <w:rPr>
          <w:b/>
        </w:rPr>
        <w:t xml:space="preserve">Description: </w:t>
      </w:r>
      <w:r>
        <w:t>Compares immediately liquid eligible reserve assets with the defined near-term/stress redemption demand.</w:t>
      </w:r>
    </w:p>
    <w:p>
      <w:pPr>
        <w:spacing w:after="140"/>
      </w:pPr>
      <w:r>
        <w:rPr>
          <w:b/>
        </w:rPr>
        <w:t xml:space="preserve">Developer alignment check: </w:t>
      </w:r>
      <w:r>
        <w:t>The numerator must follow the approved liquid-asset class; the denominator must use the specified stress-demand model, not an ad hoc value.</w:t>
      </w:r>
    </w:p>
    <w:p>
      <w:pPr>
        <w:pStyle w:val="Heading2"/>
        <w:keepNext/>
      </w:pPr>
      <w:r>
        <w:t>EQ-009 · Candidate currency universe</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U = {USD, EUR, JPY, GBP, CNY, CHF, CAD, AUD, SGD, …, GOLD}</w:t>
      </w:r>
    </w:p>
    <w:p>
      <w:pPr>
        <w:keepNext/>
        <w:spacing w:after="40"/>
      </w:pPr>
      <w:r>
        <w:rPr>
          <w:b/>
        </w:rPr>
        <w:t xml:space="preserve">Source: </w:t>
      </w:r>
      <w:r>
        <w:t>§2.4</w:t>
      </w:r>
    </w:p>
    <w:p>
      <w:pPr>
        <w:keepNext/>
        <w:spacing w:after="40"/>
      </w:pPr>
      <w:r>
        <w:rPr>
          <w:b/>
        </w:rPr>
        <w:t xml:space="preserve">Description: </w:t>
      </w:r>
      <w:r>
        <w:t>Defines the expandable universe that the constituency engine may evaluate.</w:t>
      </w:r>
    </w:p>
    <w:p>
      <w:pPr>
        <w:spacing w:after="140"/>
      </w:pPr>
      <w:r>
        <w:rPr>
          <w:b/>
        </w:rPr>
        <w:t xml:space="preserve">Developer alignment check: </w:t>
      </w:r>
      <w:r>
        <w:t>An initial monitored universe is not the same as the active set; membership must be determined by eligibility rules.</w:t>
      </w:r>
    </w:p>
    <w:p>
      <w:pPr>
        <w:pStyle w:val="Heading1"/>
        <w:keepNext/>
      </w:pPr>
      <w:r>
        <w:t>3. Adaptive reference basket and gold allocation</w:t>
      </w:r>
    </w:p>
    <w:p>
      <w:pPr>
        <w:pStyle w:val="Heading2"/>
        <w:keepNext/>
      </w:pPr>
      <w:r>
        <w:t>EQ-010 · Live weight pipeline</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W_t^Live = MASE(Data_t, W^Prior, Risk_t, Macro_t, PP_t, Liquidity_t, Cost_t)</w:t>
      </w:r>
    </w:p>
    <w:p>
      <w:pPr>
        <w:keepNext/>
        <w:spacing w:after="40"/>
      </w:pPr>
      <w:r>
        <w:rPr>
          <w:b/>
        </w:rPr>
        <w:t xml:space="preserve">Source: </w:t>
      </w:r>
      <w:r>
        <w:t>§3.1</w:t>
      </w:r>
    </w:p>
    <w:p>
      <w:pPr>
        <w:keepNext/>
        <w:spacing w:after="40"/>
      </w:pPr>
      <w:r>
        <w:rPr>
          <w:b/>
        </w:rPr>
        <w:t xml:space="preserve">Description: </w:t>
      </w:r>
      <w:r>
        <w:t>Live composition is computed from data and model inputs rather than copied from a fixed percentage table.</w:t>
      </w:r>
    </w:p>
    <w:p>
      <w:pPr>
        <w:spacing w:after="140"/>
      </w:pPr>
      <w:r>
        <w:rPr>
          <w:b/>
        </w:rPr>
        <w:t xml:space="preserve">Developer alignment check: </w:t>
      </w:r>
      <w:r>
        <w:t>The live state must be the result of the constrained pipeline in §§7–8 and the MARP execution layer; document which exact state this shorthand denotes.</w:t>
      </w:r>
    </w:p>
    <w:p>
      <w:pPr>
        <w:pStyle w:val="Heading2"/>
        <w:keepNext/>
      </w:pPr>
      <w:r>
        <w:t>EQ-011 · Live weights are not the strategic prior</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W_t^Live ≠ W^StrategicPrior (in general)</w:t>
      </w:r>
    </w:p>
    <w:p>
      <w:pPr>
        <w:keepNext/>
        <w:spacing w:after="40"/>
      </w:pPr>
      <w:r>
        <w:rPr>
          <w:b/>
        </w:rPr>
        <w:t xml:space="preserve">Source: </w:t>
      </w:r>
      <w:r>
        <w:t>§3.1</w:t>
      </w:r>
    </w:p>
    <w:p>
      <w:pPr>
        <w:keepNext/>
        <w:spacing w:after="40"/>
      </w:pPr>
      <w:r>
        <w:rPr>
          <w:b/>
        </w:rPr>
        <w:t xml:space="preserve">Description: </w:t>
      </w:r>
      <w:r>
        <w:t>The published prior is a soft stabilizing anchor and is not the current index composition.</w:t>
      </w:r>
    </w:p>
    <w:p>
      <w:pPr>
        <w:spacing w:after="140"/>
      </w:pPr>
      <w:r>
        <w:rPr>
          <w:b/>
        </w:rPr>
        <w:t xml:space="preserve">Developer alignment check: </w:t>
      </w:r>
      <w:r>
        <w:t>Never display prior percentages as the live basket weights.</w:t>
      </w:r>
    </w:p>
    <w:p>
      <w:pPr>
        <w:pStyle w:val="Heading2"/>
        <w:keepNext/>
      </w:pPr>
      <w:r>
        <w:t>EQ-012 · Strategic prior vector</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W^Prior = [USD 27%, EUR 20%, JPY 9%, GBP 8%, CNY 5%, CHF 5%, Gold 26%]</w:t>
      </w:r>
    </w:p>
    <w:p>
      <w:pPr>
        <w:keepNext/>
        <w:spacing w:after="40"/>
      </w:pPr>
      <w:r>
        <w:rPr>
          <w:b/>
        </w:rPr>
        <w:t xml:space="preserve">Source: </w:t>
      </w:r>
      <w:r>
        <w:t>§3.2; §26.4</w:t>
      </w:r>
    </w:p>
    <w:p>
      <w:pPr>
        <w:keepNext/>
        <w:spacing w:after="40"/>
      </w:pPr>
      <w:r>
        <w:rPr>
          <w:b/>
        </w:rPr>
        <w:t xml:space="preserve">Description: </w:t>
      </w:r>
      <w:r>
        <w:t>The current starting-prior vector sums to 100% and is retained as a research/initialization snapshot.</w:t>
      </w:r>
    </w:p>
    <w:p>
      <w:pPr>
        <w:spacing w:after="140"/>
      </w:pPr>
      <w:r>
        <w:rPr>
          <w:b/>
        </w:rPr>
        <w:t xml:space="preserve">Developer alignment check: </w:t>
      </w:r>
      <w:r>
        <w:t>Use as genesis/prior input only. It must not be treated as fixed live weights or a proven optimal allocation.</w:t>
      </w:r>
    </w:p>
    <w:p>
      <w:pPr>
        <w:pStyle w:val="Heading2"/>
        <w:keepNext/>
      </w:pPr>
      <w:r>
        <w:t>EQ-013 · Fixed-weight interpretation explicitly rejected</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MTQ Σ ≠ {USD=27%, EUR=20%, JPY=9%, GBP=8%, CNY=5%, CHF=5%, Gold=26%}</w:t>
      </w:r>
    </w:p>
    <w:p>
      <w:pPr>
        <w:keepNext/>
        <w:spacing w:after="40"/>
      </w:pPr>
      <w:r>
        <w:rPr>
          <w:b/>
        </w:rPr>
        <w:t xml:space="preserve">Source: </w:t>
      </w:r>
      <w:r>
        <w:t>§3.1</w:t>
      </w:r>
    </w:p>
    <w:p>
      <w:pPr>
        <w:keepNext/>
        <w:spacing w:after="40"/>
      </w:pPr>
      <w:r>
        <w:rPr>
          <w:b/>
        </w:rPr>
        <w:t xml:space="preserve">Description: </w:t>
      </w:r>
      <w:r>
        <w:t>The displayed percentages are not the definition of MTQ Σ.</w:t>
      </w:r>
    </w:p>
    <w:p>
      <w:pPr>
        <w:spacing w:after="140"/>
      </w:pPr>
      <w:r>
        <w:rPr>
          <w:b/>
        </w:rPr>
        <w:t xml:space="preserve">Developer alignment check: </w:t>
      </w:r>
      <w:r>
        <w:t>Any UI/API/documentation calling those percentages “the MTQ basket” as current composition violates the blueprint.</w:t>
      </w:r>
    </w:p>
    <w:p>
      <w:pPr>
        <w:pStyle w:val="Heading2"/>
        <w:keepNext/>
      </w:pPr>
      <w:r>
        <w:t>EQ-014 · Legacy gold multiplier</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W_i,raw = S_i × K_i</w:t>
      </w:r>
    </w:p>
    <w:p>
      <w:pPr>
        <w:keepNext/>
        <w:spacing w:after="40"/>
      </w:pPr>
      <w:r>
        <w:rPr>
          <w:b/>
        </w:rPr>
        <w:t xml:space="preserve">Source: </w:t>
      </w:r>
      <w:r>
        <w:t>§3.3 [historical]</w:t>
      </w:r>
    </w:p>
    <w:p>
      <w:pPr>
        <w:keepNext/>
        <w:spacing w:after="40"/>
      </w:pPr>
      <w:r>
        <w:rPr>
          <w:b/>
        </w:rPr>
        <w:t xml:space="preserve">Description: </w:t>
      </w:r>
      <w:r>
        <w:t>This is the former gold-factor form that modified currency weights; v2.0 retains it only as an input-signal/history, not as the current gold-allocation mechanism.</w:t>
      </w:r>
    </w:p>
    <w:p>
      <w:pPr>
        <w:spacing w:after="140"/>
      </w:pPr>
      <w:r>
        <w:rPr>
          <w:b/>
        </w:rPr>
        <w:t xml:space="preserve">Developer alignment check: </w:t>
      </w:r>
      <w:r>
        <w:t>Mark as legacy/superseded. Do not let this formula silently replace the independent gold allocation model.</w:t>
      </w:r>
    </w:p>
    <w:p>
      <w:pPr>
        <w:pStyle w:val="Heading2"/>
        <w:keepNext/>
      </w:pPr>
      <w:r>
        <w:t>EQ-015 · Adaptive gold target</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W_G,t^Target = f(W_G^Prior, RiskContribution_G, Diversification_G, Inflation_G, Crisis_G, Liquidity_G, PurchasingPower_G)</w:t>
      </w:r>
    </w:p>
    <w:p>
      <w:pPr>
        <w:keepNext/>
        <w:spacing w:after="40"/>
      </w:pPr>
      <w:r>
        <w:rPr>
          <w:b/>
        </w:rPr>
        <w:t xml:space="preserve">Source: </w:t>
      </w:r>
      <w:r>
        <w:t>§3.3</w:t>
      </w:r>
    </w:p>
    <w:p>
      <w:pPr>
        <w:keepNext/>
        <w:spacing w:after="40"/>
      </w:pPr>
      <w:r>
        <w:rPr>
          <w:b/>
        </w:rPr>
        <w:t xml:space="preserve">Description: </w:t>
      </w:r>
      <w:r>
        <w:t>Gold receives its own target from risk, diversification, inflation, crisis, liquidity, and purchasing-power inputs.</w:t>
      </w:r>
    </w:p>
    <w:p>
      <w:pPr>
        <w:spacing w:after="140"/>
      </w:pPr>
      <w:r>
        <w:rPr>
          <w:b/>
        </w:rPr>
        <w:t xml:space="preserve">Developer alignment check: </w:t>
      </w:r>
      <w:r>
        <w:t>Do not hardcode gold at 26%, 26.25%, or a ±3% macro adjustment as the current allocation rule.</w:t>
      </w:r>
    </w:p>
    <w:p>
      <w:pPr>
        <w:pStyle w:val="Heading2"/>
        <w:keepNext/>
      </w:pPr>
      <w:r>
        <w:t>EQ-016 · Genesis normalization condition</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I_0 = 1.0000</w:t>
      </w:r>
    </w:p>
    <w:p>
      <w:pPr>
        <w:keepNext/>
        <w:spacing w:after="40"/>
      </w:pPr>
      <w:r>
        <w:rPr>
          <w:b/>
        </w:rPr>
        <w:t xml:space="preserve">Source: </w:t>
      </w:r>
      <w:r>
        <w:t>§3.4; §9.6</w:t>
      </w:r>
    </w:p>
    <w:p>
      <w:pPr>
        <w:keepNext/>
        <w:spacing w:after="40"/>
      </w:pPr>
      <w:r>
        <w:rPr>
          <w:b/>
        </w:rPr>
        <w:t xml:space="preserve">Description: </w:t>
      </w:r>
      <w:r>
        <w:t>Base fixings and the genesis snapshot are initialized so the reference index begins at 1.0000.</w:t>
      </w:r>
    </w:p>
    <w:p>
      <w:pPr>
        <w:spacing w:after="140"/>
      </w:pPr>
      <w:r>
        <w:rPr>
          <w:b/>
        </w:rPr>
        <w:t xml:space="preserve">Developer alignment check: </w:t>
      </w:r>
      <w:r>
        <w:t>Independently recompute the genesis denominator and emit/verify the genesis event before enabling minting or rebalancing.</w:t>
      </w:r>
    </w:p>
    <w:p>
      <w:pPr>
        <w:pStyle w:val="Heading1"/>
        <w:keepNext/>
      </w:pPr>
      <w:r>
        <w:t>4. Currency constituency and eligibility</w:t>
      </w:r>
    </w:p>
    <w:p>
      <w:pPr>
        <w:pStyle w:val="Heading2"/>
        <w:keepNext/>
      </w:pPr>
      <w:r>
        <w:t>EQ-017 · Composite eligibility score</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Q_i = a_R R_i + a_T T_i + a_L L_i + a_S S_i + a_D D_i + a_C C_i − a_G G_i − a_X X_i</w:t>
      </w:r>
    </w:p>
    <w:p>
      <w:pPr>
        <w:keepNext/>
        <w:spacing w:after="40"/>
      </w:pPr>
      <w:r>
        <w:rPr>
          <w:b/>
        </w:rPr>
        <w:t xml:space="preserve">Source: </w:t>
      </w:r>
      <w:r>
        <w:t>§4.2</w:t>
      </w:r>
    </w:p>
    <w:p>
      <w:pPr>
        <w:keepNext/>
        <w:spacing w:after="40"/>
      </w:pPr>
      <w:r>
        <w:rPr>
          <w:b/>
        </w:rPr>
        <w:t xml:space="preserve">Description: </w:t>
      </w:r>
      <w:r>
        <w:t>Combines reserve relevance, trade/payment relevance, liquidity, stability, diversification, and convertibility positively; geopolitical concentration and transferability/capital-control risks reduce the score.</w:t>
      </w:r>
    </w:p>
    <w:p>
      <w:pPr>
        <w:spacing w:after="140"/>
      </w:pPr>
      <w:r>
        <w:rPr>
          <w:b/>
        </w:rPr>
        <w:t xml:space="preserve">Developer alignment check: </w:t>
      </w:r>
      <w:r>
        <w:t>Normalize input units before comparing scores. Publish the coefficient set and data/methodology version.</w:t>
      </w:r>
    </w:p>
    <w:p>
      <w:pPr>
        <w:pStyle w:val="Heading2"/>
        <w:keepNext/>
      </w:pPr>
      <w:r>
        <w:t>EQ-018 · Eligibility threshold</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Q_i ≥ Q_min</w:t>
      </w:r>
    </w:p>
    <w:p>
      <w:pPr>
        <w:keepNext/>
        <w:spacing w:after="40"/>
      </w:pPr>
      <w:r>
        <w:rPr>
          <w:b/>
        </w:rPr>
        <w:t xml:space="preserve">Source: </w:t>
      </w:r>
      <w:r>
        <w:t>§4.2</w:t>
      </w:r>
    </w:p>
    <w:p>
      <w:pPr>
        <w:keepNext/>
        <w:spacing w:after="40"/>
      </w:pPr>
      <w:r>
        <w:rPr>
          <w:b/>
        </w:rPr>
        <w:t xml:space="preserve">Description: </w:t>
      </w:r>
      <w:r>
        <w:t>A currency meets the eligibility threshold when its composite score is at least the governed threshold.</w:t>
      </w:r>
    </w:p>
    <w:p>
      <w:pPr>
        <w:spacing w:after="140"/>
      </w:pPr>
      <w:r>
        <w:rPr>
          <w:b/>
        </w:rPr>
        <w:t xml:space="preserve">Developer alignment check: </w:t>
      </w:r>
      <w:r>
        <w:t>Entry and exit hysteresis thresholds are separate; do not use one threshold for both directions.</w:t>
      </w:r>
    </w:p>
    <w:p>
      <w:pPr>
        <w:pStyle w:val="Heading2"/>
        <w:keepNext/>
      </w:pPr>
      <w:r>
        <w:t>EQ-019 · Score normalization</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Q̃_i = (Q_i − Q_min) / (Q_max − Q_min)</w:t>
      </w:r>
    </w:p>
    <w:p>
      <w:pPr>
        <w:keepNext/>
        <w:spacing w:after="40"/>
      </w:pPr>
      <w:r>
        <w:rPr>
          <w:b/>
        </w:rPr>
        <w:t xml:space="preserve">Source: </w:t>
      </w:r>
      <w:r>
        <w:t>§4.2.1</w:t>
      </w:r>
    </w:p>
    <w:p>
      <w:pPr>
        <w:keepNext/>
        <w:spacing w:after="40"/>
      </w:pPr>
      <w:r>
        <w:rPr>
          <w:b/>
        </w:rPr>
        <w:t xml:space="preserve">Description: </w:t>
      </w:r>
      <w:r>
        <w:t>The specification states min–max normalization across the candidate universe for the current evaluation round.</w:t>
      </w:r>
    </w:p>
    <w:p>
      <w:pPr>
        <w:spacing w:after="140"/>
      </w:pPr>
      <w:r>
        <w:rPr>
          <w:b/>
        </w:rPr>
        <w:t xml:space="preserve">Developer alignment check: </w:t>
      </w:r>
      <w:r>
        <w:t>The source uses Q_min both as an eligibility threshold and in a sentence about minimum observed scores. Resolve and document the symbol distinction before implementation; do not silently alter the intended threshold.</w:t>
      </w:r>
    </w:p>
    <w:p>
      <w:pPr>
        <w:pStyle w:val="Heading2"/>
        <w:keepNext/>
      </w:pPr>
      <w:r>
        <w:t>EQ-020 · Structural input z-score</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z_i,k = (x_i,k − μ_k) / σ_k</w:t>
      </w:r>
    </w:p>
    <w:p>
      <w:pPr>
        <w:keepNext/>
        <w:spacing w:after="40"/>
      </w:pPr>
      <w:r>
        <w:rPr>
          <w:b/>
        </w:rPr>
        <w:t xml:space="preserve">Source: </w:t>
      </w:r>
      <w:r>
        <w:t>§4.5</w:t>
      </w:r>
    </w:p>
    <w:p>
      <w:pPr>
        <w:keepNext/>
        <w:spacing w:after="40"/>
      </w:pPr>
      <w:r>
        <w:rPr>
          <w:b/>
        </w:rPr>
        <w:t xml:space="preserve">Description: </w:t>
      </w:r>
      <w:r>
        <w:t>Normalizes input k for currency i using the cross-sectional mean and standard deviation.</w:t>
      </w:r>
    </w:p>
    <w:p>
      <w:pPr>
        <w:spacing w:after="140"/>
      </w:pPr>
      <w:r>
        <w:rPr>
          <w:b/>
        </w:rPr>
        <w:t xml:space="preserve">Developer alignment check: </w:t>
      </w:r>
      <w:r>
        <w:t>Define behavior when σ_k = 0 or data are missing; if using rank/percentile alternatives, version and publish the transform.</w:t>
      </w:r>
    </w:p>
    <w:p>
      <w:pPr>
        <w:pStyle w:val="Heading2"/>
        <w:keepNext/>
      </w:pPr>
      <w:r>
        <w:t>EQ-021 · Aggregated structural score</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S_i^Structural = Σ_k a_k z_i,k</w:t>
      </w:r>
    </w:p>
    <w:p>
      <w:pPr>
        <w:keepNext/>
        <w:spacing w:after="40"/>
      </w:pPr>
      <w:r>
        <w:rPr>
          <w:b/>
        </w:rPr>
        <w:t xml:space="preserve">Source: </w:t>
      </w:r>
      <w:r>
        <w:t>§4.5; Appendix A</w:t>
      </w:r>
    </w:p>
    <w:p>
      <w:pPr>
        <w:keepNext/>
        <w:spacing w:after="40"/>
      </w:pPr>
      <w:r>
        <w:rPr>
          <w:b/>
        </w:rPr>
        <w:t xml:space="preserve">Description: </w:t>
      </w:r>
      <w:r>
        <w:t>Combines normalized structural inputs using published aggregation coefficients.</w:t>
      </w:r>
    </w:p>
    <w:p>
      <w:pPr>
        <w:spacing w:after="140"/>
      </w:pPr>
      <w:r>
        <w:rPr>
          <w:b/>
        </w:rPr>
        <w:t xml:space="preserve">Developer alignment check: </w:t>
      </w:r>
      <w:r>
        <w:t>Run parameter perturbation tests on a_k and publish intermediate structural scores.</w:t>
      </w:r>
    </w:p>
    <w:p>
      <w:pPr>
        <w:pStyle w:val="Heading2"/>
        <w:keepNext/>
      </w:pPr>
      <w:r>
        <w:t>EQ-022 · Entering-currency weight ramp</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W_j,t = r_t × W_j,target</w:t>
      </w:r>
    </w:p>
    <w:p>
      <w:pPr>
        <w:keepNext/>
        <w:spacing w:after="40"/>
      </w:pPr>
      <w:r>
        <w:rPr>
          <w:b/>
        </w:rPr>
        <w:t xml:space="preserve">Source: </w:t>
      </w:r>
      <w:r>
        <w:t>§4.6</w:t>
      </w:r>
    </w:p>
    <w:p>
      <w:pPr>
        <w:keepNext/>
        <w:spacing w:after="40"/>
      </w:pPr>
      <w:r>
        <w:rPr>
          <w:b/>
        </w:rPr>
        <w:t xml:space="preserve">Description: </w:t>
      </w:r>
      <w:r>
        <w:t>Gradually ramps an admitted currency toward its target allocation.</w:t>
      </w:r>
    </w:p>
    <w:p>
      <w:pPr>
        <w:spacing w:after="140"/>
      </w:pPr>
      <w:r>
        <w:rPr>
          <w:b/>
        </w:rPr>
        <w:t xml:space="preserve">Developer alignment check: </w:t>
      </w:r>
      <w:r>
        <w:t>The default linear ramp is r_t = t/T; define the time index, clip at 1, and apply MARP gates throughout the transition.</w:t>
      </w:r>
    </w:p>
    <w:p>
      <w:pPr>
        <w:pStyle w:val="Heading2"/>
        <w:keepNext/>
      </w:pPr>
      <w:r>
        <w:t>EQ-023 · Hysteresis/dead-band logic</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Q_i &gt; Q_entry (entry); Q_i &lt; Q_exit (exit); Q_entry &gt; Q_exit</w:t>
      </w:r>
    </w:p>
    <w:p>
      <w:pPr>
        <w:keepNext/>
        <w:spacing w:after="40"/>
      </w:pPr>
      <w:r>
        <w:rPr>
          <w:b/>
        </w:rPr>
        <w:t xml:space="preserve">Source: </w:t>
      </w:r>
      <w:r>
        <w:t>§4.7</w:t>
      </w:r>
    </w:p>
    <w:p>
      <w:pPr>
        <w:keepNext/>
        <w:spacing w:after="40"/>
      </w:pPr>
      <w:r>
        <w:rPr>
          <w:b/>
        </w:rPr>
        <w:t xml:space="preserve">Description: </w:t>
      </w:r>
      <w:r>
        <w:t>Requires a higher score to enter than to remain eligible, preventing repeated boundary oscillation.</w:t>
      </w:r>
    </w:p>
    <w:p>
      <w:pPr>
        <w:spacing w:after="140"/>
      </w:pPr>
      <w:r>
        <w:rPr>
          <w:b/>
        </w:rPr>
        <w:t xml:space="preserve">Developer alignment check: </w:t>
      </w:r>
      <w:r>
        <w:t>Persist membership state so a currency that has entered is not exited using the entry threshold.</w:t>
      </w:r>
    </w:p>
    <w:p>
      <w:pPr>
        <w:pStyle w:val="Heading2"/>
        <w:keepNext/>
      </w:pPr>
      <w:r>
        <w:t>EQ-024 · Transition smoothness and cadence</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Σ_h ω_h = 1</w:t>
      </w:r>
    </w:p>
    <w:p>
      <w:pPr>
        <w:keepNext/>
        <w:spacing w:after="40"/>
      </w:pPr>
      <w:r>
        <w:rPr>
          <w:b/>
        </w:rPr>
        <w:t xml:space="preserve">Source: </w:t>
      </w:r>
      <w:r>
        <w:t>§4.7</w:t>
      </w:r>
    </w:p>
    <w:p>
      <w:pPr>
        <w:keepNext/>
        <w:spacing w:after="40"/>
      </w:pPr>
      <w:r>
        <w:rPr>
          <w:b/>
        </w:rPr>
        <w:t xml:space="preserve">Description: </w:t>
      </w:r>
      <w:r>
        <w:t>The chapter also uses horizon weights that sum to one; this identity applies to the multi-horizon blend detailed in §5.1.</w:t>
      </w:r>
    </w:p>
    <w:p>
      <w:pPr>
        <w:spacing w:after="140"/>
      </w:pPr>
      <w:r>
        <w:rPr>
          <w:b/>
        </w:rPr>
        <w:t xml:space="preserve">Developer alignment check: </w:t>
      </w:r>
      <w:r>
        <w:t>Keep the horizon-weight constraint separate from the constituency entry/exit thresholds.</w:t>
      </w:r>
    </w:p>
    <w:p>
      <w:pPr>
        <w:pStyle w:val="Heading1"/>
        <w:keepNext/>
      </w:pPr>
      <w:r>
        <w:t>5. MASE input signals and regime detection</w:t>
      </w:r>
    </w:p>
    <w:p>
      <w:pPr>
        <w:pStyle w:val="Heading2"/>
        <w:keepNext/>
      </w:pPr>
      <w:r>
        <w:t>EQ-025 · Multi-horizon volatility</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σ_i^MH = Σ_h ω_h σ_i,h,  h ∈ {30d, 90d, 252d, 756d}</w:t>
      </w:r>
    </w:p>
    <w:p>
      <w:pPr>
        <w:keepNext/>
        <w:spacing w:after="40"/>
      </w:pPr>
      <w:r>
        <w:rPr>
          <w:b/>
        </w:rPr>
        <w:t xml:space="preserve">Source: </w:t>
      </w:r>
      <w:r>
        <w:t>§5.1</w:t>
      </w:r>
    </w:p>
    <w:p>
      <w:pPr>
        <w:keepNext/>
        <w:spacing w:after="40"/>
      </w:pPr>
      <w:r>
        <w:rPr>
          <w:b/>
        </w:rPr>
        <w:t xml:space="preserve">Description: </w:t>
      </w:r>
      <w:r>
        <w:t>Blends annualized volatility estimates over four trailing horizons.</w:t>
      </w:r>
    </w:p>
    <w:p>
      <w:pPr>
        <w:spacing w:after="140"/>
      </w:pPr>
      <w:r>
        <w:rPr>
          <w:b/>
        </w:rPr>
        <w:t xml:space="preserve">Developer alignment check: </w:t>
      </w:r>
      <w:r>
        <w:t>Confirm all component volatilities use comparable annualization and validated source prices; ω_h must sum to one.</w:t>
      </w:r>
    </w:p>
    <w:p>
      <w:pPr>
        <w:pStyle w:val="Heading2"/>
        <w:keepNext/>
      </w:pPr>
      <w:r>
        <w:t>EQ-026 · Gold price in currency i</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P_i,t = price of one unit of gold expressed in currency i</w:t>
      </w:r>
    </w:p>
    <w:p>
      <w:pPr>
        <w:keepNext/>
        <w:spacing w:after="40"/>
      </w:pPr>
      <w:r>
        <w:rPr>
          <w:b/>
        </w:rPr>
        <w:t xml:space="preserve">Source: </w:t>
      </w:r>
      <w:r>
        <w:t>§5.2</w:t>
      </w:r>
    </w:p>
    <w:p>
      <w:pPr>
        <w:keepNext/>
        <w:spacing w:after="40"/>
      </w:pPr>
      <w:r>
        <w:rPr>
          <w:b/>
        </w:rPr>
        <w:t xml:space="preserve">Description: </w:t>
      </w:r>
      <w:r>
        <w:t>Defines the input price series used to compare each currency with gold.</w:t>
      </w:r>
    </w:p>
    <w:p>
      <w:pPr>
        <w:spacing w:after="140"/>
      </w:pPr>
      <w:r>
        <w:rPr>
          <w:b/>
        </w:rPr>
        <w:t xml:space="preserve">Developer alignment check: </w:t>
      </w:r>
      <w:r>
        <w:t>Keep quote direction and units explicit; do not mix gold units, USD prices, or currency-per-gold quotations.</w:t>
      </w:r>
    </w:p>
    <w:p>
      <w:pPr>
        <w:pStyle w:val="Heading2"/>
        <w:keepNext/>
      </w:pPr>
      <w:r>
        <w:t>EQ-027 · Gold-relative purchasing-power return</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GPR_i,t = (P_i,t−1 / P_i,t) − 1</w:t>
      </w:r>
    </w:p>
    <w:p>
      <w:pPr>
        <w:keepNext/>
        <w:spacing w:after="40"/>
      </w:pPr>
      <w:r>
        <w:rPr>
          <w:b/>
        </w:rPr>
        <w:t xml:space="preserve">Source: </w:t>
      </w:r>
      <w:r>
        <w:t>§5.2</w:t>
      </w:r>
    </w:p>
    <w:p>
      <w:pPr>
        <w:keepNext/>
        <w:spacing w:after="40"/>
      </w:pPr>
      <w:r>
        <w:rPr>
          <w:b/>
        </w:rPr>
        <w:t xml:space="preserve">Description: </w:t>
      </w:r>
      <w:r>
        <w:t>Blueprint formula for the gold-relative purchasing-power signal over the stated period.</w:t>
      </w:r>
    </w:p>
    <w:p>
      <w:pPr>
        <w:spacing w:after="140"/>
      </w:pPr>
      <w:r>
        <w:rPr>
          <w:b/>
        </w:rPr>
        <w:t xml:space="preserve">Developer alignment check: </w:t>
      </w:r>
      <w:r>
        <w:t>Preserve the exact source formula and confirm its sign convention against the definition of P_i,t; do not reverse the ratio without an approved change.</w:t>
      </w:r>
    </w:p>
    <w:p>
      <w:pPr>
        <w:pStyle w:val="Heading2"/>
        <w:keepNext/>
      </w:pPr>
      <w:r>
        <w:t>EQ-028 · Multi-horizon gold signal</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GSignal_i = f(GPR_30, GPR_90, GPR_252, GPR_756)</w:t>
      </w:r>
    </w:p>
    <w:p>
      <w:pPr>
        <w:keepNext/>
        <w:spacing w:after="40"/>
      </w:pPr>
      <w:r>
        <w:rPr>
          <w:b/>
        </w:rPr>
        <w:t xml:space="preserve">Source: </w:t>
      </w:r>
      <w:r>
        <w:t>§5.2</w:t>
      </w:r>
    </w:p>
    <w:p>
      <w:pPr>
        <w:keepNext/>
        <w:spacing w:after="40"/>
      </w:pPr>
      <w:r>
        <w:rPr>
          <w:b/>
        </w:rPr>
        <w:t xml:space="preserve">Description: </w:t>
      </w:r>
      <w:r>
        <w:t>Combines gold-relative signals across 30-, 90-, 252-, and 756-day horizons.</w:t>
      </w:r>
    </w:p>
    <w:p>
      <w:pPr>
        <w:spacing w:after="140"/>
      </w:pPr>
      <w:r>
        <w:rPr>
          <w:b/>
        </w:rPr>
        <w:t xml:space="preserve">Developer alignment check: </w:t>
      </w:r>
      <w:r>
        <w:t>Document the selected function and coefficients in the published methodology; the shorthand f alone is not enough for reproducibility.</w:t>
      </w:r>
    </w:p>
    <w:p>
      <w:pPr>
        <w:pStyle w:val="Heading2"/>
        <w:keepNext/>
      </w:pPr>
      <w:r>
        <w:t>EQ-029 · VIX rolling mean and standard deviation</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μ_VIX,t = (1/90) Σ_{i=0}^{89} VIX_t−i;  σ_VIX,t = √[(1/90) Σ_{i=0}^{89}(VIX_t−i − μ_VIX,t)^2]</w:t>
      </w:r>
    </w:p>
    <w:p>
      <w:pPr>
        <w:keepNext/>
        <w:spacing w:after="40"/>
      </w:pPr>
      <w:r>
        <w:rPr>
          <w:b/>
        </w:rPr>
        <w:t xml:space="preserve">Source: </w:t>
      </w:r>
      <w:r>
        <w:t>§5.3</w:t>
      </w:r>
    </w:p>
    <w:p>
      <w:pPr>
        <w:keepNext/>
        <w:spacing w:after="40"/>
      </w:pPr>
      <w:r>
        <w:rPr>
          <w:b/>
        </w:rPr>
        <w:t xml:space="preserve">Description: </w:t>
      </w:r>
      <w:r>
        <w:t>Calculates a 90-observation mean and standard deviation for VIX before standardization.</w:t>
      </w:r>
    </w:p>
    <w:p>
      <w:pPr>
        <w:spacing w:after="140"/>
      </w:pPr>
      <w:r>
        <w:rPr>
          <w:b/>
        </w:rPr>
        <w:t xml:space="preserve">Developer alignment check: </w:t>
      </w:r>
      <w:r>
        <w:t>Confirm whether population or sample standard deviation is intended; the displayed source equation uses denominator 90.</w:t>
      </w:r>
    </w:p>
    <w:p>
      <w:pPr>
        <w:pStyle w:val="Heading2"/>
        <w:keepNext/>
      </w:pPr>
      <w:r>
        <w:t>EQ-030 · VIX and DXY z-scores</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z_t^VIX = (VIX_t − μ_VIX,t)/(σ_VIX,t + ε);  z_t^DXY = (DXY_t − μ_DXY,t)/(σ_DXY,t + ε)</w:t>
      </w:r>
    </w:p>
    <w:p>
      <w:pPr>
        <w:keepNext/>
        <w:spacing w:after="40"/>
      </w:pPr>
      <w:r>
        <w:rPr>
          <w:b/>
        </w:rPr>
        <w:t xml:space="preserve">Source: </w:t>
      </w:r>
      <w:r>
        <w:t>§5.3</w:t>
      </w:r>
    </w:p>
    <w:p>
      <w:pPr>
        <w:keepNext/>
        <w:spacing w:after="40"/>
      </w:pPr>
      <w:r>
        <w:rPr>
          <w:b/>
        </w:rPr>
        <w:t xml:space="preserve">Description: </w:t>
      </w:r>
      <w:r>
        <w:t>Standardizes macro indicators while ε prevents division by zero.</w:t>
      </w:r>
    </w:p>
    <w:p>
      <w:pPr>
        <w:spacing w:after="140"/>
      </w:pPr>
      <w:r>
        <w:rPr>
          <w:b/>
        </w:rPr>
        <w:t xml:space="preserve">Developer alignment check: </w:t>
      </w:r>
      <w:r>
        <w:t>Specify ε, windowing, stale-data fallback, and any clamping exactly as source constants/rules require.</w:t>
      </w:r>
    </w:p>
    <w:p>
      <w:pPr>
        <w:pStyle w:val="Heading2"/>
        <w:keepNext/>
      </w:pPr>
      <w:r>
        <w:t>EQ-031 · Regime probability vector</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p_t = [P(N), P(I), P(D), P(S), P(L), P(G)]</w:t>
      </w:r>
    </w:p>
    <w:p>
      <w:pPr>
        <w:keepNext/>
        <w:spacing w:after="40"/>
      </w:pPr>
      <w:r>
        <w:rPr>
          <w:b/>
        </w:rPr>
        <w:t xml:space="preserve">Source: </w:t>
      </w:r>
      <w:r>
        <w:t>§5.4</w:t>
      </w:r>
    </w:p>
    <w:p>
      <w:pPr>
        <w:keepNext/>
        <w:spacing w:after="40"/>
      </w:pPr>
      <w:r>
        <w:rPr>
          <w:b/>
        </w:rPr>
        <w:t xml:space="preserve">Description: </w:t>
      </w:r>
      <w:r>
        <w:t>Represents probabilities for the six defined regimes in the regime model.</w:t>
      </w:r>
    </w:p>
    <w:p>
      <w:pPr>
        <w:spacing w:after="140"/>
      </w:pPr>
      <w:r>
        <w:rPr>
          <w:b/>
        </w:rPr>
        <w:t xml:space="preserve">Developer alignment check: </w:t>
      </w:r>
      <w:r>
        <w:t>Map each symbol to the blueprint’s regime labels and verify probabilities sum to one; retain the source ordering.</w:t>
      </w:r>
    </w:p>
    <w:p>
      <w:pPr>
        <w:pStyle w:val="Heading2"/>
        <w:keepNext/>
      </w:pPr>
      <w:r>
        <w:t>EQ-032 · Regime-conditional target</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W_t^Regime = Σ_r P(r | X_t) W^(r)</w:t>
      </w:r>
    </w:p>
    <w:p>
      <w:pPr>
        <w:keepNext/>
        <w:spacing w:after="40"/>
      </w:pPr>
      <w:r>
        <w:rPr>
          <w:b/>
        </w:rPr>
        <w:t xml:space="preserve">Source: </w:t>
      </w:r>
      <w:r>
        <w:t>§5.4</w:t>
      </w:r>
    </w:p>
    <w:p>
      <w:pPr>
        <w:keepNext/>
        <w:spacing w:after="40"/>
      </w:pPr>
      <w:r>
        <w:rPr>
          <w:b/>
        </w:rPr>
        <w:t xml:space="preserve">Description: </w:t>
      </w:r>
      <w:r>
        <w:t>Probability-weights the regime-specific candidate portfolios.</w:t>
      </w:r>
    </w:p>
    <w:p>
      <w:pPr>
        <w:spacing w:after="140"/>
      </w:pPr>
      <w:r>
        <w:rPr>
          <w:b/>
        </w:rPr>
        <w:t xml:space="preserve">Developer alignment check: </w:t>
      </w:r>
      <w:r>
        <w:t>Regime probabilities must come from the specified classifier and must be versioned/reproducible.</w:t>
      </w:r>
    </w:p>
    <w:p>
      <w:pPr>
        <w:pStyle w:val="Heading2"/>
        <w:keepNext/>
      </w:pPr>
      <w:r>
        <w:t>EQ-033 · Crisis risk score</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CrisisScore_t = f(FXVol, CrossAssetCorrelation, LiquidityStress, InflationShock, CreditStress, MarketDrawdown, GeopoliticalIndicators)</w:t>
      </w:r>
    </w:p>
    <w:p>
      <w:pPr>
        <w:keepNext/>
        <w:spacing w:after="40"/>
      </w:pPr>
      <w:r>
        <w:rPr>
          <w:b/>
        </w:rPr>
        <w:t xml:space="preserve">Source: </w:t>
      </w:r>
      <w:r>
        <w:t>§5.5</w:t>
      </w:r>
    </w:p>
    <w:p>
      <w:pPr>
        <w:keepNext/>
        <w:spacing w:after="40"/>
      </w:pPr>
      <w:r>
        <w:rPr>
          <w:b/>
        </w:rPr>
        <w:t xml:space="preserve">Description: </w:t>
      </w:r>
      <w:r>
        <w:t>Aggregates indicators that determine crisis posture and adapt the tail-risk weight/smoothing behavior.</w:t>
      </w:r>
    </w:p>
    <w:p>
      <w:pPr>
        <w:spacing w:after="140"/>
      </w:pPr>
      <w:r>
        <w:rPr>
          <w:b/>
        </w:rPr>
        <w:t xml:space="preserve">Developer alignment check: </w:t>
      </w:r>
      <w:r>
        <w:t>The source gives a functional form, not fixed coefficients here. Obtain the normative model definition/version; do not invent coefficients.</w:t>
      </w:r>
    </w:p>
    <w:p>
      <w:pPr>
        <w:pStyle w:val="Heading2"/>
        <w:keepNext/>
      </w:pPr>
      <w:r>
        <w:t>EQ-034 · Crisis-scaled CVaR penalty</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λ_CVaR,t = λ_CVaR,0 × (1 + k × CrisisScore_t)</w:t>
      </w:r>
    </w:p>
    <w:p>
      <w:pPr>
        <w:keepNext/>
        <w:spacing w:after="40"/>
      </w:pPr>
      <w:r>
        <w:rPr>
          <w:b/>
        </w:rPr>
        <w:t xml:space="preserve">Source: </w:t>
      </w:r>
      <w:r>
        <w:t>§5.5</w:t>
      </w:r>
    </w:p>
    <w:p>
      <w:pPr>
        <w:keepNext/>
        <w:spacing w:after="40"/>
      </w:pPr>
      <w:r>
        <w:rPr>
          <w:b/>
        </w:rPr>
        <w:t xml:space="preserve">Description: </w:t>
      </w:r>
      <w:r>
        <w:t>Raises the CVaR penalty as crisis risk rises.</w:t>
      </w:r>
    </w:p>
    <w:p>
      <w:pPr>
        <w:spacing w:after="140"/>
      </w:pPr>
      <w:r>
        <w:rPr>
          <w:b/>
        </w:rPr>
        <w:t xml:space="preserve">Developer alignment check: </w:t>
      </w:r>
      <w:r>
        <w:t>Bound/normalize CrisisScore and k so the resulting penalty stays within governed parameter envelopes.</w:t>
      </w:r>
    </w:p>
    <w:p>
      <w:pPr>
        <w:pStyle w:val="Heading1"/>
        <w:keepNext/>
      </w:pPr>
      <w:r>
        <w:t>6. Risk estimation and candidate optimization models</w:t>
      </w:r>
    </w:p>
    <w:p>
      <w:pPr>
        <w:pStyle w:val="Heading2"/>
        <w:keepNext/>
      </w:pPr>
      <w:r>
        <w:t>EQ-035 · Covariance matrix</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Σ_t = Cov(R_1, …, R_n)</w:t>
      </w:r>
    </w:p>
    <w:p>
      <w:pPr>
        <w:keepNext/>
        <w:spacing w:after="40"/>
      </w:pPr>
      <w:r>
        <w:rPr>
          <w:b/>
        </w:rPr>
        <w:t xml:space="preserve">Source: </w:t>
      </w:r>
      <w:r>
        <w:t>§6.1</w:t>
      </w:r>
    </w:p>
    <w:p>
      <w:pPr>
        <w:keepNext/>
        <w:spacing w:after="40"/>
      </w:pPr>
      <w:r>
        <w:rPr>
          <w:b/>
        </w:rPr>
        <w:t xml:space="preserve">Description: </w:t>
      </w:r>
      <w:r>
        <w:t>Builds the component-return covariance matrix from validated multi-horizon return series.</w:t>
      </w:r>
    </w:p>
    <w:p>
      <w:pPr>
        <w:spacing w:after="140"/>
      </w:pPr>
      <w:r>
        <w:rPr>
          <w:b/>
        </w:rPr>
        <w:t xml:space="preserve">Developer alignment check: </w:t>
      </w:r>
      <w:r>
        <w:t>Define return intervals, sample windows, missing-data treatment, and component order consistently.</w:t>
      </w:r>
    </w:p>
    <w:p>
      <w:pPr>
        <w:pStyle w:val="Heading2"/>
        <w:keepNext/>
      </w:pPr>
      <w:r>
        <w:t>EQ-036 · Robust covariance shrinkage</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Σ_robust = λF + (1 − λ)Σ̂,  0 ≤ λ ≤ 1</w:t>
      </w:r>
    </w:p>
    <w:p>
      <w:pPr>
        <w:keepNext/>
        <w:spacing w:after="40"/>
      </w:pPr>
      <w:r>
        <w:rPr>
          <w:b/>
        </w:rPr>
        <w:t xml:space="preserve">Source: </w:t>
      </w:r>
      <w:r>
        <w:t>§6.2</w:t>
      </w:r>
    </w:p>
    <w:p>
      <w:pPr>
        <w:keepNext/>
        <w:spacing w:after="40"/>
      </w:pPr>
      <w:r>
        <w:rPr>
          <w:b/>
        </w:rPr>
        <w:t xml:space="preserve">Description: </w:t>
      </w:r>
      <w:r>
        <w:t>Shrinks the estimated covariance matrix toward a stable structured target F.</w:t>
      </w:r>
    </w:p>
    <w:p>
      <w:pPr>
        <w:spacing w:after="140"/>
      </w:pPr>
      <w:r>
        <w:rPr>
          <w:b/>
        </w:rPr>
        <w:t xml:space="preserve">Developer alignment check: </w:t>
      </w:r>
      <w:r>
        <w:t>Ensure F and Σ̂ are dimensionally compatible and the chosen λ is validated out of sample.</w:t>
      </w:r>
    </w:p>
    <w:p>
      <w:pPr>
        <w:pStyle w:val="Heading2"/>
        <w:keepNext/>
      </w:pPr>
      <w:r>
        <w:t>EQ-037 · Minimum-variance objective</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min_w  wᵀ Σ_robust,t w</w:t>
      </w:r>
    </w:p>
    <w:p>
      <w:pPr>
        <w:keepNext/>
        <w:spacing w:after="40"/>
      </w:pPr>
      <w:r>
        <w:rPr>
          <w:b/>
        </w:rPr>
        <w:t xml:space="preserve">Source: </w:t>
      </w:r>
      <w:r>
        <w:t>§6.3</w:t>
      </w:r>
    </w:p>
    <w:p>
      <w:pPr>
        <w:keepNext/>
        <w:spacing w:after="40"/>
      </w:pPr>
      <w:r>
        <w:rPr>
          <w:b/>
        </w:rPr>
        <w:t xml:space="preserve">Description: </w:t>
      </w:r>
      <w:r>
        <w:t>Finds admissible weights minimizing modeled portfolio variance.</w:t>
      </w:r>
    </w:p>
    <w:p>
      <w:pPr>
        <w:spacing w:after="140"/>
      </w:pPr>
      <w:r>
        <w:rPr>
          <w:b/>
        </w:rPr>
        <w:t xml:space="preserve">Developer alignment check: </w:t>
      </w:r>
      <w:r>
        <w:t>Optimization is subject to all Chapter 8 constraints and the eligibility set; this output is only one candidate model.</w:t>
      </w:r>
    </w:p>
    <w:p>
      <w:pPr>
        <w:pStyle w:val="Heading2"/>
        <w:keepNext/>
      </w:pPr>
      <w:r>
        <w:t>EQ-038 · Component risk contribution and portfolio volatility</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RC_i = w_i(Σw)_i;  σ_p = √(wᵀΣw);  RC%_i = RC_i / Σ_j RC_j</w:t>
      </w:r>
    </w:p>
    <w:p>
      <w:pPr>
        <w:keepNext/>
        <w:spacing w:after="40"/>
      </w:pPr>
      <w:r>
        <w:rPr>
          <w:b/>
        </w:rPr>
        <w:t xml:space="preserve">Source: </w:t>
      </w:r>
      <w:r>
        <w:t>§6.4</w:t>
      </w:r>
    </w:p>
    <w:p>
      <w:pPr>
        <w:keepNext/>
        <w:spacing w:after="40"/>
      </w:pPr>
      <w:r>
        <w:rPr>
          <w:b/>
        </w:rPr>
        <w:t xml:space="preserve">Description: </w:t>
      </w:r>
      <w:r>
        <w:t>Computes each component’s contribution to portfolio risk and its share of total risk contribution.</w:t>
      </w:r>
    </w:p>
    <w:p>
      <w:pPr>
        <w:spacing w:after="140"/>
      </w:pPr>
      <w:r>
        <w:rPr>
          <w:b/>
        </w:rPr>
        <w:t xml:space="preserve">Developer alignment check: </w:t>
      </w:r>
      <w:r>
        <w:t>Use consistent covariance/weight units; define behavior if total risk contribution is zero.</w:t>
      </w:r>
    </w:p>
    <w:p>
      <w:pPr>
        <w:pStyle w:val="Heading2"/>
        <w:keepNext/>
      </w:pPr>
      <w:r>
        <w:t>EQ-039 · Equal-risk-contribution objective</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min_w Σ_i (RC%_i − 1/n)^2</w:t>
      </w:r>
    </w:p>
    <w:p>
      <w:pPr>
        <w:keepNext/>
        <w:spacing w:after="40"/>
      </w:pPr>
      <w:r>
        <w:rPr>
          <w:b/>
        </w:rPr>
        <w:t xml:space="preserve">Source: </w:t>
      </w:r>
      <w:r>
        <w:t>§6.4</w:t>
      </w:r>
    </w:p>
    <w:p>
      <w:pPr>
        <w:keepNext/>
        <w:spacing w:after="40"/>
      </w:pPr>
      <w:r>
        <w:rPr>
          <w:b/>
        </w:rPr>
        <w:t xml:space="preserve">Description: </w:t>
      </w:r>
      <w:r>
        <w:t>Chooses weights that make each eligible component’s fraction of risk contribution approach 1/n.</w:t>
      </w:r>
    </w:p>
    <w:p>
      <w:pPr>
        <w:spacing w:after="140"/>
      </w:pPr>
      <w:r>
        <w:rPr>
          <w:b/>
        </w:rPr>
        <w:t xml:space="preserve">Developer alignment check: </w:t>
      </w:r>
      <w:r>
        <w:t>n is the number of eligible active components; update n and the model dimension on constituency changes.</w:t>
      </w:r>
    </w:p>
    <w:p>
      <w:pPr>
        <w:pStyle w:val="Heading2"/>
        <w:keepNext/>
      </w:pPr>
      <w:r>
        <w:t>EQ-040 · Maximum diversification ratio</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max_w (Σ_i w_i σ_i) / √(wᵀΣw)</w:t>
      </w:r>
    </w:p>
    <w:p>
      <w:pPr>
        <w:keepNext/>
        <w:spacing w:after="40"/>
      </w:pPr>
      <w:r>
        <w:rPr>
          <w:b/>
        </w:rPr>
        <w:t xml:space="preserve">Source: </w:t>
      </w:r>
      <w:r>
        <w:t>§6.5</w:t>
      </w:r>
    </w:p>
    <w:p>
      <w:pPr>
        <w:keepNext/>
        <w:spacing w:after="40"/>
      </w:pPr>
      <w:r>
        <w:rPr>
          <w:b/>
        </w:rPr>
        <w:t xml:space="preserve">Description: </w:t>
      </w:r>
      <w:r>
        <w:t>Maximizes weighted standalone volatility relative to portfolio volatility.</w:t>
      </w:r>
    </w:p>
    <w:p>
      <w:pPr>
        <w:spacing w:after="140"/>
      </w:pPr>
      <w:r>
        <w:rPr>
          <w:b/>
        </w:rPr>
        <w:t xml:space="preserve">Developer alignment check: </w:t>
      </w:r>
      <w:r>
        <w:t>Subject to the same constraints; do not confuse this with maximizing return.</w:t>
      </w:r>
    </w:p>
    <w:p>
      <w:pPr>
        <w:pStyle w:val="Heading2"/>
        <w:keepNext/>
      </w:pPr>
      <w:r>
        <w:t>EQ-041 · Value at Risk</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VaR_α = inf{ℓ : P(L ≤ ℓ) ≥ α}</w:t>
      </w:r>
    </w:p>
    <w:p>
      <w:pPr>
        <w:keepNext/>
        <w:spacing w:after="40"/>
      </w:pPr>
      <w:r>
        <w:rPr>
          <w:b/>
        </w:rPr>
        <w:t xml:space="preserve">Source: </w:t>
      </w:r>
      <w:r>
        <w:t>§6.6</w:t>
      </w:r>
    </w:p>
    <w:p>
      <w:pPr>
        <w:keepNext/>
        <w:spacing w:after="40"/>
      </w:pPr>
      <w:r>
        <w:rPr>
          <w:b/>
        </w:rPr>
        <w:t xml:space="preserve">Description: </w:t>
      </w:r>
      <w:r>
        <w:t>Defines the α-quantile of the loss distribution.</w:t>
      </w:r>
    </w:p>
    <w:p>
      <w:pPr>
        <w:spacing w:after="140"/>
      </w:pPr>
      <w:r>
        <w:rPr>
          <w:b/>
        </w:rPr>
        <w:t xml:space="preserve">Developer alignment check: </w:t>
      </w:r>
      <w:r>
        <w:t>Specify α and loss sign convention in the methodology version.</w:t>
      </w:r>
    </w:p>
    <w:p>
      <w:pPr>
        <w:pStyle w:val="Heading2"/>
        <w:keepNext/>
      </w:pPr>
      <w:r>
        <w:t>EQ-042 · Conditional Value at Risk</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CVaR_α = E[L | L ≥ VaR_α]</w:t>
      </w:r>
    </w:p>
    <w:p>
      <w:pPr>
        <w:keepNext/>
        <w:spacing w:after="40"/>
      </w:pPr>
      <w:r>
        <w:rPr>
          <w:b/>
        </w:rPr>
        <w:t xml:space="preserve">Source: </w:t>
      </w:r>
      <w:r>
        <w:t>§6.6</w:t>
      </w:r>
    </w:p>
    <w:p>
      <w:pPr>
        <w:keepNext/>
        <w:spacing w:after="40"/>
      </w:pPr>
      <w:r>
        <w:rPr>
          <w:b/>
        </w:rPr>
        <w:t xml:space="preserve">Description: </w:t>
      </w:r>
      <w:r>
        <w:t>Measures expected loss conditional on losses lying at or beyond the VaR threshold, as defined by the blueprint.</w:t>
      </w:r>
    </w:p>
    <w:p>
      <w:pPr>
        <w:spacing w:after="140"/>
      </w:pPr>
      <w:r>
        <w:rPr>
          <w:b/>
        </w:rPr>
        <w:t xml:space="preserve">Developer alignment check: </w:t>
      </w:r>
      <w:r>
        <w:t>Keep the tail convention, α, estimator, and sampling window consistent across optimization, validation, and reporting.</w:t>
      </w:r>
    </w:p>
    <w:p>
      <w:pPr>
        <w:pStyle w:val="Heading2"/>
        <w:keepNext/>
      </w:pPr>
      <w:r>
        <w:t>EQ-043 · Running peak, drawdown and maximum drawdown</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M_t = max_{τ≤t} V_τ;  DD_t = V_t/M_t − 1;  MDD = min_t DD_t</w:t>
      </w:r>
    </w:p>
    <w:p>
      <w:pPr>
        <w:keepNext/>
        <w:spacing w:after="40"/>
      </w:pPr>
      <w:r>
        <w:rPr>
          <w:b/>
        </w:rPr>
        <w:t xml:space="preserve">Source: </w:t>
      </w:r>
      <w:r>
        <w:t>§6.7</w:t>
      </w:r>
    </w:p>
    <w:p>
      <w:pPr>
        <w:keepNext/>
        <w:spacing w:after="40"/>
      </w:pPr>
      <w:r>
        <w:rPr>
          <w:b/>
        </w:rPr>
        <w:t xml:space="preserve">Description: </w:t>
      </w:r>
      <w:r>
        <w:t>Measures current decline from the running peak and the worst drawdown in the period.</w:t>
      </w:r>
    </w:p>
    <w:p>
      <w:pPr>
        <w:spacing w:after="140"/>
      </w:pPr>
      <w:r>
        <w:rPr>
          <w:b/>
        </w:rPr>
        <w:t xml:space="preserve">Developer alignment check: </w:t>
      </w:r>
      <w:r>
        <w:t>The source expresses drawdowns as non-positive returns; preserve that sign convention wherever MDD enters scores.</w:t>
      </w:r>
    </w:p>
    <w:p>
      <w:pPr>
        <w:pStyle w:val="Heading2"/>
        <w:keepNext/>
      </w:pPr>
      <w:r>
        <w:t>EQ-044 · Global Purchasing Power index</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GPP_t = f(GlobalCPI, Food, Energy, TradeGoods, OtherRelevantConsumptionWeights)</w:t>
      </w:r>
    </w:p>
    <w:p>
      <w:pPr>
        <w:keepNext/>
        <w:spacing w:after="40"/>
      </w:pPr>
      <w:r>
        <w:rPr>
          <w:b/>
        </w:rPr>
        <w:t xml:space="preserve">Source: </w:t>
      </w:r>
      <w:r>
        <w:t>§6.8</w:t>
      </w:r>
    </w:p>
    <w:p>
      <w:pPr>
        <w:keepNext/>
        <w:spacing w:after="40"/>
      </w:pPr>
      <w:r>
        <w:rPr>
          <w:b/>
        </w:rPr>
        <w:t xml:space="preserve">Description: </w:t>
      </w:r>
      <w:r>
        <w:t>Represents a consumption-relevant benchmark for global purchasing-power change.</w:t>
      </w:r>
    </w:p>
    <w:p>
      <w:pPr>
        <w:spacing w:after="140"/>
      </w:pPr>
      <w:r>
        <w:rPr>
          <w:b/>
        </w:rPr>
        <w:t xml:space="preserve">Developer alignment check: </w:t>
      </w:r>
      <w:r>
        <w:t>The source gives the input family, not a complete fixed numerical index here. Do not invent CPI weights or data sources.</w:t>
      </w:r>
    </w:p>
    <w:p>
      <w:pPr>
        <w:pStyle w:val="Heading2"/>
        <w:keepNext/>
      </w:pPr>
      <w:r>
        <w:t>EQ-045 · Purchasing-power tracking error</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PPError_t = R_MTQ,t − R_GPP,t</w:t>
      </w:r>
    </w:p>
    <w:p>
      <w:pPr>
        <w:keepNext/>
        <w:spacing w:after="40"/>
      </w:pPr>
      <w:r>
        <w:rPr>
          <w:b/>
        </w:rPr>
        <w:t xml:space="preserve">Source: </w:t>
      </w:r>
      <w:r>
        <w:t>§6.8</w:t>
      </w:r>
    </w:p>
    <w:p>
      <w:pPr>
        <w:keepNext/>
        <w:spacing w:after="40"/>
      </w:pPr>
      <w:r>
        <w:rPr>
          <w:b/>
        </w:rPr>
        <w:t xml:space="preserve">Description: </w:t>
      </w:r>
      <w:r>
        <w:t>Compares the reference basket’s return with the benchmark purchasing-power return.</w:t>
      </w:r>
    </w:p>
    <w:p>
      <w:pPr>
        <w:spacing w:after="140"/>
      </w:pPr>
      <w:r>
        <w:rPr>
          <w:b/>
        </w:rPr>
        <w:t xml:space="preserve">Developer alignment check: </w:t>
      </w:r>
      <w:r>
        <w:t>Define both returns over the same interval and in compatible units; publish GPP construction and data versions.</w:t>
      </w:r>
    </w:p>
    <w:p>
      <w:pPr>
        <w:pStyle w:val="Heading2"/>
        <w:keepNext/>
      </w:pPr>
      <w:r>
        <w:t>EQ-046 · Purchasing-power objective measures</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E[(PPError_t)^2] and/or MAE(PPError)</w:t>
      </w:r>
    </w:p>
    <w:p>
      <w:pPr>
        <w:keepNext/>
        <w:spacing w:after="40"/>
      </w:pPr>
      <w:r>
        <w:rPr>
          <w:b/>
        </w:rPr>
        <w:t xml:space="preserve">Source: </w:t>
      </w:r>
      <w:r>
        <w:t>§6.8</w:t>
      </w:r>
    </w:p>
    <w:p>
      <w:pPr>
        <w:keepNext/>
        <w:spacing w:after="40"/>
      </w:pPr>
      <w:r>
        <w:rPr>
          <w:b/>
        </w:rPr>
        <w:t xml:space="preserve">Description: </w:t>
      </w:r>
      <w:r>
        <w:t>The blueprint identifies mean-squared error and/or mean absolute error as measures for optimizing purchasing-power stability.</w:t>
      </w:r>
    </w:p>
    <w:p>
      <w:pPr>
        <w:spacing w:after="140"/>
      </w:pPr>
      <w:r>
        <w:rPr>
          <w:b/>
        </w:rPr>
        <w:t xml:space="preserve">Developer alignment check: </w:t>
      </w:r>
      <w:r>
        <w:t>Research must select and publish the metric; do not switch metrics silently between optimization and validation.</w:t>
      </w:r>
    </w:p>
    <w:p>
      <w:pPr>
        <w:pStyle w:val="Heading1"/>
        <w:keepNext/>
      </w:pPr>
      <w:r>
        <w:t>7. Composite MASE objective and ensemble</w:t>
      </w:r>
    </w:p>
    <w:p>
      <w:pPr>
        <w:pStyle w:val="Heading2"/>
        <w:keepNext/>
      </w:pPr>
      <w:r>
        <w:t>EQ-047 · Strategic-prior quadratic drift</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StrategicDrift = Σ_i (w_i − W_i^Prior)^2</w:t>
      </w:r>
    </w:p>
    <w:p>
      <w:pPr>
        <w:keepNext/>
        <w:spacing w:after="40"/>
      </w:pPr>
      <w:r>
        <w:rPr>
          <w:b/>
        </w:rPr>
        <w:t xml:space="preserve">Source: </w:t>
      </w:r>
      <w:r>
        <w:t>§7.1</w:t>
      </w:r>
    </w:p>
    <w:p>
      <w:pPr>
        <w:keepNext/>
        <w:spacing w:after="40"/>
      </w:pPr>
      <w:r>
        <w:rPr>
          <w:b/>
        </w:rPr>
        <w:t xml:space="preserve">Description: </w:t>
      </w:r>
      <w:r>
        <w:t>Penalizes squared deviation from the strategic prior.</w:t>
      </w:r>
    </w:p>
    <w:p>
      <w:pPr>
        <w:spacing w:after="140"/>
      </w:pPr>
      <w:r>
        <w:rPr>
          <w:b/>
        </w:rPr>
        <w:t xml:space="preserve">Developer alignment check: </w:t>
      </w:r>
      <w:r>
        <w:t>Confirm this is the selected version. The same source also presents an absolute-deviation alternative below; do not combine both unless methodology says so.</w:t>
      </w:r>
    </w:p>
    <w:p>
      <w:pPr>
        <w:pStyle w:val="Heading2"/>
        <w:keepNext/>
      </w:pPr>
      <w:r>
        <w:t>EQ-048 · Strategic-prior absolute drift alternative</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StrategicDrift = Σ_i |w_i − W_i^Prior|</w:t>
      </w:r>
    </w:p>
    <w:p>
      <w:pPr>
        <w:keepNext/>
        <w:spacing w:after="40"/>
      </w:pPr>
      <w:r>
        <w:rPr>
          <w:b/>
        </w:rPr>
        <w:t xml:space="preserve">Source: </w:t>
      </w:r>
      <w:r>
        <w:t>§7.1</w:t>
      </w:r>
    </w:p>
    <w:p>
      <w:pPr>
        <w:keepNext/>
        <w:spacing w:after="40"/>
      </w:pPr>
      <w:r>
        <w:rPr>
          <w:b/>
        </w:rPr>
        <w:t xml:space="preserve">Description: </w:t>
      </w:r>
      <w:r>
        <w:t>Alternative L1 form of the strategic-drift penalty also shown by the specification.</w:t>
      </w:r>
    </w:p>
    <w:p>
      <w:pPr>
        <w:spacing w:after="140"/>
      </w:pPr>
      <w:r>
        <w:rPr>
          <w:b/>
        </w:rPr>
        <w:t xml:space="preserve">Developer alignment check: </w:t>
      </w:r>
      <w:r>
        <w:t>The chosen L1/L2 form must be versioned and consistent with the objective and reproducibility record.</w:t>
      </w:r>
    </w:p>
    <w:p>
      <w:pPr>
        <w:pStyle w:val="Heading2"/>
        <w:keepNext/>
      </w:pPr>
      <w:r>
        <w:t>EQ-049 · Herfindahl concentration measure</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HHI = Σ_i w_i^2</w:t>
      </w:r>
    </w:p>
    <w:p>
      <w:pPr>
        <w:keepNext/>
        <w:spacing w:after="40"/>
      </w:pPr>
      <w:r>
        <w:rPr>
          <w:b/>
        </w:rPr>
        <w:t xml:space="preserve">Source: </w:t>
      </w:r>
      <w:r>
        <w:t>§7.2</w:t>
      </w:r>
    </w:p>
    <w:p>
      <w:pPr>
        <w:keepNext/>
        <w:spacing w:after="40"/>
      </w:pPr>
      <w:r>
        <w:rPr>
          <w:b/>
        </w:rPr>
        <w:t xml:space="preserve">Description: </w:t>
      </w:r>
      <w:r>
        <w:t>Measures weight concentration in the reference basket.</w:t>
      </w:r>
    </w:p>
    <w:p>
      <w:pPr>
        <w:spacing w:after="140"/>
      </w:pPr>
      <w:r>
        <w:rPr>
          <w:b/>
        </w:rPr>
        <w:t xml:space="preserve">Developer alignment check: </w:t>
      </w:r>
      <w:r>
        <w:t>Use the currently eligible components and normalized weights; retain published component order.</w:t>
      </w:r>
    </w:p>
    <w:p>
      <w:pPr>
        <w:pStyle w:val="Heading2"/>
        <w:keepNext/>
      </w:pPr>
      <w:r>
        <w:t>EQ-050 · Concentration penalty</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Penalty_conc = λ_C × HHI</w:t>
      </w:r>
    </w:p>
    <w:p>
      <w:pPr>
        <w:keepNext/>
        <w:spacing w:after="40"/>
      </w:pPr>
      <w:r>
        <w:rPr>
          <w:b/>
        </w:rPr>
        <w:t xml:space="preserve">Source: </w:t>
      </w:r>
      <w:r>
        <w:t>§7.2</w:t>
      </w:r>
    </w:p>
    <w:p>
      <w:pPr>
        <w:keepNext/>
        <w:spacing w:after="40"/>
      </w:pPr>
      <w:r>
        <w:rPr>
          <w:b/>
        </w:rPr>
        <w:t xml:space="preserve">Description: </w:t>
      </w:r>
      <w:r>
        <w:t>Adds a governed concentration penalty to the optimizer objective.</w:t>
      </w:r>
    </w:p>
    <w:p>
      <w:pPr>
        <w:spacing w:after="140"/>
      </w:pPr>
      <w:r>
        <w:rPr>
          <w:b/>
        </w:rPr>
        <w:t xml:space="preserve">Developer alignment check: </w:t>
      </w:r>
      <w:r>
        <w:t>Publish λ_C and keep it within validated bounds.</w:t>
      </w:r>
    </w:p>
    <w:p>
      <w:pPr>
        <w:pStyle w:val="Heading2"/>
        <w:keepNext/>
      </w:pPr>
      <w:r>
        <w:t>EQ-051 · Portfolio turnover</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Turnover_t = Σ_i |w_i,t − w_i,t−1|</w:t>
      </w:r>
    </w:p>
    <w:p>
      <w:pPr>
        <w:keepNext/>
        <w:spacing w:after="40"/>
      </w:pPr>
      <w:r>
        <w:rPr>
          <w:b/>
        </w:rPr>
        <w:t xml:space="preserve">Source: </w:t>
      </w:r>
      <w:r>
        <w:t>§7.3</w:t>
      </w:r>
    </w:p>
    <w:p>
      <w:pPr>
        <w:keepNext/>
        <w:spacing w:after="40"/>
      </w:pPr>
      <w:r>
        <w:rPr>
          <w:b/>
        </w:rPr>
        <w:t xml:space="preserve">Description: </w:t>
      </w:r>
      <w:r>
        <w:t>Measures total absolute weight movement between consecutive calculated states.</w:t>
      </w:r>
    </w:p>
    <w:p>
      <w:pPr>
        <w:spacing w:after="140"/>
      </w:pPr>
      <w:r>
        <w:rPr>
          <w:b/>
        </w:rPr>
        <w:t xml:space="preserve">Developer alignment check: </w:t>
      </w:r>
      <w:r>
        <w:t>Do not confuse index weight drift with executed trade turnover; both may be logged separately.</w:t>
      </w:r>
    </w:p>
    <w:p>
      <w:pPr>
        <w:pStyle w:val="Heading2"/>
        <w:keepNext/>
      </w:pPr>
      <w:r>
        <w:t>EQ-052 · Turnover penalty</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Penalty_turn = λ_T Σ_i |w_i,t − w_i,t−1|</w:t>
      </w:r>
    </w:p>
    <w:p>
      <w:pPr>
        <w:keepNext/>
        <w:spacing w:after="40"/>
      </w:pPr>
      <w:r>
        <w:rPr>
          <w:b/>
        </w:rPr>
        <w:t xml:space="preserve">Source: </w:t>
      </w:r>
      <w:r>
        <w:t>§7.3</w:t>
      </w:r>
    </w:p>
    <w:p>
      <w:pPr>
        <w:keepNext/>
        <w:spacing w:after="40"/>
      </w:pPr>
      <w:r>
        <w:rPr>
          <w:b/>
        </w:rPr>
        <w:t xml:space="preserve">Description: </w:t>
      </w:r>
      <w:r>
        <w:t>Prices frequent/large weight changes into the optimization objective.</w:t>
      </w:r>
    </w:p>
    <w:p>
      <w:pPr>
        <w:spacing w:after="140"/>
      </w:pPr>
      <w:r>
        <w:rPr>
          <w:b/>
        </w:rPr>
        <w:t xml:space="preserve">Developer alignment check: </w:t>
      </w:r>
      <w:r>
        <w:t>Use the published λ_T and the same observation cadence as the source.</w:t>
      </w:r>
    </w:p>
    <w:p>
      <w:pPr>
        <w:pStyle w:val="Heading2"/>
        <w:keepNext/>
      </w:pPr>
      <w:r>
        <w:t>EQ-053 · Full composite MASE objective</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min_w [λ₁ Risk + λ₂ CVaR + λ₃ PPError + λ₄ CorrRisk + λ₅ Turnover + λ₆ StrategicDrift + λ₇ Concentration + λ₈ LiquidityRisk]</w:t>
      </w:r>
    </w:p>
    <w:p>
      <w:pPr>
        <w:keepNext/>
        <w:spacing w:after="40"/>
      </w:pPr>
      <w:r>
        <w:rPr>
          <w:b/>
        </w:rPr>
        <w:t xml:space="preserve">Source: </w:t>
      </w:r>
      <w:r>
        <w:t>§7.4</w:t>
      </w:r>
    </w:p>
    <w:p>
      <w:pPr>
        <w:keepNext/>
        <w:spacing w:after="40"/>
      </w:pPr>
      <w:r>
        <w:rPr>
          <w:b/>
        </w:rPr>
        <w:t xml:space="preserve">Description: </w:t>
      </w:r>
      <w:r>
        <w:t>Eight-term objective combining variance/risk, tail loss, purchasing-power error, correlation fragility, turnover, strategic drift, concentration, and liquidity risk.</w:t>
      </w:r>
    </w:p>
    <w:p>
      <w:pPr>
        <w:spacing w:after="140"/>
      </w:pPr>
      <w:r>
        <w:rPr>
          <w:b/>
        </w:rPr>
        <w:t xml:space="preserve">Developer alignment check: </w:t>
      </w:r>
      <w:r>
        <w:t>Keep every term’s units/scaling and λ coefficient explicit. λ values are governed/validated; the objective is not a single-metric optimizer.</w:t>
      </w:r>
    </w:p>
    <w:p>
      <w:pPr>
        <w:pStyle w:val="Heading2"/>
        <w:keepNext/>
      </w:pPr>
      <w:r>
        <w:t>EQ-054 · Weight and reserve constraints</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Σ_i w_i = 1;  w_i ≥ 0;  L_i,t ≤ w_i,t ≤ U_i,t;  |w_i,t − w_i,t−1| ≤ Δ_i,t;  Coverage_t ≥ 100%;  LiquidityCoverage_t ≥ LCR_min</w:t>
      </w:r>
    </w:p>
    <w:p>
      <w:pPr>
        <w:keepNext/>
        <w:spacing w:after="40"/>
      </w:pPr>
      <w:r>
        <w:rPr>
          <w:b/>
        </w:rPr>
        <w:t xml:space="preserve">Source: </w:t>
      </w:r>
      <w:r>
        <w:t>§7.4; §8.5</w:t>
      </w:r>
    </w:p>
    <w:p>
      <w:pPr>
        <w:keepNext/>
        <w:spacing w:after="40"/>
      </w:pPr>
      <w:r>
        <w:rPr>
          <w:b/>
        </w:rPr>
        <w:t xml:space="preserve">Description: </w:t>
      </w:r>
      <w:r>
        <w:t>Complete constraint set: sum-to-one, non-negativity, dynamic/constitutional envelopes, velocity, full backing, and liquidity coverage.</w:t>
      </w:r>
    </w:p>
    <w:p>
      <w:pPr>
        <w:spacing w:after="140"/>
      </w:pPr>
      <w:r>
        <w:rPr>
          <w:b/>
        </w:rPr>
        <w:t xml:space="preserve">Developer alignment check: </w:t>
      </w:r>
      <w:r>
        <w:t>Validate every constraint both at model output/projection and at execution time. Passing weight checks alone is not sufficient if reserve/liquidity constraints fail.</w:t>
      </w:r>
    </w:p>
    <w:p>
      <w:pPr>
        <w:pStyle w:val="Heading2"/>
        <w:keepNext/>
      </w:pPr>
      <w:r>
        <w:t>EQ-055 · Candidate ensemble</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W^Ensemble = Σ_m α_m W^(m);  Σ_m α_m = 1</w:t>
      </w:r>
    </w:p>
    <w:p>
      <w:pPr>
        <w:keepNext/>
        <w:spacing w:after="40"/>
      </w:pPr>
      <w:r>
        <w:rPr>
          <w:b/>
        </w:rPr>
        <w:t xml:space="preserve">Source: </w:t>
      </w:r>
      <w:r>
        <w:t>§7.5</w:t>
      </w:r>
    </w:p>
    <w:p>
      <w:pPr>
        <w:keepNext/>
        <w:spacing w:after="40"/>
      </w:pPr>
      <w:r>
        <w:rPr>
          <w:b/>
        </w:rPr>
        <w:t xml:space="preserve">Description: </w:t>
      </w:r>
      <w:r>
        <w:t>Combines model candidate vectors, with coefficients α_m summing to one.</w:t>
      </w:r>
    </w:p>
    <w:p>
      <w:pPr>
        <w:spacing w:after="140"/>
      </w:pPr>
      <w:r>
        <w:rPr>
          <w:b/>
        </w:rPr>
        <w:t xml:space="preserve">Developer alignment check: </w:t>
      </w:r>
      <w:r>
        <w:t>Project the mixture back into the admissible set after averaging; an average of feasible/infeasible outputs is not automatically feasible.</w:t>
      </w:r>
    </w:p>
    <w:p>
      <w:pPr>
        <w:pStyle w:val="Heading2"/>
        <w:keepNext/>
      </w:pPr>
      <w:r>
        <w:t>EQ-056 · Model performance-stability score</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Score_m,t = f(OOSRisk, CVaR, PPError, Turnover, Robustness)</w:t>
      </w:r>
    </w:p>
    <w:p>
      <w:pPr>
        <w:keepNext/>
        <w:spacing w:after="40"/>
      </w:pPr>
      <w:r>
        <w:rPr>
          <w:b/>
        </w:rPr>
        <w:t xml:space="preserve">Source: </w:t>
      </w:r>
      <w:r>
        <w:t>§7.6</w:t>
      </w:r>
    </w:p>
    <w:p>
      <w:pPr>
        <w:keepNext/>
        <w:spacing w:after="40"/>
      </w:pPr>
      <w:r>
        <w:rPr>
          <w:b/>
        </w:rPr>
        <w:t xml:space="preserve">Description: </w:t>
      </w:r>
      <w:r>
        <w:t>Scores each candidate model using out-of-sample risk/stability features.</w:t>
      </w:r>
    </w:p>
    <w:p>
      <w:pPr>
        <w:spacing w:after="140"/>
      </w:pPr>
      <w:r>
        <w:rPr>
          <w:b/>
        </w:rPr>
        <w:t xml:space="preserve">Developer alignment check: </w:t>
      </w:r>
      <w:r>
        <w:t>Define exact component scaling and score orientation. Only OOS statistics may determine adaptive model weights.</w:t>
      </w:r>
    </w:p>
    <w:p>
      <w:pPr>
        <w:pStyle w:val="Heading2"/>
        <w:keepNext/>
      </w:pPr>
      <w:r>
        <w:t>EQ-057 · Adaptive model weight softmax</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α_m,t = exp(−η Score_m,t) / Σ_k exp(−η Score_k,t)</w:t>
      </w:r>
    </w:p>
    <w:p>
      <w:pPr>
        <w:keepNext/>
        <w:spacing w:after="40"/>
      </w:pPr>
      <w:r>
        <w:rPr>
          <w:b/>
        </w:rPr>
        <w:t xml:space="preserve">Source: </w:t>
      </w:r>
      <w:r>
        <w:t>§7.6</w:t>
      </w:r>
    </w:p>
    <w:p>
      <w:pPr>
        <w:keepNext/>
        <w:spacing w:after="40"/>
      </w:pPr>
      <w:r>
        <w:rPr>
          <w:b/>
        </w:rPr>
        <w:t xml:space="preserve">Description: </w:t>
      </w:r>
      <w:r>
        <w:t>Converts model scores into adaptive ensemble coefficients using temperature η.</w:t>
      </w:r>
    </w:p>
    <w:p>
      <w:pPr>
        <w:spacing w:after="140"/>
      </w:pPr>
      <w:r>
        <w:rPr>
          <w:b/>
        </w:rPr>
        <w:t xml:space="preserve">Developer alignment check: </w:t>
      </w:r>
      <w:r>
        <w:t>The prose states better models receive greater weight. Therefore confirm the score is “lower-is-better” under this negative-exponent form; do not reverse signs without recording a specification change.</w:t>
      </w:r>
    </w:p>
    <w:p>
      <w:pPr>
        <w:pStyle w:val="Heading2"/>
        <w:keepNext/>
      </w:pPr>
      <w:r>
        <w:t>EQ-058 · Adaptive ensemble output</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W_t^Ensemble = Σ_m α_m,t W_t^(m);  Σ_m α_m,t = 1</w:t>
      </w:r>
    </w:p>
    <w:p>
      <w:pPr>
        <w:keepNext/>
        <w:spacing w:after="40"/>
      </w:pPr>
      <w:r>
        <w:rPr>
          <w:b/>
        </w:rPr>
        <w:t xml:space="preserve">Source: </w:t>
      </w:r>
      <w:r>
        <w:t>§7.6</w:t>
      </w:r>
    </w:p>
    <w:p>
      <w:pPr>
        <w:keepNext/>
        <w:spacing w:after="40"/>
      </w:pPr>
      <w:r>
        <w:rPr>
          <w:b/>
        </w:rPr>
        <w:t xml:space="preserve">Description: </w:t>
      </w:r>
      <w:r>
        <w:t>Produces the live candidate mixture using time-varying coefficients.</w:t>
      </w:r>
    </w:p>
    <w:p>
      <w:pPr>
        <w:spacing w:after="140"/>
      </w:pPr>
      <w:r>
        <w:rPr>
          <w:b/>
        </w:rPr>
        <w:t xml:space="preserve">Developer alignment check: </w:t>
      </w:r>
      <w:r>
        <w:t>Do not use the older illustrative 45/35/20 split as fixed coefficients; the blueprint explicitly says it is not a system parameter.</w:t>
      </w:r>
    </w:p>
    <w:p>
      <w:pPr>
        <w:pStyle w:val="Heading1"/>
        <w:keepNext/>
      </w:pPr>
      <w:r>
        <w:t>8. Constitutional constraints and smoothing</w:t>
      </w:r>
    </w:p>
    <w:p>
      <w:pPr>
        <w:pStyle w:val="Heading2"/>
        <w:keepNext/>
      </w:pPr>
      <w:r>
        <w:t>EQ-059 · Dynamic lower bound</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L_i,t = f(L_base, Q_i, Risk_i, Liquidity_i)</w:t>
      </w:r>
    </w:p>
    <w:p>
      <w:pPr>
        <w:keepNext/>
        <w:spacing w:after="40"/>
      </w:pPr>
      <w:r>
        <w:rPr>
          <w:b/>
        </w:rPr>
        <w:t xml:space="preserve">Source: </w:t>
      </w:r>
      <w:r>
        <w:t>§8.2</w:t>
      </w:r>
    </w:p>
    <w:p>
      <w:pPr>
        <w:keepNext/>
        <w:spacing w:after="40"/>
      </w:pPr>
      <w:r>
        <w:rPr>
          <w:b/>
        </w:rPr>
        <w:t xml:space="preserve">Description: </w:t>
      </w:r>
      <w:r>
        <w:t>Allows lower admissibility bounds to respond to eligibility, risk, liquidity, and baseline bounds.</w:t>
      </w:r>
    </w:p>
    <w:p>
      <w:pPr>
        <w:spacing w:after="140"/>
      </w:pPr>
      <w:r>
        <w:rPr>
          <w:b/>
        </w:rPr>
        <w:t xml:space="preserve">Developer alignment check: </w:t>
      </w:r>
      <w:r>
        <w:t>The source leaves f symbolic and explicitly says concrete functions are a research deliverable. Do not fabricate an implementation formula.</w:t>
      </w:r>
    </w:p>
    <w:p>
      <w:pPr>
        <w:pStyle w:val="Heading2"/>
        <w:keepNext/>
      </w:pPr>
      <w:r>
        <w:t>EQ-060 · Dynamic upper bound</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U_i,t = f(U_base, Q_i, Risk_i, Liquidity_i)</w:t>
      </w:r>
    </w:p>
    <w:p>
      <w:pPr>
        <w:keepNext/>
        <w:spacing w:after="40"/>
      </w:pPr>
      <w:r>
        <w:rPr>
          <w:b/>
        </w:rPr>
        <w:t xml:space="preserve">Source: </w:t>
      </w:r>
      <w:r>
        <w:t>§8.2</w:t>
      </w:r>
    </w:p>
    <w:p>
      <w:pPr>
        <w:keepNext/>
        <w:spacing w:after="40"/>
      </w:pPr>
      <w:r>
        <w:rPr>
          <w:b/>
        </w:rPr>
        <w:t xml:space="preserve">Description: </w:t>
      </w:r>
      <w:r>
        <w:t>Allows upper admissibility bounds to respond to the same state variables.</w:t>
      </w:r>
    </w:p>
    <w:p>
      <w:pPr>
        <w:spacing w:after="140"/>
      </w:pPr>
      <w:r>
        <w:rPr>
          <w:b/>
        </w:rPr>
        <w:t xml:space="preserve">Developer alignment check: </w:t>
      </w:r>
      <w:r>
        <w:t>The dynamic bounds must stay inside the constitutional envelope; activation waits for validation.</w:t>
      </w:r>
    </w:p>
    <w:p>
      <w:pPr>
        <w:pStyle w:val="Heading2"/>
        <w:keepNext/>
      </w:pPr>
      <w:r>
        <w:t>EQ-061 · Dynamic bound containment</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L_i^const ≤ L_i,t ≤ U_i,t ≤ U_i^const</w:t>
      </w:r>
    </w:p>
    <w:p>
      <w:pPr>
        <w:keepNext/>
        <w:spacing w:after="40"/>
      </w:pPr>
      <w:r>
        <w:rPr>
          <w:b/>
        </w:rPr>
        <w:t xml:space="preserve">Source: </w:t>
      </w:r>
      <w:r>
        <w:t>§8.2</w:t>
      </w:r>
    </w:p>
    <w:p>
      <w:pPr>
        <w:keepNext/>
        <w:spacing w:after="40"/>
      </w:pPr>
      <w:r>
        <w:rPr>
          <w:b/>
        </w:rPr>
        <w:t xml:space="preserve">Description: </w:t>
      </w:r>
      <w:r>
        <w:t>Keeps adaptive inner bounds inside immutable outer constitutional limits.</w:t>
      </w:r>
    </w:p>
    <w:p>
      <w:pPr>
        <w:spacing w:after="140"/>
      </w:pPr>
      <w:r>
        <w:rPr>
          <w:b/>
        </w:rPr>
        <w:t xml:space="preserve">Developer alignment check: </w:t>
      </w:r>
      <w:r>
        <w:t>Never allow dynamic-bound logic to widen outside the constitutional arrays.</w:t>
      </w:r>
    </w:p>
    <w:p>
      <w:pPr>
        <w:pStyle w:val="Heading2"/>
        <w:keepNext/>
      </w:pPr>
      <w:r>
        <w:t>EQ-062 · Weight velocity limit</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|w_i,t − w_i,t−1| ≤ Δ_i</w:t>
      </w:r>
    </w:p>
    <w:p>
      <w:pPr>
        <w:keepNext/>
        <w:spacing w:after="40"/>
      </w:pPr>
      <w:r>
        <w:rPr>
          <w:b/>
        </w:rPr>
        <w:t xml:space="preserve">Source: </w:t>
      </w:r>
      <w:r>
        <w:t>§8.3</w:t>
      </w:r>
    </w:p>
    <w:p>
      <w:pPr>
        <w:keepNext/>
        <w:spacing w:after="40"/>
      </w:pPr>
      <w:r>
        <w:rPr>
          <w:b/>
        </w:rPr>
        <w:t xml:space="preserve">Description: </w:t>
      </w:r>
      <w:r>
        <w:t>Caps per-update movement for a component.</w:t>
      </w:r>
    </w:p>
    <w:p>
      <w:pPr>
        <w:spacing w:after="140"/>
      </w:pPr>
      <w:r>
        <w:rPr>
          <w:b/>
        </w:rPr>
        <w:t xml:space="preserve">Developer alignment check: </w:t>
      </w:r>
      <w:r>
        <w:t>The deployed MAX_VELOCITY values are per accepted update; keep them distinct from daily turnover caps and trading triggers.</w:t>
      </w:r>
    </w:p>
    <w:p>
      <w:pPr>
        <w:pStyle w:val="Heading2"/>
        <w:keepNext/>
      </w:pPr>
      <w:r>
        <w:t>EQ-063 · State-dependent velocity limit</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|w_i,t − w_i,t−1| ≤ Δ_i,t;  Δ_i,t = g(Liquidity_i,t, Stress_t, Cost_i,t, StructuralEvent_i,t)</w:t>
      </w:r>
    </w:p>
    <w:p>
      <w:pPr>
        <w:keepNext/>
        <w:spacing w:after="40"/>
      </w:pPr>
      <w:r>
        <w:rPr>
          <w:b/>
        </w:rPr>
        <w:t xml:space="preserve">Source: </w:t>
      </w:r>
      <w:r>
        <w:t>§8.3</w:t>
      </w:r>
    </w:p>
    <w:p>
      <w:pPr>
        <w:keepNext/>
        <w:spacing w:after="40"/>
      </w:pPr>
      <w:r>
        <w:rPr>
          <w:b/>
        </w:rPr>
        <w:t xml:space="preserve">Description: </w:t>
      </w:r>
      <w:r>
        <w:t>Allows the permitted weight speed to respond to liquidity, stress, execution cost, and structural transitions.</w:t>
      </w:r>
    </w:p>
    <w:p>
      <w:pPr>
        <w:spacing w:after="140"/>
      </w:pPr>
      <w:r>
        <w:rPr>
          <w:b/>
        </w:rPr>
        <w:t xml:space="preserve">Developer alignment check: </w:t>
      </w:r>
      <w:r>
        <w:t>Any concrete g must be specified, bounded and versioned; a symbolic form is not enough for deterministic production implementation.</w:t>
      </w:r>
    </w:p>
    <w:p>
      <w:pPr>
        <w:pStyle w:val="Heading2"/>
        <w:keepNext/>
      </w:pPr>
      <w:r>
        <w:t>EQ-064 · Stress-adaptive smoothing</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W_t^Smooth = ρ_t W_t−1 + (1 − ρ_t)W_t^Target;  0 &lt; ρ_t &lt; 1</w:t>
      </w:r>
    </w:p>
    <w:p>
      <w:pPr>
        <w:keepNext/>
        <w:spacing w:after="40"/>
      </w:pPr>
      <w:r>
        <w:rPr>
          <w:b/>
        </w:rPr>
        <w:t xml:space="preserve">Source: </w:t>
      </w:r>
      <w:r>
        <w:t>§8.4</w:t>
      </w:r>
    </w:p>
    <w:p>
      <w:pPr>
        <w:keepNext/>
        <w:spacing w:after="40"/>
      </w:pPr>
      <w:r>
        <w:rPr>
          <w:b/>
        </w:rPr>
        <w:t xml:space="preserve">Description: </w:t>
      </w:r>
      <w:r>
        <w:t>Blends the previous live weight vector with today’s constrained target; larger ρ slows changes.</w:t>
      </w:r>
    </w:p>
    <w:p>
      <w:pPr>
        <w:spacing w:after="140"/>
      </w:pPr>
      <w:r>
        <w:rPr>
          <w:b/>
        </w:rPr>
        <w:t xml:space="preserve">Developer alignment check: </w:t>
      </w:r>
      <w:r>
        <w:t>Use ρ=0.50 in normal conditions and ρ=0.75 under stress as the current listed defaults, subject to the source’s status/validation caveats. Ensure weights still sum to one after fixed-point rounding.</w:t>
      </w:r>
    </w:p>
    <w:p>
      <w:pPr>
        <w:pStyle w:val="Heading2"/>
        <w:keepNext/>
      </w:pPr>
      <w:r>
        <w:t>EQ-065 · Consolidated feasibility condition</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Σ_i w_i = 1; w_i ≥ 0; L_i,t ≤ w_i,t ≤ U_i,t; |w_i,t−w_i,t−1|≤Δ_i,t; Coverage_t≥100%; LiquidityCoverage_t≥LCR_min</w:t>
      </w:r>
    </w:p>
    <w:p>
      <w:pPr>
        <w:keepNext/>
        <w:spacing w:after="40"/>
      </w:pPr>
      <w:r>
        <w:rPr>
          <w:b/>
        </w:rPr>
        <w:t xml:space="preserve">Source: </w:t>
      </w:r>
      <w:r>
        <w:t>§8.5</w:t>
      </w:r>
    </w:p>
    <w:p>
      <w:pPr>
        <w:keepNext/>
        <w:spacing w:after="40"/>
      </w:pPr>
      <w:r>
        <w:rPr>
          <w:b/>
        </w:rPr>
        <w:t xml:space="preserve">Description: </w:t>
      </w:r>
      <w:r>
        <w:t>Repeats the complete constrained admissibility envelope for developer-facing implementation.</w:t>
      </w:r>
    </w:p>
    <w:p>
      <w:pPr>
        <w:spacing w:after="140"/>
      </w:pPr>
      <w:r>
        <w:rPr>
          <w:b/>
        </w:rPr>
        <w:t xml:space="preserve">Developer alignment check: </w:t>
      </w:r>
      <w:r>
        <w:t>Must be reflected in registry validation and in MARP/reserve gates; no optimizer or emergency override may silently bypass the constitutional bounds.</w:t>
      </w:r>
    </w:p>
    <w:p>
      <w:pPr>
        <w:pStyle w:val="Heading1"/>
        <w:keepNext/>
      </w:pPr>
      <w:r>
        <w:t>9. Chain-linked index valuation and attribution</w:t>
      </w:r>
    </w:p>
    <w:p>
      <w:pPr>
        <w:pStyle w:val="Heading2"/>
        <w:keepNext/>
      </w:pPr>
      <w:r>
        <w:t>EQ-066 · Value-aggregate reference index</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I_t = G_t × Σ_i W_i,t × (P_i,t / P_i,0)</w:t>
      </w:r>
    </w:p>
    <w:p>
      <w:pPr>
        <w:keepNext/>
        <w:spacing w:after="40"/>
      </w:pPr>
      <w:r>
        <w:rPr>
          <w:b/>
        </w:rPr>
        <w:t xml:space="preserve">Source: </w:t>
      </w:r>
      <w:r>
        <w:t>§9.1</w:t>
      </w:r>
    </w:p>
    <w:p>
      <w:pPr>
        <w:keepNext/>
        <w:spacing w:after="40"/>
      </w:pPr>
      <w:r>
        <w:rPr>
          <w:b/>
        </w:rPr>
        <w:t xml:space="preserve">Description: </w:t>
      </w:r>
      <w:r>
        <w:t>Builds an index from live weights, current constituent prices, immutable base prices, and cumulative chain-link normalization G_t.</w:t>
      </w:r>
    </w:p>
    <w:p>
      <w:pPr>
        <w:spacing w:after="140"/>
      </w:pPr>
      <w:r>
        <w:rPr>
          <w:b/>
        </w:rPr>
        <w:t xml:space="preserve">Developer alignment check: </w:t>
      </w:r>
      <w:r>
        <w:t>This is the intended current adaptive-index form; specify how G_t includes all divisor/constituency changes and ensure output is normalized at genesis.</w:t>
      </w:r>
    </w:p>
    <w:p>
      <w:pPr>
        <w:pStyle w:val="Heading2"/>
        <w:keepNext/>
      </w:pPr>
      <w:r>
        <w:t>EQ-067 · Base index condition</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I_0 = 1</w:t>
      </w:r>
    </w:p>
    <w:p>
      <w:pPr>
        <w:keepNext/>
        <w:spacing w:after="40"/>
      </w:pPr>
      <w:r>
        <w:rPr>
          <w:b/>
        </w:rPr>
        <w:t xml:space="preserve">Source: </w:t>
      </w:r>
      <w:r>
        <w:t>§9.1</w:t>
      </w:r>
    </w:p>
    <w:p>
      <w:pPr>
        <w:keepNext/>
        <w:spacing w:after="40"/>
      </w:pPr>
      <w:r>
        <w:rPr>
          <w:b/>
        </w:rPr>
        <w:t xml:space="preserve">Description: </w:t>
      </w:r>
      <w:r>
        <w:t>Initial index is one at the genesis base date.</w:t>
      </w:r>
    </w:p>
    <w:p>
      <w:pPr>
        <w:spacing w:after="140"/>
      </w:pPr>
      <w:r>
        <w:rPr>
          <w:b/>
        </w:rPr>
        <w:t xml:space="preserve">Developer alignment check: </w:t>
      </w:r>
      <w:r>
        <w:t>Match the 1.0000 convention used elsewhere and use the same base denominator in the contract and off-chain verifier.</w:t>
      </w:r>
    </w:p>
    <w:p>
      <w:pPr>
        <w:pStyle w:val="Heading2"/>
        <w:keepNext/>
      </w:pPr>
      <w:r>
        <w:t>EQ-068 · Recursive index form A</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I_t = I_t−1 × [Σ_i W_i,t × (P_i,t / P_i,t−1)]</w:t>
      </w:r>
    </w:p>
    <w:p>
      <w:pPr>
        <w:keepNext/>
        <w:spacing w:after="40"/>
      </w:pPr>
      <w:r>
        <w:rPr>
          <w:b/>
        </w:rPr>
        <w:t xml:space="preserve">Source: </w:t>
      </w:r>
      <w:r>
        <w:t>§9.2 [formula as printed]</w:t>
      </w:r>
    </w:p>
    <w:p>
      <w:pPr>
        <w:keepNext/>
        <w:spacing w:after="40"/>
      </w:pPr>
      <w:r>
        <w:rPr>
          <w:b/>
        </w:rPr>
        <w:t xml:space="preserve">Description: </w:t>
      </w:r>
      <w:r>
        <w:t>One displayed recursive form uses current-period weights for constituent price relatives.</w:t>
      </w:r>
    </w:p>
    <w:p>
      <w:pPr>
        <w:spacing w:after="140"/>
      </w:pPr>
      <w:r>
        <w:rPr>
          <w:b/>
        </w:rPr>
        <w:t xml:space="preserve">Developer alignment check: </w:t>
      </w:r>
      <w:r>
        <w:t>The next source formula uses prior-period weights; reconcile the intended convention against the prose and implementation before coding. Do not pick one silently.</w:t>
      </w:r>
    </w:p>
    <w:p>
      <w:pPr>
        <w:pStyle w:val="Heading2"/>
        <w:keepNext/>
      </w:pPr>
      <w:r>
        <w:t>EQ-069 · Recursive index form B</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I_t = I_t−1 × [Σ_i W_i,t−1 × (P_i,t / P_i,t−1)]</w:t>
      </w:r>
    </w:p>
    <w:p>
      <w:pPr>
        <w:keepNext/>
        <w:spacing w:after="40"/>
      </w:pPr>
      <w:r>
        <w:rPr>
          <w:b/>
        </w:rPr>
        <w:t xml:space="preserve">Source: </w:t>
      </w:r>
      <w:r>
        <w:t>§9.2 [formula as printed]</w:t>
      </w:r>
    </w:p>
    <w:p>
      <w:pPr>
        <w:keepNext/>
        <w:spacing w:after="40"/>
      </w:pPr>
      <w:r>
        <w:rPr>
          <w:b/>
        </w:rPr>
        <w:t xml:space="preserve">Description: </w:t>
      </w:r>
      <w:r>
        <w:t>A second displayed recursive form uses beginning-of-period/prior weights for price relatives.</w:t>
      </w:r>
    </w:p>
    <w:p>
      <w:pPr>
        <w:spacing w:after="140"/>
      </w:pPr>
      <w:r>
        <w:rPr>
          <w:b/>
        </w:rPr>
        <w:t xml:space="preserve">Developer alignment check: </w:t>
      </w:r>
      <w:r>
        <w:t>Record which equation is normative and why. Tests must demonstrate equivalence/expected behavior against the value-aggregate form and published return series.</w:t>
      </w:r>
    </w:p>
    <w:p>
      <w:pPr>
        <w:pStyle w:val="Heading2"/>
        <w:keepNext/>
      </w:pPr>
      <w:r>
        <w:t>EQ-070 · Chain-link divisor</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D_t = B_t− / B_t+</w:t>
      </w:r>
    </w:p>
    <w:p>
      <w:pPr>
        <w:keepNext/>
        <w:spacing w:after="40"/>
      </w:pPr>
      <w:r>
        <w:rPr>
          <w:b/>
        </w:rPr>
        <w:t xml:space="preserve">Source: </w:t>
      </w:r>
      <w:r>
        <w:t>§9.3</w:t>
      </w:r>
    </w:p>
    <w:p>
      <w:pPr>
        <w:keepNext/>
        <w:spacing w:after="40"/>
      </w:pPr>
      <w:r>
        <w:rPr>
          <w:b/>
        </w:rPr>
        <w:t xml:space="preserve">Description: </w:t>
      </w:r>
      <w:r>
        <w:t>Computes the divisor factor at a rebalance using pre- and post-rebalance basket values at the same prices.</w:t>
      </w:r>
    </w:p>
    <w:p>
      <w:pPr>
        <w:spacing w:after="140"/>
      </w:pPr>
      <w:r>
        <w:rPr>
          <w:b/>
        </w:rPr>
        <w:t xml:space="preserve">Developer alignment check: </w:t>
      </w:r>
      <w:r>
        <w:t>Define B_t− and B_t+ valuation basis explicitly; publish the basis and D_t for each change.</w:t>
      </w:r>
    </w:p>
    <w:p>
      <w:pPr>
        <w:pStyle w:val="Heading2"/>
        <w:keepNext/>
      </w:pPr>
      <w:r>
        <w:t>EQ-071 · Continuity at a rebalance</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I_t+ = D_t × B_t+ = B_t−</w:t>
      </w:r>
    </w:p>
    <w:p>
      <w:pPr>
        <w:keepNext/>
        <w:spacing w:after="40"/>
      </w:pPr>
      <w:r>
        <w:rPr>
          <w:b/>
        </w:rPr>
        <w:t xml:space="preserve">Source: </w:t>
      </w:r>
      <w:r>
        <w:t>§9.3</w:t>
      </w:r>
    </w:p>
    <w:p>
      <w:pPr>
        <w:keepNext/>
        <w:spacing w:after="40"/>
      </w:pPr>
      <w:r>
        <w:rPr>
          <w:b/>
        </w:rPr>
        <w:t xml:space="preserve">Description: </w:t>
      </w:r>
      <w:r>
        <w:t>Ensures a composition change creates no artificial index jump by construction.</w:t>
      </w:r>
    </w:p>
    <w:p>
      <w:pPr>
        <w:spacing w:after="140"/>
      </w:pPr>
      <w:r>
        <w:rPr>
          <w:b/>
        </w:rPr>
        <w:t xml:space="preserve">Developer alignment check: </w:t>
      </w:r>
      <w:r>
        <w:t>No phantom return may arise solely from changing weights or constituency.</w:t>
      </w:r>
    </w:p>
    <w:p>
      <w:pPr>
        <w:pStyle w:val="Heading2"/>
        <w:keepNext/>
      </w:pPr>
      <w:r>
        <w:t>EQ-072 · Gold period contribution</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Contribution_G = W_G,t−1 × [(P_G,t / P_G,t−1) − 1]</w:t>
      </w:r>
    </w:p>
    <w:p>
      <w:pPr>
        <w:keepNext/>
        <w:spacing w:after="40"/>
      </w:pPr>
      <w:r>
        <w:rPr>
          <w:b/>
        </w:rPr>
        <w:t xml:space="preserve">Source: </w:t>
      </w:r>
      <w:r>
        <w:t>§9.4</w:t>
      </w:r>
    </w:p>
    <w:p>
      <w:pPr>
        <w:keepNext/>
        <w:spacing w:after="40"/>
      </w:pPr>
      <w:r>
        <w:rPr>
          <w:b/>
        </w:rPr>
        <w:t xml:space="preserve">Description: </w:t>
      </w:r>
      <w:r>
        <w:t>Measures gold’s contribution to reference-index return using the prior period weight.</w:t>
      </w:r>
    </w:p>
    <w:p>
      <w:pPr>
        <w:spacing w:after="140"/>
      </w:pPr>
      <w:r>
        <w:rPr>
          <w:b/>
        </w:rPr>
        <w:t xml:space="preserve">Developer alignment check: </w:t>
      </w:r>
      <w:r>
        <w:t>Use the same period-weight convention as the selected chain-linked recursion.</w:t>
      </w:r>
    </w:p>
    <w:p>
      <w:pPr>
        <w:pStyle w:val="Heading2"/>
        <w:keepNext/>
      </w:pPr>
      <w:r>
        <w:t>EQ-073 · Currency/component period contribution</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Contribution_i = W_i,t−1 × [(P_i,t / P_i,t−1) − 1]</w:t>
      </w:r>
    </w:p>
    <w:p>
      <w:pPr>
        <w:keepNext/>
        <w:spacing w:after="40"/>
      </w:pPr>
      <w:r>
        <w:rPr>
          <w:b/>
        </w:rPr>
        <w:t xml:space="preserve">Source: </w:t>
      </w:r>
      <w:r>
        <w:t>§9.4</w:t>
      </w:r>
    </w:p>
    <w:p>
      <w:pPr>
        <w:keepNext/>
        <w:spacing w:after="40"/>
      </w:pPr>
      <w:r>
        <w:rPr>
          <w:b/>
        </w:rPr>
        <w:t xml:space="preserve">Description: </w:t>
      </w:r>
      <w:r>
        <w:t>Measures each component’s contribution to index return.</w:t>
      </w:r>
    </w:p>
    <w:p>
      <w:pPr>
        <w:spacing w:after="140"/>
      </w:pPr>
      <w:r>
        <w:rPr>
          <w:b/>
        </w:rPr>
        <w:t xml:space="preserve">Developer alignment check: </w:t>
      </w:r>
      <w:r>
        <w:t>Sum over the same active constituency and use price series with consistent units.</w:t>
      </w:r>
    </w:p>
    <w:p>
      <w:pPr>
        <w:pStyle w:val="Heading2"/>
        <w:keepNext/>
      </w:pPr>
      <w:r>
        <w:t>EQ-074 · Total index return attribution</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R_MTQ,t = Σ_i Contribution_i</w:t>
      </w:r>
    </w:p>
    <w:p>
      <w:pPr>
        <w:keepNext/>
        <w:spacing w:after="40"/>
      </w:pPr>
      <w:r>
        <w:rPr>
          <w:b/>
        </w:rPr>
        <w:t xml:space="preserve">Source: </w:t>
      </w:r>
      <w:r>
        <w:t>§9.4</w:t>
      </w:r>
    </w:p>
    <w:p>
      <w:pPr>
        <w:keepNext/>
        <w:spacing w:after="40"/>
      </w:pPr>
      <w:r>
        <w:rPr>
          <w:b/>
        </w:rPr>
        <w:t xml:space="preserve">Description: </w:t>
      </w:r>
      <w:r>
        <w:t>Aggregates per-component return contributions.</w:t>
      </w:r>
    </w:p>
    <w:p>
      <w:pPr>
        <w:spacing w:after="140"/>
      </w:pPr>
      <w:r>
        <w:rPr>
          <w:b/>
        </w:rPr>
        <w:t xml:space="preserve">Developer alignment check: </w:t>
      </w:r>
      <w:r>
        <w:t>Attribution plus separately reported execution costs and smoothing/tracking effects should explain the difference from realized portfolio results.</w:t>
      </w:r>
    </w:p>
    <w:p>
      <w:pPr>
        <w:pStyle w:val="Heading2"/>
        <w:keepNext/>
      </w:pPr>
      <w:r>
        <w:t>EQ-075 · Expanded attribution terms</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R_MTQ = R_USD + R_EUR + R_JPY + R_GBP + R_CNY + R_CHF + R_Gold</w:t>
      </w:r>
    </w:p>
    <w:p>
      <w:pPr>
        <w:keepNext/>
        <w:spacing w:after="40"/>
      </w:pPr>
      <w:r>
        <w:rPr>
          <w:b/>
        </w:rPr>
        <w:t xml:space="preserve">Source: </w:t>
      </w:r>
      <w:r>
        <w:t>§9.4</w:t>
      </w:r>
    </w:p>
    <w:p>
      <w:pPr>
        <w:keepNext/>
        <w:spacing w:after="40"/>
      </w:pPr>
      <w:r>
        <w:rPr>
          <w:b/>
        </w:rPr>
        <w:t xml:space="preserve">Description: </w:t>
      </w:r>
      <w:r>
        <w:t>Shows the initial seven-component contribution decomposition.</w:t>
      </w:r>
    </w:p>
    <w:p>
      <w:pPr>
        <w:spacing w:after="140"/>
      </w:pPr>
      <w:r>
        <w:rPr>
          <w:b/>
        </w:rPr>
        <w:t xml:space="preserve">Developer alignment check: </w:t>
      </w:r>
      <w:r>
        <w:t>Generalize the summation to the active set if constituency changes; do not permanently freeze the universe to the seven initial components.</w:t>
      </w:r>
    </w:p>
    <w:p>
      <w:pPr>
        <w:pStyle w:val="Heading2"/>
        <w:keepNext/>
      </w:pPr>
      <w:r>
        <w:t>EQ-076 · Legacy GFB fixed-quantity index</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GFB_t = (q_USD·1.00 + q_EUR·FX_EUR/USD,t + q_GBP·FX_GBP/USD,t + q_JPY·FX_JPY/USD,t + q_CNY·FX_CNY/USD,t) / (q_USD·1.00 + q_EUR·FX_EUR/USD,base + q_GBP·FX_GBP/USD,base + q_JPY·FX_JPY/USD,base + q_CNY·FX_CNY/USD,base)</w:t>
      </w:r>
    </w:p>
    <w:p>
      <w:pPr>
        <w:keepNext/>
        <w:spacing w:after="40"/>
      </w:pPr>
      <w:r>
        <w:rPr>
          <w:b/>
        </w:rPr>
        <w:t xml:space="preserve">Source: </w:t>
      </w:r>
      <w:r>
        <w:t>§9.7.1 [historical fixed-quantity form]</w:t>
      </w:r>
    </w:p>
    <w:p>
      <w:pPr>
        <w:keepNext/>
        <w:spacing w:after="40"/>
      </w:pPr>
      <w:r>
        <w:rPr>
          <w:b/>
        </w:rPr>
        <w:t xml:space="preserve">Description: </w:t>
      </w:r>
      <w:r>
        <w:t>Carries the former fixed-quantity GFB formula in the historical index-construction section.</w:t>
      </w:r>
    </w:p>
    <w:p>
      <w:pPr>
        <w:spacing w:after="140"/>
      </w:pPr>
      <w:r>
        <w:rPr>
          <w:b/>
        </w:rPr>
        <w:t xml:space="preserve">Developer alignment check: </w:t>
      </w:r>
      <w:r>
        <w:t>Treat as legacy/source-lineage only unless the owner explicitly reclassifies it. It omits CHF and gold and is not the current adaptive seven-component formula; the v2.0 index equations govern current behavior.</w:t>
      </w:r>
    </w:p>
    <w:p>
      <w:pPr>
        <w:pStyle w:val="Heading1"/>
        <w:keepNext/>
      </w:pPr>
      <w:r>
        <w:t>10. MARP: Monetary Adaptive Rebalancing Protocol</w:t>
      </w:r>
    </w:p>
    <w:p>
      <w:pPr>
        <w:pStyle w:val="Heading2"/>
        <w:keepNext/>
      </w:pPr>
      <w:r>
        <w:t>EQ-077 · MARP calculation state</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Calc_t = {W_t^Target, Risk_t, CVaR_t, ReserveCoverage_t, Liquidity_t, OracleHealth_t, TransactionCost_t}</w:t>
      </w:r>
    </w:p>
    <w:p>
      <w:pPr>
        <w:keepNext/>
        <w:spacing w:after="40"/>
      </w:pPr>
      <w:r>
        <w:rPr>
          <w:b/>
        </w:rPr>
        <w:t xml:space="preserve">Source: </w:t>
      </w:r>
      <w:r>
        <w:t>§10.1</w:t>
      </w:r>
    </w:p>
    <w:p>
      <w:pPr>
        <w:keepNext/>
        <w:spacing w:after="40"/>
      </w:pPr>
      <w:r>
        <w:rPr>
          <w:b/>
        </w:rPr>
        <w:t xml:space="preserve">Description: </w:t>
      </w:r>
      <w:r>
        <w:t>State inputs for a daily execution decision.</w:t>
      </w:r>
    </w:p>
    <w:p>
      <w:pPr>
        <w:spacing w:after="140"/>
      </w:pPr>
      <w:r>
        <w:rPr>
          <w:b/>
        </w:rPr>
        <w:t xml:space="preserve">Developer alignment check: </w:t>
      </w:r>
      <w:r>
        <w:t>Keep daily calculation separate from execution. A daily data calculation must not imply a daily trade.</w:t>
      </w:r>
    </w:p>
    <w:p>
      <w:pPr>
        <w:pStyle w:val="Heading2"/>
        <w:keepNext/>
      </w:pPr>
      <w:r>
        <w:t>EQ-078 · Component urgency score</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U_i = aD_i + b RiskDeterioration_i + c PPDeterioration_i + d Crisis_i − e TransactionCost_i</w:t>
      </w:r>
    </w:p>
    <w:p>
      <w:pPr>
        <w:keepNext/>
        <w:spacing w:after="40"/>
      </w:pPr>
      <w:r>
        <w:rPr>
          <w:b/>
        </w:rPr>
        <w:t xml:space="preserve">Source: </w:t>
      </w:r>
      <w:r>
        <w:t>§10.2</w:t>
      </w:r>
    </w:p>
    <w:p>
      <w:pPr>
        <w:keepNext/>
        <w:spacing w:after="40"/>
      </w:pPr>
      <w:r>
        <w:rPr>
          <w:b/>
        </w:rPr>
        <w:t xml:space="preserve">Description: </w:t>
      </w:r>
      <w:r>
        <w:t>Combines deviation, risk deterioration, purchasing-power deterioration and crisis signal, less transaction cost.</w:t>
      </w:r>
    </w:p>
    <w:p>
      <w:pPr>
        <w:spacing w:after="140"/>
      </w:pPr>
      <w:r>
        <w:rPr>
          <w:b/>
        </w:rPr>
        <w:t xml:space="preserve">Developer alignment check: </w:t>
      </w:r>
      <w:r>
        <w:t>Define coefficient signs/scales and the threshold U_min in a versioned rule set.</w:t>
      </w:r>
    </w:p>
    <w:p>
      <w:pPr>
        <w:pStyle w:val="Heading2"/>
        <w:keepNext/>
      </w:pPr>
      <w:r>
        <w:t>EQ-079 · Deviation and no-trade zone</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D_i,t = |W_i,t^Actual − W_i,t^Target|;  Trade_i = 0 if D_i,t ≤ θ_i,t</w:t>
      </w:r>
    </w:p>
    <w:p>
      <w:pPr>
        <w:keepNext/>
        <w:spacing w:after="40"/>
      </w:pPr>
      <w:r>
        <w:rPr>
          <w:b/>
        </w:rPr>
        <w:t xml:space="preserve">Source: </w:t>
      </w:r>
      <w:r>
        <w:t>§10.4–10.5</w:t>
      </w:r>
    </w:p>
    <w:p>
      <w:pPr>
        <w:keepNext/>
        <w:spacing w:after="40"/>
      </w:pPr>
      <w:r>
        <w:rPr>
          <w:b/>
        </w:rPr>
        <w:t xml:space="preserve">Description: </w:t>
      </w:r>
      <w:r>
        <w:t>If deviation is within the no-trade band, no trade is executed.</w:t>
      </w:r>
    </w:p>
    <w:p>
      <w:pPr>
        <w:spacing w:after="140"/>
      </w:pPr>
      <w:r>
        <w:rPr>
          <w:b/>
        </w:rPr>
        <w:t xml:space="preserve">Developer alignment check: </w:t>
      </w:r>
      <w:r>
        <w:t>No-trade bands do not override emergency or risk-trigger rules explicitly allowed by the blueprint.</w:t>
      </w:r>
    </w:p>
    <w:p>
      <w:pPr>
        <w:pStyle w:val="Heading2"/>
        <w:keepNext/>
      </w:pPr>
      <w:r>
        <w:t>EQ-080 · Dynamic base threshold</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θ_i,t = θ_base + f(Volatility_i, Liquidity_i, Spread_i, Slippage_i)</w:t>
      </w:r>
    </w:p>
    <w:p>
      <w:pPr>
        <w:keepNext/>
        <w:spacing w:after="40"/>
      </w:pPr>
      <w:r>
        <w:rPr>
          <w:b/>
        </w:rPr>
        <w:t xml:space="preserve">Source: </w:t>
      </w:r>
      <w:r>
        <w:t>§10.5</w:t>
      </w:r>
    </w:p>
    <w:p>
      <w:pPr>
        <w:keepNext/>
        <w:spacing w:after="40"/>
      </w:pPr>
      <w:r>
        <w:rPr>
          <w:b/>
        </w:rPr>
        <w:t xml:space="preserve">Description: </w:t>
      </w:r>
      <w:r>
        <w:t>Widens the no-trade band when market or execution risk rises.</w:t>
      </w:r>
    </w:p>
    <w:p>
      <w:pPr>
        <w:spacing w:after="140"/>
      </w:pPr>
      <w:r>
        <w:rPr>
          <w:b/>
        </w:rPr>
        <w:t xml:space="preserve">Developer alignment check: </w:t>
      </w:r>
      <w:r>
        <w:t>The precise f must be defined in the normative implementation; do not invent weights.</w:t>
      </w:r>
    </w:p>
    <w:p>
      <w:pPr>
        <w:pStyle w:val="Heading2"/>
        <w:keepNext/>
      </w:pPr>
      <w:r>
        <w:t>EQ-081 · Expanded no-trade threshold form</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θ_i,t = θ_base + κ₁σ̃_i + κ₂(1 − Liquiditỹ_i) + κ₃Spread̃_i + κ₄Slippagẽ_i</w:t>
      </w:r>
    </w:p>
    <w:p>
      <w:pPr>
        <w:keepNext/>
        <w:spacing w:after="40"/>
      </w:pPr>
      <w:r>
        <w:rPr>
          <w:b/>
        </w:rPr>
        <w:t xml:space="preserve">Source: </w:t>
      </w:r>
      <w:r>
        <w:t>§10.5</w:t>
      </w:r>
    </w:p>
    <w:p>
      <w:pPr>
        <w:keepNext/>
        <w:spacing w:after="40"/>
      </w:pPr>
      <w:r>
        <w:rPr>
          <w:b/>
        </w:rPr>
        <w:t xml:space="preserve">Description: </w:t>
      </w:r>
      <w:r>
        <w:t>One explicitly displayed expanded form using normalized volatility, liquidity, spread, and slippage.</w:t>
      </w:r>
    </w:p>
    <w:p>
      <w:pPr>
        <w:spacing w:after="140"/>
      </w:pPr>
      <w:r>
        <w:rPr>
          <w:b/>
        </w:rPr>
        <w:t xml:space="preserve">Developer alignment check: </w:t>
      </w:r>
      <w:r>
        <w:t>Confirm units/scaling for every normalized input and calibrate κ values under validation.</w:t>
      </w:r>
    </w:p>
    <w:p>
      <w:pPr>
        <w:pStyle w:val="Heading2"/>
        <w:keepNext/>
      </w:pPr>
      <w:r>
        <w:t>EQ-082 · Partial rebalancing</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Trade_i = β_i,t × (W_i,t^Target − W_i,t^Actual),  0 &lt; β_i,t ≤ 1</w:t>
      </w:r>
    </w:p>
    <w:p>
      <w:pPr>
        <w:keepNext/>
        <w:spacing w:after="40"/>
      </w:pPr>
      <w:r>
        <w:rPr>
          <w:b/>
        </w:rPr>
        <w:t xml:space="preserve">Source: </w:t>
      </w:r>
      <w:r>
        <w:t>§10.6</w:t>
      </w:r>
    </w:p>
    <w:p>
      <w:pPr>
        <w:keepNext/>
        <w:spacing w:after="40"/>
      </w:pPr>
      <w:r>
        <w:rPr>
          <w:b/>
        </w:rPr>
        <w:t xml:space="preserve">Description: </w:t>
      </w:r>
      <w:r>
        <w:t>Corrects only a fraction of the full allocation gap to reduce impact and avoid overtrading.</w:t>
      </w:r>
    </w:p>
    <w:p>
      <w:pPr>
        <w:spacing w:after="140"/>
      </w:pPr>
      <w:r>
        <w:rPr>
          <w:b/>
        </w:rPr>
        <w:t xml:space="preserve">Developer alignment check: </w:t>
      </w:r>
      <w:r>
        <w:t>The source worked example uses β=0.40; that is an example parameter, not a universal fixed β.</w:t>
      </w:r>
    </w:p>
    <w:p>
      <w:pPr>
        <w:pStyle w:val="Heading2"/>
        <w:keepNext/>
      </w:pPr>
      <w:r>
        <w:t>EQ-083 · Adaptive partial-rebalance fraction</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β_i,t = clip(β₀ + β₁U_i − β₂ ImpactHat_i, β_min, 1)</w:t>
      </w:r>
    </w:p>
    <w:p>
      <w:pPr>
        <w:keepNext/>
        <w:spacing w:after="40"/>
      </w:pPr>
      <w:r>
        <w:rPr>
          <w:b/>
        </w:rPr>
        <w:t xml:space="preserve">Source: </w:t>
      </w:r>
      <w:r>
        <w:t>§10.6</w:t>
      </w:r>
    </w:p>
    <w:p>
      <w:pPr>
        <w:keepNext/>
        <w:spacing w:after="40"/>
      </w:pPr>
      <w:r>
        <w:rPr>
          <w:b/>
        </w:rPr>
        <w:t xml:space="preserve">Description: </w:t>
      </w:r>
      <w:r>
        <w:t>Adjusts trade fraction upward with urgency and downward with estimated market impact, bounded by β_min and 1.</w:t>
      </w:r>
    </w:p>
    <w:p>
      <w:pPr>
        <w:spacing w:after="140"/>
      </w:pPr>
      <w:r>
        <w:rPr>
          <w:b/>
        </w:rPr>
        <w:t xml:space="preserve">Developer alignment check: </w:t>
      </w:r>
      <w:r>
        <w:t>Publish β parameters and confirm the clipping function’s fixed-point implementation.</w:t>
      </w:r>
    </w:p>
    <w:p>
      <w:pPr>
        <w:pStyle w:val="Heading2"/>
        <w:keepNext/>
      </w:pPr>
      <w:r>
        <w:t>EQ-084 · Residual trade after natural flows</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TradeNeeded_i = TargetGap_i − CF_i,t</w:t>
      </w:r>
    </w:p>
    <w:p>
      <w:pPr>
        <w:keepNext/>
        <w:spacing w:after="40"/>
      </w:pPr>
      <w:r>
        <w:rPr>
          <w:b/>
        </w:rPr>
        <w:t xml:space="preserve">Source: </w:t>
      </w:r>
      <w:r>
        <w:t>§10.7</w:t>
      </w:r>
    </w:p>
    <w:p>
      <w:pPr>
        <w:keepNext/>
        <w:spacing w:after="40"/>
      </w:pPr>
      <w:r>
        <w:rPr>
          <w:b/>
        </w:rPr>
        <w:t xml:space="preserve">Description: </w:t>
      </w:r>
      <w:r>
        <w:t>Subtracts the gap closed by mints, redemptions, and other natural flows from the target gap.</w:t>
      </w:r>
    </w:p>
    <w:p>
      <w:pPr>
        <w:spacing w:after="140"/>
      </w:pPr>
      <w:r>
        <w:rPr>
          <w:b/>
        </w:rPr>
        <w:t xml:space="preserve">Developer alignment check: </w:t>
      </w:r>
      <w:r>
        <w:t>Apply natural-flow netting before constructing an external-market trade.</w:t>
      </w:r>
    </w:p>
    <w:p>
      <w:pPr>
        <w:pStyle w:val="Heading2"/>
        <w:keepNext/>
      </w:pPr>
      <w:r>
        <w:t>EQ-085 · Trade sized from residual</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Trade_i = f(TradeNeeded_i)</w:t>
      </w:r>
    </w:p>
    <w:p>
      <w:pPr>
        <w:keepNext/>
        <w:spacing w:after="40"/>
      </w:pPr>
      <w:r>
        <w:rPr>
          <w:b/>
        </w:rPr>
        <w:t xml:space="preserve">Source: </w:t>
      </w:r>
      <w:r>
        <w:t>§10.7</w:t>
      </w:r>
    </w:p>
    <w:p>
      <w:pPr>
        <w:keepNext/>
        <w:spacing w:after="40"/>
      </w:pPr>
      <w:r>
        <w:rPr>
          <w:b/>
        </w:rPr>
        <w:t xml:space="preserve">Description: </w:t>
      </w:r>
      <w:r>
        <w:t>Maps the residual need to an execution quantity subject to liquidity, turnover and trade-direction constraints.</w:t>
      </w:r>
    </w:p>
    <w:p>
      <w:pPr>
        <w:spacing w:after="140"/>
      </w:pPr>
      <w:r>
        <w:rPr>
          <w:b/>
        </w:rPr>
        <w:t xml:space="preserve">Developer alignment check: </w:t>
      </w:r>
      <w:r>
        <w:t>Define exact f through MARP execution rules; natural flow is not a substitute for final cost and safety gates.</w:t>
      </w:r>
    </w:p>
    <w:p>
      <w:pPr>
        <w:pStyle w:val="Heading2"/>
        <w:keepNext/>
      </w:pPr>
      <w:r>
        <w:t>EQ-086 · Execution cost decomposition</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Cost_i = Spread_i + Slippage_i + Fees_i + Impact_i + OperationalCost_i</w:t>
      </w:r>
    </w:p>
    <w:p>
      <w:pPr>
        <w:keepNext/>
        <w:spacing w:after="40"/>
      </w:pPr>
      <w:r>
        <w:rPr>
          <w:b/>
        </w:rPr>
        <w:t xml:space="preserve">Source: </w:t>
      </w:r>
      <w:r>
        <w:t>§10.8</w:t>
      </w:r>
    </w:p>
    <w:p>
      <w:pPr>
        <w:keepNext/>
        <w:spacing w:after="40"/>
      </w:pPr>
      <w:r>
        <w:rPr>
          <w:b/>
        </w:rPr>
        <w:t xml:space="preserve">Description: </w:t>
      </w:r>
      <w:r>
        <w:t>Total expected cost comprises spread, slippage, fees, market impact, and operational cost.</w:t>
      </w:r>
    </w:p>
    <w:p>
      <w:pPr>
        <w:spacing w:after="140"/>
      </w:pPr>
      <w:r>
        <w:rPr>
          <w:b/>
        </w:rPr>
        <w:t xml:space="preserve">Developer alignment check: </w:t>
      </w:r>
      <w:r>
        <w:t>Ensure units all represent comparable value/cost terms; include gas and router fees where the execution implementation specifies them.</w:t>
      </w:r>
    </w:p>
    <w:p>
      <w:pPr>
        <w:pStyle w:val="Heading2"/>
        <w:keepNext/>
      </w:pPr>
      <w:r>
        <w:t>EQ-087 · Net-benefit gate</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NetBenefit_i = Benefit_i − Cost_i; execute only when NetBenefit_i &gt; ε</w:t>
      </w:r>
    </w:p>
    <w:p>
      <w:pPr>
        <w:keepNext/>
        <w:spacing w:after="40"/>
      </w:pPr>
      <w:r>
        <w:rPr>
          <w:b/>
        </w:rPr>
        <w:t xml:space="preserve">Source: </w:t>
      </w:r>
      <w:r>
        <w:t>§10.8</w:t>
      </w:r>
    </w:p>
    <w:p>
      <w:pPr>
        <w:keepNext/>
        <w:spacing w:after="40"/>
      </w:pPr>
      <w:r>
        <w:rPr>
          <w:b/>
        </w:rPr>
        <w:t xml:space="preserve">Description: </w:t>
      </w:r>
      <w:r>
        <w:t>External execution is permitted only when expected stability benefit exceeds estimated execution cost by a positive threshold.</w:t>
      </w:r>
    </w:p>
    <w:p>
      <w:pPr>
        <w:spacing w:after="140"/>
      </w:pPr>
      <w:r>
        <w:rPr>
          <w:b/>
        </w:rPr>
        <w:t xml:space="preserve">Developer alignment check: </w:t>
      </w:r>
      <w:r>
        <w:t>A trade outside the no-trade band can still be rejected by this gate, except where the blueprint explicitly defines a safety override.</w:t>
      </w:r>
    </w:p>
    <w:p>
      <w:pPr>
        <w:pStyle w:val="Heading2"/>
        <w:keepNext/>
      </w:pPr>
      <w:r>
        <w:t>EQ-088 · Expanded net benefit</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NetBenefit = RiskReduction + PPImprovement + DiversificationImprovement − ExecutionCost</w:t>
      </w:r>
    </w:p>
    <w:p>
      <w:pPr>
        <w:keepNext/>
        <w:spacing w:after="40"/>
      </w:pPr>
      <w:r>
        <w:rPr>
          <w:b/>
        </w:rPr>
        <w:t xml:space="preserve">Source: </w:t>
      </w:r>
      <w:r>
        <w:t>§10.8</w:t>
      </w:r>
    </w:p>
    <w:p>
      <w:pPr>
        <w:keepNext/>
        <w:spacing w:after="40"/>
      </w:pPr>
      <w:r>
        <w:rPr>
          <w:b/>
        </w:rPr>
        <w:t xml:space="preserve">Description: </w:t>
      </w:r>
      <w:r>
        <w:t>Describes the principal benefits net of execution friction.</w:t>
      </w:r>
    </w:p>
    <w:p>
      <w:pPr>
        <w:spacing w:after="140"/>
      </w:pPr>
      <w:r>
        <w:rPr>
          <w:b/>
        </w:rPr>
        <w:t xml:space="preserve">Developer alignment check: </w:t>
      </w:r>
      <w:r>
        <w:t>Document how benefits are measured/normalized; do not treat the function’s labels as self-defining numerical outputs.</w:t>
      </w:r>
    </w:p>
    <w:p>
      <w:pPr>
        <w:pStyle w:val="Heading2"/>
        <w:keepNext/>
      </w:pPr>
      <w:r>
        <w:t>EQ-089 · Trade optimization objective</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J(ΔW) = λ₁(W_obs − W_Target − ΔW)^2 + λ₂(Spread·ΔW + FixedGas) + λ₃Urgency + λ₄|ΔW|</w:t>
      </w:r>
    </w:p>
    <w:p>
      <w:pPr>
        <w:keepNext/>
        <w:spacing w:after="40"/>
      </w:pPr>
      <w:r>
        <w:rPr>
          <w:b/>
        </w:rPr>
        <w:t xml:space="preserve">Source: </w:t>
      </w:r>
      <w:r>
        <w:t>§10.9</w:t>
      </w:r>
    </w:p>
    <w:p>
      <w:pPr>
        <w:keepNext/>
        <w:spacing w:after="40"/>
      </w:pPr>
      <w:r>
        <w:rPr>
          <w:b/>
        </w:rPr>
        <w:t xml:space="preserve">Description: </w:t>
      </w:r>
      <w:r>
        <w:t>Balances remaining deviation, execution cost, urgency, and turnover in a trade-sizing objective as printed in §10.9.</w:t>
      </w:r>
    </w:p>
    <w:p>
      <w:pPr>
        <w:spacing w:after="140"/>
      </w:pPr>
      <w:r>
        <w:rPr>
          <w:b/>
        </w:rPr>
        <w:t xml:space="preserve">Developer alignment check: </w:t>
      </w:r>
      <w:r>
        <w:t>The printed formula does not visibly state the minimize/maximize operator and the sign treatment of the urgency term is not fully explicit. Confirm the intended optimization direction before implementation; do not infer it silently.</w:t>
      </w:r>
    </w:p>
    <w:p>
      <w:pPr>
        <w:pStyle w:val="Heading2"/>
        <w:keepNext/>
      </w:pPr>
      <w:r>
        <w:t>EQ-090 · Dynamic execution frequency</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Frequency_t = f(Drift, Risk, Liquidity, Cost, StructuralChange)</w:t>
      </w:r>
    </w:p>
    <w:p>
      <w:pPr>
        <w:keepNext/>
        <w:spacing w:after="40"/>
      </w:pPr>
      <w:r>
        <w:rPr>
          <w:b/>
        </w:rPr>
        <w:t xml:space="preserve">Source: </w:t>
      </w:r>
      <w:r>
        <w:t>§10.10</w:t>
      </w:r>
    </w:p>
    <w:p>
      <w:pPr>
        <w:keepNext/>
        <w:spacing w:after="40"/>
      </w:pPr>
      <w:r>
        <w:rPr>
          <w:b/>
        </w:rPr>
        <w:t xml:space="preserve">Description: </w:t>
      </w:r>
      <w:r>
        <w:t>Actual trading cadence is responsive to state and cost, while deeper methodology review is quarterly by default.</w:t>
      </w:r>
    </w:p>
    <w:p>
      <w:pPr>
        <w:spacing w:after="140"/>
      </w:pPr>
      <w:r>
        <w:rPr>
          <w:b/>
        </w:rPr>
        <w:t xml:space="preserve">Developer alignment check: </w:t>
      </w:r>
      <w:r>
        <w:t>Keep the periodic strategic-review schedule separate from MARP’s event-driven trade frequency.</w:t>
      </w:r>
    </w:p>
    <w:p>
      <w:pPr>
        <w:pStyle w:val="Heading1"/>
        <w:keepNext/>
      </w:pPr>
      <w:r>
        <w:t>11–12. Execution mechanics, quoting and slippage</w:t>
      </w:r>
    </w:p>
    <w:p>
      <w:pPr>
        <w:pStyle w:val="Heading2"/>
        <w:keepNext/>
      </w:pPr>
      <w:r>
        <w:t>EQ-091 · Observed component weight</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W_i,t^obs = V_i,t / V_net,t;  W_Gold,t^obs = V_Gold,t / V_net,t</w:t>
      </w:r>
    </w:p>
    <w:p>
      <w:pPr>
        <w:keepNext/>
        <w:spacing w:after="40"/>
      </w:pPr>
      <w:r>
        <w:rPr>
          <w:b/>
        </w:rPr>
        <w:t xml:space="preserve">Source: </w:t>
      </w:r>
      <w:r>
        <w:t>§11.1</w:t>
      </w:r>
    </w:p>
    <w:p>
      <w:pPr>
        <w:keepNext/>
        <w:spacing w:after="40"/>
      </w:pPr>
      <w:r>
        <w:rPr>
          <w:b/>
        </w:rPr>
        <w:t xml:space="preserve">Description: </w:t>
      </w:r>
      <w:r>
        <w:t>Computes observed weights from component/reserve values.</w:t>
      </w:r>
    </w:p>
    <w:p>
      <w:pPr>
        <w:spacing w:after="140"/>
      </w:pPr>
      <w:r>
        <w:rPr>
          <w:b/>
        </w:rPr>
        <w:t xml:space="preserve">Developer alignment check: </w:t>
      </w:r>
      <w:r>
        <w:t>The denominator and numerator must use a consistent valuation basis and haircut convention.</w:t>
      </w:r>
    </w:p>
    <w:p>
      <w:pPr>
        <w:pStyle w:val="Heading2"/>
        <w:keepNext/>
      </w:pPr>
      <w:r>
        <w:t>EQ-092 · Execution cost: gas plus slippage</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ExecutionCost = GasPrice × GasUnits + Slippage(|ΔW|)</w:t>
      </w:r>
    </w:p>
    <w:p>
      <w:pPr>
        <w:keepNext/>
        <w:spacing w:after="40"/>
      </w:pPr>
      <w:r>
        <w:rPr>
          <w:b/>
        </w:rPr>
        <w:t xml:space="preserve">Source: </w:t>
      </w:r>
      <w:r>
        <w:t>§11.4; §12.4</w:t>
      </w:r>
    </w:p>
    <w:p>
      <w:pPr>
        <w:keepNext/>
        <w:spacing w:after="40"/>
      </w:pPr>
      <w:r>
        <w:rPr>
          <w:b/>
        </w:rPr>
        <w:t xml:space="preserve">Description: </w:t>
      </w:r>
      <w:r>
        <w:t>Models fixed/estimated transaction gas together with trade-size-dependent slippage.</w:t>
      </w:r>
    </w:p>
    <w:p>
      <w:pPr>
        <w:spacing w:after="140"/>
      </w:pPr>
      <w:r>
        <w:rPr>
          <w:b/>
        </w:rPr>
        <w:t xml:space="preserve">Developer alignment check: </w:t>
      </w:r>
      <w:r>
        <w:t>Scale to one currency (normally USD equivalent) before comparing with expected benefit.</w:t>
      </w:r>
    </w:p>
    <w:p>
      <w:pPr>
        <w:pStyle w:val="Heading2"/>
        <w:keepNext/>
      </w:pPr>
      <w:r>
        <w:t>EQ-093 · Maximum trade size</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TradeSize_max = min(|Δ_t| × V_net,t, 0.10 × PoolDepth_24h)</w:t>
      </w:r>
    </w:p>
    <w:p>
      <w:pPr>
        <w:keepNext/>
        <w:spacing w:after="40"/>
      </w:pPr>
      <w:r>
        <w:rPr>
          <w:b/>
        </w:rPr>
        <w:t xml:space="preserve">Source: </w:t>
      </w:r>
      <w:r>
        <w:t>§11.4; §12.4</w:t>
      </w:r>
    </w:p>
    <w:p>
      <w:pPr>
        <w:keepNext/>
        <w:spacing w:after="40"/>
      </w:pPr>
      <w:r>
        <w:rPr>
          <w:b/>
        </w:rPr>
        <w:t xml:space="preserve">Description: </w:t>
      </w:r>
      <w:r>
        <w:t>Caps the trade at the portfolio gap value or 10% of 24-hour pool depth, whichever is smaller.</w:t>
      </w:r>
    </w:p>
    <w:p>
      <w:pPr>
        <w:spacing w:after="140"/>
      </w:pPr>
      <w:r>
        <w:rPr>
          <w:b/>
        </w:rPr>
        <w:t xml:space="preserve">Developer alignment check: </w:t>
      </w:r>
      <w:r>
        <w:t>Respect the stricter of this cap, the daily turnover cap and any route-specific liquidity cap.</w:t>
      </w:r>
    </w:p>
    <w:p>
      <w:pPr>
        <w:pStyle w:val="Heading2"/>
        <w:keepNext/>
      </w:pPr>
      <w:r>
        <w:t>EQ-094 · Sell slippage bound</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ExecRate ≥ OracleRate × (1 − τ_sell)</w:t>
      </w:r>
    </w:p>
    <w:p>
      <w:pPr>
        <w:keepNext/>
        <w:spacing w:after="40"/>
      </w:pPr>
      <w:r>
        <w:rPr>
          <w:b/>
        </w:rPr>
        <w:t xml:space="preserve">Source: </w:t>
      </w:r>
      <w:r>
        <w:t>§11.5.1; §12.3</w:t>
      </w:r>
    </w:p>
    <w:p>
      <w:pPr>
        <w:keepNext/>
        <w:spacing w:after="40"/>
      </w:pPr>
      <w:r>
        <w:rPr>
          <w:b/>
        </w:rPr>
        <w:t xml:space="preserve">Description: </w:t>
      </w:r>
      <w:r>
        <w:t>Selling gold must not execute below the oracle reference beyond the sell-side tolerance.</w:t>
      </w:r>
    </w:p>
    <w:p>
      <w:pPr>
        <w:spacing w:after="140"/>
      </w:pPr>
      <w:r>
        <w:rPr>
          <w:b/>
        </w:rPr>
        <w:t xml:space="preserve">Developer alignment check: </w:t>
      </w:r>
      <w:r>
        <w:t>Use sell-side tolerance only; reject stale quotes and quote expiry violations.</w:t>
      </w:r>
    </w:p>
    <w:p>
      <w:pPr>
        <w:pStyle w:val="Heading2"/>
        <w:keepNext/>
      </w:pPr>
      <w:r>
        <w:t>EQ-095 · Buy slippage bound</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ExecRate ≤ OracleRate × (1 + τ_buy)</w:t>
      </w:r>
    </w:p>
    <w:p>
      <w:pPr>
        <w:keepNext/>
        <w:spacing w:after="40"/>
      </w:pPr>
      <w:r>
        <w:rPr>
          <w:b/>
        </w:rPr>
        <w:t xml:space="preserve">Source: </w:t>
      </w:r>
      <w:r>
        <w:t>§11.5.1; §12.3</w:t>
      </w:r>
    </w:p>
    <w:p>
      <w:pPr>
        <w:keepNext/>
        <w:spacing w:after="40"/>
      </w:pPr>
      <w:r>
        <w:rPr>
          <w:b/>
        </w:rPr>
        <w:t xml:space="preserve">Description: </w:t>
      </w:r>
      <w:r>
        <w:t>Buying gold must not execute above the oracle reference beyond the buy-side tolerance.</w:t>
      </w:r>
    </w:p>
    <w:p>
      <w:pPr>
        <w:spacing w:after="140"/>
      </w:pPr>
      <w:r>
        <w:rPr>
          <w:b/>
        </w:rPr>
        <w:t xml:space="preserve">Developer alignment check: </w:t>
      </w:r>
      <w:r>
        <w:t>Use buy-side tolerance only; test both sides independently.</w:t>
      </w:r>
    </w:p>
    <w:p>
      <w:pPr>
        <w:pStyle w:val="Heading2"/>
        <w:keepNext/>
      </w:pPr>
      <w:r>
        <w:t>EQ-096 · Full execution-cost function</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ExecutionCost(q) = Spread(q) + Slippage(q) + Impact(q) + Fees(q)</w:t>
      </w:r>
    </w:p>
    <w:p>
      <w:pPr>
        <w:keepNext/>
        <w:spacing w:after="40"/>
      </w:pPr>
      <w:r>
        <w:rPr>
          <w:b/>
        </w:rPr>
        <w:t xml:space="preserve">Source: </w:t>
      </w:r>
      <w:r>
        <w:t>§12.1</w:t>
      </w:r>
    </w:p>
    <w:p>
      <w:pPr>
        <w:keepNext/>
        <w:spacing w:after="40"/>
      </w:pPr>
      <w:r>
        <w:rPr>
          <w:b/>
        </w:rPr>
        <w:t xml:space="preserve">Description: </w:t>
      </w:r>
      <w:r>
        <w:t>Models the cost dependence on a trade quantity q.</w:t>
      </w:r>
    </w:p>
    <w:p>
      <w:pPr>
        <w:spacing w:after="140"/>
      </w:pPr>
      <w:r>
        <w:rPr>
          <w:b/>
        </w:rPr>
        <w:t xml:space="preserve">Developer alignment check: </w:t>
      </w:r>
      <w:r>
        <w:t>The detailed implementations may also include gas and operational costs; reconcile the broad function with §10.8 and contract code.</w:t>
      </w:r>
    </w:p>
    <w:p>
      <w:pPr>
        <w:pStyle w:val="Heading2"/>
        <w:keepNext/>
      </w:pPr>
      <w:r>
        <w:t>EQ-097 · Execution constraints</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ExecutionTime ≤ T_max;  MarketImpact ≤ I_max</w:t>
      </w:r>
    </w:p>
    <w:p>
      <w:pPr>
        <w:keepNext/>
        <w:spacing w:after="40"/>
      </w:pPr>
      <w:r>
        <w:rPr>
          <w:b/>
        </w:rPr>
        <w:t xml:space="preserve">Source: </w:t>
      </w:r>
      <w:r>
        <w:t>§12.1</w:t>
      </w:r>
    </w:p>
    <w:p>
      <w:pPr>
        <w:keepNext/>
        <w:spacing w:after="40"/>
      </w:pPr>
      <w:r>
        <w:rPr>
          <w:b/>
        </w:rPr>
        <w:t xml:space="preserve">Description: </w:t>
      </w:r>
      <w:r>
        <w:t>Imposes upper bounds on execution duration and market impact.</w:t>
      </w:r>
    </w:p>
    <w:p>
      <w:pPr>
        <w:spacing w:after="140"/>
      </w:pPr>
      <w:r>
        <w:rPr>
          <w:b/>
        </w:rPr>
        <w:t xml:space="preserve">Developer alignment check: </w:t>
      </w:r>
      <w:r>
        <w:t>Define T_max and I_max in the governed parameter registry and fail closed when the quote/execution path cannot satisfy them.</w:t>
      </w:r>
    </w:p>
    <w:p>
      <w:pPr>
        <w:pStyle w:val="Heading2"/>
        <w:keepNext/>
      </w:pPr>
      <w:r>
        <w:t>EQ-098 · Minimum profitability gate</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NetBenefit = ReductionInDeviation − EstimatedExecutionCost &gt; 0</w:t>
      </w:r>
    </w:p>
    <w:p>
      <w:pPr>
        <w:keepNext/>
        <w:spacing w:after="40"/>
      </w:pPr>
      <w:r>
        <w:rPr>
          <w:b/>
        </w:rPr>
        <w:t xml:space="preserve">Source: </w:t>
      </w:r>
      <w:r>
        <w:t>§12.5</w:t>
      </w:r>
    </w:p>
    <w:p>
      <w:pPr>
        <w:keepNext/>
        <w:spacing w:after="40"/>
      </w:pPr>
      <w:r>
        <w:rPr>
          <w:b/>
        </w:rPr>
        <w:t xml:space="preserve">Description: </w:t>
      </w:r>
      <w:r>
        <w:t>Simplified positive-profitability guard in the execution-optimization chapter.</w:t>
      </w:r>
    </w:p>
    <w:p>
      <w:pPr>
        <w:spacing w:after="140"/>
      </w:pPr>
      <w:r>
        <w:rPr>
          <w:b/>
        </w:rPr>
        <w:t xml:space="preserve">Developer alignment check: </w:t>
      </w:r>
      <w:r>
        <w:t>Section 10.8’s more explicit form uses NetBenefit_i &gt; ε with ε &gt; 0. Decide which threshold is normative and align implementations.</w:t>
      </w:r>
    </w:p>
    <w:p>
      <w:pPr>
        <w:pStyle w:val="Heading2"/>
        <w:keepNext/>
      </w:pPr>
      <w:r>
        <w:t>EQ-099 · Minimum profitability threshold</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NetBenefit_i = ReductionInDeviation_i − EstimatedCost_i &gt; ε;  ε &gt; 0</w:t>
      </w:r>
    </w:p>
    <w:p>
      <w:pPr>
        <w:keepNext/>
        <w:spacing w:after="40"/>
      </w:pPr>
      <w:r>
        <w:rPr>
          <w:b/>
        </w:rPr>
        <w:t xml:space="preserve">Source: </w:t>
      </w:r>
      <w:r>
        <w:t>§12.5</w:t>
      </w:r>
    </w:p>
    <w:p>
      <w:pPr>
        <w:keepNext/>
        <w:spacing w:after="40"/>
      </w:pPr>
      <w:r>
        <w:rPr>
          <w:b/>
        </w:rPr>
        <w:t xml:space="preserve">Description: </w:t>
      </w:r>
      <w:r>
        <w:t>Requires positive surplus above a minimum tolerance rather than merely break-even.</w:t>
      </w:r>
    </w:p>
    <w:p>
      <w:pPr>
        <w:spacing w:after="140"/>
      </w:pPr>
      <w:r>
        <w:rPr>
          <w:b/>
        </w:rPr>
        <w:t xml:space="preserve">Developer alignment check: </w:t>
      </w:r>
      <w:r>
        <w:t>Do not let one contract use &gt;0 while another uses &gt;ε without documenting the policy difference.</w:t>
      </w:r>
    </w:p>
    <w:p>
      <w:pPr>
        <w:pStyle w:val="Heading2"/>
        <w:keepNext/>
      </w:pPr>
      <w:r>
        <w:t>EQ-100 · Cost estimate</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EstimatedCost = (gasPrice × gasUnits) + slippage + routerFee</w:t>
      </w:r>
    </w:p>
    <w:p>
      <w:pPr>
        <w:keepNext/>
        <w:spacing w:after="40"/>
      </w:pPr>
      <w:r>
        <w:rPr>
          <w:b/>
        </w:rPr>
        <w:t xml:space="preserve">Source: </w:t>
      </w:r>
      <w:r>
        <w:t>§12.7</w:t>
      </w:r>
    </w:p>
    <w:p>
      <w:pPr>
        <w:keepNext/>
        <w:spacing w:after="40"/>
      </w:pPr>
      <w:r>
        <w:rPr>
          <w:b/>
        </w:rPr>
        <w:t xml:space="preserve">Description: </w:t>
      </w:r>
      <w:r>
        <w:t>The execution contract’s cost estimate includes gas, slippage and router fee.</w:t>
      </w:r>
    </w:p>
    <w:p>
      <w:pPr>
        <w:spacing w:after="140"/>
      </w:pPr>
      <w:r>
        <w:rPr>
          <w:b/>
        </w:rPr>
        <w:t xml:space="preserve">Developer alignment check: </w:t>
      </w:r>
      <w:r>
        <w:t>Check consistent units, fresh gas data, quote amount, and fail-safe behavior if the estimate is unavailable.</w:t>
      </w:r>
    </w:p>
    <w:p>
      <w:pPr>
        <w:pStyle w:val="Heading1"/>
        <w:keepNext/>
      </w:pPr>
      <w:r>
        <w:t>13–16. Reserve coverage, asset concentrations and dynamic buffer</w:t>
      </w:r>
    </w:p>
    <w:p>
      <w:pPr>
        <w:pStyle w:val="Heading2"/>
        <w:keepNext/>
      </w:pPr>
      <w:r>
        <w:t>EQ-101 · Reserve sizing function</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Reserve_t = f(OutstandingMTQ_t, RedemptionRisk_t, Liquidity_t, CollateralRequirements_t, GoldRequirements_t)</w:t>
      </w:r>
    </w:p>
    <w:p>
      <w:pPr>
        <w:keepNext/>
        <w:spacing w:after="40"/>
      </w:pPr>
      <w:r>
        <w:rPr>
          <w:b/>
        </w:rPr>
        <w:t xml:space="preserve">Source: </w:t>
      </w:r>
      <w:r>
        <w:t>§13.1</w:t>
      </w:r>
    </w:p>
    <w:p>
      <w:pPr>
        <w:keepNext/>
        <w:spacing w:after="40"/>
      </w:pPr>
      <w:r>
        <w:rPr>
          <w:b/>
        </w:rPr>
        <w:t xml:space="preserve">Description: </w:t>
      </w:r>
      <w:r>
        <w:t>Reserve composition is designed to meet obligations, liquidity, collateral and gold-linked requirements.</w:t>
      </w:r>
    </w:p>
    <w:p>
      <w:pPr>
        <w:spacing w:after="140"/>
      </w:pPr>
      <w:r>
        <w:rPr>
          <w:b/>
        </w:rPr>
        <w:t xml:space="preserve">Developer alignment check: </w:t>
      </w:r>
      <w:r>
        <w:t>Reserve positions are not mechanically copied from the index weights.</w:t>
      </w:r>
    </w:p>
    <w:p>
      <w:pPr>
        <w:pStyle w:val="Heading2"/>
        <w:keepNext/>
      </w:pPr>
      <w:r>
        <w:t>EQ-102 · Coverage ratio</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CoverageRatio_t = EligibleReserveNAV_t / OutstandingMTQObligations_t;  CoverageRatio_t ≥ 1 (100%)</w:t>
      </w:r>
    </w:p>
    <w:p>
      <w:pPr>
        <w:keepNext/>
        <w:spacing w:after="40"/>
      </w:pPr>
      <w:r>
        <w:rPr>
          <w:b/>
        </w:rPr>
        <w:t xml:space="preserve">Source: </w:t>
      </w:r>
      <w:r>
        <w:t>§13.2</w:t>
      </w:r>
    </w:p>
    <w:p>
      <w:pPr>
        <w:keepNext/>
        <w:spacing w:after="40"/>
      </w:pPr>
      <w:r>
        <w:rPr>
          <w:b/>
        </w:rPr>
        <w:t xml:space="preserve">Description: </w:t>
      </w:r>
      <w:r>
        <w:t>Requires eligible reserve NAV to cover outstanding claims at least one-for-one.</w:t>
      </w:r>
    </w:p>
    <w:p>
      <w:pPr>
        <w:spacing w:after="140"/>
      </w:pPr>
      <w:r>
        <w:rPr>
          <w:b/>
        </w:rPr>
        <w:t xml:space="preserve">Developer alignment check: </w:t>
      </w:r>
      <w:r>
        <w:t>Use net eligible NAV and scenario-appropriate liability valuation; if below one, report and activate the specified governed recovery path.</w:t>
      </w:r>
    </w:p>
    <w:p>
      <w:pPr>
        <w:pStyle w:val="Heading2"/>
        <w:keepNext/>
      </w:pPr>
      <w:r>
        <w:t>EQ-103 · Eligible reserve NAV</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EligibleReserveNAV_t = V_net,t = Σ_j Q_j,t × P_j,t × (1 − H_j)</w:t>
      </w:r>
    </w:p>
    <w:p>
      <w:pPr>
        <w:keepNext/>
        <w:spacing w:after="40"/>
      </w:pPr>
      <w:r>
        <w:rPr>
          <w:b/>
        </w:rPr>
        <w:t xml:space="preserve">Source: </w:t>
      </w:r>
      <w:r>
        <w:t>§13.2.1; §14.1</w:t>
      </w:r>
    </w:p>
    <w:p>
      <w:pPr>
        <w:keepNext/>
        <w:spacing w:after="40"/>
      </w:pPr>
      <w:r>
        <w:rPr>
          <w:b/>
        </w:rPr>
        <w:t xml:space="preserve">Description: </w:t>
      </w:r>
      <w:r>
        <w:t>Defines the coverage numerator using eligible assets with haircuts.</w:t>
      </w:r>
    </w:p>
    <w:p>
      <w:pPr>
        <w:spacing w:after="140"/>
      </w:pPr>
      <w:r>
        <w:rPr>
          <w:b/>
        </w:rPr>
        <w:t xml:space="preserve">Developer alignment check: </w:t>
      </w:r>
      <w:r>
        <w:t>Admission status, price validity, custody/issuer restrictions and haircut schedules must feed eligibility.</w:t>
      </w:r>
    </w:p>
    <w:p>
      <w:pPr>
        <w:pStyle w:val="Heading2"/>
        <w:keepNext/>
      </w:pPr>
      <w:r>
        <w:t>EQ-104 · Gold index/reserve separation</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W_Gold^Index ≠ W_Gold^Reserve (in general)</w:t>
      </w:r>
    </w:p>
    <w:p>
      <w:pPr>
        <w:keepNext/>
        <w:spacing w:after="40"/>
      </w:pPr>
      <w:r>
        <w:rPr>
          <w:b/>
        </w:rPr>
        <w:t xml:space="preserve">Source: </w:t>
      </w:r>
      <w:r>
        <w:t>§13.3</w:t>
      </w:r>
    </w:p>
    <w:p>
      <w:pPr>
        <w:keepNext/>
        <w:spacing w:after="40"/>
      </w:pPr>
      <w:r>
        <w:rPr>
          <w:b/>
        </w:rPr>
        <w:t xml:space="preserve">Description: </w:t>
      </w:r>
      <w:r>
        <w:t>The reference gold share expresses purchasing-power reference; reserve gold is sized for backing/liquidity/custody/redemption needs.</w:t>
      </w:r>
    </w:p>
    <w:p>
      <w:pPr>
        <w:spacing w:after="140"/>
      </w:pPr>
      <w:r>
        <w:rPr>
          <w:b/>
        </w:rPr>
        <w:t xml:space="preserve">Developer alignment check: </w:t>
      </w:r>
      <w:r>
        <w:t>Never infer reserve gold quantity as 26% of holdings from the index prior.</w:t>
      </w:r>
    </w:p>
    <w:p>
      <w:pPr>
        <w:pStyle w:val="Heading2"/>
        <w:keepNext/>
      </w:pPr>
      <w:r>
        <w:t>EQ-105 · Liquidity coverage</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LiquidityCoverage_t = ImmediatelyLiquidEligibleAssets_t / NearTermObligations_t ≥ LCR_min</w:t>
      </w:r>
    </w:p>
    <w:p>
      <w:pPr>
        <w:keepNext/>
        <w:spacing w:after="40"/>
      </w:pPr>
      <w:r>
        <w:rPr>
          <w:b/>
        </w:rPr>
        <w:t xml:space="preserve">Source: </w:t>
      </w:r>
      <w:r>
        <w:t>§13.4</w:t>
      </w:r>
    </w:p>
    <w:p>
      <w:pPr>
        <w:keepNext/>
        <w:spacing w:after="40"/>
      </w:pPr>
      <w:r>
        <w:rPr>
          <w:b/>
        </w:rPr>
        <w:t xml:space="preserve">Description: </w:t>
      </w:r>
      <w:r>
        <w:t>The generic LCR formulation uses eligible immediately liquid assets over near-term obligations.</w:t>
      </w:r>
    </w:p>
    <w:p>
      <w:pPr>
        <w:spacing w:after="140"/>
      </w:pPr>
      <w:r>
        <w:rPr>
          <w:b/>
        </w:rPr>
        <w:t xml:space="preserve">Developer alignment check: </w:t>
      </w:r>
      <w:r>
        <w:t>Tie this general formula to the contract getter’s specific stress-redemption denominator and the approved liquid class.</w:t>
      </w:r>
    </w:p>
    <w:p>
      <w:pPr>
        <w:pStyle w:val="Heading2"/>
        <w:keepNext/>
      </w:pPr>
      <w:r>
        <w:t>EQ-106 · Stablecoin/liquid asset value</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LiquidAssets_t = Σ_{j∈Stablecoins} Q_j,t × P_j,t × (1 − H_j)</w:t>
      </w:r>
    </w:p>
    <w:p>
      <w:pPr>
        <w:keepNext/>
        <w:spacing w:after="40"/>
      </w:pPr>
      <w:r>
        <w:rPr>
          <w:b/>
        </w:rPr>
        <w:t xml:space="preserve">Source: </w:t>
      </w:r>
      <w:r>
        <w:t>§13.4</w:t>
      </w:r>
    </w:p>
    <w:p>
      <w:pPr>
        <w:keepNext/>
        <w:spacing w:after="40"/>
      </w:pPr>
      <w:r>
        <w:rPr>
          <w:b/>
        </w:rPr>
        <w:t xml:space="preserve">Description: </w:t>
      </w:r>
      <w:r>
        <w:t>Defines the liquidity numerator as net stablecoin value in the current implementation.</w:t>
      </w:r>
    </w:p>
    <w:p>
      <w:pPr>
        <w:spacing w:after="140"/>
      </w:pPr>
      <w:r>
        <w:rPr>
          <w:b/>
        </w:rPr>
        <w:t xml:space="preserve">Developer alignment check: </w:t>
      </w:r>
      <w:r>
        <w:t>Tokenized gold is described as 0% liquid for LCR purposes; do not include it in this numerator unless governance changes the liquidity classification.</w:t>
      </w:r>
    </w:p>
    <w:p>
      <w:pPr>
        <w:pStyle w:val="Heading2"/>
        <w:keepNext/>
      </w:pPr>
      <w:r>
        <w:t>EQ-107 · Stress redemption demand</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StressRedemptionDemand_t = S_circ,t × P_MTQ,t × 0.25</w:t>
      </w:r>
    </w:p>
    <w:p>
      <w:pPr>
        <w:keepNext/>
        <w:spacing w:after="40"/>
      </w:pPr>
      <w:r>
        <w:rPr>
          <w:b/>
        </w:rPr>
        <w:t xml:space="preserve">Source: </w:t>
      </w:r>
      <w:r>
        <w:t>§13.4</w:t>
      </w:r>
    </w:p>
    <w:p>
      <w:pPr>
        <w:keepNext/>
        <w:spacing w:after="40"/>
      </w:pPr>
      <w:r>
        <w:rPr>
          <w:b/>
        </w:rPr>
        <w:t xml:space="preserve">Description: </w:t>
      </w:r>
      <w:r>
        <w:t>Assumes stress demand equal to 25% of circulating liability value in the deployed reference implementation.</w:t>
      </w:r>
    </w:p>
    <w:p>
      <w:pPr>
        <w:spacing w:after="140"/>
      </w:pPr>
      <w:r>
        <w:rPr>
          <w:b/>
        </w:rPr>
        <w:t xml:space="preserve">Developer alignment check: </w:t>
      </w:r>
      <w:r>
        <w:t>Treat 25% as the stated parameterization, not a universal economic truth; validate it and keep code/docs aligned.</w:t>
      </w:r>
    </w:p>
    <w:p>
      <w:pPr>
        <w:pStyle w:val="Heading2"/>
        <w:keepNext/>
      </w:pPr>
      <w:r>
        <w:t>EQ-108 · Strategic gold reserve-sizing function</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R_G = f(MTQ obligations, GoldLinked obligations, Liquidity, Stress, Custody, Redemption)</w:t>
      </w:r>
    </w:p>
    <w:p>
      <w:pPr>
        <w:keepNext/>
        <w:spacing w:after="40"/>
      </w:pPr>
      <w:r>
        <w:rPr>
          <w:b/>
        </w:rPr>
        <w:t xml:space="preserve">Source: </w:t>
      </w:r>
      <w:r>
        <w:t>§13.5</w:t>
      </w:r>
    </w:p>
    <w:p>
      <w:pPr>
        <w:keepNext/>
        <w:spacing w:after="40"/>
      </w:pPr>
      <w:r>
        <w:rPr>
          <w:b/>
        </w:rPr>
        <w:t xml:space="preserve">Description: </w:t>
      </w:r>
      <w:r>
        <w:t>Reserve gold allocation responds to obligations, liquidity, stress, custody and redemption demand—not a fixed percentage.</w:t>
      </w:r>
    </w:p>
    <w:p>
      <w:pPr>
        <w:spacing w:after="140"/>
      </w:pPr>
      <w:r>
        <w:rPr>
          <w:b/>
        </w:rPr>
        <w:t xml:space="preserve">Developer alignment check: </w:t>
      </w:r>
      <w:r>
        <w:t>Do not use the old v1.2 26%/26.25% as a fixed reserve target in v2.0.</w:t>
      </w:r>
    </w:p>
    <w:p>
      <w:pPr>
        <w:pStyle w:val="Heading2"/>
        <w:keepNext/>
      </w:pPr>
      <w:r>
        <w:t>EQ-109 · Core and buffer reserve value</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V_net,t = V_core,t + V_buffer,t;  V_core,t = S_circ,t × P_MTQ,t;  V_buffer,t = 0.10 × S_circ,t × P_MTQ,t</w:t>
      </w:r>
    </w:p>
    <w:p>
      <w:pPr>
        <w:keepNext/>
        <w:spacing w:after="40"/>
      </w:pPr>
      <w:r>
        <w:rPr>
          <w:b/>
        </w:rPr>
        <w:t xml:space="preserve">Source: </w:t>
      </w:r>
      <w:r>
        <w:t>§13.5.2 [legacy core-plus-buffer structure]</w:t>
      </w:r>
    </w:p>
    <w:p>
      <w:pPr>
        <w:keepNext/>
        <w:spacing w:after="40"/>
      </w:pPr>
      <w:r>
        <w:rPr>
          <w:b/>
        </w:rPr>
        <w:t xml:space="preserve">Description: </w:t>
      </w:r>
      <w:r>
        <w:t>Describes a 100% core liability layer plus a 10% buffer in the historical core-plus-buffer configuration.</w:t>
      </w:r>
    </w:p>
    <w:p>
      <w:pPr>
        <w:spacing w:after="140"/>
      </w:pPr>
      <w:r>
        <w:rPr>
          <w:b/>
        </w:rPr>
        <w:t xml:space="preserve">Developer alignment check: </w:t>
      </w:r>
      <w:r>
        <w:t>Blueprint marks this as historical v1.2 input. Confirm how it coexists with the v2.0 live NAV measurement; don’t treat a target decomposition as actual reserves held.</w:t>
      </w:r>
    </w:p>
    <w:p>
      <w:pPr>
        <w:pStyle w:val="Heading2"/>
        <w:keepNext/>
      </w:pPr>
      <w:r>
        <w:t>EQ-110 · Buffer gold/fiat split</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V_buffer,gold,t = V_buffer,t × B_gold(RR_t);  V_buffer,fiat,t = V_buffer,t × (1 − B_gold(RR_t))</w:t>
      </w:r>
    </w:p>
    <w:p>
      <w:pPr>
        <w:keepNext/>
        <w:spacing w:after="40"/>
      </w:pPr>
      <w:r>
        <w:rPr>
          <w:b/>
        </w:rPr>
        <w:t xml:space="preserve">Source: </w:t>
      </w:r>
      <w:r>
        <w:t>§13.5.2; §16.3</w:t>
      </w:r>
    </w:p>
    <w:p>
      <w:pPr>
        <w:keepNext/>
        <w:spacing w:after="40"/>
      </w:pPr>
      <w:r>
        <w:rPr>
          <w:b/>
        </w:rPr>
        <w:t xml:space="preserve">Description: </w:t>
      </w:r>
      <w:r>
        <w:t>Allocates the buffer between gold and fiat/liquid assets using a state-dependent gold ratio.</w:t>
      </w:r>
    </w:p>
    <w:p>
      <w:pPr>
        <w:spacing w:after="140"/>
      </w:pPr>
      <w:r>
        <w:rPr>
          <w:b/>
        </w:rPr>
        <w:t xml:space="preserve">Developer alignment check: </w:t>
      </w:r>
      <w:r>
        <w:t>Use the current buffer state and target split; keep the core reserve separate from the managed buffer accounting.</w:t>
      </w:r>
    </w:p>
    <w:p>
      <w:pPr>
        <w:pStyle w:val="Heading2"/>
        <w:keepNext/>
      </w:pPr>
      <w:r>
        <w:t>EQ-111 · Historical total gold weight formula</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W_gold,total = 0.20 + 0.10 × B_gold(RR_t)</w:t>
      </w:r>
    </w:p>
    <w:p>
      <w:pPr>
        <w:keepNext/>
        <w:spacing w:after="40"/>
      </w:pPr>
      <w:r>
        <w:rPr>
          <w:b/>
        </w:rPr>
        <w:t xml:space="preserve">Source: </w:t>
      </w:r>
      <w:r>
        <w:t>§13.5.2 [legacy formula retained as reference]</w:t>
      </w:r>
    </w:p>
    <w:p>
      <w:pPr>
        <w:keepNext/>
        <w:spacing w:after="40"/>
      </w:pPr>
      <w:r>
        <w:rPr>
          <w:b/>
        </w:rPr>
        <w:t xml:space="preserve">Description: </w:t>
      </w:r>
      <w:r>
        <w:t>The 20% core gold plus 10% buffer allocation formula from the prior structure.</w:t>
      </w:r>
    </w:p>
    <w:p>
      <w:pPr>
        <w:spacing w:after="140"/>
      </w:pPr>
      <w:r>
        <w:rPr>
          <w:b/>
        </w:rPr>
        <w:t xml:space="preserve">Developer alignment check: </w:t>
      </w:r>
      <w:r>
        <w:t>Historical initialization only; the master spec states the v2.0 core gold share is adaptive. Do not mislabel this formula as the current reference-index gold weight.</w:t>
      </w:r>
    </w:p>
    <w:p>
      <w:pPr>
        <w:pStyle w:val="Heading2"/>
        <w:keepNext/>
      </w:pPr>
      <w:r>
        <w:t>EQ-112 · Prudential reserve NAV</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V_net,t = Σ_{j=1}^n Q_j,t × P_j,t × (1 − H_j)</w:t>
      </w:r>
    </w:p>
    <w:p>
      <w:pPr>
        <w:keepNext/>
        <w:spacing w:after="40"/>
      </w:pPr>
      <w:r>
        <w:rPr>
          <w:b/>
        </w:rPr>
        <w:t xml:space="preserve">Source: </w:t>
      </w:r>
      <w:r>
        <w:t>§14.1</w:t>
      </w:r>
    </w:p>
    <w:p>
      <w:pPr>
        <w:keepNext/>
        <w:spacing w:after="40"/>
      </w:pPr>
      <w:r>
        <w:rPr>
          <w:b/>
        </w:rPr>
        <w:t xml:space="preserve">Description: </w:t>
      </w:r>
      <w:r>
        <w:t>The canonical haircut-adjusted reserve asset value.</w:t>
      </w:r>
    </w:p>
    <w:p>
      <w:pPr>
        <w:spacing w:after="140"/>
      </w:pPr>
      <w:r>
        <w:rPr>
          <w:b/>
        </w:rPr>
        <w:t xml:space="preserve">Developer alignment check: </w:t>
      </w:r>
      <w:r>
        <w:t>Must be identical in the reserve manager, RR getter, daily state vector, stress reports and published audit records.</w:t>
      </w:r>
    </w:p>
    <w:p>
      <w:pPr>
        <w:pStyle w:val="Heading2"/>
        <w:keepNext/>
      </w:pPr>
      <w:r>
        <w:t>EQ-113 · Conservative gold NAV price</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P_gold,t = min(P_gold,reference, P_gold,executable)</w:t>
      </w:r>
    </w:p>
    <w:p>
      <w:pPr>
        <w:keepNext/>
        <w:spacing w:after="40"/>
      </w:pPr>
      <w:r>
        <w:rPr>
          <w:b/>
        </w:rPr>
        <w:t xml:space="preserve">Source: </w:t>
      </w:r>
      <w:r>
        <w:t>§14.1</w:t>
      </w:r>
    </w:p>
    <w:p>
      <w:pPr>
        <w:keepNext/>
        <w:spacing w:after="40"/>
      </w:pPr>
      <w:r>
        <w:rPr>
          <w:b/>
        </w:rPr>
        <w:t xml:space="preserve">Description: </w:t>
      </w:r>
      <w:r>
        <w:t>Uses the more conservative of reference gold spot and executable tokenized-gold price for reserve NAV.</w:t>
      </w:r>
    </w:p>
    <w:p>
      <w:pPr>
        <w:spacing w:after="140"/>
      </w:pPr>
      <w:r>
        <w:rPr>
          <w:b/>
        </w:rPr>
        <w:t xml:space="preserve">Developer alignment check: </w:t>
      </w:r>
      <w:r>
        <w:t>Do not confuse this reserve valuation min-rule with the independent canonical gold-reference index price.</w:t>
      </w:r>
    </w:p>
    <w:p>
      <w:pPr>
        <w:pStyle w:val="Heading2"/>
        <w:keepNext/>
      </w:pPr>
      <w:r>
        <w:t>EQ-114 · Solvency ratio and liability</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RR_t = V_net,t / L_t;  L_t = S_circ,t × P_MTQ,t</w:t>
      </w:r>
    </w:p>
    <w:p>
      <w:pPr>
        <w:keepNext/>
        <w:spacing w:after="40"/>
      </w:pPr>
      <w:r>
        <w:rPr>
          <w:b/>
        </w:rPr>
        <w:t xml:space="preserve">Source: </w:t>
      </w:r>
      <w:r>
        <w:t>§14.2</w:t>
      </w:r>
    </w:p>
    <w:p>
      <w:pPr>
        <w:keepNext/>
        <w:spacing w:after="40"/>
      </w:pPr>
      <w:r>
        <w:rPr>
          <w:b/>
        </w:rPr>
        <w:t xml:space="preserve">Description: </w:t>
      </w:r>
      <w:r>
        <w:t>Defines the solvency metric and its liability denominator.</w:t>
      </w:r>
    </w:p>
    <w:p>
      <w:pPr>
        <w:spacing w:after="140"/>
      </w:pPr>
      <w:r>
        <w:rPr>
          <w:b/>
        </w:rPr>
        <w:t xml:space="preserve">Developer alignment check: </w:t>
      </w:r>
      <w:r>
        <w:t>Use the adaptive current index price and haircut-adjusted reserve value. Check all getters against these identities.</w:t>
      </w:r>
    </w:p>
    <w:p>
      <w:pPr>
        <w:pStyle w:val="Heading2"/>
        <w:keepNext/>
      </w:pPr>
      <w:r>
        <w:t>EQ-115 · Issuer concentration hard cap</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IssuerShare_i = ValueOfAssetsIssuedByIssuer_i / TotalReserveValue ≤ 30%</w:t>
      </w:r>
    </w:p>
    <w:p>
      <w:pPr>
        <w:keepNext/>
        <w:spacing w:after="40"/>
      </w:pPr>
      <w:r>
        <w:rPr>
          <w:b/>
        </w:rPr>
        <w:t xml:space="preserve">Source: </w:t>
      </w:r>
      <w:r>
        <w:t>§15.6.1</w:t>
      </w:r>
    </w:p>
    <w:p>
      <w:pPr>
        <w:keepNext/>
        <w:spacing w:after="40"/>
      </w:pPr>
      <w:r>
        <w:rPr>
          <w:b/>
        </w:rPr>
        <w:t xml:space="preserve">Description: </w:t>
      </w:r>
      <w:r>
        <w:t>Limits reserve exposure to one issuer; 25% is a soft checkpoint and 30% a hard block under the stated baseline.</w:t>
      </w:r>
    </w:p>
    <w:p>
      <w:pPr>
        <w:spacing w:after="140"/>
      </w:pPr>
      <w:r>
        <w:rPr>
          <w:b/>
        </w:rPr>
        <w:t xml:space="preserve">Developer alignment check: </w:t>
      </w:r>
      <w:r>
        <w:t>Any temporary increase to 35% is a governed emergency exception with the stated approval/timelock/public disclosure.</w:t>
      </w:r>
    </w:p>
    <w:p>
      <w:pPr>
        <w:pStyle w:val="Heading2"/>
        <w:keepNext/>
      </w:pPr>
      <w:r>
        <w:t>EQ-116 · Reserve asset concentration</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C_j = ReserveValue_j / TotalReserveValue;  C_j ≤ C_max</w:t>
      </w:r>
    </w:p>
    <w:p>
      <w:pPr>
        <w:keepNext/>
        <w:spacing w:after="40"/>
      </w:pPr>
      <w:r>
        <w:rPr>
          <w:b/>
        </w:rPr>
        <w:t xml:space="preserve">Source: </w:t>
      </w:r>
      <w:r>
        <w:t>§15.6.2</w:t>
      </w:r>
    </w:p>
    <w:p>
      <w:pPr>
        <w:keepNext/>
        <w:spacing w:after="40"/>
      </w:pPr>
      <w:r>
        <w:rPr>
          <w:b/>
        </w:rPr>
        <w:t xml:space="preserve">Description: </w:t>
      </w:r>
      <w:r>
        <w:t>Caps concentration in each reserve instrument.</w:t>
      </w:r>
    </w:p>
    <w:p>
      <w:pPr>
        <w:spacing w:after="140"/>
      </w:pPr>
      <w:r>
        <w:rPr>
          <w:b/>
        </w:rPr>
        <w:t xml:space="preserve">Developer alignment check: </w:t>
      </w:r>
      <w:r>
        <w:t>Publish C_max by asset/class and ensure the same base valuation is used in numerator and denominator.</w:t>
      </w:r>
    </w:p>
    <w:p>
      <w:pPr>
        <w:pStyle w:val="Heading2"/>
        <w:keepNext/>
      </w:pPr>
      <w:r>
        <w:t>EQ-117 · Currency exposure cap</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w_i ≤ w_i,max</w:t>
      </w:r>
    </w:p>
    <w:p>
      <w:pPr>
        <w:keepNext/>
        <w:spacing w:after="40"/>
      </w:pPr>
      <w:r>
        <w:rPr>
          <w:b/>
        </w:rPr>
        <w:t xml:space="preserve">Source: </w:t>
      </w:r>
      <w:r>
        <w:t>§15.6.3</w:t>
      </w:r>
    </w:p>
    <w:p>
      <w:pPr>
        <w:keepNext/>
        <w:spacing w:after="40"/>
      </w:pPr>
      <w:r>
        <w:rPr>
          <w:b/>
        </w:rPr>
        <w:t xml:space="preserve">Description: </w:t>
      </w:r>
      <w:r>
        <w:t>Bounds a currency exposure rather than mandating a fixed live weight.</w:t>
      </w:r>
    </w:p>
    <w:p>
      <w:pPr>
        <w:spacing w:after="140"/>
      </w:pPr>
      <w:r>
        <w:rPr>
          <w:b/>
        </w:rPr>
        <w:t xml:space="preserve">Developer alignment check: </w:t>
      </w:r>
      <w:r>
        <w:t>Map the cap to the appropriate index/reserve exposure rule; do not treat the cap as a target allocation.</w:t>
      </w:r>
    </w:p>
    <w:p>
      <w:pPr>
        <w:pStyle w:val="Heading2"/>
        <w:keepNext/>
      </w:pPr>
      <w:r>
        <w:t>EQ-118 · Buffer gold-ratio transition</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B_gold,t = 0.625 + (0.85 − 0.625) × t/24</w:t>
      </w:r>
    </w:p>
    <w:p>
      <w:pPr>
        <w:keepNext/>
        <w:spacing w:after="40"/>
      </w:pPr>
      <w:r>
        <w:rPr>
          <w:b/>
        </w:rPr>
        <w:t xml:space="preserve">Source: </w:t>
      </w:r>
      <w:r>
        <w:t>§16.3</w:t>
      </w:r>
    </w:p>
    <w:p>
      <w:pPr>
        <w:keepNext/>
        <w:spacing w:after="40"/>
      </w:pPr>
      <w:r>
        <w:rPr>
          <w:b/>
        </w:rPr>
        <w:t xml:space="preserve">Description: </w:t>
      </w:r>
      <w:r>
        <w:t>Linear interpolation from 62.5% to 85% gold in the buffer across a 24-hour BASE-to-STRESS ramp.</w:t>
      </w:r>
    </w:p>
    <w:p>
      <w:pPr>
        <w:spacing w:after="140"/>
      </w:pPr>
      <w:r>
        <w:rPr>
          <w:b/>
        </w:rPr>
        <w:t xml:space="preserve">Developer alignment check: </w:t>
      </w:r>
      <w:r>
        <w:t>Define t in hours and clamp the result to the intended end values; apply the correct direction for the reverse transition.</w:t>
      </w:r>
    </w:p>
    <w:p>
      <w:pPr>
        <w:pStyle w:val="Heading2"/>
        <w:keepNext/>
      </w:pPr>
      <w:r>
        <w:t>EQ-119 · Total target gold weight in historical core+buffer model</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W_target,gold,total,t = 0.20 + 0.10 × B_gold(RR_t)</w:t>
      </w:r>
    </w:p>
    <w:p>
      <w:pPr>
        <w:keepNext/>
        <w:spacing w:after="40"/>
      </w:pPr>
      <w:r>
        <w:rPr>
          <w:b/>
        </w:rPr>
        <w:t xml:space="preserve">Source: </w:t>
      </w:r>
      <w:r>
        <w:t>§16.3</w:t>
      </w:r>
    </w:p>
    <w:p>
      <w:pPr>
        <w:keepNext/>
        <w:spacing w:after="40"/>
      </w:pPr>
      <w:r>
        <w:rPr>
          <w:b/>
        </w:rPr>
        <w:t xml:space="preserve">Description: </w:t>
      </w:r>
      <w:r>
        <w:t>Combines a 20% core-gold input with the gold fraction of a 10% buffer.</w:t>
      </w:r>
    </w:p>
    <w:p>
      <w:pPr>
        <w:spacing w:after="140"/>
      </w:pPr>
      <w:r>
        <w:rPr>
          <w:b/>
        </w:rPr>
        <w:t xml:space="preserve">Developer alignment check: </w:t>
      </w:r>
      <w:r>
        <w:t>Historical v1.2-derived formula; do not substitute for the independent adaptive reference-index gold objective of §3.3.</w:t>
      </w:r>
    </w:p>
    <w:p>
      <w:pPr>
        <w:pStyle w:val="Heading2"/>
        <w:keepNext/>
      </w:pPr>
      <w:r>
        <w:t>EQ-120 · Total target fiat weight in historical core+buffer model</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W_target,fiat,total,t = 0.80 + 0.10 × (1 − B_gold(RR_t))</w:t>
      </w:r>
    </w:p>
    <w:p>
      <w:pPr>
        <w:keepNext/>
        <w:spacing w:after="40"/>
      </w:pPr>
      <w:r>
        <w:rPr>
          <w:b/>
        </w:rPr>
        <w:t xml:space="preserve">Source: </w:t>
      </w:r>
      <w:r>
        <w:t>§16.3</w:t>
      </w:r>
    </w:p>
    <w:p>
      <w:pPr>
        <w:keepNext/>
        <w:spacing w:after="40"/>
      </w:pPr>
      <w:r>
        <w:rPr>
          <w:b/>
        </w:rPr>
        <w:t xml:space="preserve">Description: </w:t>
      </w:r>
      <w:r>
        <w:t>Complements the gold allocation in the prior core-plus-buffer model.</w:t>
      </w:r>
    </w:p>
    <w:p>
      <w:pPr>
        <w:spacing w:after="140"/>
      </w:pPr>
      <w:r>
        <w:rPr>
          <w:b/>
        </w:rPr>
        <w:t xml:space="preserve">Developer alignment check: </w:t>
      </w:r>
      <w:r>
        <w:t>Validate that fiat plus gold targets sum to one, and keep this reserve formula separate from index-weight calculations.</w:t>
      </w:r>
    </w:p>
    <w:p>
      <w:pPr>
        <w:pStyle w:val="Heading2"/>
        <w:keepNext/>
      </w:pPr>
      <w:r>
        <w:t>EQ-121 · Asset eligibility function</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E_j = f(UnderlyingGoldCoverage, Custody, Redemption, IssuerRisk, Liquidity, Auditability, LegalRights);  E_j ≥ E_min</w:t>
      </w:r>
    </w:p>
    <w:p>
      <w:pPr>
        <w:keepNext/>
        <w:spacing w:after="40"/>
      </w:pPr>
      <w:r>
        <w:rPr>
          <w:b/>
        </w:rPr>
        <w:t xml:space="preserve">Source: </w:t>
      </w:r>
      <w:r>
        <w:t>§15.2; §14.3</w:t>
      </w:r>
    </w:p>
    <w:p>
      <w:pPr>
        <w:keepNext/>
        <w:spacing w:after="40"/>
      </w:pPr>
      <w:r>
        <w:rPr>
          <w:b/>
        </w:rPr>
        <w:t xml:space="preserve">Description: </w:t>
      </w:r>
      <w:r>
        <w:t>Requires an instrument to meet a published composite eligibility floor.</w:t>
      </w:r>
    </w:p>
    <w:p>
      <w:pPr>
        <w:spacing w:after="140"/>
      </w:pPr>
      <w:r>
        <w:rPr>
          <w:b/>
        </w:rPr>
        <w:t xml:space="preserve">Developer alignment check: </w:t>
      </w:r>
      <w:r>
        <w:t>The exact f and E_min must be specified by the asset-admission methodology and versioned; do not infer them from this symbolic formula.</w:t>
      </w:r>
    </w:p>
    <w:p>
      <w:pPr>
        <w:pStyle w:val="Heading1"/>
        <w:keepNext/>
      </w:pPr>
      <w:r>
        <w:t>17. Oracle architecture and canonical gold price</w:t>
      </w:r>
    </w:p>
    <w:p>
      <w:pPr>
        <w:pStyle w:val="Heading2"/>
        <w:keepNext/>
      </w:pPr>
      <w:r>
        <w:t>EQ-122 · Three-source consensus rule</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3 valid feeds → median; 2 valid feeds → average + sanity check; fewer than 2 → pause minting and rebalancing</w:t>
      </w:r>
    </w:p>
    <w:p>
      <w:pPr>
        <w:keepNext/>
        <w:spacing w:after="40"/>
      </w:pPr>
      <w:r>
        <w:rPr>
          <w:b/>
        </w:rPr>
        <w:t xml:space="preserve">Source: </w:t>
      </w:r>
      <w:r>
        <w:t>§17.2</w:t>
      </w:r>
    </w:p>
    <w:p>
      <w:pPr>
        <w:keepNext/>
        <w:spacing w:after="40"/>
      </w:pPr>
      <w:r>
        <w:rPr>
          <w:b/>
        </w:rPr>
        <w:t xml:space="preserve">Description: </w:t>
      </w:r>
      <w:r>
        <w:t>Defines current provider combination behavior for Chainlink, Pyth and Chronicle sources.</w:t>
      </w:r>
    </w:p>
    <w:p>
      <w:pPr>
        <w:spacing w:after="140"/>
      </w:pPr>
      <w:r>
        <w:rPr>
          <w:b/>
        </w:rPr>
        <w:t xml:space="preserve">Developer alignment check: </w:t>
      </w:r>
      <w:r>
        <w:t>A later section says an outlier-filtered mean is returned with the median as the rejection anchor. Reconcile branch-by-branch behavior and which function is authoritative.</w:t>
      </w:r>
    </w:p>
    <w:p>
      <w:pPr>
        <w:pStyle w:val="Heading2"/>
        <w:keepNext/>
      </w:pPr>
      <w:r>
        <w:t>EQ-123 · Oracle independent-source quorum</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N_valid ≥ 2;  |source families| ≥ 2</w:t>
      </w:r>
    </w:p>
    <w:p>
      <w:pPr>
        <w:keepNext/>
        <w:spacing w:after="40"/>
      </w:pPr>
      <w:r>
        <w:rPr>
          <w:b/>
        </w:rPr>
        <w:t xml:space="preserve">Source: </w:t>
      </w:r>
      <w:r>
        <w:t>§17.2–17.3</w:t>
      </w:r>
    </w:p>
    <w:p>
      <w:pPr>
        <w:keepNext/>
        <w:spacing w:after="40"/>
      </w:pPr>
      <w:r>
        <w:rPr>
          <w:b/>
        </w:rPr>
        <w:t xml:space="preserve">Description: </w:t>
      </w:r>
      <w:r>
        <w:t>Requires at least two valid feeds from at least two independent source families.</w:t>
      </w:r>
    </w:p>
    <w:p>
      <w:pPr>
        <w:spacing w:after="140"/>
      </w:pPr>
      <w:r>
        <w:rPr>
          <w:b/>
        </w:rPr>
        <w:t xml:space="preserve">Developer alignment check: </w:t>
      </w:r>
      <w:r>
        <w:t>Three feeds from a single underlying source family do not satisfy independence.</w:t>
      </w:r>
    </w:p>
    <w:p>
      <w:pPr>
        <w:pStyle w:val="Heading2"/>
        <w:keepNext/>
      </w:pPr>
      <w:r>
        <w:t>EQ-124 · Freshness check</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t_now − τ_i ≤ θ_stale(feed)</w:t>
      </w:r>
    </w:p>
    <w:p>
      <w:pPr>
        <w:keepNext/>
        <w:spacing w:after="40"/>
      </w:pPr>
      <w:r>
        <w:rPr>
          <w:b/>
        </w:rPr>
        <w:t xml:space="preserve">Source: </w:t>
      </w:r>
      <w:r>
        <w:t>§17.3.1</w:t>
      </w:r>
    </w:p>
    <w:p>
      <w:pPr>
        <w:keepNext/>
        <w:spacing w:after="40"/>
      </w:pPr>
      <w:r>
        <w:rPr>
          <w:b/>
        </w:rPr>
        <w:t xml:space="preserve">Description: </w:t>
      </w:r>
      <w:r>
        <w:t>A feed is fresh only if its publication/update timestamp is within the feed-class staleness threshold.</w:t>
      </w:r>
    </w:p>
    <w:p>
      <w:pPr>
        <w:spacing w:after="140"/>
      </w:pPr>
      <w:r>
        <w:rPr>
          <w:b/>
        </w:rPr>
        <w:t xml:space="preserve">Developer alignment check: </w:t>
      </w:r>
      <w:r>
        <w:t>Use the provider’s source timestamp, not the time of an on-chain read.</w:t>
      </w:r>
    </w:p>
    <w:p>
      <w:pPr>
        <w:pStyle w:val="Heading2"/>
        <w:keepNext/>
      </w:pPr>
      <w:r>
        <w:t>EQ-125 · Pyth confidence-width check</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confidence_i / P_i ≤ maxConfidenceWidth_i</w:t>
      </w:r>
    </w:p>
    <w:p>
      <w:pPr>
        <w:keepNext/>
        <w:spacing w:after="40"/>
      </w:pPr>
      <w:r>
        <w:rPr>
          <w:b/>
        </w:rPr>
        <w:t xml:space="preserve">Source: </w:t>
      </w:r>
      <w:r>
        <w:t>§17.3.2</w:t>
      </w:r>
    </w:p>
    <w:p>
      <w:pPr>
        <w:keepNext/>
        <w:spacing w:after="40"/>
      </w:pPr>
      <w:r>
        <w:rPr>
          <w:b/>
        </w:rPr>
        <w:t xml:space="preserve">Description: </w:t>
      </w:r>
      <w:r>
        <w:t>Rejects a Pyth price if its uncertainty interval is too wide as a fraction of the price.</w:t>
      </w:r>
    </w:p>
    <w:p>
      <w:pPr>
        <w:spacing w:after="140"/>
      </w:pPr>
      <w:r>
        <w:rPr>
          <w:b/>
        </w:rPr>
        <w:t xml:space="preserve">Developer alignment check: </w:t>
      </w:r>
      <w:r>
        <w:t>Initial caps described in the blueprint: major FX 0.5%; minor FX 1.0%; gold 1.0%; VIX/DXY 2.0%.</w:t>
      </w:r>
    </w:p>
    <w:p>
      <w:pPr>
        <w:pStyle w:val="Heading2"/>
        <w:keepNext/>
      </w:pPr>
      <w:r>
        <w:t>EQ-126 · Deviation circuit breaker</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|P_i − P̃| ≤ 0.025 × P̃</w:t>
      </w:r>
    </w:p>
    <w:p>
      <w:pPr>
        <w:keepNext/>
        <w:spacing w:after="40"/>
      </w:pPr>
      <w:r>
        <w:rPr>
          <w:b/>
        </w:rPr>
        <w:t xml:space="preserve">Source: </w:t>
      </w:r>
      <w:r>
        <w:t>§17.3.3</w:t>
      </w:r>
    </w:p>
    <w:p>
      <w:pPr>
        <w:keepNext/>
        <w:spacing w:after="40"/>
      </w:pPr>
      <w:r>
        <w:rPr>
          <w:b/>
        </w:rPr>
        <w:t xml:space="preserve">Description: </w:t>
      </w:r>
      <w:r>
        <w:t>Discards any feed that deviates more than 2.5% from the median anchor.</w:t>
      </w:r>
    </w:p>
    <w:p>
      <w:pPr>
        <w:spacing w:after="140"/>
      </w:pPr>
      <w:r>
        <w:rPr>
          <w:b/>
        </w:rPr>
        <w:t xml:space="preserve">Developer alignment check: </w:t>
      </w:r>
      <w:r>
        <w:t>Run after feed-level validation; verify arithmetic on the example 1.00, 1.02, 1.25 and test both borderline and over-threshold cases.</w:t>
      </w:r>
    </w:p>
    <w:p>
      <w:pPr>
        <w:pStyle w:val="Heading2"/>
        <w:keepNext/>
      </w:pPr>
      <w:r>
        <w:t>EQ-127 · Canonical gold raw aggregate</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P_G^raw = Median(P_1, …, P_n)</w:t>
      </w:r>
    </w:p>
    <w:p>
      <w:pPr>
        <w:keepNext/>
        <w:spacing w:after="40"/>
      </w:pPr>
      <w:r>
        <w:rPr>
          <w:b/>
        </w:rPr>
        <w:t xml:space="preserve">Source: </w:t>
      </w:r>
      <w:r>
        <w:t>§17.4</w:t>
      </w:r>
    </w:p>
    <w:p>
      <w:pPr>
        <w:keepNext/>
        <w:spacing w:after="40"/>
      </w:pPr>
      <w:r>
        <w:rPr>
          <w:b/>
        </w:rPr>
        <w:t xml:space="preserve">Description: </w:t>
      </w:r>
      <w:r>
        <w:t>Produces a robust base aggregate from independent gold sources; a reliability-weighted median is an approved alternative under a methodology version.</w:t>
      </w:r>
    </w:p>
    <w:p>
      <w:pPr>
        <w:spacing w:after="140"/>
      </w:pPr>
      <w:r>
        <w:rPr>
          <w:b/>
        </w:rPr>
        <w:t xml:space="preserve">Developer alignment check: </w:t>
      </w:r>
      <w:r>
        <w:t>Gold sources must span the required independent source classes; no single MTQ-native AMM defines canonical gold.</w:t>
      </w:r>
    </w:p>
    <w:p>
      <w:pPr>
        <w:pStyle w:val="Heading2"/>
        <w:keepNext/>
      </w:pPr>
      <w:r>
        <w:t>EQ-128 · Canonical gold filter</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P_G^canonical = Filter(P_G^raw, Staleness, Liquidity, Outlier)</w:t>
      </w:r>
    </w:p>
    <w:p>
      <w:pPr>
        <w:keepNext/>
        <w:spacing w:after="40"/>
      </w:pPr>
      <w:r>
        <w:rPr>
          <w:b/>
        </w:rPr>
        <w:t xml:space="preserve">Source: </w:t>
      </w:r>
      <w:r>
        <w:t>§17.4</w:t>
      </w:r>
    </w:p>
    <w:p>
      <w:pPr>
        <w:keepNext/>
        <w:spacing w:after="40"/>
      </w:pPr>
      <w:r>
        <w:rPr>
          <w:b/>
        </w:rPr>
        <w:t xml:space="preserve">Description: </w:t>
      </w:r>
      <w:r>
        <w:t>Applies freshness, liquidity-quality, deviation, and confidence rules before publishing the canonical price.</w:t>
      </w:r>
    </w:p>
    <w:p>
      <w:pPr>
        <w:spacing w:after="140"/>
      </w:pPr>
      <w:r>
        <w:rPr>
          <w:b/>
        </w:rPr>
        <w:t xml:space="preserve">Developer alignment check: </w:t>
      </w:r>
      <w:r>
        <w:t>Do not consume the unfiltered raw median as a canonical price.</w:t>
      </w:r>
    </w:p>
    <w:p>
      <w:pPr>
        <w:pStyle w:val="Heading2"/>
        <w:keepNext/>
      </w:pPr>
      <w:r>
        <w:t>EQ-129 · Feed validity predicate</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valid_i = (P_i &gt; 0) ∧ (t_now − τ_i ≤ θ_stale,i) ∧ (P_min,i ≤ P_i ≤ P_max,i)</w:t>
      </w:r>
    </w:p>
    <w:p>
      <w:pPr>
        <w:keepNext/>
        <w:spacing w:after="40"/>
      </w:pPr>
      <w:r>
        <w:rPr>
          <w:b/>
        </w:rPr>
        <w:t xml:space="preserve">Source: </w:t>
      </w:r>
      <w:r>
        <w:t>§17.5</w:t>
      </w:r>
    </w:p>
    <w:p>
      <w:pPr>
        <w:keepNext/>
        <w:spacing w:after="40"/>
      </w:pPr>
      <w:r>
        <w:rPr>
          <w:b/>
        </w:rPr>
        <w:t xml:space="preserve">Description: </w:t>
      </w:r>
      <w:r>
        <w:t>A feed must have a positive price, be fresh, and sit within a broad sanity interval.</w:t>
      </w:r>
    </w:p>
    <w:p>
      <w:pPr>
        <w:spacing w:after="140"/>
      </w:pPr>
      <w:r>
        <w:rPr>
          <w:b/>
        </w:rPr>
        <w:t xml:space="preserve">Developer alignment check: </w:t>
      </w:r>
      <w:r>
        <w:t>Pyth adds its confidence-width test; all gates are conjunctive.</w:t>
      </w:r>
    </w:p>
    <w:p>
      <w:pPr>
        <w:pStyle w:val="Heading2"/>
        <w:keepNext/>
      </w:pPr>
      <w:r>
        <w:t>EQ-130 · Median validity anchor and filtered mean</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P̃ = Median({P_i : valid_i});  P_agg = (1/|S|) Σ_{i∈S} P_i</w:t>
      </w:r>
    </w:p>
    <w:p>
      <w:pPr>
        <w:keepNext/>
        <w:spacing w:after="40"/>
      </w:pPr>
      <w:r>
        <w:rPr>
          <w:b/>
        </w:rPr>
        <w:t xml:space="preserve">Source: </w:t>
      </w:r>
      <w:r>
        <w:t>§17.5</w:t>
      </w:r>
    </w:p>
    <w:p>
      <w:pPr>
        <w:keepNext/>
        <w:spacing w:after="40"/>
      </w:pPr>
      <w:r>
        <w:rPr>
          <w:b/>
        </w:rPr>
        <w:t xml:space="preserve">Description: </w:t>
      </w:r>
      <w:r>
        <w:t>The median is the outlier-deviation anchor; the source describes the reported aggregate as the mean of feeds surviving validation and deviation filtering.</w:t>
      </w:r>
    </w:p>
    <w:p>
      <w:pPr>
        <w:spacing w:after="140"/>
      </w:pPr>
      <w:r>
        <w:rPr>
          <w:b/>
        </w:rPr>
        <w:t xml:space="preserve">Developer alignment check: </w:t>
      </w:r>
      <w:r>
        <w:t>This differs from the simple “median if all three / average if two” summary. Implement and test the exact normative rule rather than assuming the summaries are identical in all conditions.</w:t>
      </w:r>
    </w:p>
    <w:p>
      <w:pPr>
        <w:pStyle w:val="Heading2"/>
        <w:keepNext/>
      </w:pPr>
      <w:r>
        <w:t>EQ-131 · Gold oracle confidence</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Confidence_G = A^βA × F^βF × L^βL × D^βD × C^βC;  Σ_k β_k = 1</w:t>
      </w:r>
    </w:p>
    <w:p>
      <w:pPr>
        <w:keepNext/>
        <w:spacing w:after="40"/>
      </w:pPr>
      <w:r>
        <w:rPr>
          <w:b/>
        </w:rPr>
        <w:t xml:space="preserve">Source: </w:t>
      </w:r>
      <w:r>
        <w:t>§17.6</w:t>
      </w:r>
    </w:p>
    <w:p>
      <w:pPr>
        <w:keepNext/>
        <w:spacing w:after="40"/>
      </w:pPr>
      <w:r>
        <w:rPr>
          <w:b/>
        </w:rPr>
        <w:t xml:space="preserve">Description: </w:t>
      </w:r>
      <w:r>
        <w:t>Bounded geometric aggregate of source agreement, freshness, liquidity, deviation stability and source coverage.</w:t>
      </w:r>
    </w:p>
    <w:p>
      <w:pPr>
        <w:spacing w:after="140"/>
      </w:pPr>
      <w:r>
        <w:rPr>
          <w:b/>
        </w:rPr>
        <w:t xml:space="preserve">Developer alignment check: </w:t>
      </w:r>
      <w:r>
        <w:t>The exponents/factor transforms are validation-stage parameters. A collapsed input should lower the confidence sharply as the blueprint intends.</w:t>
      </w:r>
    </w:p>
    <w:p>
      <w:pPr>
        <w:pStyle w:val="Heading2"/>
        <w:keepNext/>
      </w:pPr>
      <w:r>
        <w:t>EQ-132 · Confidence degradation threshold</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Confidence_G &lt; C_min ⇒ OracleDegraded</w:t>
      </w:r>
    </w:p>
    <w:p>
      <w:pPr>
        <w:keepNext/>
        <w:spacing w:after="40"/>
      </w:pPr>
      <w:r>
        <w:rPr>
          <w:b/>
        </w:rPr>
        <w:t xml:space="preserve">Source: </w:t>
      </w:r>
      <w:r>
        <w:t>§17.6–17.7</w:t>
      </w:r>
    </w:p>
    <w:p>
      <w:pPr>
        <w:keepNext/>
        <w:spacing w:after="40"/>
      </w:pPr>
      <w:r>
        <w:rPr>
          <w:b/>
        </w:rPr>
        <w:t xml:space="preserve">Description: </w:t>
      </w:r>
      <w:r>
        <w:t>Moves the oracle into degraded mode below the minimum gold-confidence threshold; the listed default C_min is 0.60.</w:t>
      </w:r>
    </w:p>
    <w:p>
      <w:pPr>
        <w:spacing w:after="140"/>
      </w:pPr>
      <w:r>
        <w:rPr>
          <w:b/>
        </w:rPr>
        <w:t xml:space="preserve">Developer alignment check: </w:t>
      </w:r>
      <w:r>
        <w:t>Confirm behavior when confidence returns above threshold, and ensure degraded mode cannot silently continue as healthy.</w:t>
      </w:r>
    </w:p>
    <w:p>
      <w:pPr>
        <w:pStyle w:val="Heading2"/>
        <w:keepNext/>
      </w:pPr>
      <w:r>
        <w:t>EQ-133 · Per-source state set</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s_i ∈ {VALID, DEGRADED, STALE, OUTLIER, HALTED}</w:t>
      </w:r>
    </w:p>
    <w:p>
      <w:pPr>
        <w:keepNext/>
        <w:spacing w:after="40"/>
      </w:pPr>
      <w:r>
        <w:rPr>
          <w:b/>
        </w:rPr>
        <w:t xml:space="preserve">Source: </w:t>
      </w:r>
      <w:r>
        <w:t>§17.7</w:t>
      </w:r>
    </w:p>
    <w:p>
      <w:pPr>
        <w:keepNext/>
        <w:spacing w:after="40"/>
      </w:pPr>
      <w:r>
        <w:rPr>
          <w:b/>
        </w:rPr>
        <w:t xml:space="preserve">Description: </w:t>
      </w:r>
      <w:r>
        <w:t>Classifies the state of each source independently.</w:t>
      </w:r>
    </w:p>
    <w:p>
      <w:pPr>
        <w:spacing w:after="140"/>
      </w:pPr>
      <w:r>
        <w:rPr>
          <w:b/>
        </w:rPr>
        <w:t xml:space="preserve">Developer alignment check: </w:t>
      </w:r>
      <w:r>
        <w:t>Define inclusion/exclusion treatment for each state; do not treat DEGRADED as identical to VALID.</w:t>
      </w:r>
    </w:p>
    <w:p>
      <w:pPr>
        <w:pStyle w:val="Heading2"/>
        <w:keepNext/>
      </w:pPr>
      <w:r>
        <w:t>EQ-134 · Cross-source correlation warning (implementation rule)</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RelativeDeviation = |P_i − P̃| / P̃; repeated source-correlation warnings can pause rebalancing</w:t>
      </w:r>
    </w:p>
    <w:p>
      <w:pPr>
        <w:keepNext/>
        <w:spacing w:after="40"/>
      </w:pPr>
      <w:r>
        <w:rPr>
          <w:b/>
        </w:rPr>
        <w:t xml:space="preserve">Source: </w:t>
      </w:r>
      <w:r>
        <w:t>§17.8–17.9</w:t>
      </w:r>
    </w:p>
    <w:p>
      <w:pPr>
        <w:keepNext/>
        <w:spacing w:after="40"/>
      </w:pPr>
      <w:r>
        <w:rPr>
          <w:b/>
        </w:rPr>
        <w:t xml:space="preserve">Description: </w:t>
      </w:r>
      <w:r>
        <w:t>The implementation detects correlation/repeated warnings as a separate safeguard against nominally different feeds depending on one underlying source.</w:t>
      </w:r>
    </w:p>
    <w:p>
      <w:pPr>
        <w:spacing w:after="140"/>
      </w:pPr>
      <w:r>
        <w:rPr>
          <w:b/>
        </w:rPr>
        <w:t xml:space="preserve">Developer alignment check: </w:t>
      </w:r>
      <w:r>
        <w:t>The source describes a warning counter and pause after three warnings; verify exact threshold scaling and source-family mapping in code.</w:t>
      </w:r>
    </w:p>
    <w:p>
      <w:pPr>
        <w:pStyle w:val="Heading1"/>
        <w:keepNext/>
      </w:pPr>
      <w:r>
        <w:t>18. Monetary unit, daily state vector and monitoring</w:t>
      </w:r>
    </w:p>
    <w:p>
      <w:pPr>
        <w:pStyle w:val="Heading2"/>
        <w:keepNext/>
      </w:pPr>
      <w:r>
        <w:t>EQ-135 · Reference price of one MTQ Σ</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P_MTQ,t = I_t / I_base</w:t>
      </w:r>
    </w:p>
    <w:p>
      <w:pPr>
        <w:keepNext/>
        <w:spacing w:after="40"/>
      </w:pPr>
      <w:r>
        <w:rPr>
          <w:b/>
        </w:rPr>
        <w:t xml:space="preserve">Source: </w:t>
      </w:r>
      <w:r>
        <w:t>§18.1</w:t>
      </w:r>
    </w:p>
    <w:p>
      <w:pPr>
        <w:keepNext/>
        <w:spacing w:after="40"/>
      </w:pPr>
      <w:r>
        <w:rPr>
          <w:b/>
        </w:rPr>
        <w:t xml:space="preserve">Description: </w:t>
      </w:r>
      <w:r>
        <w:t>Converts the chain-linked index value into the USD-equivalent reference price, normalized against the genesis denominator.</w:t>
      </w:r>
    </w:p>
    <w:p>
      <w:pPr>
        <w:spacing w:after="140"/>
      </w:pPr>
      <w:r>
        <w:rPr>
          <w:b/>
        </w:rPr>
        <w:t xml:space="preserve">Developer alignment check: </w:t>
      </w:r>
      <w:r>
        <w:t>Confirm I_base refers to the source’s canonical genesis denominator/base value and is not confused with a value that is already normalized to one.</w:t>
      </w:r>
    </w:p>
    <w:p>
      <w:pPr>
        <w:pStyle w:val="Heading2"/>
        <w:keepNext/>
      </w:pPr>
      <w:r>
        <w:t>EQ-136 · Liability and solvency identity</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L_t = S_circ,t × P_MTQ,t;  RR_t = V_net,t / L_t</w:t>
      </w:r>
    </w:p>
    <w:p>
      <w:pPr>
        <w:keepNext/>
        <w:spacing w:after="40"/>
      </w:pPr>
      <w:r>
        <w:rPr>
          <w:b/>
        </w:rPr>
        <w:t xml:space="preserve">Source: </w:t>
      </w:r>
      <w:r>
        <w:t>§18.2</w:t>
      </w:r>
    </w:p>
    <w:p>
      <w:pPr>
        <w:keepNext/>
        <w:spacing w:after="40"/>
      </w:pPr>
      <w:r>
        <w:rPr>
          <w:b/>
        </w:rPr>
        <w:t xml:space="preserve">Description: </w:t>
      </w:r>
      <w:r>
        <w:t>Connects circulating supply and current reference value to the reserve coverage ratio.</w:t>
      </w:r>
    </w:p>
    <w:p>
      <w:pPr>
        <w:spacing w:after="140"/>
      </w:pPr>
      <w:r>
        <w:rPr>
          <w:b/>
        </w:rPr>
        <w:t xml:space="preserve">Developer alignment check: </w:t>
      </w:r>
      <w:r>
        <w:t>The same identity must be shared by mint/redemption, reserve management, risk states, and reporting.</w:t>
      </w:r>
    </w:p>
    <w:p>
      <w:pPr>
        <w:pStyle w:val="Heading2"/>
        <w:keepNext/>
      </w:pPr>
      <w:r>
        <w:t>EQ-137 · Daily state vector</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X_t = [W_t, Risk_t, CVaR_t, MDD_t, PPError_t, Liquidity_t, Coverage_t, OracleConfidence_t, CrisisScore_t, Turnover_t, Cost_t]</w:t>
      </w:r>
    </w:p>
    <w:p>
      <w:pPr>
        <w:keepNext/>
        <w:spacing w:after="40"/>
      </w:pPr>
      <w:r>
        <w:rPr>
          <w:b/>
        </w:rPr>
        <w:t xml:space="preserve">Source: </w:t>
      </w:r>
      <w:r>
        <w:t>§18.3</w:t>
      </w:r>
    </w:p>
    <w:p>
      <w:pPr>
        <w:keepNext/>
        <w:spacing w:after="40"/>
      </w:pPr>
      <w:r>
        <w:rPr>
          <w:b/>
        </w:rPr>
        <w:t xml:space="preserve">Description: </w:t>
      </w:r>
      <w:r>
        <w:t>One published daily snapshot captures all primary inputs/outputs used for decisions.</w:t>
      </w:r>
    </w:p>
    <w:p>
      <w:pPr>
        <w:spacing w:after="140"/>
      </w:pPr>
      <w:r>
        <w:rPr>
          <w:b/>
        </w:rPr>
        <w:t xml:space="preserve">Developer alignment check: </w:t>
      </w:r>
      <w:r>
        <w:t>Publish the same field definitions and units consistently; never omit oracle confidence, coverage, or costs.</w:t>
      </w:r>
    </w:p>
    <w:p>
      <w:pPr>
        <w:pStyle w:val="Heading2"/>
        <w:keepNext/>
      </w:pPr>
      <w:r>
        <w:t>EQ-138 · Action function</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Action_t = f(X_t) ≠ f(Calendar)</w:t>
      </w:r>
    </w:p>
    <w:p>
      <w:pPr>
        <w:keepNext/>
        <w:spacing w:after="40"/>
      </w:pPr>
      <w:r>
        <w:rPr>
          <w:b/>
        </w:rPr>
        <w:t xml:space="preserve">Source: </w:t>
      </w:r>
      <w:r>
        <w:t>§18.3</w:t>
      </w:r>
    </w:p>
    <w:p>
      <w:pPr>
        <w:keepNext/>
        <w:spacing w:after="40"/>
      </w:pPr>
      <w:r>
        <w:rPr>
          <w:b/>
        </w:rPr>
        <w:t xml:space="preserve">Description: </w:t>
      </w:r>
      <w:r>
        <w:t>Protocol actions are determined by measured state rather than calendar changes alone.</w:t>
      </w:r>
    </w:p>
    <w:p>
      <w:pPr>
        <w:spacing w:after="140"/>
      </w:pPr>
      <w:r>
        <w:rPr>
          <w:b/>
        </w:rPr>
        <w:t xml:space="preserve">Developer alignment check: </w:t>
      </w:r>
      <w:r>
        <w:t>A calendar tick can trigger calculation/publication but not an economically unjustified trade.</w:t>
      </w:r>
    </w:p>
    <w:p>
      <w:pPr>
        <w:pStyle w:val="Heading1"/>
        <w:keepNext/>
      </w:pPr>
      <w:r>
        <w:t>19. Minting, redemption and slippage guards</w:t>
      </w:r>
    </w:p>
    <w:p>
      <w:pPr>
        <w:pStyle w:val="Heading2"/>
        <w:keepNext/>
      </w:pPr>
      <w:r>
        <w:t>EQ-139 · Net mint deposit</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X_net = X × (1 − F_mint)</w:t>
      </w:r>
    </w:p>
    <w:p>
      <w:pPr>
        <w:keepNext/>
        <w:spacing w:after="40"/>
      </w:pPr>
      <w:r>
        <w:rPr>
          <w:b/>
        </w:rPr>
        <w:t xml:space="preserve">Source: </w:t>
      </w:r>
      <w:r>
        <w:t>§19.2</w:t>
      </w:r>
    </w:p>
    <w:p>
      <w:pPr>
        <w:keepNext/>
        <w:spacing w:after="40"/>
      </w:pPr>
      <w:r>
        <w:rPr>
          <w:b/>
        </w:rPr>
        <w:t xml:space="preserve">Description: </w:t>
      </w:r>
      <w:r>
        <w:t>Deducts the mint fee from the deposit value before calculating token quantity.</w:t>
      </w:r>
    </w:p>
    <w:p>
      <w:pPr>
        <w:spacing w:after="140"/>
      </w:pPr>
      <w:r>
        <w:rPr>
          <w:b/>
        </w:rPr>
        <w:t xml:space="preserve">Developer alignment check: </w:t>
      </w:r>
      <w:r>
        <w:t>The documented normal mint fee is 0.10%; apply the fee once, in the intended denomination.</w:t>
      </w:r>
    </w:p>
    <w:p>
      <w:pPr>
        <w:pStyle w:val="Heading2"/>
        <w:keepNext/>
      </w:pPr>
      <w:r>
        <w:t>EQ-140 · Minted token quantity</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MTQ_minted = X_net / P_MTQ,t</w:t>
      </w:r>
    </w:p>
    <w:p>
      <w:pPr>
        <w:keepNext/>
        <w:spacing w:after="40"/>
      </w:pPr>
      <w:r>
        <w:rPr>
          <w:b/>
        </w:rPr>
        <w:t xml:space="preserve">Source: </w:t>
      </w:r>
      <w:r>
        <w:t>§19.2</w:t>
      </w:r>
    </w:p>
    <w:p>
      <w:pPr>
        <w:keepNext/>
        <w:spacing w:after="40"/>
      </w:pPr>
      <w:r>
        <w:rPr>
          <w:b/>
        </w:rPr>
        <w:t xml:space="preserve">Description: </w:t>
      </w:r>
      <w:r>
        <w:t>Prices minting against the current adaptive index reference price; a higher price means fewer MTQ units for the same net deposit.</w:t>
      </w:r>
    </w:p>
    <w:p>
      <w:pPr>
        <w:spacing w:after="140"/>
      </w:pPr>
      <w:r>
        <w:rPr>
          <w:b/>
        </w:rPr>
        <w:t xml:space="preserve">Developer alignment check: </w:t>
      </w:r>
      <w:r>
        <w:t>Never mint at a fixed 1:1 USD peg. Apply approved price freshness/guard and rounding rules.</w:t>
      </w:r>
    </w:p>
    <w:p>
      <w:pPr>
        <w:pStyle w:val="Heading2"/>
        <w:keepNext/>
      </w:pPr>
      <w:r>
        <w:t>EQ-141 · Index reference price</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P_MTQ,t = I_t / I_base</w:t>
      </w:r>
    </w:p>
    <w:p>
      <w:pPr>
        <w:keepNext/>
        <w:spacing w:after="40"/>
      </w:pPr>
      <w:r>
        <w:rPr>
          <w:b/>
        </w:rPr>
        <w:t xml:space="preserve">Source: </w:t>
      </w:r>
      <w:r>
        <w:t>§19.2</w:t>
      </w:r>
    </w:p>
    <w:p>
      <w:pPr>
        <w:keepNext/>
        <w:spacing w:after="40"/>
      </w:pPr>
      <w:r>
        <w:rPr>
          <w:b/>
        </w:rPr>
        <w:t xml:space="preserve">Description: </w:t>
      </w:r>
      <w:r>
        <w:t>Uses the current index/base denominator relationship for monetary-unit pricing.</w:t>
      </w:r>
    </w:p>
    <w:p>
      <w:pPr>
        <w:spacing w:after="140"/>
      </w:pPr>
      <w:r>
        <w:rPr>
          <w:b/>
        </w:rPr>
        <w:t xml:space="preserve">Developer alignment check: </w:t>
      </w:r>
      <w:r>
        <w:t>Align this duplicate form with §18.1 and the core contract’s fixed-point scaling.</w:t>
      </w:r>
    </w:p>
    <w:p>
      <w:pPr>
        <w:pStyle w:val="Heading2"/>
        <w:keepNext/>
      </w:pPr>
      <w:r>
        <w:t>EQ-142 · Redemption per-token NAV</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NAV_t = V_net,t / S_circ,t</w:t>
      </w:r>
    </w:p>
    <w:p>
      <w:pPr>
        <w:keepNext/>
        <w:spacing w:after="40"/>
      </w:pPr>
      <w:r>
        <w:rPr>
          <w:b/>
        </w:rPr>
        <w:t xml:space="preserve">Source: </w:t>
      </w:r>
      <w:r>
        <w:t>§19.3</w:t>
      </w:r>
    </w:p>
    <w:p>
      <w:pPr>
        <w:keepNext/>
        <w:spacing w:after="40"/>
      </w:pPr>
      <w:r>
        <w:rPr>
          <w:b/>
        </w:rPr>
        <w:t xml:space="preserve">Description: </w:t>
      </w:r>
      <w:r>
        <w:t>Defines the reserve net value per circulating token for redemption pricing in §19.3.</w:t>
      </w:r>
    </w:p>
    <w:p>
      <w:pPr>
        <w:spacing w:after="140"/>
      </w:pPr>
      <w:r>
        <w:rPr>
          <w:b/>
        </w:rPr>
        <w:t xml:space="preserve">Developer alignment check: </w:t>
      </w:r>
      <w:r>
        <w:t>The source also uses NAV_t in other contexts with different meanings; define unique identifiers/symbols for total reserve NAV and per-token NAV in implementation/API.</w:t>
      </w:r>
    </w:p>
    <w:p>
      <w:pPr>
        <w:pStyle w:val="Heading2"/>
        <w:keepNext/>
      </w:pPr>
      <w:r>
        <w:t>EQ-143 · Gross redemption value</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RedeemValue_USD = Y × NAV_t</w:t>
      </w:r>
    </w:p>
    <w:p>
      <w:pPr>
        <w:keepNext/>
        <w:spacing w:after="40"/>
      </w:pPr>
      <w:r>
        <w:rPr>
          <w:b/>
        </w:rPr>
        <w:t xml:space="preserve">Source: </w:t>
      </w:r>
      <w:r>
        <w:t>§19.3</w:t>
      </w:r>
    </w:p>
    <w:p>
      <w:pPr>
        <w:keepNext/>
        <w:spacing w:after="40"/>
      </w:pPr>
      <w:r>
        <w:rPr>
          <w:b/>
        </w:rPr>
        <w:t xml:space="preserve">Description: </w:t>
      </w:r>
      <w:r>
        <w:t>Computes the value of redeeming Y tokens at the specified redemption NAV per token.</w:t>
      </w:r>
    </w:p>
    <w:p>
      <w:pPr>
        <w:spacing w:after="140"/>
      </w:pPr>
      <w:r>
        <w:rPr>
          <w:b/>
        </w:rPr>
        <w:t xml:space="preserve">Developer alignment check: </w:t>
      </w:r>
      <w:r>
        <w:t>Use haircut-adjusted reserves and the exact chosen redemption-value convention.</w:t>
      </w:r>
    </w:p>
    <w:p>
      <w:pPr>
        <w:pStyle w:val="Heading2"/>
        <w:keepNext/>
      </w:pPr>
      <w:r>
        <w:t>EQ-144 · Net redemption after fee</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RedeemValue_net = RedeemValue_USD × (1 − F_redeem)</w:t>
      </w:r>
    </w:p>
    <w:p>
      <w:pPr>
        <w:keepNext/>
        <w:spacing w:after="40"/>
      </w:pPr>
      <w:r>
        <w:rPr>
          <w:b/>
        </w:rPr>
        <w:t xml:space="preserve">Source: </w:t>
      </w:r>
      <w:r>
        <w:t>§19.3</w:t>
      </w:r>
    </w:p>
    <w:p>
      <w:pPr>
        <w:keepNext/>
        <w:spacing w:after="40"/>
      </w:pPr>
      <w:r>
        <w:rPr>
          <w:b/>
        </w:rPr>
        <w:t xml:space="preserve">Description: </w:t>
      </w:r>
      <w:r>
        <w:t>Deducts the applicable redemption fee.</w:t>
      </w:r>
    </w:p>
    <w:p>
      <w:pPr>
        <w:spacing w:after="140"/>
      </w:pPr>
      <w:r>
        <w:rPr>
          <w:b/>
        </w:rPr>
        <w:t xml:space="preserve">Developer alignment check: </w:t>
      </w:r>
      <w:r>
        <w:t>The current fee is risk-state dependent: Normal 0.15%, Stress 0.50%, Defensive 1.00% in the contract constants. Ensure the state-dependent fee is chosen exactly once.</w:t>
      </w:r>
    </w:p>
    <w:p>
      <w:pPr>
        <w:pStyle w:val="Heading2"/>
        <w:keepNext/>
      </w:pPr>
      <w:r>
        <w:t>EQ-145 · Pro-rata asset release</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Release_i = RedeemValue_net × (V_i / V_net)</w:t>
      </w:r>
    </w:p>
    <w:p>
      <w:pPr>
        <w:keepNext/>
        <w:spacing w:after="40"/>
      </w:pPr>
      <w:r>
        <w:rPr>
          <w:b/>
        </w:rPr>
        <w:t xml:space="preserve">Source: </w:t>
      </w:r>
      <w:r>
        <w:t>§19.3</w:t>
      </w:r>
    </w:p>
    <w:p>
      <w:pPr>
        <w:keepNext/>
        <w:spacing w:after="40"/>
      </w:pPr>
      <w:r>
        <w:rPr>
          <w:b/>
        </w:rPr>
        <w:t xml:space="preserve">Description: </w:t>
      </w:r>
      <w:r>
        <w:t>Distributes the net redemption value proportionally across reserve holdings under the full-basket redemption doctrine.</w:t>
      </w:r>
    </w:p>
    <w:p>
      <w:pPr>
        <w:spacing w:after="140"/>
      </w:pPr>
      <w:r>
        <w:rPr>
          <w:b/>
        </w:rPr>
        <w:t xml:space="preserve">Developer alignment check: </w:t>
      </w:r>
      <w:r>
        <w:t>Confirm the distribution basis and rounding/dust handling; redemption is not automatically a one-asset payout unless that router mode is explicitly selected.</w:t>
      </w:r>
    </w:p>
    <w:p>
      <w:pPr>
        <w:pStyle w:val="Heading2"/>
        <w:keepNext/>
      </w:pPr>
      <w:r>
        <w:t>EQ-146 · Mint slippage minimum</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minMTQOut_default = (X_net / P_MTQ,t) × (1 − τ_user)</w:t>
      </w:r>
    </w:p>
    <w:p>
      <w:pPr>
        <w:keepNext/>
        <w:spacing w:after="40"/>
      </w:pPr>
      <w:r>
        <w:rPr>
          <w:b/>
        </w:rPr>
        <w:t xml:space="preserve">Source: </w:t>
      </w:r>
      <w:r>
        <w:t>§19.4.1</w:t>
      </w:r>
    </w:p>
    <w:p>
      <w:pPr>
        <w:keepNext/>
        <w:spacing w:after="40"/>
      </w:pPr>
      <w:r>
        <w:rPr>
          <w:b/>
        </w:rPr>
        <w:t xml:space="preserve">Description: </w:t>
      </w:r>
      <w:r>
        <w:t>Minimum token output given user-defined tolerance τ_user.</w:t>
      </w:r>
    </w:p>
    <w:p>
      <w:pPr>
        <w:spacing w:after="140"/>
      </w:pPr>
      <w:r>
        <w:rPr>
          <w:b/>
        </w:rPr>
        <w:t xml:space="preserve">Developer alignment check: </w:t>
      </w:r>
      <w:r>
        <w:t>Revert if output falls below user minimum; test index move/quote expiry/rounding.</w:t>
      </w:r>
    </w:p>
    <w:p>
      <w:pPr>
        <w:pStyle w:val="Heading2"/>
        <w:keepNext/>
      </w:pPr>
      <w:r>
        <w:t>EQ-147 · Execution-price redemption guard</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revert if ExecPrice &lt; OraclePrice × (1 − τ_user)</w:t>
      </w:r>
    </w:p>
    <w:p>
      <w:pPr>
        <w:keepNext/>
        <w:spacing w:after="40"/>
      </w:pPr>
      <w:r>
        <w:rPr>
          <w:b/>
        </w:rPr>
        <w:t xml:space="preserve">Source: </w:t>
      </w:r>
      <w:r>
        <w:t>§19.4.2</w:t>
      </w:r>
    </w:p>
    <w:p>
      <w:pPr>
        <w:keepNext/>
        <w:spacing w:after="40"/>
      </w:pPr>
      <w:r>
        <w:rPr>
          <w:b/>
        </w:rPr>
        <w:t xml:space="preserve">Description: </w:t>
      </w:r>
      <w:r>
        <w:t>Rejects execution when effective redemption price is below the oracle reference beyond the user tolerance, as rendered in the source formula.</w:t>
      </w:r>
    </w:p>
    <w:p>
      <w:pPr>
        <w:spacing w:after="140"/>
      </w:pPr>
      <w:r>
        <w:rPr>
          <w:b/>
        </w:rPr>
        <w:t xml:space="preserve">Developer alignment check: </w:t>
      </w:r>
      <w:r>
        <w:t>Confirm this guard’s direction against the actual sell/buy path and payout denomination. Do not generalize the gold swap guard indiscriminately to every redemption route.</w:t>
      </w:r>
    </w:p>
    <w:p>
      <w:pPr>
        <w:pStyle w:val="Heading1"/>
        <w:keepNext/>
      </w:pPr>
      <w:r>
        <w:t>20. Genesis, accounting and treasury</w:t>
      </w:r>
    </w:p>
    <w:p>
      <w:pPr>
        <w:pStyle w:val="Heading2"/>
        <w:keepNext/>
      </w:pPr>
      <w:r>
        <w:t>EQ-148 · Genesis reserve ratio worked calculation</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RR_genesis = 1,100,000 / (1,000,000 × 1.0000) = 1.10 = 110%</w:t>
      </w:r>
    </w:p>
    <w:p>
      <w:pPr>
        <w:keepNext/>
        <w:spacing w:after="40"/>
      </w:pPr>
      <w:r>
        <w:rPr>
          <w:b/>
        </w:rPr>
        <w:t xml:space="preserve">Source: </w:t>
      </w:r>
      <w:r>
        <w:t>§20.1</w:t>
      </w:r>
    </w:p>
    <w:p>
      <w:pPr>
        <w:keepNext/>
        <w:spacing w:after="40"/>
      </w:pPr>
      <w:r>
        <w:rPr>
          <w:b/>
        </w:rPr>
        <w:t xml:space="preserve">Description: </w:t>
      </w:r>
      <w:r>
        <w:t>Example genesis has $1.1M reserve value against one million MTQ at a $1.00 reference price.</w:t>
      </w:r>
    </w:p>
    <w:p>
      <w:pPr>
        <w:spacing w:after="140"/>
      </w:pPr>
      <w:r>
        <w:rPr>
          <w:b/>
        </w:rPr>
        <w:t xml:space="preserve">Developer alignment check: </w:t>
      </w:r>
      <w:r>
        <w:t>Reproduce from actual genesis deposit/supply and base-denominator calculation; the example is not a guarantee about later solvency.</w:t>
      </w:r>
    </w:p>
    <w:p>
      <w:pPr>
        <w:pStyle w:val="Heading2"/>
        <w:keepNext/>
      </w:pPr>
      <w:r>
        <w:t>EQ-149 · Genesis index base denominator</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I_base = q_USD·1.00 + q_EUR·FX_EUR/USD,base + q_JPY·FX_JPY/USD,base + q_GBP·FX_GBP/USD,base + q_CNY·FX_CNY/USD,base + q_CHF·FX_CHF/USD,base + q_XAU·P_Gold,base</w:t>
      </w:r>
    </w:p>
    <w:p>
      <w:pPr>
        <w:keepNext/>
        <w:spacing w:after="40"/>
      </w:pPr>
      <w:r>
        <w:rPr>
          <w:b/>
        </w:rPr>
        <w:t xml:space="preserve">Source: </w:t>
      </w:r>
      <w:r>
        <w:t>§20.1.5</w:t>
      </w:r>
    </w:p>
    <w:p>
      <w:pPr>
        <w:keepNext/>
        <w:spacing w:after="40"/>
      </w:pPr>
      <w:r>
        <w:rPr>
          <w:b/>
        </w:rPr>
        <w:t xml:space="preserve">Description: </w:t>
      </w:r>
      <w:r>
        <w:t>Computes the initial weighted USD-equivalent denominator from all seven genesis components, including CHF and gold.</w:t>
      </w:r>
    </w:p>
    <w:p>
      <w:pPr>
        <w:spacing w:after="140"/>
      </w:pPr>
      <w:r>
        <w:rPr>
          <w:b/>
        </w:rPr>
        <w:t xml:space="preserve">Developer alignment check: </w:t>
      </w:r>
      <w:r>
        <w:t>Use the immutable base fixings and consistent units/scales. The legacy fixed-quantity GFB formula elsewhere is not a substitute for this seven-component genesis formula.</w:t>
      </w:r>
    </w:p>
    <w:p>
      <w:pPr>
        <w:pStyle w:val="Heading2"/>
        <w:keepNext/>
      </w:pPr>
      <w:r>
        <w:t>EQ-150 · Treasury sweep threshold</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Sweep only the balance above 10,000 USD (SWEEP_THRESHOLD)</w:t>
      </w:r>
    </w:p>
    <w:p>
      <w:pPr>
        <w:keepNext/>
        <w:spacing w:after="40"/>
      </w:pPr>
      <w:r>
        <w:rPr>
          <w:b/>
        </w:rPr>
        <w:t xml:space="preserve">Source: </w:t>
      </w:r>
      <w:r>
        <w:t>§20.3.1</w:t>
      </w:r>
    </w:p>
    <w:p>
      <w:pPr>
        <w:keepNext/>
        <w:spacing w:after="40"/>
      </w:pPr>
      <w:r>
        <w:rPr>
          <w:b/>
        </w:rPr>
        <w:t xml:space="preserve">Description: </w:t>
      </w:r>
      <w:r>
        <w:t>Keeps an operational balance threshold while sweeping surplus to cold treasury under the defined security controls.</w:t>
      </w:r>
    </w:p>
    <w:p>
      <w:pPr>
        <w:spacing w:after="140"/>
      </w:pPr>
      <w:r>
        <w:rPr>
          <w:b/>
        </w:rPr>
        <w:t xml:space="preserve">Developer alignment check: </w:t>
      </w:r>
      <w:r>
        <w:t>Test threshold equality, token decimals, and destination controls; never sweep restricted reserve collateral as an operational balance.</w:t>
      </w:r>
    </w:p>
    <w:p>
      <w:pPr>
        <w:pStyle w:val="Heading2"/>
        <w:keepNext/>
      </w:pPr>
      <w:r>
        <w:t>EQ-151 · Fee accrual schedule (normal defaults)</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Mint = 0.10%; Redeem = 0.15%; Rebalance = 0.20%</w:t>
      </w:r>
    </w:p>
    <w:p>
      <w:pPr>
        <w:keepNext/>
        <w:spacing w:after="40"/>
      </w:pPr>
      <w:r>
        <w:rPr>
          <w:b/>
        </w:rPr>
        <w:t xml:space="preserve">Source: </w:t>
      </w:r>
      <w:r>
        <w:t>§20.4</w:t>
      </w:r>
    </w:p>
    <w:p>
      <w:pPr>
        <w:keepNext/>
        <w:spacing w:after="40"/>
      </w:pPr>
      <w:r>
        <w:rPr>
          <w:b/>
        </w:rPr>
        <w:t xml:space="preserve">Description: </w:t>
      </w:r>
      <w:r>
        <w:t>Lists the default fee rates and operational-wallet destination; risk-state overrides apply to redemption fees.</w:t>
      </w:r>
    </w:p>
    <w:p>
      <w:pPr>
        <w:spacing w:after="140"/>
      </w:pPr>
      <w:r>
        <w:rPr>
          <w:b/>
        </w:rPr>
        <w:t xml:space="preserve">Developer alignment check: </w:t>
      </w:r>
      <w:r>
        <w:t>Fees are excluded from reserve NAV and deducted before execution as stated by the blueprint.</w:t>
      </w:r>
    </w:p>
    <w:p>
      <w:pPr>
        <w:pStyle w:val="Heading1"/>
        <w:keepNext/>
      </w:pPr>
      <w:r>
        <w:t>21–22. Risk state machine and governance</w:t>
      </w:r>
    </w:p>
    <w:p>
      <w:pPr>
        <w:pStyle w:val="Heading2"/>
        <w:keepNext/>
      </w:pPr>
      <w:r>
        <w:t>EQ-152 · Risk-state function</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State_t = F(RR_t, LCR_t) ∈ {S1, …, S6}</w:t>
      </w:r>
    </w:p>
    <w:p>
      <w:pPr>
        <w:keepNext/>
        <w:spacing w:after="40"/>
      </w:pPr>
      <w:r>
        <w:rPr>
          <w:b/>
        </w:rPr>
        <w:t xml:space="preserve">Source: </w:t>
      </w:r>
      <w:r>
        <w:t>§21.2–21.3</w:t>
      </w:r>
    </w:p>
    <w:p>
      <w:pPr>
        <w:keepNext/>
        <w:spacing w:after="40"/>
      </w:pPr>
      <w:r>
        <w:rPr>
          <w:b/>
        </w:rPr>
        <w:t xml:space="preserve">Description: </w:t>
      </w:r>
      <w:r>
        <w:t>Maps solvency and liquidity conditions into the six defined risk states.</w:t>
      </w:r>
    </w:p>
    <w:p>
      <w:pPr>
        <w:spacing w:after="140"/>
      </w:pPr>
      <w:r>
        <w:rPr>
          <w:b/>
        </w:rPr>
        <w:t xml:space="preserve">Developer alignment check: </w:t>
      </w:r>
      <w:r>
        <w:t>Preserve the source’s complete state mapping, threshold priority and state-specific actions; RR and LCR both matter.</w:t>
      </w:r>
    </w:p>
    <w:p>
      <w:pPr>
        <w:pStyle w:val="Heading2"/>
        <w:keepNext/>
      </w:pPr>
      <w:r>
        <w:t>EQ-153 · Escalation path</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NORMAL → CAUTION → STRESS → DEFENSIVE → EMERGENCY (immediate on breach)</w:t>
      </w:r>
    </w:p>
    <w:p>
      <w:pPr>
        <w:keepNext/>
        <w:spacing w:after="40"/>
      </w:pPr>
      <w:r>
        <w:rPr>
          <w:b/>
        </w:rPr>
        <w:t xml:space="preserve">Source: </w:t>
      </w:r>
      <w:r>
        <w:t>§21.3</w:t>
      </w:r>
    </w:p>
    <w:p>
      <w:pPr>
        <w:keepNext/>
        <w:spacing w:after="40"/>
      </w:pPr>
      <w:r>
        <w:rPr>
          <w:b/>
        </w:rPr>
        <w:t xml:space="preserve">Description: </w:t>
      </w:r>
      <w:r>
        <w:t>Deterioration escalates immediately when the specified threshold is breached.</w:t>
      </w:r>
    </w:p>
    <w:p>
      <w:pPr>
        <w:spacing w:after="140"/>
      </w:pPr>
      <w:r>
        <w:rPr>
          <w:b/>
        </w:rPr>
        <w:t xml:space="preserve">Developer alignment check: </w:t>
      </w:r>
      <w:r>
        <w:t>Implement each state’s exact RR/LCR boundaries, not just a textual order.</w:t>
      </w:r>
    </w:p>
    <w:p>
      <w:pPr>
        <w:pStyle w:val="Heading2"/>
        <w:keepNext/>
      </w:pPr>
      <w:r>
        <w:t>EQ-154 · Recovery path and confirmation</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EMERGENCY → DEFENSIVE → STRESS → CAUTION → NORMAL;  t_confirm ≥ 48 h sustained without breach per recovery step</w:t>
      </w:r>
    </w:p>
    <w:p>
      <w:pPr>
        <w:keepNext/>
        <w:spacing w:after="40"/>
      </w:pPr>
      <w:r>
        <w:rPr>
          <w:b/>
        </w:rPr>
        <w:t xml:space="preserve">Source: </w:t>
      </w:r>
      <w:r>
        <w:t>§21.3</w:t>
      </w:r>
    </w:p>
    <w:p>
      <w:pPr>
        <w:keepNext/>
        <w:spacing w:after="40"/>
      </w:pPr>
      <w:r>
        <w:rPr>
          <w:b/>
        </w:rPr>
        <w:t xml:space="preserve">Description: </w:t>
      </w:r>
      <w:r>
        <w:t>Recovery is staged and requires a sustained confirmation period before relaxing controls.</w:t>
      </w:r>
    </w:p>
    <w:p>
      <w:pPr>
        <w:spacing w:after="140"/>
      </w:pPr>
      <w:r>
        <w:rPr>
          <w:b/>
        </w:rPr>
        <w:t xml:space="preserve">Developer alignment check: </w:t>
      </w:r>
      <w:r>
        <w:t>Do not instantly jump from EMERGENCY to NORMAL. Verify whether transitions require 48 hours individually and whether other state-specific durations also apply.</w:t>
      </w:r>
    </w:p>
    <w:p>
      <w:pPr>
        <w:pStyle w:val="Heading2"/>
        <w:keepNext/>
      </w:pPr>
      <w:r>
        <w:t>EQ-155 · Reintegration score</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R_score = w₁·TimeInBand + w₂·LiquidityDepth + w₃·OracleAgreement + w₄·(1 − Volatility)</w:t>
      </w:r>
    </w:p>
    <w:p>
      <w:pPr>
        <w:keepNext/>
        <w:spacing w:after="40"/>
      </w:pPr>
      <w:r>
        <w:rPr>
          <w:b/>
        </w:rPr>
        <w:t xml:space="preserve">Source: </w:t>
      </w:r>
      <w:r>
        <w:t>§21.5.4</w:t>
      </w:r>
    </w:p>
    <w:p>
      <w:pPr>
        <w:keepNext/>
        <w:spacing w:after="40"/>
      </w:pPr>
      <w:r>
        <w:rPr>
          <w:b/>
        </w:rPr>
        <w:t xml:space="preserve">Description: </w:t>
      </w:r>
      <w:r>
        <w:t>Scores an asset’s eligibility for reintegration after de-peg ejection.</w:t>
      </w:r>
    </w:p>
    <w:p>
      <w:pPr>
        <w:spacing w:after="140"/>
      </w:pPr>
      <w:r>
        <w:rPr>
          <w:b/>
        </w:rPr>
        <w:t xml:space="preserve">Developer alignment check: </w:t>
      </w:r>
      <w:r>
        <w:t>The listed weights are 0.40, 0.25, 0.20 and 0.15, summing to 1. Confirm each feature is normalized to the same scale.</w:t>
      </w:r>
    </w:p>
    <w:p>
      <w:pPr>
        <w:pStyle w:val="Heading2"/>
        <w:keepNext/>
      </w:pPr>
      <w:r>
        <w:t>EQ-156 · Reintegration threshold</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R_score ≥ 0.80</w:t>
      </w:r>
    </w:p>
    <w:p>
      <w:pPr>
        <w:keepNext/>
        <w:spacing w:after="40"/>
      </w:pPr>
      <w:r>
        <w:rPr>
          <w:b/>
        </w:rPr>
        <w:t xml:space="preserve">Source: </w:t>
      </w:r>
      <w:r>
        <w:t>§21.5.4</w:t>
      </w:r>
    </w:p>
    <w:p>
      <w:pPr>
        <w:keepNext/>
        <w:spacing w:after="40"/>
      </w:pPr>
      <w:r>
        <w:rPr>
          <w:b/>
        </w:rPr>
        <w:t xml:space="preserve">Description: </w:t>
      </w:r>
      <w:r>
        <w:t>The score threshold for considering an ejected currency/asset for reintegration.</w:t>
      </w:r>
    </w:p>
    <w:p>
      <w:pPr>
        <w:spacing w:after="140"/>
      </w:pPr>
      <w:r>
        <w:rPr>
          <w:b/>
        </w:rPr>
        <w:t xml:space="preserve">Developer alignment check: </w:t>
      </w:r>
      <w:r>
        <w:t>This is not sufficient by itself if issuer freeze, sanctions, liquidity or other special-case blockers remain active.</w:t>
      </w:r>
    </w:p>
    <w:p>
      <w:pPr>
        <w:pStyle w:val="Heading2"/>
        <w:keepNext/>
      </w:pPr>
      <w:r>
        <w:t>EQ-157 · Staged de-peg liquidation</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Stage 1: 10%; Stage 2: additional 15%; Stage 3: additional 25%; Stage 4: remaining value</w:t>
      </w:r>
    </w:p>
    <w:p>
      <w:pPr>
        <w:keepNext/>
        <w:spacing w:after="40"/>
      </w:pPr>
      <w:r>
        <w:rPr>
          <w:b/>
        </w:rPr>
        <w:t xml:space="preserve">Source: </w:t>
      </w:r>
      <w:r>
        <w:t>§21.5.3; Listing 14</w:t>
      </w:r>
    </w:p>
    <w:p>
      <w:pPr>
        <w:keepNext/>
        <w:spacing w:after="40"/>
      </w:pPr>
      <w:r>
        <w:rPr>
          <w:b/>
        </w:rPr>
        <w:t xml:space="preserve">Description: </w:t>
      </w:r>
      <w:r>
        <w:t>Liquidation is staged rather than one instantaneous 100% sale.</w:t>
      </w:r>
    </w:p>
    <w:p>
      <w:pPr>
        <w:spacing w:after="140"/>
      </w:pPr>
      <w:r>
        <w:rPr>
          <w:b/>
        </w:rPr>
        <w:t xml:space="preserve">Developer alignment check: </w:t>
      </w:r>
      <w:r>
        <w:t>Confirm whether each percentage is computed against the original position or the remaining position. The prose summary uses cumulative 10%→25%→50%→100%; the implementation labels 15% and 25% as additional amounts.</w:t>
      </w:r>
    </w:p>
    <w:p>
      <w:pPr>
        <w:pStyle w:val="Heading2"/>
        <w:keepNext/>
      </w:pPr>
      <w:r>
        <w:t>EQ-158 · Governance boundary</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Governance → {rules}; Governance ↛ individual live weights</w:t>
      </w:r>
    </w:p>
    <w:p>
      <w:pPr>
        <w:keepNext/>
        <w:spacing w:after="40"/>
      </w:pPr>
      <w:r>
        <w:rPr>
          <w:b/>
        </w:rPr>
        <w:t xml:space="preserve">Source: </w:t>
      </w:r>
      <w:r>
        <w:t>§22.3–22.4</w:t>
      </w:r>
    </w:p>
    <w:p>
      <w:pPr>
        <w:keepNext/>
        <w:spacing w:after="40"/>
      </w:pPr>
      <w:r>
        <w:rPr>
          <w:b/>
        </w:rPr>
        <w:t xml:space="preserve">Description: </w:t>
      </w:r>
      <w:r>
        <w:t>Governance approves methods, constraints and parameter bounds, not discretionary individual weight outcomes.</w:t>
      </w:r>
    </w:p>
    <w:p>
      <w:pPr>
        <w:spacing w:after="140"/>
      </w:pPr>
      <w:r>
        <w:rPr>
          <w:b/>
        </w:rPr>
        <w:t xml:space="preserve">Developer alignment check: </w:t>
      </w:r>
      <w:r>
        <w:t>No admin/DAO/council path should directly set W_USD,t or W_Gold,t outside the published MASE pipeline.</w:t>
      </w:r>
    </w:p>
    <w:p>
      <w:pPr>
        <w:pStyle w:val="Heading1"/>
        <w:keepNext/>
      </w:pPr>
      <w:r>
        <w:t>23–26. Validation, reproducibility and final live-weight pipeline</w:t>
      </w:r>
    </w:p>
    <w:p>
      <w:pPr>
        <w:pStyle w:val="Heading2"/>
        <w:keepNext/>
      </w:pPr>
      <w:r>
        <w:t>EQ-159 · Walk-forward protocol</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Train_t → Optimize → OutOfSample_t+1; then roll forward</w:t>
      </w:r>
    </w:p>
    <w:p>
      <w:pPr>
        <w:keepNext/>
        <w:spacing w:after="40"/>
      </w:pPr>
      <w:r>
        <w:rPr>
          <w:b/>
        </w:rPr>
        <w:t xml:space="preserve">Source: </w:t>
      </w:r>
      <w:r>
        <w:t>§23.3</w:t>
      </w:r>
    </w:p>
    <w:p>
      <w:pPr>
        <w:keepNext/>
        <w:spacing w:after="40"/>
      </w:pPr>
      <w:r>
        <w:rPr>
          <w:b/>
        </w:rPr>
        <w:t xml:space="preserve">Description: </w:t>
      </w:r>
      <w:r>
        <w:t>Training/optimization must precede the next out-of-sample evaluation window.</w:t>
      </w:r>
    </w:p>
    <w:p>
      <w:pPr>
        <w:spacing w:after="140"/>
      </w:pPr>
      <w:r>
        <w:rPr>
          <w:b/>
        </w:rPr>
        <w:t xml:space="preserve">Developer alignment check: </w:t>
      </w:r>
      <w:r>
        <w:t>Run the process sequentially; do not shuffle time-series data or allow future information into current inputs.</w:t>
      </w:r>
    </w:p>
    <w:p>
      <w:pPr>
        <w:pStyle w:val="Heading2"/>
        <w:keepNext/>
      </w:pPr>
      <w:r>
        <w:t>EQ-160 · Purged training set</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D_train(purged) = {τ : [τ, τ + h_label) ∩ [t, t + h_test) = ∅}</w:t>
      </w:r>
    </w:p>
    <w:p>
      <w:pPr>
        <w:keepNext/>
        <w:spacing w:after="40"/>
      </w:pPr>
      <w:r>
        <w:rPr>
          <w:b/>
        </w:rPr>
        <w:t xml:space="preserve">Source: </w:t>
      </w:r>
      <w:r>
        <w:t>§23.4</w:t>
      </w:r>
    </w:p>
    <w:p>
      <w:pPr>
        <w:keepNext/>
        <w:spacing w:after="40"/>
      </w:pPr>
      <w:r>
        <w:rPr>
          <w:b/>
        </w:rPr>
        <w:t xml:space="preserve">Description: </w:t>
      </w:r>
      <w:r>
        <w:t>Excludes training labels whose information interval overlaps the test interval.</w:t>
      </w:r>
    </w:p>
    <w:p>
      <w:pPr>
        <w:spacing w:after="140"/>
      </w:pPr>
      <w:r>
        <w:rPr>
          <w:b/>
        </w:rPr>
        <w:t xml:space="preserve">Developer alignment check: </w:t>
      </w:r>
      <w:r>
        <w:t>Implement label horizon and test horizon exactly; verify zero leakage and the embargo/purging rule in tests.</w:t>
      </w:r>
    </w:p>
    <w:p>
      <w:pPr>
        <w:pStyle w:val="Heading2"/>
        <w:keepNext/>
      </w:pPr>
      <w:r>
        <w:t>EQ-161 · Parameter perturbation sensitivity</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ΔPerformance(θ, δ) = |Perf(θ + δ) − Perf(θ − δ)|</w:t>
      </w:r>
    </w:p>
    <w:p>
      <w:pPr>
        <w:keepNext/>
        <w:spacing w:after="40"/>
      </w:pPr>
      <w:r>
        <w:rPr>
          <w:b/>
        </w:rPr>
        <w:t xml:space="preserve">Source: </w:t>
      </w:r>
      <w:r>
        <w:t>§23.6</w:t>
      </w:r>
    </w:p>
    <w:p>
      <w:pPr>
        <w:keepNext/>
        <w:spacing w:after="40"/>
      </w:pPr>
      <w:r>
        <w:rPr>
          <w:b/>
        </w:rPr>
        <w:t xml:space="preserve">Description: </w:t>
      </w:r>
      <w:r>
        <w:t>Measures performance sensitivity to parameter perturbations around a selected value.</w:t>
      </w:r>
    </w:p>
    <w:p>
      <w:pPr>
        <w:spacing w:after="140"/>
      </w:pPr>
      <w:r>
        <w:rPr>
          <w:b/>
        </w:rPr>
        <w:t xml:space="preserve">Developer alignment check: </w:t>
      </w:r>
      <w:r>
        <w:t>Each parameter needs a Risk-Council bound B_θ; pass requires ΔPerformance ≤ B_θ as specified.</w:t>
      </w:r>
    </w:p>
    <w:p>
      <w:pPr>
        <w:pStyle w:val="Heading2"/>
        <w:keepNext/>
      </w:pPr>
      <w:r>
        <w:t>EQ-162 · Model-selection stability score</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Score = a(−Volatility) + b(−CVaR) + c(−MDD) + d(−PPError) + e(−Turnover) + f(−Cost) + g(Diversification) + h(Robustness)</w:t>
      </w:r>
    </w:p>
    <w:p>
      <w:pPr>
        <w:keepNext/>
        <w:spacing w:after="40"/>
      </w:pPr>
      <w:r>
        <w:rPr>
          <w:b/>
        </w:rPr>
        <w:t xml:space="preserve">Source: </w:t>
      </w:r>
      <w:r>
        <w:t>§23.7</w:t>
      </w:r>
    </w:p>
    <w:p>
      <w:pPr>
        <w:keepNext/>
        <w:spacing w:after="40"/>
      </w:pPr>
      <w:r>
        <w:rPr>
          <w:b/>
        </w:rPr>
        <w:t xml:space="preserve">Description: </w:t>
      </w:r>
      <w:r>
        <w:t>Ranks models on stability, tail protection, purchasing-power tracking, low turnover/cost, diversification and robustness—not highest return.</w:t>
      </w:r>
    </w:p>
    <w:p>
      <w:pPr>
        <w:spacing w:after="140"/>
      </w:pPr>
      <w:r>
        <w:rPr>
          <w:b/>
        </w:rPr>
        <w:t xml:space="preserve">Developer alignment check: </w:t>
      </w:r>
      <w:r>
        <w:t>The sign/orientation must be preserved; coefficients and metric scaling are governance/research parameters and must be published.</w:t>
      </w:r>
    </w:p>
    <w:p>
      <w:pPr>
        <w:pStyle w:val="Heading2"/>
        <w:keepNext/>
      </w:pPr>
      <w:r>
        <w:t>EQ-163 · Scenario reserve coverage</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CoverageRatio_s = ReserveNAV_s / Obligations_s;  CoverageRatio_s ≥ 1 for every defined acceptable stress case</w:t>
      </w:r>
    </w:p>
    <w:p>
      <w:pPr>
        <w:keepNext/>
        <w:spacing w:after="40"/>
      </w:pPr>
      <w:r>
        <w:rPr>
          <w:b/>
        </w:rPr>
        <w:t xml:space="preserve">Source: </w:t>
      </w:r>
      <w:r>
        <w:t>§23.11</w:t>
      </w:r>
    </w:p>
    <w:p>
      <w:pPr>
        <w:keepNext/>
        <w:spacing w:after="40"/>
      </w:pPr>
      <w:r>
        <w:rPr>
          <w:b/>
        </w:rPr>
        <w:t xml:space="preserve">Description: </w:t>
      </w:r>
      <w:r>
        <w:t>Measures the reserve against scenario-marked obligations after shocks, haircuts, de-pegs, liquidity discounts and recovery values.</w:t>
      </w:r>
    </w:p>
    <w:p>
      <w:pPr>
        <w:spacing w:after="140"/>
      </w:pPr>
      <w:r>
        <w:rPr>
          <w:b/>
        </w:rPr>
        <w:t xml:space="preserve">Developer alignment check: </w:t>
      </w:r>
      <w:r>
        <w:t>Report coverage for every scenario; if below one, document the explicit governed recovery mechanism. Do not alter the reference basket to conceal reserve failure.</w:t>
      </w:r>
    </w:p>
    <w:p>
      <w:pPr>
        <w:pStyle w:val="Heading2"/>
        <w:keepNext/>
      </w:pPr>
      <w:r>
        <w:t>EQ-164 · Deterministic reproducibility</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(Data_t, Parameters_t, Versions_t) identical ⇒ W_t^Live identical</w:t>
      </w:r>
    </w:p>
    <w:p>
      <w:pPr>
        <w:keepNext/>
        <w:spacing w:after="40"/>
      </w:pPr>
      <w:r>
        <w:rPr>
          <w:b/>
        </w:rPr>
        <w:t xml:space="preserve">Source: </w:t>
      </w:r>
      <w:r>
        <w:t>§24.1</w:t>
      </w:r>
    </w:p>
    <w:p>
      <w:pPr>
        <w:keepNext/>
        <w:spacing w:after="40"/>
      </w:pPr>
      <w:r>
        <w:rPr>
          <w:b/>
        </w:rPr>
        <w:t xml:space="preserve">Description: </w:t>
      </w:r>
      <w:r>
        <w:t>Identical data, parameters, methodology/model/oracle versions must reproduce identical live weights.</w:t>
      </w:r>
    </w:p>
    <w:p>
      <w:pPr>
        <w:spacing w:after="140"/>
      </w:pPr>
      <w:r>
        <w:rPr>
          <w:b/>
        </w:rPr>
        <w:t xml:space="preserve">Developer alignment check: </w:t>
      </w:r>
      <w:r>
        <w:t>Publish content hashes/versions and provide independent recomputation tests.</w:t>
      </w:r>
    </w:p>
    <w:p>
      <w:pPr>
        <w:pStyle w:val="Heading2"/>
        <w:keepNext/>
      </w:pPr>
      <w:r>
        <w:t>EQ-165 · Complete live-weight pipeline</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W_t^Live = Execute[Smooth[Constrain[Ensemble[Constituency(Data_t)]]]]</w:t>
      </w:r>
    </w:p>
    <w:p>
      <w:pPr>
        <w:keepNext/>
        <w:spacing w:after="40"/>
      </w:pPr>
      <w:r>
        <w:rPr>
          <w:b/>
        </w:rPr>
        <w:t xml:space="preserve">Source: </w:t>
      </w:r>
      <w:r>
        <w:t>§24.5; §26.3</w:t>
      </w:r>
    </w:p>
    <w:p>
      <w:pPr>
        <w:keepNext/>
        <w:spacing w:after="40"/>
      </w:pPr>
      <w:r>
        <w:rPr>
          <w:b/>
        </w:rPr>
        <w:t xml:space="preserve">Description: </w:t>
      </w:r>
      <w:r>
        <w:t>Canonical end-to-end computation: data determines eligibility; model ensemble proposes weights; constraints project; smoothing paces; execution gates decide what actually trades.</w:t>
      </w:r>
    </w:p>
    <w:p>
      <w:pPr>
        <w:spacing w:after="140"/>
      </w:pPr>
      <w:r>
        <w:rPr>
          <w:b/>
        </w:rPr>
        <w:t xml:space="preserve">Developer alignment check: </w:t>
      </w:r>
      <w:r>
        <w:t>Verify order of operations and the meaning of W_live in relation to the registry’s smoothed state versus MARP’s executed state.</w:t>
      </w:r>
    </w:p>
    <w:p>
      <w:pPr>
        <w:pStyle w:val="Heading2"/>
        <w:keepNext/>
      </w:pPr>
      <w:r>
        <w:t>EQ-166 · Target-weight function</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W_t^Target = MASE(Data_t, W^Prior, Risk_t, CVaR_t, PP_t, Liquidity_t, Regime_t, Cost_t)</w:t>
      </w:r>
    </w:p>
    <w:p>
      <w:pPr>
        <w:keepNext/>
        <w:spacing w:after="40"/>
      </w:pPr>
      <w:r>
        <w:rPr>
          <w:b/>
        </w:rPr>
        <w:t xml:space="preserve">Source: </w:t>
      </w:r>
      <w:r>
        <w:t>§24.5</w:t>
      </w:r>
    </w:p>
    <w:p>
      <w:pPr>
        <w:keepNext/>
        <w:spacing w:after="40"/>
      </w:pPr>
      <w:r>
        <w:rPr>
          <w:b/>
        </w:rPr>
        <w:t xml:space="preserve">Description: </w:t>
      </w:r>
      <w:r>
        <w:t>Describes the inputs that feed the current MASE target calculation.</w:t>
      </w:r>
    </w:p>
    <w:p>
      <w:pPr>
        <w:spacing w:after="140"/>
      </w:pPr>
      <w:r>
        <w:rPr>
          <w:b/>
        </w:rPr>
        <w:t xml:space="preserve">Developer alignment check: </w:t>
      </w:r>
      <w:r>
        <w:t>Every input must have data provenance, units, timestamp, fallback behavior and versioning.</w:t>
      </w:r>
    </w:p>
    <w:p>
      <w:pPr>
        <w:pStyle w:val="Heading2"/>
        <w:keepNext/>
      </w:pPr>
      <w:r>
        <w:t>EQ-167 · Constraint projection</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W_t^Constrained = Projection_Ct(W_t^Target)</w:t>
      </w:r>
    </w:p>
    <w:p>
      <w:pPr>
        <w:keepNext/>
        <w:spacing w:after="40"/>
      </w:pPr>
      <w:r>
        <w:rPr>
          <w:b/>
        </w:rPr>
        <w:t xml:space="preserve">Source: </w:t>
      </w:r>
      <w:r>
        <w:t>§24.5</w:t>
      </w:r>
    </w:p>
    <w:p>
      <w:pPr>
        <w:keepNext/>
        <w:spacing w:after="40"/>
      </w:pPr>
      <w:r>
        <w:rPr>
          <w:b/>
        </w:rPr>
        <w:t xml:space="preserve">Description: </w:t>
      </w:r>
      <w:r>
        <w:t>Projects MASE’s unconstrained target into the admissible set C_t.</w:t>
      </w:r>
    </w:p>
    <w:p>
      <w:pPr>
        <w:spacing w:after="140"/>
      </w:pPr>
      <w:r>
        <w:rPr>
          <w:b/>
        </w:rPr>
        <w:t xml:space="preserve">Developer alignment check: </w:t>
      </w:r>
      <w:r>
        <w:t>The projection must enforce all Chapter 8 bounds and return a reproducible feasible vector.</w:t>
      </w:r>
    </w:p>
    <w:p>
      <w:pPr>
        <w:pStyle w:val="Heading2"/>
        <w:keepNext/>
      </w:pPr>
      <w:r>
        <w:t>EQ-168 · Final smoothing step</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W_t^Smooth = ρ_t W_t−1 + (1 − ρ_t)W_t^Constrained</w:t>
      </w:r>
    </w:p>
    <w:p>
      <w:pPr>
        <w:keepNext/>
        <w:spacing w:after="40"/>
      </w:pPr>
      <w:r>
        <w:rPr>
          <w:b/>
        </w:rPr>
        <w:t xml:space="preserve">Source: </w:t>
      </w:r>
      <w:r>
        <w:t>§24.5</w:t>
      </w:r>
    </w:p>
    <w:p>
      <w:pPr>
        <w:keepNext/>
        <w:spacing w:after="40"/>
      </w:pPr>
      <w:r>
        <w:rPr>
          <w:b/>
        </w:rPr>
        <w:t xml:space="preserve">Description: </w:t>
      </w:r>
      <w:r>
        <w:t>Produces a risk-paced weight state from prior live weights and the projected target.</w:t>
      </w:r>
    </w:p>
    <w:p>
      <w:pPr>
        <w:spacing w:after="140"/>
      </w:pPr>
      <w:r>
        <w:rPr>
          <w:b/>
        </w:rPr>
        <w:t xml:space="preserve">Developer alignment check: </w:t>
      </w:r>
      <w:r>
        <w:t>Use the same smoothing state and stress flag as the on-chain registry, with fixed-point rounding tests.</w:t>
      </w:r>
    </w:p>
    <w:p>
      <w:pPr>
        <w:pStyle w:val="Heading2"/>
        <w:keepNext/>
      </w:pPr>
      <w:r>
        <w:t>EQ-169 · MARP execution decision</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W_t^Execution = MARP(W_t^Smooth, W_t^Actual, Cost_t, Liquidity_t, Reserve_t)</w:t>
      </w:r>
    </w:p>
    <w:p>
      <w:pPr>
        <w:keepNext/>
        <w:spacing w:after="40"/>
      </w:pPr>
      <w:r>
        <w:rPr>
          <w:b/>
        </w:rPr>
        <w:t xml:space="preserve">Source: </w:t>
      </w:r>
      <w:r>
        <w:t>§24.5</w:t>
      </w:r>
    </w:p>
    <w:p>
      <w:pPr>
        <w:keepNext/>
        <w:spacing w:after="40"/>
      </w:pPr>
      <w:r>
        <w:rPr>
          <w:b/>
        </w:rPr>
        <w:t xml:space="preserve">Description: </w:t>
      </w:r>
      <w:r>
        <w:t>Determines the actual correction after observed drift, cost, liquidity and reserve checks.</w:t>
      </w:r>
    </w:p>
    <w:p>
      <w:pPr>
        <w:spacing w:after="140"/>
      </w:pPr>
      <w:r>
        <w:rPr>
          <w:b/>
        </w:rPr>
        <w:t xml:space="preserve">Developer alignment check: </w:t>
      </w:r>
      <w:r>
        <w:t>Execution output may be no trade or partial trade; it is not identical by definition to the smoothed index weights.</w:t>
      </w:r>
    </w:p>
    <w:p>
      <w:pPr>
        <w:pStyle w:val="Heading2"/>
        <w:keepNext/>
      </w:pPr>
      <w:r>
        <w:t>EQ-170 · Adaptive weight vector</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W_t = [w_USD,t, w_EUR,t, w_JPY,t, w_GBP,t, w_CNY,t, w_CHF,t, w_Gold,t], with Σ_i w_i,t = 1</w:t>
      </w:r>
    </w:p>
    <w:p>
      <w:pPr>
        <w:keepNext/>
        <w:spacing w:after="40"/>
      </w:pPr>
      <w:r>
        <w:rPr>
          <w:b/>
        </w:rPr>
        <w:t xml:space="preserve">Source: </w:t>
      </w:r>
      <w:r>
        <w:t>§26.4</w:t>
      </w:r>
    </w:p>
    <w:p>
      <w:pPr>
        <w:keepNext/>
        <w:spacing w:after="40"/>
      </w:pPr>
      <w:r>
        <w:rPr>
          <w:b/>
        </w:rPr>
        <w:t xml:space="preserve">Description: </w:t>
      </w:r>
      <w:r>
        <w:t>Represents the seven initial components at time t, with normalized total weight.</w:t>
      </w:r>
    </w:p>
    <w:p>
      <w:pPr>
        <w:spacing w:after="140"/>
      </w:pPr>
      <w:r>
        <w:rPr>
          <w:b/>
        </w:rPr>
        <w:t xml:space="preserve">Developer alignment check: </w:t>
      </w:r>
      <w:r>
        <w:t>Generalize the vector to the current eligible universe after constituency changes; the initial seven components are not necessarily permanent.</w:t>
      </w:r>
    </w:p>
    <w:p>
      <w:pPr>
        <w:pStyle w:val="Heading2"/>
        <w:keepNext/>
      </w:pPr>
      <w:r>
        <w:t>EQ-171 · No-trade worked example</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D = |28.2% − 28.5%| = 0.3%;  0.3% &lt; θ_USD=1.0% ⇒ Trade=0</w:t>
      </w:r>
    </w:p>
    <w:p>
      <w:pPr>
        <w:keepNext/>
        <w:spacing w:after="40"/>
      </w:pPr>
      <w:r>
        <w:rPr>
          <w:b/>
        </w:rPr>
        <w:t xml:space="preserve">Source: </w:t>
      </w:r>
      <w:r>
        <w:t>Appendix C §C.1</w:t>
      </w:r>
    </w:p>
    <w:p>
      <w:pPr>
        <w:keepNext/>
        <w:spacing w:after="40"/>
      </w:pPr>
      <w:r>
        <w:rPr>
          <w:b/>
        </w:rPr>
        <w:t xml:space="preserve">Description: </w:t>
      </w:r>
      <w:r>
        <w:t>Illustrates a deviation inside the no-trade band and therefore no trade.</w:t>
      </w:r>
    </w:p>
    <w:p>
      <w:pPr>
        <w:spacing w:after="140"/>
      </w:pPr>
      <w:r>
        <w:rPr>
          <w:b/>
        </w:rPr>
        <w:t xml:space="preserve">Developer alignment check: </w:t>
      </w:r>
      <w:r>
        <w:t>This example must pass exactly and be recorded in the decision log.</w:t>
      </w:r>
    </w:p>
    <w:p>
      <w:pPr>
        <w:pStyle w:val="Heading2"/>
        <w:keepNext/>
      </w:pPr>
      <w:r>
        <w:t>EQ-172 · Partial gold correction worked example</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D = |27.0% − 29.4%| = 2.4%;  2.4% &gt; θ_Gold=2.0% ⇒ trigger;  Trade = 0.40 × (27.0% − 29.4%) = −0.96%</w:t>
      </w:r>
    </w:p>
    <w:p>
      <w:pPr>
        <w:keepNext/>
        <w:spacing w:after="40"/>
      </w:pPr>
      <w:r>
        <w:rPr>
          <w:b/>
        </w:rPr>
        <w:t xml:space="preserve">Source: </w:t>
      </w:r>
      <w:r>
        <w:t>Appendix C §C.2</w:t>
      </w:r>
    </w:p>
    <w:p>
      <w:pPr>
        <w:keepNext/>
        <w:spacing w:after="40"/>
      </w:pPr>
      <w:r>
        <w:rPr>
          <w:b/>
        </w:rPr>
        <w:t xml:space="preserve">Description: </w:t>
      </w:r>
      <w:r>
        <w:t>Illustrates a 40% partial correction of a 2.4 percentage-point overshoot in gold.</w:t>
      </w:r>
    </w:p>
    <w:p>
      <w:pPr>
        <w:spacing w:after="140"/>
      </w:pPr>
      <w:r>
        <w:rPr>
          <w:b/>
        </w:rPr>
        <w:t xml:space="preserve">Developer alignment check: </w:t>
      </w:r>
      <w:r>
        <w:t>The signed −0.96% trade means reducing gold weight. After execution, the example states actual gold weight 28.44% and residual deviation 1.44%.</w:t>
      </w:r>
    </w:p>
    <w:p>
      <w:pPr>
        <w:pStyle w:val="Heading2"/>
        <w:keepNext/>
      </w:pPr>
      <w:r>
        <w:t>EQ-173 · Natural-flow worked example</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TradeNeeded = 1.5% − 0.9% = 0.6%</w:t>
      </w:r>
    </w:p>
    <w:p>
      <w:pPr>
        <w:keepNext/>
        <w:spacing w:after="40"/>
      </w:pPr>
      <w:r>
        <w:rPr>
          <w:b/>
        </w:rPr>
        <w:t xml:space="preserve">Source: </w:t>
      </w:r>
      <w:r>
        <w:t>Appendix C §C.3</w:t>
      </w:r>
    </w:p>
    <w:p>
      <w:pPr>
        <w:keepNext/>
        <w:spacing w:after="40"/>
      </w:pPr>
      <w:r>
        <w:rPr>
          <w:b/>
        </w:rPr>
        <w:t xml:space="preserve">Description: </w:t>
      </w:r>
      <w:r>
        <w:t>Natural inflows/outflows close 0.9 percentage points of a 1.5-point gap, leaving 0.6 points for external trading.</w:t>
      </w:r>
    </w:p>
    <w:p>
      <w:pPr>
        <w:spacing w:after="140"/>
      </w:pPr>
      <w:r>
        <w:rPr>
          <w:b/>
        </w:rPr>
        <w:t xml:space="preserve">Developer alignment check: </w:t>
      </w:r>
      <w:r>
        <w:t>Apply flow netting before external quote/cost checks.</w:t>
      </w:r>
    </w:p>
    <w:p>
      <w:pPr>
        <w:pStyle w:val="Heading2"/>
        <w:keepNext/>
      </w:pPr>
      <w:r>
        <w:t>EQ-174 · Rejected cost-gate example</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B − C = 0.12% − 0.17% = −0.05% &lt; 0 ⇒ Trade = 0</w:t>
      </w:r>
    </w:p>
    <w:p>
      <w:pPr>
        <w:keepNext/>
        <w:spacing w:after="40"/>
      </w:pPr>
      <w:r>
        <w:rPr>
          <w:b/>
        </w:rPr>
        <w:t xml:space="preserve">Source: </w:t>
      </w:r>
      <w:r>
        <w:t>Appendix C §C.4</w:t>
      </w:r>
    </w:p>
    <w:p>
      <w:pPr>
        <w:keepNext/>
        <w:spacing w:after="40"/>
      </w:pPr>
      <w:r>
        <w:rPr>
          <w:b/>
        </w:rPr>
        <w:t xml:space="preserve">Description: </w:t>
      </w:r>
      <w:r>
        <w:t>Execution is rejected because expected costs exceed the benefit even though deviation may qualify for a trade.</w:t>
      </w:r>
    </w:p>
    <w:p>
      <w:pPr>
        <w:spacing w:after="140"/>
      </w:pPr>
      <w:r>
        <w:rPr>
          <w:b/>
        </w:rPr>
        <w:t xml:space="preserve">Developer alignment check: </w:t>
      </w:r>
      <w:r>
        <w:t>A no-trade-zone breach is not sufficient to execute; cost-benefit must also pass unless an explicit safety override applies.</w:t>
      </w:r>
    </w:p>
    <w:p>
      <w:pPr>
        <w:pStyle w:val="Heading2"/>
        <w:keepNext/>
      </w:pPr>
      <w:r>
        <w:t>EQ-175 · Adaptive gold target example</w:t>
      </w:r>
    </w:p>
    <w:p>
      <w:pPr>
        <w:keepNext/>
        <w:spacing w:before="40" w:after="80"/>
        <w:ind w:left="216" w:right="216"/>
        <w:shd w:fill="EEF4F7"/>
        <w:pBdr>
          <w:top w:val="single" w:sz="5" w:space="4" w:color="C8D4DA"/>
          <w:left w:val="single" w:sz="5" w:space="4" w:color="C8D4DA"/>
          <w:bottom w:val="single" w:sz="5" w:space="4" w:color="C8D4DA"/>
          <w:right w:val="single" w:sz="5" w:space="4" w:color="C8D4DA"/>
        </w:pBdr>
      </w:pPr>
      <w:r>
        <w:rPr>
          <w:rFonts w:ascii="Cambria Math" w:hAnsi="Cambria Math" w:eastAsia="Cambria Math"/>
          <w:b/>
          <w:color w:val="12304A"/>
          <w:sz w:val="18"/>
        </w:rPr>
        <w:t>W_Gold^Target = 29.2% ≠ W_Gold^Prior = 26%</w:t>
      </w:r>
    </w:p>
    <w:p>
      <w:pPr>
        <w:keepNext/>
        <w:spacing w:after="40"/>
      </w:pPr>
      <w:r>
        <w:rPr>
          <w:b/>
        </w:rPr>
        <w:t xml:space="preserve">Source: </w:t>
      </w:r>
      <w:r>
        <w:t>Appendix C §C.5</w:t>
      </w:r>
    </w:p>
    <w:p>
      <w:pPr>
        <w:keepNext/>
        <w:spacing w:after="40"/>
      </w:pPr>
      <w:r>
        <w:rPr>
          <w:b/>
        </w:rPr>
        <w:t xml:space="preserve">Description: </w:t>
      </w:r>
      <w:r>
        <w:t>Demonstrates that target gold allocation can differ from the 26% strategic prior.</w:t>
      </w:r>
    </w:p>
    <w:p>
      <w:pPr>
        <w:spacing w:after="140"/>
      </w:pPr>
      <w:r>
        <w:rPr>
          <w:b/>
        </w:rPr>
        <w:t xml:space="preserve">Developer alignment check: </w:t>
      </w:r>
      <w:r>
        <w:t>Treat 29.2% as an illustrative case, not an approved optimal/live allocation.</w:t>
      </w:r>
    </w:p>
    <w:p>
      <w:pPr>
        <w:pStyle w:val="Heading1"/>
        <w:keepNext/>
      </w:pPr>
      <w:r>
        <w:t>Numerical parameters and defaults requiring exact alignment</w:t>
      </w:r>
    </w:p>
    <w:p>
      <w:r>
        <w:t>These values are as stated in the blueprint. They are not all of the same governance status: some are immutable invariants, some are mutable governed parameters, and some are validation-stage research defaults. Developers must retain that distinction in code, configuration, UI and tests.</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12304A"/>
          </w:tcPr>
          <w:p>
            <w:r>
              <w:rPr>
                <w:b/>
                <w:color w:val="FFFFFF"/>
                <w:sz w:val="16"/>
              </w:rPr>
              <w:t>Parameter</w:t>
            </w:r>
          </w:p>
        </w:tc>
        <w:tc>
          <w:tcPr>
            <w:tcW w:type="dxa" w:w="2541"/>
            <w:shd w:fill="12304A"/>
          </w:tcPr>
          <w:p>
            <w:r>
              <w:rPr>
                <w:b/>
                <w:color w:val="FFFFFF"/>
                <w:sz w:val="16"/>
              </w:rPr>
              <w:t>Source value</w:t>
            </w:r>
          </w:p>
        </w:tc>
        <w:tc>
          <w:tcPr>
            <w:tcW w:type="dxa" w:w="2541"/>
            <w:shd w:fill="12304A"/>
          </w:tcPr>
          <w:p>
            <w:r>
              <w:rPr>
                <w:b/>
                <w:color w:val="FFFFFF"/>
                <w:sz w:val="16"/>
              </w:rPr>
              <w:t>Section</w:t>
            </w:r>
          </w:p>
        </w:tc>
        <w:tc>
          <w:tcPr>
            <w:tcW w:type="dxa" w:w="2541"/>
            <w:shd w:fill="12304A"/>
          </w:tcPr>
          <w:p>
            <w:r>
              <w:rPr>
                <w:b/>
                <w:color w:val="FFFFFF"/>
                <w:sz w:val="16"/>
              </w:rPr>
              <w:t>Interpretation / implementation note</w:t>
            </w:r>
          </w:p>
        </w:tc>
      </w:tr>
      <w:tr>
        <w:trPr>
          <w:cantSplit/>
        </w:trPr>
        <w:tc>
          <w:tcPr>
            <w:tcW w:type="dxa" w:w="2541"/>
            <w:tcMar>
              <w:top w:w="65" w:type="dxa"/>
              <w:start w:w="110" w:type="dxa"/>
              <w:bottom w:w="65" w:type="dxa"/>
              <w:end w:w="110" w:type="dxa"/>
            </w:tcMar>
          </w:tcPr>
          <w:p>
            <w:r>
              <w:rPr>
                <w:b/>
                <w:sz w:val="15"/>
              </w:rPr>
              <w:t>Strategic prior</w:t>
            </w:r>
          </w:p>
        </w:tc>
        <w:tc>
          <w:tcPr>
            <w:tcW w:type="dxa" w:w="2541"/>
            <w:tcMar>
              <w:top w:w="65" w:type="dxa"/>
              <w:start w:w="110" w:type="dxa"/>
              <w:bottom w:w="65" w:type="dxa"/>
              <w:end w:w="110" w:type="dxa"/>
            </w:tcMar>
          </w:tcPr>
          <w:p>
            <w:r>
              <w:rPr>
                <w:sz w:val="15"/>
              </w:rPr>
              <w:t>USD 27%; EUR 20%; JPY 9%; GBP 8%; CNY 5%; CHF 5%; Gold 26%</w:t>
            </w:r>
          </w:p>
        </w:tc>
        <w:tc>
          <w:tcPr>
            <w:tcW w:type="dxa" w:w="2541"/>
            <w:tcMar>
              <w:top w:w="65" w:type="dxa"/>
              <w:start w:w="110" w:type="dxa"/>
              <w:bottom w:w="65" w:type="dxa"/>
              <w:end w:w="110" w:type="dxa"/>
            </w:tcMar>
          </w:tcPr>
          <w:p>
            <w:r>
              <w:rPr>
                <w:sz w:val="15"/>
              </w:rPr>
              <w:t>§3.2</w:t>
            </w:r>
          </w:p>
        </w:tc>
        <w:tc>
          <w:tcPr>
            <w:tcW w:type="dxa" w:w="2541"/>
            <w:tcMar>
              <w:top w:w="65" w:type="dxa"/>
              <w:start w:w="110" w:type="dxa"/>
              <w:bottom w:w="65" w:type="dxa"/>
              <w:end w:w="110" w:type="dxa"/>
            </w:tcMar>
          </w:tcPr>
          <w:p>
            <w:r>
              <w:rPr>
                <w:sz w:val="15"/>
              </w:rPr>
              <w:t>Soft anchor / genesis snapshot; not live weights.</w:t>
            </w:r>
          </w:p>
        </w:tc>
      </w:tr>
      <w:tr>
        <w:trPr>
          <w:cantSplit/>
        </w:trPr>
        <w:tc>
          <w:tcPr>
            <w:tcW w:type="dxa" w:w="2541"/>
            <w:tcMar>
              <w:top w:w="65" w:type="dxa"/>
              <w:start w:w="110" w:type="dxa"/>
              <w:bottom w:w="65" w:type="dxa"/>
              <w:end w:w="110" w:type="dxa"/>
            </w:tcMar>
          </w:tcPr>
          <w:p>
            <w:r>
              <w:rPr>
                <w:b/>
                <w:sz w:val="15"/>
              </w:rPr>
              <w:t>Genesis base FX fixing</w:t>
            </w:r>
          </w:p>
        </w:tc>
        <w:tc>
          <w:tcPr>
            <w:tcW w:type="dxa" w:w="2541"/>
            <w:tcMar>
              <w:top w:w="65" w:type="dxa"/>
              <w:start w:w="110" w:type="dxa"/>
              <w:bottom w:w="65" w:type="dxa"/>
              <w:end w:w="110" w:type="dxa"/>
            </w:tcMar>
          </w:tcPr>
          <w:p>
            <w:r>
              <w:rPr>
                <w:sz w:val="15"/>
              </w:rPr>
              <w:t>EUR/USD 1.0500; GBP/USD 1.2500; JPY/USD 0.0067; CNY/USD 0.1400; CHF/USD 1.1300</w:t>
            </w:r>
          </w:p>
        </w:tc>
        <w:tc>
          <w:tcPr>
            <w:tcW w:type="dxa" w:w="2541"/>
            <w:tcMar>
              <w:top w:w="65" w:type="dxa"/>
              <w:start w:w="110" w:type="dxa"/>
              <w:bottom w:w="65" w:type="dxa"/>
              <w:end w:w="110" w:type="dxa"/>
            </w:tcMar>
          </w:tcPr>
          <w:p>
            <w:r>
              <w:rPr>
                <w:sz w:val="15"/>
              </w:rPr>
              <w:t>§2.7, §3.4</w:t>
            </w:r>
          </w:p>
        </w:tc>
        <w:tc>
          <w:tcPr>
            <w:tcW w:type="dxa" w:w="2541"/>
            <w:tcMar>
              <w:top w:w="65" w:type="dxa"/>
              <w:start w:w="110" w:type="dxa"/>
              <w:bottom w:w="65" w:type="dxa"/>
              <w:end w:w="110" w:type="dxa"/>
            </w:tcMar>
          </w:tcPr>
          <w:p>
            <w:r>
              <w:rPr>
                <w:sz w:val="15"/>
              </w:rPr>
              <w:t>Immutable normalization fixings. Confirm decimal scaling in each deployment.</w:t>
            </w:r>
          </w:p>
        </w:tc>
      </w:tr>
      <w:tr>
        <w:trPr>
          <w:cantSplit/>
        </w:trPr>
        <w:tc>
          <w:tcPr>
            <w:tcW w:type="dxa" w:w="2541"/>
            <w:tcMar>
              <w:top w:w="65" w:type="dxa"/>
              <w:start w:w="110" w:type="dxa"/>
              <w:bottom w:w="65" w:type="dxa"/>
              <w:end w:w="110" w:type="dxa"/>
            </w:tcMar>
          </w:tcPr>
          <w:p>
            <w:r>
              <w:rPr>
                <w:b/>
                <w:sz w:val="15"/>
              </w:rPr>
              <w:t>Genesis gold fixing</w:t>
            </w:r>
          </w:p>
        </w:tc>
        <w:tc>
          <w:tcPr>
            <w:tcW w:type="dxa" w:w="2541"/>
            <w:tcMar>
              <w:top w:w="65" w:type="dxa"/>
              <w:start w:w="110" w:type="dxa"/>
              <w:bottom w:w="65" w:type="dxa"/>
              <w:end w:w="110" w:type="dxa"/>
            </w:tcMar>
          </w:tcPr>
          <w:p>
            <w:r>
              <w:rPr>
                <w:sz w:val="15"/>
              </w:rPr>
              <w:t>USD 2,500 per reference gold unit</w:t>
            </w:r>
          </w:p>
        </w:tc>
        <w:tc>
          <w:tcPr>
            <w:tcW w:type="dxa" w:w="2541"/>
            <w:tcMar>
              <w:top w:w="65" w:type="dxa"/>
              <w:start w:w="110" w:type="dxa"/>
              <w:bottom w:w="65" w:type="dxa"/>
              <w:end w:w="110" w:type="dxa"/>
            </w:tcMar>
          </w:tcPr>
          <w:p>
            <w:r>
              <w:rPr>
                <w:sz w:val="15"/>
              </w:rPr>
              <w:t>§2.7, §3.4</w:t>
            </w:r>
          </w:p>
        </w:tc>
        <w:tc>
          <w:tcPr>
            <w:tcW w:type="dxa" w:w="2541"/>
            <w:tcMar>
              <w:top w:w="65" w:type="dxa"/>
              <w:start w:w="110" w:type="dxa"/>
              <w:bottom w:w="65" w:type="dxa"/>
              <w:end w:w="110" w:type="dxa"/>
            </w:tcMar>
          </w:tcPr>
          <w:p>
            <w:r>
              <w:rPr>
                <w:sz w:val="15"/>
              </w:rPr>
              <w:t>Base price concept; not a promise or peg.</w:t>
            </w:r>
          </w:p>
        </w:tc>
      </w:tr>
      <w:tr>
        <w:trPr>
          <w:cantSplit/>
        </w:trPr>
        <w:tc>
          <w:tcPr>
            <w:tcW w:type="dxa" w:w="2541"/>
            <w:tcMar>
              <w:top w:w="65" w:type="dxa"/>
              <w:start w:w="110" w:type="dxa"/>
              <w:bottom w:w="65" w:type="dxa"/>
              <w:end w:w="110" w:type="dxa"/>
            </w:tcMar>
          </w:tcPr>
          <w:p>
            <w:r>
              <w:rPr>
                <w:b/>
                <w:sz w:val="15"/>
              </w:rPr>
              <w:t>Constitutional weight bounds</w:t>
            </w:r>
          </w:p>
        </w:tc>
        <w:tc>
          <w:tcPr>
            <w:tcW w:type="dxa" w:w="2541"/>
            <w:tcMar>
              <w:top w:w="65" w:type="dxa"/>
              <w:start w:w="110" w:type="dxa"/>
              <w:bottom w:w="65" w:type="dxa"/>
              <w:end w:w="110" w:type="dxa"/>
            </w:tcMar>
          </w:tcPr>
          <w:p>
            <w:r>
              <w:rPr>
                <w:sz w:val="15"/>
              </w:rPr>
              <w:t>USD 23–32%; EUR 17–24%; JPY 7–12%; GBP 6–11%; CNY 3–7%; CHF 3–7%; Gold 20–32%</w:t>
            </w:r>
          </w:p>
        </w:tc>
        <w:tc>
          <w:tcPr>
            <w:tcW w:type="dxa" w:w="2541"/>
            <w:tcMar>
              <w:top w:w="65" w:type="dxa"/>
              <w:start w:w="110" w:type="dxa"/>
              <w:bottom w:w="65" w:type="dxa"/>
              <w:end w:w="110" w:type="dxa"/>
            </w:tcMar>
          </w:tcPr>
          <w:p>
            <w:r>
              <w:rPr>
                <w:sz w:val="15"/>
              </w:rPr>
              <w:t>§8.1</w:t>
            </w:r>
          </w:p>
        </w:tc>
        <w:tc>
          <w:tcPr>
            <w:tcW w:type="dxa" w:w="2541"/>
            <w:tcMar>
              <w:top w:w="65" w:type="dxa"/>
              <w:start w:w="110" w:type="dxa"/>
              <w:bottom w:w="65" w:type="dxa"/>
              <w:end w:w="110" w:type="dxa"/>
            </w:tcMar>
          </w:tcPr>
          <w:p>
            <w:r>
              <w:rPr>
                <w:sz w:val="15"/>
              </w:rPr>
              <w:t>Validation-stage admissibility envelopes, not composition targets.</w:t>
            </w:r>
          </w:p>
        </w:tc>
      </w:tr>
      <w:tr>
        <w:trPr>
          <w:cantSplit/>
        </w:trPr>
        <w:tc>
          <w:tcPr>
            <w:tcW w:type="dxa" w:w="2541"/>
            <w:tcMar>
              <w:top w:w="65" w:type="dxa"/>
              <w:start w:w="110" w:type="dxa"/>
              <w:bottom w:w="65" w:type="dxa"/>
              <w:end w:w="110" w:type="dxa"/>
            </w:tcMar>
          </w:tcPr>
          <w:p>
            <w:r>
              <w:rPr>
                <w:b/>
                <w:sz w:val="15"/>
              </w:rPr>
              <w:t>MAX_VELOCITY per accepted update</w:t>
            </w:r>
          </w:p>
        </w:tc>
        <w:tc>
          <w:tcPr>
            <w:tcW w:type="dxa" w:w="2541"/>
            <w:tcMar>
              <w:top w:w="65" w:type="dxa"/>
              <w:start w:w="110" w:type="dxa"/>
              <w:bottom w:w="65" w:type="dxa"/>
              <w:end w:w="110" w:type="dxa"/>
            </w:tcMar>
          </w:tcPr>
          <w:p>
            <w:r>
              <w:rPr>
                <w:sz w:val="15"/>
              </w:rPr>
              <w:t>USD 0.50%; EUR 0.50%; JPY 0.30%; GBP 0.30%; CNY 0.20%; CHF 0.20%; Gold 0.50%</w:t>
            </w:r>
          </w:p>
        </w:tc>
        <w:tc>
          <w:tcPr>
            <w:tcW w:type="dxa" w:w="2541"/>
            <w:tcMar>
              <w:top w:w="65" w:type="dxa"/>
              <w:start w:w="110" w:type="dxa"/>
              <w:bottom w:w="65" w:type="dxa"/>
              <w:end w:w="110" w:type="dxa"/>
            </w:tcMar>
          </w:tcPr>
          <w:p>
            <w:r>
              <w:rPr>
                <w:sz w:val="15"/>
              </w:rPr>
              <w:t>§8.3; Listings 1–2</w:t>
            </w:r>
          </w:p>
        </w:tc>
        <w:tc>
          <w:tcPr>
            <w:tcW w:type="dxa" w:w="2541"/>
            <w:tcMar>
              <w:top w:w="65" w:type="dxa"/>
              <w:start w:w="110" w:type="dxa"/>
              <w:bottom w:w="65" w:type="dxa"/>
              <w:end w:w="110" w:type="dxa"/>
            </w:tcMar>
          </w:tcPr>
          <w:p>
            <w:r>
              <w:rPr>
                <w:sz w:val="15"/>
              </w:rPr>
              <w:t>Risk-Council controlled per-update bounds.</w:t>
            </w:r>
          </w:p>
        </w:tc>
      </w:tr>
      <w:tr>
        <w:trPr>
          <w:cantSplit/>
        </w:trPr>
        <w:tc>
          <w:tcPr>
            <w:tcW w:type="dxa" w:w="2541"/>
            <w:tcMar>
              <w:top w:w="65" w:type="dxa"/>
              <w:start w:w="110" w:type="dxa"/>
              <w:bottom w:w="65" w:type="dxa"/>
              <w:end w:w="110" w:type="dxa"/>
            </w:tcMar>
          </w:tcPr>
          <w:p>
            <w:r>
              <w:rPr>
                <w:b/>
                <w:sz w:val="15"/>
              </w:rPr>
              <w:t>Smoothing rho</w:t>
            </w:r>
          </w:p>
        </w:tc>
        <w:tc>
          <w:tcPr>
            <w:tcW w:type="dxa" w:w="2541"/>
            <w:tcMar>
              <w:top w:w="65" w:type="dxa"/>
              <w:start w:w="110" w:type="dxa"/>
              <w:bottom w:w="65" w:type="dxa"/>
              <w:end w:w="110" w:type="dxa"/>
            </w:tcMar>
          </w:tcPr>
          <w:p>
            <w:r>
              <w:rPr>
                <w:sz w:val="15"/>
              </w:rPr>
              <w:t>Normal 0.50; Stress 0.75</w:t>
            </w:r>
          </w:p>
        </w:tc>
        <w:tc>
          <w:tcPr>
            <w:tcW w:type="dxa" w:w="2541"/>
            <w:tcMar>
              <w:top w:w="65" w:type="dxa"/>
              <w:start w:w="110" w:type="dxa"/>
              <w:bottom w:w="65" w:type="dxa"/>
              <w:end w:w="110" w:type="dxa"/>
            </w:tcMar>
          </w:tcPr>
          <w:p>
            <w:r>
              <w:rPr>
                <w:sz w:val="15"/>
              </w:rPr>
              <w:t>§8.4; §7.7</w:t>
            </w:r>
          </w:p>
        </w:tc>
        <w:tc>
          <w:tcPr>
            <w:tcW w:type="dxa" w:w="2541"/>
            <w:tcMar>
              <w:top w:w="65" w:type="dxa"/>
              <w:start w:w="110" w:type="dxa"/>
              <w:bottom w:w="65" w:type="dxa"/>
              <w:end w:w="110" w:type="dxa"/>
            </w:tcMar>
          </w:tcPr>
          <w:p>
            <w:r>
              <w:rPr>
                <w:sz w:val="15"/>
              </w:rPr>
              <w:t>1e18 fixed-point scale in contracts; crisis threshold listed at 0.70.</w:t>
            </w:r>
          </w:p>
        </w:tc>
      </w:tr>
      <w:tr>
        <w:trPr>
          <w:cantSplit/>
        </w:trPr>
        <w:tc>
          <w:tcPr>
            <w:tcW w:type="dxa" w:w="2541"/>
            <w:tcMar>
              <w:top w:w="65" w:type="dxa"/>
              <w:start w:w="110" w:type="dxa"/>
              <w:bottom w:w="65" w:type="dxa"/>
              <w:end w:w="110" w:type="dxa"/>
            </w:tcMar>
          </w:tcPr>
          <w:p>
            <w:r>
              <w:rPr>
                <w:b/>
                <w:sz w:val="15"/>
              </w:rPr>
              <w:t>Reserve ratio tiers</w:t>
            </w:r>
          </w:p>
        </w:tc>
        <w:tc>
          <w:tcPr>
            <w:tcW w:type="dxa" w:w="2541"/>
            <w:tcMar>
              <w:top w:w="65" w:type="dxa"/>
              <w:start w:w="110" w:type="dxa"/>
              <w:bottom w:w="65" w:type="dxa"/>
              <w:end w:w="110" w:type="dxa"/>
            </w:tcMar>
          </w:tcPr>
          <w:p>
            <w:r>
              <w:rPr>
                <w:sz w:val="15"/>
              </w:rPr>
              <w:t>Target 1.10 (110%); stress floor 1.05 (105%); hard floor 1.00 (100%)</w:t>
            </w:r>
          </w:p>
        </w:tc>
        <w:tc>
          <w:tcPr>
            <w:tcW w:type="dxa" w:w="2541"/>
            <w:tcMar>
              <w:top w:w="65" w:type="dxa"/>
              <w:start w:w="110" w:type="dxa"/>
              <w:bottom w:w="65" w:type="dxa"/>
              <w:end w:w="110" w:type="dxa"/>
            </w:tcMar>
          </w:tcPr>
          <w:p>
            <w:r>
              <w:rPr>
                <w:sz w:val="15"/>
              </w:rPr>
              <w:t>§2.9, §14.2, §21</w:t>
            </w:r>
          </w:p>
        </w:tc>
        <w:tc>
          <w:tcPr>
            <w:tcW w:type="dxa" w:w="2541"/>
            <w:tcMar>
              <w:top w:w="65" w:type="dxa"/>
              <w:start w:w="110" w:type="dxa"/>
              <w:bottom w:w="65" w:type="dxa"/>
              <w:end w:w="110" w:type="dxa"/>
            </w:tcMar>
          </w:tcPr>
          <w:p>
            <w:r>
              <w:rPr>
                <w:sz w:val="15"/>
              </w:rPr>
              <w:t>Hard floor constitutional. Do not confuse desired operating point with legal/constitutional minimum.</w:t>
            </w:r>
          </w:p>
        </w:tc>
      </w:tr>
      <w:tr>
        <w:trPr>
          <w:cantSplit/>
        </w:trPr>
        <w:tc>
          <w:tcPr>
            <w:tcW w:type="dxa" w:w="2541"/>
            <w:tcMar>
              <w:top w:w="65" w:type="dxa"/>
              <w:start w:w="110" w:type="dxa"/>
              <w:bottom w:w="65" w:type="dxa"/>
              <w:end w:w="110" w:type="dxa"/>
            </w:tcMar>
          </w:tcPr>
          <w:p>
            <w:r>
              <w:rPr>
                <w:b/>
                <w:sz w:val="15"/>
              </w:rPr>
              <w:t>LCR target/floor</w:t>
            </w:r>
          </w:p>
        </w:tc>
        <w:tc>
          <w:tcPr>
            <w:tcW w:type="dxa" w:w="2541"/>
            <w:tcMar>
              <w:top w:w="65" w:type="dxa"/>
              <w:start w:w="110" w:type="dxa"/>
              <w:bottom w:w="65" w:type="dxa"/>
              <w:end w:w="110" w:type="dxa"/>
            </w:tcMar>
          </w:tcPr>
          <w:p>
            <w:r>
              <w:rPr>
                <w:sz w:val="15"/>
              </w:rPr>
              <w:t>1.00 (100%) initial target/floor</w:t>
            </w:r>
          </w:p>
        </w:tc>
        <w:tc>
          <w:tcPr>
            <w:tcW w:type="dxa" w:w="2541"/>
            <w:tcMar>
              <w:top w:w="65" w:type="dxa"/>
              <w:start w:w="110" w:type="dxa"/>
              <w:bottom w:w="65" w:type="dxa"/>
              <w:end w:w="110" w:type="dxa"/>
            </w:tcMar>
          </w:tcPr>
          <w:p>
            <w:r>
              <w:rPr>
                <w:sz w:val="15"/>
              </w:rPr>
              <w:t>§2.9, §13.4</w:t>
            </w:r>
          </w:p>
        </w:tc>
        <w:tc>
          <w:tcPr>
            <w:tcW w:type="dxa" w:w="2541"/>
            <w:tcMar>
              <w:top w:w="65" w:type="dxa"/>
              <w:start w:w="110" w:type="dxa"/>
              <w:bottom w:w="65" w:type="dxa"/>
              <w:end w:w="110" w:type="dxa"/>
            </w:tcMar>
          </w:tcPr>
          <w:p>
            <w:r>
              <w:rPr>
                <w:sz w:val="15"/>
              </w:rPr>
              <w:t>Source notes operational target may be set above the floor after stress testing.</w:t>
            </w:r>
          </w:p>
        </w:tc>
      </w:tr>
      <w:tr>
        <w:trPr>
          <w:cantSplit/>
        </w:trPr>
        <w:tc>
          <w:tcPr>
            <w:tcW w:type="dxa" w:w="2541"/>
            <w:tcMar>
              <w:top w:w="65" w:type="dxa"/>
              <w:start w:w="110" w:type="dxa"/>
              <w:bottom w:w="65" w:type="dxa"/>
              <w:end w:w="110" w:type="dxa"/>
            </w:tcMar>
          </w:tcPr>
          <w:p>
            <w:r>
              <w:rPr>
                <w:b/>
                <w:sz w:val="15"/>
              </w:rPr>
              <w:t>Normal operational fees</w:t>
            </w:r>
          </w:p>
        </w:tc>
        <w:tc>
          <w:tcPr>
            <w:tcW w:type="dxa" w:w="2541"/>
            <w:tcMar>
              <w:top w:w="65" w:type="dxa"/>
              <w:start w:w="110" w:type="dxa"/>
              <w:bottom w:w="65" w:type="dxa"/>
              <w:end w:w="110" w:type="dxa"/>
            </w:tcMar>
          </w:tcPr>
          <w:p>
            <w:r>
              <w:rPr>
                <w:sz w:val="15"/>
              </w:rPr>
              <w:t>Mint 0.10%; redeem 0.15%; rebalance 0.20%</w:t>
            </w:r>
          </w:p>
        </w:tc>
        <w:tc>
          <w:tcPr>
            <w:tcW w:type="dxa" w:w="2541"/>
            <w:tcMar>
              <w:top w:w="65" w:type="dxa"/>
              <w:start w:w="110" w:type="dxa"/>
              <w:bottom w:w="65" w:type="dxa"/>
              <w:end w:w="110" w:type="dxa"/>
            </w:tcMar>
          </w:tcPr>
          <w:p>
            <w:r>
              <w:rPr>
                <w:sz w:val="15"/>
              </w:rPr>
              <w:t>§2.9, §20.4</w:t>
            </w:r>
          </w:p>
        </w:tc>
        <w:tc>
          <w:tcPr>
            <w:tcW w:type="dxa" w:w="2541"/>
            <w:tcMar>
              <w:top w:w="65" w:type="dxa"/>
              <w:start w:w="110" w:type="dxa"/>
              <w:bottom w:w="65" w:type="dxa"/>
              <w:end w:w="110" w:type="dxa"/>
            </w:tcMar>
          </w:tcPr>
          <w:p>
            <w:r>
              <w:rPr>
                <w:sz w:val="15"/>
              </w:rPr>
              <w:t>Rebate/fee destination and reserve exclusion must follow the blueprint; redemption fees are state-dependent.</w:t>
            </w:r>
          </w:p>
        </w:tc>
      </w:tr>
      <w:tr>
        <w:trPr>
          <w:cantSplit/>
        </w:trPr>
        <w:tc>
          <w:tcPr>
            <w:tcW w:type="dxa" w:w="2541"/>
            <w:tcMar>
              <w:top w:w="65" w:type="dxa"/>
              <w:start w:w="110" w:type="dxa"/>
              <w:bottom w:w="65" w:type="dxa"/>
              <w:end w:w="110" w:type="dxa"/>
            </w:tcMar>
          </w:tcPr>
          <w:p>
            <w:r>
              <w:rPr>
                <w:b/>
                <w:sz w:val="15"/>
              </w:rPr>
              <w:t>Stress / defensive redemption fee</w:t>
            </w:r>
          </w:p>
        </w:tc>
        <w:tc>
          <w:tcPr>
            <w:tcW w:type="dxa" w:w="2541"/>
            <w:tcMar>
              <w:top w:w="65" w:type="dxa"/>
              <w:start w:w="110" w:type="dxa"/>
              <w:bottom w:w="65" w:type="dxa"/>
              <w:end w:w="110" w:type="dxa"/>
            </w:tcMar>
          </w:tcPr>
          <w:p>
            <w:r>
              <w:rPr>
                <w:sz w:val="15"/>
              </w:rPr>
              <w:t>Stress 0.50%; Defensive 1.00%</w:t>
            </w:r>
          </w:p>
        </w:tc>
        <w:tc>
          <w:tcPr>
            <w:tcW w:type="dxa" w:w="2541"/>
            <w:tcMar>
              <w:top w:w="65" w:type="dxa"/>
              <w:start w:w="110" w:type="dxa"/>
              <w:bottom w:w="65" w:type="dxa"/>
              <w:end w:w="110" w:type="dxa"/>
            </w:tcMar>
          </w:tcPr>
          <w:p>
            <w:r>
              <w:rPr>
                <w:sz w:val="15"/>
              </w:rPr>
              <w:t>§2.7, §21</w:t>
            </w:r>
          </w:p>
        </w:tc>
        <w:tc>
          <w:tcPr>
            <w:tcW w:type="dxa" w:w="2541"/>
            <w:tcMar>
              <w:top w:w="65" w:type="dxa"/>
              <w:start w:w="110" w:type="dxa"/>
              <w:bottom w:w="65" w:type="dxa"/>
              <w:end w:w="110" w:type="dxa"/>
            </w:tcMar>
          </w:tcPr>
          <w:p>
            <w:r>
              <w:rPr>
                <w:sz w:val="15"/>
              </w:rPr>
              <w:t>Risk-state dependent contract defaults.</w:t>
            </w:r>
          </w:p>
        </w:tc>
      </w:tr>
      <w:tr>
        <w:trPr>
          <w:cantSplit/>
        </w:trPr>
        <w:tc>
          <w:tcPr>
            <w:tcW w:type="dxa" w:w="2541"/>
            <w:tcMar>
              <w:top w:w="65" w:type="dxa"/>
              <w:start w:w="110" w:type="dxa"/>
              <w:bottom w:w="65" w:type="dxa"/>
              <w:end w:w="110" w:type="dxa"/>
            </w:tcMar>
          </w:tcPr>
          <w:p>
            <w:r>
              <w:rPr>
                <w:b/>
                <w:sz w:val="15"/>
              </w:rPr>
              <w:t>Recovery confirmations</w:t>
            </w:r>
          </w:p>
        </w:tc>
        <w:tc>
          <w:tcPr>
            <w:tcW w:type="dxa" w:w="2541"/>
            <w:tcMar>
              <w:top w:w="65" w:type="dxa"/>
              <w:start w:w="110" w:type="dxa"/>
              <w:bottom w:w="65" w:type="dxa"/>
              <w:end w:w="110" w:type="dxa"/>
            </w:tcMar>
          </w:tcPr>
          <w:p>
            <w:r>
              <w:rPr>
                <w:sz w:val="15"/>
              </w:rPr>
              <w:t>48 hours</w:t>
            </w:r>
          </w:p>
        </w:tc>
        <w:tc>
          <w:tcPr>
            <w:tcW w:type="dxa" w:w="2541"/>
            <w:tcMar>
              <w:top w:w="65" w:type="dxa"/>
              <w:start w:w="110" w:type="dxa"/>
              <w:bottom w:w="65" w:type="dxa"/>
              <w:end w:w="110" w:type="dxa"/>
            </w:tcMar>
          </w:tcPr>
          <w:p>
            <w:r>
              <w:rPr>
                <w:sz w:val="15"/>
              </w:rPr>
              <w:t>§2.9, §21</w:t>
            </w:r>
          </w:p>
        </w:tc>
        <w:tc>
          <w:tcPr>
            <w:tcW w:type="dxa" w:w="2541"/>
            <w:tcMar>
              <w:top w:w="65" w:type="dxa"/>
              <w:start w:w="110" w:type="dxa"/>
              <w:bottom w:w="65" w:type="dxa"/>
              <w:end w:w="110" w:type="dxa"/>
            </w:tcMar>
          </w:tcPr>
          <w:p>
            <w:r>
              <w:rPr>
                <w:sz w:val="15"/>
              </w:rPr>
              <w:t>Some buffer transitions separately specify 24-hour ramps/confirmation; preserve the exact state-transition rule.</w:t>
            </w:r>
          </w:p>
        </w:tc>
      </w:tr>
      <w:tr>
        <w:trPr>
          <w:cantSplit/>
        </w:trPr>
        <w:tc>
          <w:tcPr>
            <w:tcW w:type="dxa" w:w="2541"/>
            <w:tcMar>
              <w:top w:w="65" w:type="dxa"/>
              <w:start w:w="110" w:type="dxa"/>
              <w:bottom w:w="65" w:type="dxa"/>
              <w:end w:w="110" w:type="dxa"/>
            </w:tcMar>
          </w:tcPr>
          <w:p>
            <w:r>
              <w:rPr>
                <w:b/>
                <w:sz w:val="15"/>
              </w:rPr>
              <w:t>Issuer concentration baseline</w:t>
            </w:r>
          </w:p>
        </w:tc>
        <w:tc>
          <w:tcPr>
            <w:tcW w:type="dxa" w:w="2541"/>
            <w:tcMar>
              <w:top w:w="65" w:type="dxa"/>
              <w:start w:w="110" w:type="dxa"/>
              <w:bottom w:w="65" w:type="dxa"/>
              <w:end w:w="110" w:type="dxa"/>
            </w:tcMar>
          </w:tcPr>
          <w:p>
            <w:r>
              <w:rPr>
                <w:sz w:val="15"/>
              </w:rPr>
              <w:t>25% soft checkpoint; 30% hard cap; temporary crisis ceiling 35% with 4/7, 24h timelock and disclosure</w:t>
            </w:r>
          </w:p>
        </w:tc>
        <w:tc>
          <w:tcPr>
            <w:tcW w:type="dxa" w:w="2541"/>
            <w:tcMar>
              <w:top w:w="65" w:type="dxa"/>
              <w:start w:w="110" w:type="dxa"/>
              <w:bottom w:w="65" w:type="dxa"/>
              <w:end w:w="110" w:type="dxa"/>
            </w:tcMar>
          </w:tcPr>
          <w:p>
            <w:r>
              <w:rPr>
                <w:sz w:val="15"/>
              </w:rPr>
              <w:t>§15.6.1</w:t>
            </w:r>
          </w:p>
        </w:tc>
        <w:tc>
          <w:tcPr>
            <w:tcW w:type="dxa" w:w="2541"/>
            <w:tcMar>
              <w:top w:w="65" w:type="dxa"/>
              <w:start w:w="110" w:type="dxa"/>
              <w:bottom w:w="65" w:type="dxa"/>
              <w:end w:w="110" w:type="dxa"/>
            </w:tcMar>
          </w:tcPr>
          <w:p>
            <w:r>
              <w:rPr>
                <w:sz w:val="15"/>
              </w:rPr>
              <w:t>Temporary exception is bounded and governed.</w:t>
            </w:r>
          </w:p>
        </w:tc>
      </w:tr>
      <w:tr>
        <w:trPr>
          <w:cantSplit/>
        </w:trPr>
        <w:tc>
          <w:tcPr>
            <w:tcW w:type="dxa" w:w="2541"/>
            <w:tcMar>
              <w:top w:w="65" w:type="dxa"/>
              <w:start w:w="110" w:type="dxa"/>
              <w:bottom w:w="65" w:type="dxa"/>
              <w:end w:w="110" w:type="dxa"/>
            </w:tcMar>
          </w:tcPr>
          <w:p>
            <w:r>
              <w:rPr>
                <w:b/>
                <w:sz w:val="15"/>
              </w:rPr>
              <w:t>Oracle source quorum</w:t>
            </w:r>
          </w:p>
        </w:tc>
        <w:tc>
          <w:tcPr>
            <w:tcW w:type="dxa" w:w="2541"/>
            <w:tcMar>
              <w:top w:w="65" w:type="dxa"/>
              <w:start w:w="110" w:type="dxa"/>
              <w:bottom w:w="65" w:type="dxa"/>
              <w:end w:w="110" w:type="dxa"/>
            </w:tcMar>
          </w:tcPr>
          <w:p>
            <w:r>
              <w:rPr>
                <w:sz w:val="15"/>
              </w:rPr>
              <w:t>At least 2 valid feeds from at least 2 source families</w:t>
            </w:r>
          </w:p>
        </w:tc>
        <w:tc>
          <w:tcPr>
            <w:tcW w:type="dxa" w:w="2541"/>
            <w:tcMar>
              <w:top w:w="65" w:type="dxa"/>
              <w:start w:w="110" w:type="dxa"/>
              <w:bottom w:w="65" w:type="dxa"/>
              <w:end w:w="110" w:type="dxa"/>
            </w:tcMar>
          </w:tcPr>
          <w:p>
            <w:r>
              <w:rPr>
                <w:sz w:val="15"/>
              </w:rPr>
              <w:t>§17.2–17.3</w:t>
            </w:r>
          </w:p>
        </w:tc>
        <w:tc>
          <w:tcPr>
            <w:tcW w:type="dxa" w:w="2541"/>
            <w:tcMar>
              <w:top w:w="65" w:type="dxa"/>
              <w:start w:w="110" w:type="dxa"/>
              <w:bottom w:w="65" w:type="dxa"/>
              <w:end w:w="110" w:type="dxa"/>
            </w:tcMar>
          </w:tcPr>
          <w:p>
            <w:r>
              <w:rPr>
                <w:sz w:val="15"/>
              </w:rPr>
              <w:t>Constitutional requirement.</w:t>
            </w:r>
          </w:p>
        </w:tc>
      </w:tr>
      <w:tr>
        <w:trPr>
          <w:cantSplit/>
        </w:trPr>
        <w:tc>
          <w:tcPr>
            <w:tcW w:type="dxa" w:w="2541"/>
            <w:tcMar>
              <w:top w:w="65" w:type="dxa"/>
              <w:start w:w="110" w:type="dxa"/>
              <w:bottom w:w="65" w:type="dxa"/>
              <w:end w:w="110" w:type="dxa"/>
            </w:tcMar>
          </w:tcPr>
          <w:p>
            <w:r>
              <w:rPr>
                <w:b/>
                <w:sz w:val="15"/>
              </w:rPr>
              <w:t>Oracle staleness</w:t>
            </w:r>
          </w:p>
        </w:tc>
        <w:tc>
          <w:tcPr>
            <w:tcW w:type="dxa" w:w="2541"/>
            <w:tcMar>
              <w:top w:w="65" w:type="dxa"/>
              <w:start w:w="110" w:type="dxa"/>
              <w:bottom w:w="65" w:type="dxa"/>
              <w:end w:w="110" w:type="dxa"/>
            </w:tcMar>
          </w:tcPr>
          <w:p>
            <w:r>
              <w:rPr>
                <w:sz w:val="15"/>
              </w:rPr>
              <w:t>Major FX 60 sec; minor FX 120 sec; Gold 60 sec; VIX/DXY 120 sec</w:t>
            </w:r>
          </w:p>
        </w:tc>
        <w:tc>
          <w:tcPr>
            <w:tcW w:type="dxa" w:w="2541"/>
            <w:tcMar>
              <w:top w:w="65" w:type="dxa"/>
              <w:start w:w="110" w:type="dxa"/>
              <w:bottom w:w="65" w:type="dxa"/>
              <w:end w:w="110" w:type="dxa"/>
            </w:tcMar>
          </w:tcPr>
          <w:p>
            <w:r>
              <w:rPr>
                <w:sz w:val="15"/>
              </w:rPr>
              <w:t>§17.3.1</w:t>
            </w:r>
          </w:p>
        </w:tc>
        <w:tc>
          <w:tcPr>
            <w:tcW w:type="dxa" w:w="2541"/>
            <w:tcMar>
              <w:top w:w="65" w:type="dxa"/>
              <w:start w:w="110" w:type="dxa"/>
              <w:bottom w:w="65" w:type="dxa"/>
              <w:end w:w="110" w:type="dxa"/>
            </w:tcMar>
          </w:tcPr>
          <w:p>
            <w:r>
              <w:rPr>
                <w:sz w:val="15"/>
              </w:rPr>
              <w:t>Feed class thresholds; stale feeds are discarded.</w:t>
            </w:r>
          </w:p>
        </w:tc>
      </w:tr>
      <w:tr>
        <w:trPr>
          <w:cantSplit/>
        </w:trPr>
        <w:tc>
          <w:tcPr>
            <w:tcW w:type="dxa" w:w="2541"/>
            <w:tcMar>
              <w:top w:w="65" w:type="dxa"/>
              <w:start w:w="110" w:type="dxa"/>
              <w:bottom w:w="65" w:type="dxa"/>
              <w:end w:w="110" w:type="dxa"/>
            </w:tcMar>
          </w:tcPr>
          <w:p>
            <w:r>
              <w:rPr>
                <w:b/>
                <w:sz w:val="15"/>
              </w:rPr>
              <w:t>Oracle confidence width caps</w:t>
            </w:r>
          </w:p>
        </w:tc>
        <w:tc>
          <w:tcPr>
            <w:tcW w:type="dxa" w:w="2541"/>
            <w:tcMar>
              <w:top w:w="65" w:type="dxa"/>
              <w:start w:w="110" w:type="dxa"/>
              <w:bottom w:w="65" w:type="dxa"/>
              <w:end w:w="110" w:type="dxa"/>
            </w:tcMar>
          </w:tcPr>
          <w:p>
            <w:r>
              <w:rPr>
                <w:sz w:val="15"/>
              </w:rPr>
              <w:t>Major FX 0.5%; minor FX 1.0%; gold 1.0%; VIX/DXY 2.0%</w:t>
            </w:r>
          </w:p>
        </w:tc>
        <w:tc>
          <w:tcPr>
            <w:tcW w:type="dxa" w:w="2541"/>
            <w:tcMar>
              <w:top w:w="65" w:type="dxa"/>
              <w:start w:w="110" w:type="dxa"/>
              <w:bottom w:w="65" w:type="dxa"/>
              <w:end w:w="110" w:type="dxa"/>
            </w:tcMar>
          </w:tcPr>
          <w:p>
            <w:r>
              <w:rPr>
                <w:sz w:val="15"/>
              </w:rPr>
              <w:t>§17.3.2</w:t>
            </w:r>
          </w:p>
        </w:tc>
        <w:tc>
          <w:tcPr>
            <w:tcW w:type="dxa" w:w="2541"/>
            <w:tcMar>
              <w:top w:w="65" w:type="dxa"/>
              <w:start w:w="110" w:type="dxa"/>
              <w:bottom w:w="65" w:type="dxa"/>
              <w:end w:w="110" w:type="dxa"/>
            </w:tcMar>
          </w:tcPr>
          <w:p>
            <w:r>
              <w:rPr>
                <w:sz w:val="15"/>
              </w:rPr>
              <w:t>Pyth-specific initial caps.</w:t>
            </w:r>
          </w:p>
        </w:tc>
      </w:tr>
      <w:tr>
        <w:trPr>
          <w:cantSplit/>
        </w:trPr>
        <w:tc>
          <w:tcPr>
            <w:tcW w:type="dxa" w:w="2541"/>
            <w:tcMar>
              <w:top w:w="65" w:type="dxa"/>
              <w:start w:w="110" w:type="dxa"/>
              <w:bottom w:w="65" w:type="dxa"/>
              <w:end w:w="110" w:type="dxa"/>
            </w:tcMar>
          </w:tcPr>
          <w:p>
            <w:r>
              <w:rPr>
                <w:b/>
                <w:sz w:val="15"/>
              </w:rPr>
              <w:t>Oracle deviation breaker</w:t>
            </w:r>
          </w:p>
        </w:tc>
        <w:tc>
          <w:tcPr>
            <w:tcW w:type="dxa" w:w="2541"/>
            <w:tcMar>
              <w:top w:w="65" w:type="dxa"/>
              <w:start w:w="110" w:type="dxa"/>
              <w:bottom w:w="65" w:type="dxa"/>
              <w:end w:w="110" w:type="dxa"/>
            </w:tcMar>
          </w:tcPr>
          <w:p>
            <w:r>
              <w:rPr>
                <w:sz w:val="15"/>
              </w:rPr>
              <w:t>2.5% from median anchor</w:t>
            </w:r>
          </w:p>
        </w:tc>
        <w:tc>
          <w:tcPr>
            <w:tcW w:type="dxa" w:w="2541"/>
            <w:tcMar>
              <w:top w:w="65" w:type="dxa"/>
              <w:start w:w="110" w:type="dxa"/>
              <w:bottom w:w="65" w:type="dxa"/>
              <w:end w:w="110" w:type="dxa"/>
            </w:tcMar>
          </w:tcPr>
          <w:p>
            <w:r>
              <w:rPr>
                <w:sz w:val="15"/>
              </w:rPr>
              <w:t>§17.3.3</w:t>
            </w:r>
          </w:p>
        </w:tc>
        <w:tc>
          <w:tcPr>
            <w:tcW w:type="dxa" w:w="2541"/>
            <w:tcMar>
              <w:top w:w="65" w:type="dxa"/>
              <w:start w:w="110" w:type="dxa"/>
              <w:bottom w:w="65" w:type="dxa"/>
              <w:end w:w="110" w:type="dxa"/>
            </w:tcMar>
          </w:tcPr>
          <w:p>
            <w:r>
              <w:rPr>
                <w:sz w:val="15"/>
              </w:rPr>
              <w:t>Risk-Council parameter in source.</w:t>
            </w:r>
          </w:p>
        </w:tc>
      </w:tr>
      <w:tr>
        <w:trPr>
          <w:cantSplit/>
        </w:trPr>
        <w:tc>
          <w:tcPr>
            <w:tcW w:type="dxa" w:w="2541"/>
            <w:tcMar>
              <w:top w:w="65" w:type="dxa"/>
              <w:start w:w="110" w:type="dxa"/>
              <w:bottom w:w="65" w:type="dxa"/>
              <w:end w:w="110" w:type="dxa"/>
            </w:tcMar>
          </w:tcPr>
          <w:p>
            <w:r>
              <w:rPr>
                <w:b/>
                <w:sz w:val="15"/>
              </w:rPr>
              <w:t>Gold oracle confidence minimum</w:t>
            </w:r>
          </w:p>
        </w:tc>
        <w:tc>
          <w:tcPr>
            <w:tcW w:type="dxa" w:w="2541"/>
            <w:tcMar>
              <w:top w:w="65" w:type="dxa"/>
              <w:start w:w="110" w:type="dxa"/>
              <w:bottom w:w="65" w:type="dxa"/>
              <w:end w:w="110" w:type="dxa"/>
            </w:tcMar>
          </w:tcPr>
          <w:p>
            <w:r>
              <w:rPr>
                <w:sz w:val="15"/>
              </w:rPr>
              <w:t>C_min = 0.60; liquidity input default 0.90</w:t>
            </w:r>
          </w:p>
        </w:tc>
        <w:tc>
          <w:tcPr>
            <w:tcW w:type="dxa" w:w="2541"/>
            <w:tcMar>
              <w:top w:w="65" w:type="dxa"/>
              <w:start w:w="110" w:type="dxa"/>
              <w:bottom w:w="65" w:type="dxa"/>
              <w:end w:w="110" w:type="dxa"/>
            </w:tcMar>
          </w:tcPr>
          <w:p>
            <w:r>
              <w:rPr>
                <w:sz w:val="15"/>
              </w:rPr>
              <w:t>§17.6; Listing 9</w:t>
            </w:r>
          </w:p>
        </w:tc>
        <w:tc>
          <w:tcPr>
            <w:tcW w:type="dxa" w:w="2541"/>
            <w:tcMar>
              <w:top w:w="65" w:type="dxa"/>
              <w:start w:w="110" w:type="dxa"/>
              <w:bottom w:w="65" w:type="dxa"/>
              <w:end w:w="110" w:type="dxa"/>
            </w:tcMar>
          </w:tcPr>
          <w:p>
            <w:r>
              <w:rPr>
                <w:sz w:val="15"/>
              </w:rPr>
              <w:t>Validation-stage defaults, not production evidence.</w:t>
            </w:r>
          </w:p>
        </w:tc>
      </w:tr>
      <w:tr>
        <w:trPr>
          <w:cantSplit/>
        </w:trPr>
        <w:tc>
          <w:tcPr>
            <w:tcW w:type="dxa" w:w="2541"/>
            <w:tcMar>
              <w:top w:w="65" w:type="dxa"/>
              <w:start w:w="110" w:type="dxa"/>
              <w:bottom w:w="65" w:type="dxa"/>
              <w:end w:w="110" w:type="dxa"/>
            </w:tcMar>
          </w:tcPr>
          <w:p>
            <w:r>
              <w:rPr>
                <w:b/>
                <w:sz w:val="15"/>
              </w:rPr>
              <w:t>Stress redemption demand</w:t>
            </w:r>
          </w:p>
        </w:tc>
        <w:tc>
          <w:tcPr>
            <w:tcW w:type="dxa" w:w="2541"/>
            <w:tcMar>
              <w:top w:w="65" w:type="dxa"/>
              <w:start w:w="110" w:type="dxa"/>
              <w:bottom w:w="65" w:type="dxa"/>
              <w:end w:w="110" w:type="dxa"/>
            </w:tcMar>
          </w:tcPr>
          <w:p>
            <w:r>
              <w:rPr>
                <w:sz w:val="15"/>
              </w:rPr>
              <w:t>25% of circulating liability value</w:t>
            </w:r>
          </w:p>
        </w:tc>
        <w:tc>
          <w:tcPr>
            <w:tcW w:type="dxa" w:w="2541"/>
            <w:tcMar>
              <w:top w:w="65" w:type="dxa"/>
              <w:start w:w="110" w:type="dxa"/>
              <w:bottom w:w="65" w:type="dxa"/>
              <w:end w:w="110" w:type="dxa"/>
            </w:tcMar>
          </w:tcPr>
          <w:p>
            <w:r>
              <w:rPr>
                <w:sz w:val="15"/>
              </w:rPr>
              <w:t>§13.4; Listing 1</w:t>
            </w:r>
          </w:p>
        </w:tc>
        <w:tc>
          <w:tcPr>
            <w:tcW w:type="dxa" w:w="2541"/>
            <w:tcMar>
              <w:top w:w="65" w:type="dxa"/>
              <w:start w:w="110" w:type="dxa"/>
              <w:bottom w:w="65" w:type="dxa"/>
              <w:end w:w="110" w:type="dxa"/>
            </w:tcMar>
          </w:tcPr>
          <w:p>
            <w:r>
              <w:rPr>
                <w:sz w:val="15"/>
              </w:rPr>
              <w:t>NTO = S_circ × P_MTQ × 0.25.</w:t>
            </w:r>
          </w:p>
        </w:tc>
      </w:tr>
      <w:tr>
        <w:trPr>
          <w:cantSplit/>
        </w:trPr>
        <w:tc>
          <w:tcPr>
            <w:tcW w:type="dxa" w:w="2541"/>
            <w:tcMar>
              <w:top w:w="65" w:type="dxa"/>
              <w:start w:w="110" w:type="dxa"/>
              <w:bottom w:w="65" w:type="dxa"/>
              <w:end w:w="110" w:type="dxa"/>
            </w:tcMar>
          </w:tcPr>
          <w:p>
            <w:r>
              <w:rPr>
                <w:b/>
                <w:sz w:val="15"/>
              </w:rPr>
              <w:t>Dynamic buffer</w:t>
            </w:r>
          </w:p>
        </w:tc>
        <w:tc>
          <w:tcPr>
            <w:tcW w:type="dxa" w:w="2541"/>
            <w:tcMar>
              <w:top w:w="65" w:type="dxa"/>
              <w:start w:w="110" w:type="dxa"/>
              <w:bottom w:w="65" w:type="dxa"/>
              <w:end w:w="110" w:type="dxa"/>
            </w:tcMar>
          </w:tcPr>
          <w:p>
            <w:r>
              <w:rPr>
                <w:sz w:val="15"/>
              </w:rPr>
              <w:t>10% of liability as historical buffer size; gold ratio BASE 62.5%, STRESS 85%, EMERGENCY 100%</w:t>
            </w:r>
          </w:p>
        </w:tc>
        <w:tc>
          <w:tcPr>
            <w:tcW w:type="dxa" w:w="2541"/>
            <w:tcMar>
              <w:top w:w="65" w:type="dxa"/>
              <w:start w:w="110" w:type="dxa"/>
              <w:bottom w:w="65" w:type="dxa"/>
              <w:end w:w="110" w:type="dxa"/>
            </w:tcMar>
          </w:tcPr>
          <w:p>
            <w:r>
              <w:rPr>
                <w:sz w:val="15"/>
              </w:rPr>
              <w:t>§16.2–16.4</w:t>
            </w:r>
          </w:p>
        </w:tc>
        <w:tc>
          <w:tcPr>
            <w:tcW w:type="dxa" w:w="2541"/>
            <w:tcMar>
              <w:top w:w="65" w:type="dxa"/>
              <w:start w:w="110" w:type="dxa"/>
              <w:bottom w:w="65" w:type="dxa"/>
              <w:end w:w="110" w:type="dxa"/>
            </w:tcMar>
          </w:tcPr>
          <w:p>
            <w:r>
              <w:rPr>
                <w:sz w:val="15"/>
              </w:rPr>
              <w:t>Legacy/core-plus-buffer initialization values; v2.0 core-gold allocation described as adaptive.</w:t>
            </w:r>
          </w:p>
        </w:tc>
      </w:tr>
      <w:tr>
        <w:trPr>
          <w:cantSplit/>
        </w:trPr>
        <w:tc>
          <w:tcPr>
            <w:tcW w:type="dxa" w:w="2541"/>
            <w:tcMar>
              <w:top w:w="65" w:type="dxa"/>
              <w:start w:w="110" w:type="dxa"/>
              <w:bottom w:w="65" w:type="dxa"/>
              <w:end w:w="110" w:type="dxa"/>
            </w:tcMar>
          </w:tcPr>
          <w:p>
            <w:r>
              <w:rPr>
                <w:b/>
                <w:sz w:val="15"/>
              </w:rPr>
              <w:t>Maximum pool fraction</w:t>
            </w:r>
          </w:p>
        </w:tc>
        <w:tc>
          <w:tcPr>
            <w:tcW w:type="dxa" w:w="2541"/>
            <w:tcMar>
              <w:top w:w="65" w:type="dxa"/>
              <w:start w:w="110" w:type="dxa"/>
              <w:bottom w:w="65" w:type="dxa"/>
              <w:end w:w="110" w:type="dxa"/>
            </w:tcMar>
          </w:tcPr>
          <w:p>
            <w:r>
              <w:rPr>
                <w:sz w:val="15"/>
              </w:rPr>
              <w:t>10% of 24-hour pool depth</w:t>
            </w:r>
          </w:p>
        </w:tc>
        <w:tc>
          <w:tcPr>
            <w:tcW w:type="dxa" w:w="2541"/>
            <w:tcMar>
              <w:top w:w="65" w:type="dxa"/>
              <w:start w:w="110" w:type="dxa"/>
              <w:bottom w:w="65" w:type="dxa"/>
              <w:end w:w="110" w:type="dxa"/>
            </w:tcMar>
          </w:tcPr>
          <w:p>
            <w:r>
              <w:rPr>
                <w:sz w:val="15"/>
              </w:rPr>
              <w:t>§11.4, §12.4</w:t>
            </w:r>
          </w:p>
        </w:tc>
        <w:tc>
          <w:tcPr>
            <w:tcW w:type="dxa" w:w="2541"/>
            <w:tcMar>
              <w:top w:w="65" w:type="dxa"/>
              <w:start w:w="110" w:type="dxa"/>
              <w:bottom w:w="65" w:type="dxa"/>
              <w:end w:w="110" w:type="dxa"/>
            </w:tcMar>
          </w:tcPr>
          <w:p>
            <w:r>
              <w:rPr>
                <w:sz w:val="15"/>
              </w:rPr>
              <w:t>Pool/route cap; stricter limits may apply.</w:t>
            </w:r>
          </w:p>
        </w:tc>
      </w:tr>
      <w:tr>
        <w:trPr>
          <w:cantSplit/>
        </w:trPr>
        <w:tc>
          <w:tcPr>
            <w:tcW w:type="dxa" w:w="2541"/>
            <w:tcMar>
              <w:top w:w="65" w:type="dxa"/>
              <w:start w:w="110" w:type="dxa"/>
              <w:bottom w:w="65" w:type="dxa"/>
              <w:end w:w="110" w:type="dxa"/>
            </w:tcMar>
          </w:tcPr>
          <w:p>
            <w:r>
              <w:rPr>
                <w:b/>
                <w:sz w:val="15"/>
              </w:rPr>
              <w:t>Maximum daily turnover</w:t>
            </w:r>
          </w:p>
        </w:tc>
        <w:tc>
          <w:tcPr>
            <w:tcW w:type="dxa" w:w="2541"/>
            <w:tcMar>
              <w:top w:w="65" w:type="dxa"/>
              <w:start w:w="110" w:type="dxa"/>
              <w:bottom w:w="65" w:type="dxa"/>
              <w:end w:w="110" w:type="dxa"/>
            </w:tcMar>
          </w:tcPr>
          <w:p>
            <w:r>
              <w:rPr>
                <w:sz w:val="15"/>
              </w:rPr>
              <w:t>5%</w:t>
            </w:r>
          </w:p>
        </w:tc>
        <w:tc>
          <w:tcPr>
            <w:tcW w:type="dxa" w:w="2541"/>
            <w:tcMar>
              <w:top w:w="65" w:type="dxa"/>
              <w:start w:w="110" w:type="dxa"/>
              <w:bottom w:w="65" w:type="dxa"/>
              <w:end w:w="110" w:type="dxa"/>
            </w:tcMar>
          </w:tcPr>
          <w:p>
            <w:r>
              <w:rPr>
                <w:sz w:val="15"/>
              </w:rPr>
              <w:t>§11.5.2; Listing 4</w:t>
            </w:r>
          </w:p>
        </w:tc>
        <w:tc>
          <w:tcPr>
            <w:tcW w:type="dxa" w:w="2541"/>
            <w:tcMar>
              <w:top w:w="65" w:type="dxa"/>
              <w:start w:w="110" w:type="dxa"/>
              <w:bottom w:w="65" w:type="dxa"/>
              <w:end w:w="110" w:type="dxa"/>
            </w:tcMar>
          </w:tcPr>
          <w:p>
            <w:r>
              <w:rPr>
                <w:sz w:val="15"/>
              </w:rPr>
              <w:t>Separate from per-component weight velocity.</w:t>
            </w:r>
          </w:p>
        </w:tc>
      </w:tr>
      <w:tr>
        <w:trPr>
          <w:cantSplit/>
        </w:trPr>
        <w:tc>
          <w:tcPr>
            <w:tcW w:type="dxa" w:w="2541"/>
            <w:tcMar>
              <w:top w:w="65" w:type="dxa"/>
              <w:start w:w="110" w:type="dxa"/>
              <w:bottom w:w="65" w:type="dxa"/>
              <w:end w:w="110" w:type="dxa"/>
            </w:tcMar>
          </w:tcPr>
          <w:p>
            <w:r>
              <w:rPr>
                <w:b/>
                <w:sz w:val="15"/>
              </w:rPr>
              <w:t>Slippage tolerance</w:t>
            </w:r>
          </w:p>
        </w:tc>
        <w:tc>
          <w:tcPr>
            <w:tcW w:type="dxa" w:w="2541"/>
            <w:tcMar>
              <w:top w:w="65" w:type="dxa"/>
              <w:start w:w="110" w:type="dxa"/>
              <w:bottom w:w="65" w:type="dxa"/>
              <w:end w:w="110" w:type="dxa"/>
            </w:tcMar>
          </w:tcPr>
          <w:p>
            <w:r>
              <w:rPr>
                <w:sz w:val="15"/>
              </w:rPr>
              <w:t>1% default in MARP listing; source also contains separate sell/buy constants and example-specific tolerances</w:t>
            </w:r>
          </w:p>
        </w:tc>
        <w:tc>
          <w:tcPr>
            <w:tcW w:type="dxa" w:w="2541"/>
            <w:tcMar>
              <w:top w:w="65" w:type="dxa"/>
              <w:start w:w="110" w:type="dxa"/>
              <w:bottom w:w="65" w:type="dxa"/>
              <w:end w:w="110" w:type="dxa"/>
            </w:tcMar>
          </w:tcPr>
          <w:p>
            <w:r>
              <w:rPr>
                <w:sz w:val="15"/>
              </w:rPr>
              <w:t>§11.8, §12.3</w:t>
            </w:r>
          </w:p>
        </w:tc>
        <w:tc>
          <w:tcPr>
            <w:tcW w:type="dxa" w:w="2541"/>
            <w:tcMar>
              <w:top w:w="65" w:type="dxa"/>
              <w:start w:w="110" w:type="dxa"/>
              <w:bottom w:w="65" w:type="dxa"/>
              <w:end w:w="110" w:type="dxa"/>
            </w:tcMar>
          </w:tcPr>
          <w:p>
            <w:r>
              <w:rPr>
                <w:sz w:val="15"/>
              </w:rPr>
              <w:t>Do not assume all routes share one tolerance; reconcile the effective route-specific values.</w:t>
            </w:r>
          </w:p>
        </w:tc>
      </w:tr>
      <w:tr>
        <w:trPr>
          <w:cantSplit/>
        </w:trPr>
        <w:tc>
          <w:tcPr>
            <w:tcW w:type="dxa" w:w="2541"/>
            <w:tcMar>
              <w:top w:w="65" w:type="dxa"/>
              <w:start w:w="110" w:type="dxa"/>
              <w:bottom w:w="65" w:type="dxa"/>
              <w:end w:w="110" w:type="dxa"/>
            </w:tcMar>
          </w:tcPr>
          <w:p>
            <w:r>
              <w:rPr>
                <w:b/>
                <w:sz w:val="15"/>
              </w:rPr>
              <w:t>Trade deadline</w:t>
            </w:r>
          </w:p>
        </w:tc>
        <w:tc>
          <w:tcPr>
            <w:tcW w:type="dxa" w:w="2541"/>
            <w:tcMar>
              <w:top w:w="65" w:type="dxa"/>
              <w:start w:w="110" w:type="dxa"/>
              <w:bottom w:w="65" w:type="dxa"/>
              <w:end w:w="110" w:type="dxa"/>
            </w:tcMar>
          </w:tcPr>
          <w:p>
            <w:r>
              <w:rPr>
                <w:sz w:val="15"/>
              </w:rPr>
              <w:t>5 minutes</w:t>
            </w:r>
          </w:p>
        </w:tc>
        <w:tc>
          <w:tcPr>
            <w:tcW w:type="dxa" w:w="2541"/>
            <w:tcMar>
              <w:top w:w="65" w:type="dxa"/>
              <w:start w:w="110" w:type="dxa"/>
              <w:bottom w:w="65" w:type="dxa"/>
              <w:end w:w="110" w:type="dxa"/>
            </w:tcMar>
          </w:tcPr>
          <w:p>
            <w:r>
              <w:rPr>
                <w:sz w:val="15"/>
              </w:rPr>
              <w:t>§12.8</w:t>
            </w:r>
          </w:p>
        </w:tc>
        <w:tc>
          <w:tcPr>
            <w:tcW w:type="dxa" w:w="2541"/>
            <w:tcMar>
              <w:top w:w="65" w:type="dxa"/>
              <w:start w:w="110" w:type="dxa"/>
              <w:bottom w:w="65" w:type="dxa"/>
              <w:end w:w="110" w:type="dxa"/>
            </w:tcMar>
          </w:tcPr>
          <w:p>
            <w:r>
              <w:rPr>
                <w:sz w:val="15"/>
              </w:rPr>
              <w:t>Expired quotes must fail/revert.</w:t>
            </w:r>
          </w:p>
        </w:tc>
      </w:tr>
      <w:tr>
        <w:trPr>
          <w:cantSplit/>
        </w:trPr>
        <w:tc>
          <w:tcPr>
            <w:tcW w:type="dxa" w:w="2541"/>
            <w:tcMar>
              <w:top w:w="65" w:type="dxa"/>
              <w:start w:w="110" w:type="dxa"/>
              <w:bottom w:w="65" w:type="dxa"/>
              <w:end w:w="110" w:type="dxa"/>
            </w:tcMar>
          </w:tcPr>
          <w:p>
            <w:r>
              <w:rPr>
                <w:b/>
                <w:sz w:val="15"/>
              </w:rPr>
              <w:t>Gas fallback estimate</w:t>
            </w:r>
          </w:p>
        </w:tc>
        <w:tc>
          <w:tcPr>
            <w:tcW w:type="dxa" w:w="2541"/>
            <w:tcMar>
              <w:top w:w="65" w:type="dxa"/>
              <w:start w:w="110" w:type="dxa"/>
              <w:bottom w:w="65" w:type="dxa"/>
              <w:end w:w="110" w:type="dxa"/>
            </w:tcMar>
          </w:tcPr>
          <w:p>
            <w:r>
              <w:rPr>
                <w:sz w:val="15"/>
              </w:rPr>
              <w:t>$50 equivalent; gas units estimate 150,000</w:t>
            </w:r>
          </w:p>
        </w:tc>
        <w:tc>
          <w:tcPr>
            <w:tcW w:type="dxa" w:w="2541"/>
            <w:tcMar>
              <w:top w:w="65" w:type="dxa"/>
              <w:start w:w="110" w:type="dxa"/>
              <w:bottom w:w="65" w:type="dxa"/>
              <w:end w:w="110" w:type="dxa"/>
            </w:tcMar>
          </w:tcPr>
          <w:p>
            <w:r>
              <w:rPr>
                <w:sz w:val="15"/>
              </w:rPr>
              <w:t>§11.8</w:t>
            </w:r>
          </w:p>
        </w:tc>
        <w:tc>
          <w:tcPr>
            <w:tcW w:type="dxa" w:w="2541"/>
            <w:tcMar>
              <w:top w:w="65" w:type="dxa"/>
              <w:start w:w="110" w:type="dxa"/>
              <w:bottom w:w="65" w:type="dxa"/>
              <w:end w:w="110" w:type="dxa"/>
            </w:tcMar>
          </w:tcPr>
          <w:p>
            <w:r>
              <w:rPr>
                <w:sz w:val="15"/>
              </w:rPr>
              <w:t>Fallback estimates must be distinguished from live provider values.</w:t>
            </w:r>
          </w:p>
        </w:tc>
      </w:tr>
      <w:tr>
        <w:trPr>
          <w:cantSplit/>
        </w:trPr>
        <w:tc>
          <w:tcPr>
            <w:tcW w:type="dxa" w:w="2541"/>
            <w:tcMar>
              <w:top w:w="65" w:type="dxa"/>
              <w:start w:w="110" w:type="dxa"/>
              <w:bottom w:w="65" w:type="dxa"/>
              <w:end w:w="110" w:type="dxa"/>
            </w:tcMar>
          </w:tcPr>
          <w:p>
            <w:r>
              <w:rPr>
                <w:b/>
                <w:sz w:val="15"/>
              </w:rPr>
              <w:t>Genesis example</w:t>
            </w:r>
          </w:p>
        </w:tc>
        <w:tc>
          <w:tcPr>
            <w:tcW w:type="dxa" w:w="2541"/>
            <w:tcMar>
              <w:top w:w="65" w:type="dxa"/>
              <w:start w:w="110" w:type="dxa"/>
              <w:bottom w:w="65" w:type="dxa"/>
              <w:end w:w="110" w:type="dxa"/>
            </w:tcMar>
          </w:tcPr>
          <w:p>
            <w:r>
              <w:rPr>
                <w:sz w:val="15"/>
              </w:rPr>
              <w:t>$1,100,000 reserve; 1,000,000 MTQ minted; RR=1.10</w:t>
            </w:r>
          </w:p>
        </w:tc>
        <w:tc>
          <w:tcPr>
            <w:tcW w:type="dxa" w:w="2541"/>
            <w:tcMar>
              <w:top w:w="65" w:type="dxa"/>
              <w:start w:w="110" w:type="dxa"/>
              <w:bottom w:w="65" w:type="dxa"/>
              <w:end w:w="110" w:type="dxa"/>
            </w:tcMar>
          </w:tcPr>
          <w:p>
            <w:r>
              <w:rPr>
                <w:sz w:val="15"/>
              </w:rPr>
              <w:t>§20.1</w:t>
            </w:r>
          </w:p>
        </w:tc>
        <w:tc>
          <w:tcPr>
            <w:tcW w:type="dxa" w:w="2541"/>
            <w:tcMar>
              <w:top w:w="65" w:type="dxa"/>
              <w:start w:w="110" w:type="dxa"/>
              <w:bottom w:w="65" w:type="dxa"/>
              <w:end w:w="110" w:type="dxa"/>
            </w:tcMar>
          </w:tcPr>
          <w:p>
            <w:r>
              <w:rPr>
                <w:sz w:val="15"/>
              </w:rPr>
              <w:t>Worked calculation only.</w:t>
            </w:r>
          </w:p>
        </w:tc>
      </w:tr>
      <w:tr>
        <w:trPr>
          <w:cantSplit/>
        </w:trPr>
        <w:tc>
          <w:tcPr>
            <w:tcW w:type="dxa" w:w="2541"/>
            <w:tcMar>
              <w:top w:w="65" w:type="dxa"/>
              <w:start w:w="110" w:type="dxa"/>
              <w:bottom w:w="65" w:type="dxa"/>
              <w:end w:w="110" w:type="dxa"/>
            </w:tcMar>
          </w:tcPr>
          <w:p>
            <w:r>
              <w:rPr>
                <w:b/>
                <w:sz w:val="15"/>
              </w:rPr>
              <w:t>Treasury sweep threshold</w:t>
            </w:r>
          </w:p>
        </w:tc>
        <w:tc>
          <w:tcPr>
            <w:tcW w:type="dxa" w:w="2541"/>
            <w:tcMar>
              <w:top w:w="65" w:type="dxa"/>
              <w:start w:w="110" w:type="dxa"/>
              <w:bottom w:w="65" w:type="dxa"/>
              <w:end w:w="110" w:type="dxa"/>
            </w:tcMar>
          </w:tcPr>
          <w:p>
            <w:r>
              <w:rPr>
                <w:sz w:val="15"/>
              </w:rPr>
              <w:t>$10,000</w:t>
            </w:r>
          </w:p>
        </w:tc>
        <w:tc>
          <w:tcPr>
            <w:tcW w:type="dxa" w:w="2541"/>
            <w:tcMar>
              <w:top w:w="65" w:type="dxa"/>
              <w:start w:w="110" w:type="dxa"/>
              <w:bottom w:w="65" w:type="dxa"/>
              <w:end w:w="110" w:type="dxa"/>
            </w:tcMar>
          </w:tcPr>
          <w:p>
            <w:r>
              <w:rPr>
                <w:sz w:val="15"/>
              </w:rPr>
              <w:t>§20.3.1</w:t>
            </w:r>
          </w:p>
        </w:tc>
        <w:tc>
          <w:tcPr>
            <w:tcW w:type="dxa" w:w="2541"/>
            <w:tcMar>
              <w:top w:w="65" w:type="dxa"/>
              <w:start w:w="110" w:type="dxa"/>
              <w:bottom w:w="65" w:type="dxa"/>
              <w:end w:w="110" w:type="dxa"/>
            </w:tcMar>
          </w:tcPr>
          <w:p>
            <w:r>
              <w:rPr>
                <w:sz w:val="15"/>
              </w:rPr>
              <w:t>Sweep balance above threshold according to treasury rules.</w:t>
            </w:r>
          </w:p>
        </w:tc>
      </w:tr>
      <w:tr>
        <w:trPr>
          <w:cantSplit/>
        </w:trPr>
        <w:tc>
          <w:tcPr>
            <w:tcW w:type="dxa" w:w="2541"/>
            <w:tcMar>
              <w:top w:w="65" w:type="dxa"/>
              <w:start w:w="110" w:type="dxa"/>
              <w:bottom w:w="65" w:type="dxa"/>
              <w:end w:w="110" w:type="dxa"/>
            </w:tcMar>
          </w:tcPr>
          <w:p>
            <w:r>
              <w:rPr>
                <w:b/>
                <w:sz w:val="15"/>
              </w:rPr>
              <w:t>Gold shock tests</w:t>
            </w:r>
          </w:p>
        </w:tc>
        <w:tc>
          <w:tcPr>
            <w:tcW w:type="dxa" w:w="2541"/>
            <w:tcMar>
              <w:top w:w="65" w:type="dxa"/>
              <w:start w:w="110" w:type="dxa"/>
              <w:bottom w:w="65" w:type="dxa"/>
              <w:end w:w="110" w:type="dxa"/>
            </w:tcMar>
          </w:tcPr>
          <w:p>
            <w:r>
              <w:rPr>
                <w:sz w:val="15"/>
              </w:rPr>
              <w:t>+50%, +25%, −10%, −20%, −30%</w:t>
            </w:r>
          </w:p>
        </w:tc>
        <w:tc>
          <w:tcPr>
            <w:tcW w:type="dxa" w:w="2541"/>
            <w:tcMar>
              <w:top w:w="65" w:type="dxa"/>
              <w:start w:w="110" w:type="dxa"/>
              <w:bottom w:w="65" w:type="dxa"/>
              <w:end w:w="110" w:type="dxa"/>
            </w:tcMar>
          </w:tcPr>
          <w:p>
            <w:r>
              <w:rPr>
                <w:sz w:val="15"/>
              </w:rPr>
              <w:t>§23.8</w:t>
            </w:r>
          </w:p>
        </w:tc>
        <w:tc>
          <w:tcPr>
            <w:tcW w:type="dxa" w:w="2541"/>
            <w:tcMar>
              <w:top w:w="65" w:type="dxa"/>
              <w:start w:w="110" w:type="dxa"/>
              <w:bottom w:w="65" w:type="dxa"/>
              <w:end w:w="110" w:type="dxa"/>
            </w:tcMar>
          </w:tcPr>
          <w:p>
            <w:r>
              <w:rPr>
                <w:sz w:val="15"/>
              </w:rPr>
              <w:t>Research validation cases, not forecast scenarios.</w:t>
            </w:r>
          </w:p>
        </w:tc>
      </w:tr>
    </w:tbl>
    <w:p>
      <w:pPr>
        <w:pStyle w:val="Heading1"/>
        <w:keepNext/>
      </w:pPr>
      <w:r>
        <w:t>Source-level reconciliation gates — resolve explicitly before release</w:t>
      </w:r>
    </w:p>
    <w:p>
      <w:r>
        <w:t>The following are source-level formula variants, symbol collisions, historical/current distinctions or partially specified functions visible in the blueprint. Listing them is not a silent correction or an assertion that one side is wrong; it prevents them from being accidentally resolved by implementation guesswork.</w:t>
      </w:r>
    </w:p>
    <w:p>
      <w:pPr>
        <w:pStyle w:val="Heading2"/>
        <w:keepNext/>
      </w:pPr>
      <w:r>
        <w:t>RG-01 · Index recursion uses two different weight timestamps</w:t>
      </w:r>
    </w:p>
    <w:p>
      <w:r>
        <w:rPr>
          <w:b/>
        </w:rPr>
        <w:t xml:space="preserve">Source location: </w:t>
      </w:r>
      <w:r>
        <w:t>§9.2, source formulas at P596 and P598</w:t>
      </w:r>
    </w:p>
    <w:p>
      <w:r>
        <w:rPr>
          <w:b/>
        </w:rPr>
        <w:t xml:space="preserve">What the blueprint shows: </w:t>
      </w:r>
      <w:r>
        <w:t>The master spec displays I_t = I_t−1 × Σ_i W_i,t(P_i,t/P_i,t−1) and also I_t = I_t−1 × Σ_i W_i,t−1(P_i,t/P_i,t−1).</w:t>
      </w:r>
    </w:p>
    <w:p>
      <w:r>
        <w:rPr>
          <w:b/>
        </w:rPr>
        <w:t xml:space="preserve">Required developer action: </w:t>
      </w:r>
      <w:r>
        <w:t>Choose the normative convention only after reconciling with §9.1 value aggregate, §9.3 chain-link continuity, code Listing 3, and the published methodology. Record the rationale and add regression tests.</w:t>
      </w:r>
    </w:p>
    <w:p>
      <w:pPr>
        <w:pStyle w:val="Heading2"/>
        <w:keepNext/>
      </w:pPr>
      <w:r>
        <w:t>RG-02 · NAV symbol is overloaded</w:t>
      </w:r>
    </w:p>
    <w:p>
      <w:r>
        <w:rPr>
          <w:b/>
        </w:rPr>
        <w:t xml:space="preserve">Source location: </w:t>
      </w:r>
      <w:r>
        <w:t>§2.5, §14.1, §19.3</w:t>
      </w:r>
    </w:p>
    <w:p>
      <w:r>
        <w:rPr>
          <w:b/>
        </w:rPr>
        <w:t xml:space="preserve">What the blueprint shows: </w:t>
      </w:r>
      <w:r>
        <w:t>NAV_t is described in the core table as the chain-linked reference index value; V_net,t is reserve NAV; §19.3 then defines NAV_t = V_net,t/S_circ,t as redemption NAV per circulating MTQ.</w:t>
      </w:r>
    </w:p>
    <w:p>
      <w:r>
        <w:rPr>
          <w:b/>
        </w:rPr>
        <w:t xml:space="preserve">Required developer action: </w:t>
      </w:r>
      <w:r>
        <w:t>Define unambiguous implementation symbols for index value, total net reserve value, and per-token redemption NAV. Preserve formulas and values, but remove naming collisions in code/API/docs through an approved nomenclature mapping.</w:t>
      </w:r>
    </w:p>
    <w:p>
      <w:pPr>
        <w:pStyle w:val="Heading2"/>
        <w:keepNext/>
      </w:pPr>
      <w:r>
        <w:t>RG-03 · Core getter and reserve manager NAV semantics need tracing</w:t>
      </w:r>
    </w:p>
    <w:p>
      <w:r>
        <w:rPr>
          <w:b/>
        </w:rPr>
        <w:t xml:space="preserve">Source location: </w:t>
      </w:r>
      <w:r>
        <w:t>§2.7 Listing 1; §14.6 Listing 5</w:t>
      </w:r>
    </w:p>
    <w:p>
      <w:r>
        <w:rPr>
          <w:b/>
        </w:rPr>
        <w:t xml:space="preserve">What the blueprint shows: </w:t>
      </w:r>
      <w:r>
        <w:t>The core getter in §2.7 returns reserveState.fiatValue + reserveState.goldValue, while comments label those fields gross values; the reserve manager section later describes netFiat/netGold assignment and §14.1 requires per-asset haircuts.</w:t>
      </w:r>
    </w:p>
    <w:p>
      <w:r>
        <w:rPr>
          <w:b/>
        </w:rPr>
        <w:t xml:space="preserve">Required developer action: </w:t>
      </w:r>
      <w:r>
        <w:t>Trace the stored field semantics end to end. Confirm that getReserveRatio() divides haircut-adjusted net value by liability in every build/deployment. Add test vectors that catch accidental gross-NAV use.</w:t>
      </w:r>
    </w:p>
    <w:p>
      <w:pPr>
        <w:pStyle w:val="Heading2"/>
        <w:keepNext/>
      </w:pPr>
      <w:r>
        <w:t>RG-04 · Legacy fixed-quantity GFB formula differs from adaptive index definition</w:t>
      </w:r>
    </w:p>
    <w:p>
      <w:r>
        <w:rPr>
          <w:b/>
        </w:rPr>
        <w:t xml:space="preserve">Source location: </w:t>
      </w:r>
      <w:r>
        <w:t>§9.7.1 vs §§3.1, 9.1–9.3</w:t>
      </w:r>
    </w:p>
    <w:p>
      <w:r>
        <w:rPr>
          <w:b/>
        </w:rPr>
        <w:t xml:space="preserve">What the blueprint shows: </w:t>
      </w:r>
      <w:r>
        <w:t>The legacy GFB_t example includes q_USD, EUR, GBP, JPY and CNY terms, but not CHF/gold; the active v2.0 reference index is adaptive and includes seven genesis components with chain linking.</w:t>
      </w:r>
    </w:p>
    <w:p>
      <w:r>
        <w:rPr>
          <w:b/>
        </w:rPr>
        <w:t xml:space="preserve">Required developer action: </w:t>
      </w:r>
      <w:r>
        <w:t>Mark the GFB formula as historical/non-normative for v2.0 unless explicitly retained for lineage verification only. Assert that production index getter uses current chain-linked adaptive weights.</w:t>
      </w:r>
    </w:p>
    <w:p>
      <w:pPr>
        <w:pStyle w:val="Heading2"/>
        <w:keepNext/>
      </w:pPr>
      <w:r>
        <w:t>RG-05 · Eligibility score normalization reuses Q_min symbol</w:t>
      </w:r>
    </w:p>
    <w:p>
      <w:r>
        <w:rPr>
          <w:b/>
        </w:rPr>
        <w:t xml:space="preserve">Source location: </w:t>
      </w:r>
      <w:r>
        <w:t>§4.2–4.2.1</w:t>
      </w:r>
    </w:p>
    <w:p>
      <w:r>
        <w:rPr>
          <w:b/>
        </w:rPr>
        <w:t xml:space="preserve">What the blueprint shows: </w:t>
      </w:r>
      <w:r>
        <w:t>Q_i ≥ Q_min defines eligibility, while min–max normalization describes Q_min/Q_max as universe minimum/maximum observed composite scores.</w:t>
      </w:r>
    </w:p>
    <w:p>
      <w:r>
        <w:rPr>
          <w:b/>
        </w:rPr>
        <w:t xml:space="preserve">Required developer action: </w:t>
      </w:r>
      <w:r>
        <w:t>Disambiguate the threshold symbol and observed-minimum symbol in the implementation specification and test data; do not silently change the threshold semantics.</w:t>
      </w:r>
    </w:p>
    <w:p>
      <w:pPr>
        <w:pStyle w:val="Heading2"/>
        <w:keepNext/>
      </w:pPr>
      <w:r>
        <w:t>RG-06 · Softmax score orientation must match exponent sign</w:t>
      </w:r>
    </w:p>
    <w:p>
      <w:r>
        <w:rPr>
          <w:b/>
        </w:rPr>
        <w:t xml:space="preserve">Source location: </w:t>
      </w:r>
      <w:r>
        <w:t>§7.6</w:t>
      </w:r>
    </w:p>
    <w:p>
      <w:r>
        <w:rPr>
          <w:b/>
        </w:rPr>
        <w:t xml:space="preserve">What the blueprint shows: </w:t>
      </w:r>
      <w:r>
        <w:t>α_m,t = exp(−η Score_m,t)/Σ_k exp(−η Score_k,t), and prose says better models get greater weight.</w:t>
      </w:r>
    </w:p>
    <w:p>
      <w:r>
        <w:rPr>
          <w:b/>
        </w:rPr>
        <w:t xml:space="preserve">Required developer action: </w:t>
      </w:r>
      <w:r>
        <w:t>Define Score_m so lower values mean better under the negative exponent, or submit an explicit methodology change if the score is higher-is-better. Test rankings and resulting α values with known score vectors.</w:t>
      </w:r>
    </w:p>
    <w:p>
      <w:pPr>
        <w:pStyle w:val="Heading2"/>
        <w:keepNext/>
      </w:pPr>
      <w:r>
        <w:t>RG-07 · Gold purchasing-power signal sign convention</w:t>
      </w:r>
    </w:p>
    <w:p>
      <w:r>
        <w:rPr>
          <w:b/>
        </w:rPr>
        <w:t xml:space="preserve">Source location: </w:t>
      </w:r>
      <w:r>
        <w:t>§5.2</w:t>
      </w:r>
    </w:p>
    <w:p>
      <w:r>
        <w:rPr>
          <w:b/>
        </w:rPr>
        <w:t xml:space="preserve">What the blueprint shows: </w:t>
      </w:r>
      <w:r>
        <w:t>GPR_i,t = P_i,t−1/P_i,t − 1, where P_i,t is defined as the price of one unit of gold expressed in currency i.</w:t>
      </w:r>
    </w:p>
    <w:p>
      <w:r>
        <w:rPr>
          <w:b/>
        </w:rPr>
        <w:t xml:space="preserve">Required developer action: </w:t>
      </w:r>
      <w:r>
        <w:t>Document direction and sign with test cases where gold price in the currency rises/falls. Do not reverse numerator/denominator without change control.</w:t>
      </w:r>
    </w:p>
    <w:p>
      <w:pPr>
        <w:pStyle w:val="Heading2"/>
        <w:keepNext/>
      </w:pPr>
      <w:r>
        <w:t>RG-08 · Oracle consensus summary and implemented aggregate differ</w:t>
      </w:r>
    </w:p>
    <w:p>
      <w:r>
        <w:rPr>
          <w:b/>
        </w:rPr>
        <w:t xml:space="preserve">Source location: </w:t>
      </w:r>
      <w:r>
        <w:t>§17.2 vs §17.5/Listing 9</w:t>
      </w:r>
    </w:p>
    <w:p>
      <w:r>
        <w:rPr>
          <w:b/>
        </w:rPr>
        <w:t xml:space="preserve">What the blueprint shows: </w:t>
      </w:r>
      <w:r>
        <w:t>§17.2 says median for three, average for two; §17.5 says the median is the validity/outlier anchor while the published aggregate is the mean of surviving feeds.</w:t>
      </w:r>
    </w:p>
    <w:p>
      <w:r>
        <w:rPr>
          <w:b/>
        </w:rPr>
        <w:t xml:space="preserve">Required developer action: </w:t>
      </w:r>
      <w:r>
        <w:t>Define a truth table by valid-source count, source-family independence, outlier count and gold-specific mode. Make prose, off-chain oracle simulation and contract bytecode agree.</w:t>
      </w:r>
    </w:p>
    <w:p>
      <w:pPr>
        <w:pStyle w:val="Heading2"/>
        <w:keepNext/>
      </w:pPr>
      <w:r>
        <w:t>RG-09 · MARP trade objective lacks explicit optimization operator/sign convention</w:t>
      </w:r>
    </w:p>
    <w:p>
      <w:r>
        <w:rPr>
          <w:b/>
        </w:rPr>
        <w:t xml:space="preserve">Source location: </w:t>
      </w:r>
      <w:r>
        <w:t>§10.9</w:t>
      </w:r>
    </w:p>
    <w:p>
      <w:r>
        <w:rPr>
          <w:b/>
        </w:rPr>
        <w:t xml:space="preserve">What the blueprint shows: </w:t>
      </w:r>
      <w:r>
        <w:t>The displayed J(ΔW) includes remaining deviation, spread/gas, urgency and absolute turnover terms but the displayed line does not show an explicit argmin/argmax and the urgency sign convention is unclear.</w:t>
      </w:r>
    </w:p>
    <w:p>
      <w:r>
        <w:rPr>
          <w:b/>
        </w:rPr>
        <w:t xml:space="preserve">Required developer action: </w:t>
      </w:r>
      <w:r>
        <w:t>Confirm objective direction, units and sign of each term from the intended MARP design. Do not implement an arbitrary minimizer from the displayed expression alone.</w:t>
      </w:r>
    </w:p>
    <w:p>
      <w:pPr>
        <w:pStyle w:val="Heading2"/>
        <w:keepNext/>
      </w:pPr>
      <w:r>
        <w:t>RG-10 · Execution profitability threshold differs across chapters</w:t>
      </w:r>
    </w:p>
    <w:p>
      <w:r>
        <w:rPr>
          <w:b/>
        </w:rPr>
        <w:t xml:space="preserve">Source location: </w:t>
      </w:r>
      <w:r>
        <w:t>§10.8 vs §12.5</w:t>
      </w:r>
    </w:p>
    <w:p>
      <w:r>
        <w:rPr>
          <w:b/>
        </w:rPr>
        <w:t xml:space="preserve">What the blueprint shows: </w:t>
      </w:r>
      <w:r>
        <w:t>§10.8 requires NetBenefit_i &gt; ε; §12.5 gives NetBenefit &gt; 0 and also NetBenefit_i &gt; ε with ε &gt; 0.</w:t>
      </w:r>
    </w:p>
    <w:p>
      <w:r>
        <w:rPr>
          <w:b/>
        </w:rPr>
        <w:t xml:space="preserve">Required developer action: </w:t>
      </w:r>
      <w:r>
        <w:t>Define one normative per-route rule, including whether ε is zero or a positive margin; match MARP and execution contract guards.</w:t>
      </w:r>
    </w:p>
    <w:p>
      <w:pPr>
        <w:pStyle w:val="Heading2"/>
        <w:keepNext/>
      </w:pPr>
      <w:r>
        <w:t>RG-11 · Buffer target equations are historical while v2.0 says gold allocation is adaptive</w:t>
      </w:r>
    </w:p>
    <w:p>
      <w:r>
        <w:rPr>
          <w:b/>
        </w:rPr>
        <w:t xml:space="preserve">Source location: </w:t>
      </w:r>
      <w:r>
        <w:t>§13.5.2, §16.2–16.3</w:t>
      </w:r>
    </w:p>
    <w:p>
      <w:r>
        <w:rPr>
          <w:b/>
        </w:rPr>
        <w:t xml:space="preserve">What the blueprint shows: </w:t>
      </w:r>
      <w:r>
        <w:t>Core-plus-buffer formulas use 20% core gold, buffer ratios 62.5/85/100%, and a 10% buffer; fidelity notes say these values are v1.2 initialization inputs and v2.0 core gold share is adaptive.</w:t>
      </w:r>
    </w:p>
    <w:p>
      <w:r>
        <w:rPr>
          <w:b/>
        </w:rPr>
        <w:t xml:space="preserve">Required developer action: </w:t>
      </w:r>
      <w:r>
        <w:t>Separate actual reserve accounting, target buffer allocation and historical initialization. Never treat historical core gold constants as the adaptive index gold weight.</w:t>
      </w:r>
    </w:p>
    <w:p>
      <w:pPr>
        <w:pStyle w:val="Heading2"/>
        <w:keepNext/>
      </w:pPr>
      <w:r>
        <w:t>RG-12 · De-peg liquidation percentages need a precise denominator</w:t>
      </w:r>
    </w:p>
    <w:p>
      <w:r>
        <w:rPr>
          <w:b/>
        </w:rPr>
        <w:t xml:space="preserve">Source location: </w:t>
      </w:r>
      <w:r>
        <w:t>§21.5.3 / Listing 14 / §25.2</w:t>
      </w:r>
    </w:p>
    <w:p>
      <w:r>
        <w:rPr>
          <w:b/>
        </w:rPr>
        <w:t xml:space="preserve">What the blueprint shows: </w:t>
      </w:r>
      <w:r>
        <w:t>Summary describes cumulative stages 10%→25%→50%→100%; contract listing describes 10%, then additional 15%, then additional 25%, then remainder.</w:t>
      </w:r>
    </w:p>
    <w:p>
      <w:r>
        <w:rPr>
          <w:b/>
        </w:rPr>
        <w:t xml:space="preserve">Required developer action: </w:t>
      </w:r>
      <w:r>
        <w:t>Specify whether each percentage is relative to original position or remaining position; test actual cumulative sold fractions for all stages and issuer-freeze override.</w:t>
      </w:r>
    </w:p>
    <w:p>
      <w:pPr>
        <w:pStyle w:val="Heading2"/>
        <w:keepNext/>
      </w:pPr>
      <w:r>
        <w:t>RG-13 · State count and labels need a canonical mapping</w:t>
      </w:r>
    </w:p>
    <w:p>
      <w:r>
        <w:rPr>
          <w:b/>
        </w:rPr>
        <w:t xml:space="preserve">Source location: </w:t>
      </w:r>
      <w:r>
        <w:t>§21.2–21.3</w:t>
      </w:r>
    </w:p>
    <w:p>
      <w:r>
        <w:rPr>
          <w:b/>
        </w:rPr>
        <w:t xml:space="preserve">What the blueprint shows: </w:t>
      </w:r>
      <w:r>
        <w:t>State_t maps RR and LCR to six states; the sequence includes NORMAL, CAUTION, STRESS, DEFENSIVE, EMERGENCY, and RECOVERY.</w:t>
      </w:r>
    </w:p>
    <w:p>
      <w:r>
        <w:rPr>
          <w:b/>
        </w:rPr>
        <w:t xml:space="preserve">Required developer action: </w:t>
      </w:r>
      <w:r>
        <w:t>Make the six-state mapping/enum and threshold predicates a single canonical table, including overlap priority and recovery exit rules.</w:t>
      </w:r>
    </w:p>
    <w:p>
      <w:pPr>
        <w:pStyle w:val="Heading2"/>
        <w:keepNext/>
      </w:pPr>
      <w:r>
        <w:t>RG-14 · Genesis normalization and reference price scaling must match</w:t>
      </w:r>
    </w:p>
    <w:p>
      <w:r>
        <w:rPr>
          <w:b/>
        </w:rPr>
        <w:t xml:space="preserve">Source location: </w:t>
      </w:r>
      <w:r>
        <w:t>§3.4, §9.1, §18.1, §20.1.5</w:t>
      </w:r>
    </w:p>
    <w:p>
      <w:r>
        <w:rPr>
          <w:b/>
        </w:rPr>
        <w:t xml:space="preserve">What the blueprint shows: </w:t>
      </w:r>
      <w:r>
        <w:t>The index is normalized to 1.0000 at genesis; P_MTQ,t = I_t/I_base; genesis denominator is formed from q_i times base FX/gold fixings.</w:t>
      </w:r>
    </w:p>
    <w:p>
      <w:r>
        <w:rPr>
          <w:b/>
        </w:rPr>
        <w:t xml:space="preserve">Required developer action: </w:t>
      </w:r>
      <w:r>
        <w:t>Trace units/scales of q_i, base fixings, I_base and I_t from genesis through getIndex/getMTQPrice and off-chain verifier. No double normalization or scaling is allowed.</w:t>
      </w:r>
    </w:p>
    <w:p>
      <w:pPr>
        <w:pStyle w:val="Heading2"/>
        <w:keepNext/>
      </w:pPr>
      <w:r>
        <w:t>RG-15 · Dynamic bounds and some functional forms remain symbolic</w:t>
      </w:r>
    </w:p>
    <w:p>
      <w:r>
        <w:rPr>
          <w:b/>
        </w:rPr>
        <w:t xml:space="preserve">Source location: </w:t>
      </w:r>
      <w:r>
        <w:t>§4.2, §5.5, §8.2–8.3, §10.5–10.6, §13.5, §15.2</w:t>
      </w:r>
    </w:p>
    <w:p>
      <w:r>
        <w:rPr>
          <w:b/>
        </w:rPr>
        <w:t xml:space="preserve">What the blueprint shows: </w:t>
      </w:r>
      <w:r>
        <w:t>Several functions are given as f(…) or g(…) with parameter families but without fully fixed numerical coefficients/transforms in these sections.</w:t>
      </w:r>
    </w:p>
    <w:p>
      <w:r>
        <w:rPr>
          <w:b/>
        </w:rPr>
        <w:t xml:space="preserve">Required developer action: </w:t>
      </w:r>
      <w:r>
        <w:t>List each as “not fully specified / validation-stage” until exact methodology/version data are supplied. No developer may fill gaps with undocumented constants.</w:t>
      </w:r>
    </w:p>
    <w:p>
      <w:pPr>
        <w:pStyle w:val="Heading1"/>
        <w:keepNext/>
      </w:pPr>
      <w:r>
        <w:t>Required implementation and regression test checklist</w:t>
      </w:r>
    </w:p>
    <w:p>
      <w:pPr>
        <w:pStyle w:val="ListBullet"/>
        <w:spacing w:after="60"/>
      </w:pPr>
      <w:r>
        <w:t>Genesis index begins at exactly 1.0000 using all seven genesis components and immutable base fixings; the event and off-chain verifier agree.</w:t>
      </w:r>
    </w:p>
    <w:p>
      <w:pPr>
        <w:pStyle w:val="ListBullet"/>
        <w:spacing w:after="60"/>
      </w:pPr>
      <w:r>
        <w:t>All weight vectors sum to one within the contract’s integer scaling; all components are non-negative and within their approved bounds.</w:t>
      </w:r>
    </w:p>
    <w:p>
      <w:pPr>
        <w:pStyle w:val="ListBullet"/>
        <w:spacing w:after="60"/>
      </w:pPr>
      <w:r>
        <w:t>Every accepted weight update passes per-component velocity limits; smoothing formula and stress flag match the intended normal/stress settings.</w:t>
      </w:r>
    </w:p>
    <w:p>
      <w:pPr>
        <w:pStyle w:val="ListBullet"/>
        <w:spacing w:after="60"/>
      </w:pPr>
      <w:r>
        <w:t>Independent reproduction: identical data, parameters, methodology/model/oracle versions produce identical W^Target, W^Constrained and W^Smooth.</w:t>
      </w:r>
    </w:p>
    <w:p>
      <w:pPr>
        <w:pStyle w:val="ListBullet"/>
        <w:spacing w:after="60"/>
      </w:pPr>
      <w:r>
        <w:t>Chain-linked index has no jump caused only by a rebalance or constituency revision; continuity is tested using B_t−, B_t+, D_t and cumulative G_t.</w:t>
      </w:r>
    </w:p>
    <w:p>
      <w:pPr>
        <w:pStyle w:val="ListBullet"/>
        <w:spacing w:after="60"/>
      </w:pPr>
      <w:r>
        <w:t>Reference index return and contribution attribution reconcile, while spreads/slippage/gas/fees/impact remain separately visible as realized execution costs.</w:t>
      </w:r>
    </w:p>
    <w:p>
      <w:pPr>
        <w:pStyle w:val="ListBullet"/>
        <w:spacing w:after="60"/>
      </w:pPr>
      <w:r>
        <w:t>Oracle truth-table tests cover 3/2/1/0 valid feeds, independence/quorum failure, stale data, confidence-width rejection, deviation rejection, correlated feeds, degraded mode and recovery.</w:t>
      </w:r>
    </w:p>
    <w:p>
      <w:pPr>
        <w:pStyle w:val="ListBullet"/>
        <w:spacing w:after="60"/>
      </w:pPr>
      <w:r>
        <w:t>Gold reference price is independent of the protocol’s own token/AMM; reserve NAV uses min(reference price, executable price) as specified for gold reserve valuation.</w:t>
      </w:r>
    </w:p>
    <w:p>
      <w:pPr>
        <w:pStyle w:val="ListBullet"/>
        <w:spacing w:after="60"/>
      </w:pPr>
      <w:r>
        <w:t>Net reserve NAV applies asset-specific haircuts; RR, liability, LCR, stress redemption demand and per-token redemption NAV match their definitions exactly.</w:t>
      </w:r>
    </w:p>
    <w:p>
      <w:pPr>
        <w:pStyle w:val="ListBullet"/>
        <w:spacing w:after="60"/>
      </w:pPr>
      <w:r>
        <w:t>Mint test: X_net = X(1−F_mint); MTQ_minted = X_net/P_MTQ,t; no fixed USD peg is used.</w:t>
      </w:r>
    </w:p>
    <w:p>
      <w:pPr>
        <w:pStyle w:val="ListBullet"/>
        <w:spacing w:after="60"/>
      </w:pPr>
      <w:r>
        <w:t>Redemption test uses the selected and unambiguous NAV symbol, applies the risk-state fee once, respects slippage guards, and verifies asset-by-asset release amounts and rounding.</w:t>
      </w:r>
    </w:p>
    <w:p>
      <w:pPr>
        <w:pStyle w:val="ListBullet"/>
        <w:spacing w:after="60"/>
      </w:pPr>
      <w:r>
        <w:t>MARP test covers no-trade inside the band, trigger just outside the band, partial correction, natural-flow netting, cost-gate rejection, daily turnover, pool cap, direction lock, emergency override and deferral under thin liquidity.</w:t>
      </w:r>
    </w:p>
    <w:p>
      <w:pPr>
        <w:pStyle w:val="ListBullet"/>
        <w:spacing w:after="60"/>
      </w:pPr>
      <w:r>
        <w:t>Buffer tests verify BASE/STRESS/EMERGENCY ratios, correct 24-hour ramping, hysteresis/recovery confirmations, and the first-loss waterfall in exact order.</w:t>
      </w:r>
    </w:p>
    <w:p>
      <w:pPr>
        <w:pStyle w:val="ListBullet"/>
        <w:spacing w:after="60"/>
      </w:pPr>
      <w:r>
        <w:t>De-peg tests verify the exact cumulative liquidation amount under stages 10%, additional 15%, additional 25%, then remaining balance; test issuer freeze and RR emergency overrides.</w:t>
      </w:r>
    </w:p>
    <w:p>
      <w:pPr>
        <w:pStyle w:val="ListBullet"/>
        <w:spacing w:after="60"/>
      </w:pPr>
      <w:r>
        <w:t>Stress validation runs all required gold, currency, stable-value, liquidity, custody, correlation-collapse and reserve scenarios; record CoverageRatio_s for each.</w:t>
      </w:r>
    </w:p>
    <w:p>
      <w:pPr>
        <w:pStyle w:val="ListBullet"/>
        <w:spacing w:after="60"/>
      </w:pPr>
      <w:r>
        <w:t>Public status and production-authorization functions reflect all validation gates; testnet must remain not production-authorized per the blueprint.</w:t>
      </w:r>
    </w:p>
    <w:p>
      <w:pPr>
        <w:pStyle w:val="ListBullet"/>
        <w:spacing w:after="60"/>
      </w:pPr>
      <w:r>
        <w:t>All source-level reconciliation gates RG-01 through RG-15 have an owner, decision record, tests, versioned resolution, and updated documentation before production.</w:t>
      </w:r>
    </w:p>
    <w:p>
      <w:pPr>
        <w:pStyle w:val="Heading1"/>
        <w:keepNext/>
      </w:pPr>
      <w:r>
        <w:t>Definition of done</w:t>
      </w:r>
    </w:p>
    <w:p>
      <w:r>
        <w:t>The task is complete only when the implementation can demonstrate formula-by-formula traceability to the blueprint; each formula has a named owner, input source, units, scaling, rounding and fallback behavior; all symbolic functions have a published concrete version before use; every source discrepancy has a recorded resolution; and automated tests prove parity between off-chain MASE results, on-chain guardrails, index publication, reserve accounting, MARP decisions and the worked examples.</w:t>
      </w:r>
    </w:p>
    <w:p>
      <w:r>
        <w:t>This document intentionally does not claim that MTQ Σ has been mathematically validated or is production-ready. The master blueprint states that the protocol is a candidate for public testing and that all validation-stage numerical weights, corridors and coefficients remain subject to the research program in Chapter 23.</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E78"/>
        <w:sz w:val="16"/>
      </w:rPr>
      <w:t xml:space="preserve">MTQ Σ Developer Alignment | 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rFonts w:ascii="Arial" w:hAnsi="Arial"/>
        <w:color w:val="5A646E"/>
        <w:sz w:val="15"/>
      </w:rPr>
      <w:t>MTQ Σ  |  MASTER MONETARY ARCHITECTURE &amp; QUANTITATIVE SPECIFICATION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eastAsia="Arial"/>
      <w:b/>
      <w:bCs/>
      <w:color w:val="12304A"/>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Arial"/>
      <w:b/>
      <w:bCs/>
      <w:color w:val="176B73"/>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eastAsia="Arial"/>
      <w:b/>
      <w:bCs/>
      <w:color w:val="12304A"/>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rial" w:hAnsi="Arial" w:eastAsia="Arial"/>
      <w:b/>
      <w:color w:val="12304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