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1A1A1A" w:val="clear"/>
          </w:tcPr>
          <w:p>
            <w:pPr>
              <w:pBdr>
                <w:top w:val="single" w:color="C9A84C" w:sz="18" w:space="20"/>
              </w:pBdr>
              <w:spacing w:after="200" w:before="1200"/>
              <w:ind w:left="1000" w:right="1000"/>
            </w:pPr>
          </w:p>
          <w:p>
            <w:pPr>
              <w:spacing w:before="1800"/>
            </w:pPr>
          </w:p>
          <w:p>
            <w:pPr>
              <w:spacing w:after="500"/>
              <w:jc w:val="center"/>
            </w:pPr>
            <w:r>
              <w:rPr>
                <w:rFonts w:ascii="Calibri" w:hAnsi="Calibri"/>
                <w:color w:val="C9A84C"/>
                <w:spacing w:val="40"/>
                <w:sz w:val="18"/>
                <w:szCs w:val="18"/>
              </w:rPr>
              <w:t xml:space="preserve">M  T  Q     S  I  G  M  A     P  R  O  T  O  C  O  L</w:t>
            </w:r>
          </w:p>
          <w:p>
            <w:pPr>
              <w:spacing w:after="300" w:line="920" w:lineRule="atLeast"/>
              <w:jc w:val="center"/>
            </w:pPr>
            <w:r>
              <w:rPr>
                <w:rFonts w:ascii="Arial" w:eastAsia="SimHei" w:hAnsi="Arial"/>
                <w:b/>
                <w:bCs/>
                <w:color w:val="FFFFFF"/>
                <w:sz w:val="80"/>
                <w:szCs w:val="80"/>
              </w:rPr>
              <w:t xml:space="preserve">MTQ Σ</w:t>
            </w:r>
          </w:p>
          <w:p>
            <w:pPr>
              <w:spacing w:after="160" w:line="299" w:lineRule="atLeast"/>
              <w:jc w:val="center"/>
            </w:pPr>
            <w:r>
              <w:rPr>
                <w:rFonts w:ascii="Arial" w:eastAsia="Microsoft YaHei" w:hAnsi="Arial"/>
                <w:color w:val="B0B8C0"/>
                <w:sz w:val="26"/>
                <w:szCs w:val="26"/>
              </w:rPr>
              <w:t xml:space="preserve">Master Monetary Architecture &amp; Quantitative Specification</w:t>
            </w:r>
          </w:p>
          <w:p>
            <w:pPr>
              <w:spacing w:after="400"/>
              <w:jc w:val="center"/>
            </w:pPr>
            <w:r>
              <w:rPr>
                <w:rFonts w:ascii="Calibri" w:hAnsi="Calibri"/>
                <w:b/>
                <w:bCs/>
                <w:color w:val="C9A84C"/>
                <w:sz w:val="22"/>
                <w:szCs w:val="22"/>
              </w:rPr>
              <w:t xml:space="preserve">Version 1.0 — Master Edition</w:t>
            </w:r>
          </w:p>
          <w:p>
            <w:pPr>
              <w:spacing w:before="1200"/>
            </w:pPr>
          </w:p>
          <w:p>
            <w:pPr>
              <w:spacing w:after="100" w:line="299" w:lineRule="atLeast"/>
              <w:jc w:val="center"/>
            </w:pPr>
            <w:r>
              <w:rPr>
                <w:rFonts w:ascii="Arial" w:eastAsia="Microsoft YaHei" w:hAnsi="Arial"/>
                <w:color w:val="90989F"/>
                <w:sz w:val="26"/>
                <w:szCs w:val="26"/>
              </w:rPr>
              <w:t xml:space="preserve">Status: Candidate for Public Testing — Not Production-Authorized</w:t>
            </w:r>
          </w:p>
          <w:p>
            <w:pPr>
              <w:spacing w:after="100" w:line="299" w:lineRule="atLeast"/>
              <w:jc w:val="center"/>
            </w:pPr>
            <w:r>
              <w:rPr>
                <w:rFonts w:ascii="Arial" w:eastAsia="Microsoft YaHei" w:hAnsi="Arial"/>
                <w:color w:val="90989F"/>
                <w:sz w:val="26"/>
                <w:szCs w:val="26"/>
              </w:rPr>
              <w:t xml:space="preserve">Issued: 2026-09-08</w:t>
            </w:r>
          </w:p>
          <w:p>
            <w:pPr>
              <w:spacing w:before="2000"/>
            </w:pPr>
          </w:p>
          <w:p>
            <w:pPr>
              <w:pBdr>
                <w:bottom w:val="single" w:color="C9A84C" w:sz="18" w:space="20"/>
              </w:pBdr>
              <w:spacing w:before="200"/>
              <w:ind w:left="1000" w:right="1000"/>
              <w:jc w:val="center"/>
            </w:pPr>
            <w:r>
              <w:rPr>
                <w:rFonts w:ascii="Arial" w:hAnsi="Arial"/>
                <w:color w:val="687078"/>
                <w:sz w:val="18"/>
                <w:szCs w:val="18"/>
              </w:rPr>
              <w:t xml:space="preserve">Blueprint v1.2  ·  Modification Specification Baseline v1.0  ·  COO Quantitative Review</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Microsoft YaHei" w:hAnsi="Calibri"/>
          <w:b/>
          <w:bCs/>
          <w:color w:val="1A1A1A"/>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 and Document Control</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Purpose and Scope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Intended Audience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Document Conventions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Version History</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1.5 What Changed — Modification Summary</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1.6 Reading Guide</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1.7 Status Declaration</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2. Core Definitions, Variables and Constitutional Separation</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2.1 The Constitutional Separation (Single Most Important Rule)</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2.2 The Three Independent Mathematical Layers</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2.3 The Four-State Weight Distinction</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2.4 The Two-System Architecture: Reference Basket vs Reserve</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2.5 Core Variables and Constants</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2.6 Constitutional Invariants (Hard Rules)</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2.7 Smart Contract Implementation — Core Variables and Weight Registry</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2.8 Sharia Compliance Roadmap (v1.2 → v2.0)</w:t>
            </w:r>
            <w:r>
              <w:tab/>
            </w:r>
            <w:r>
              <w:fldChar w:fldCharType="begin"/>
            </w:r>
            <w:r>
              <w:instrText xml:space="preserve"> PAGEREF _Toc100016 \h </w:instrText>
            </w:r>
            <w:r>
              <w:fldChar w:fldCharType="separate"/>
            </w:r>
            <w:r>
              <w:t>26</w:t>
            </w:r>
            <w:r>
              <w:fldChar w:fldCharType="end"/>
            </w:r>
          </w:hyperlink>
        </w:p>
        <w:p>
          <w:pPr>
            <w:pStyle w:val="11"/>
            <w:ind w:left="360"/>
            <w:tabs>
              <w:tab w:val="right" w:leader="dot" w:pos="9026"/>
            </w:tabs>
            <w:spacing w:before="120" w:after="60"/>
          </w:pPr>
          <w:hyperlink w:anchor="_Toc100017" w:history="1">
            <w:r>
              <w:rPr>
                <w:rStyle w:val="Hyperlink"/>
              </w:rPr>
              <w:t>2.9 Summary of Developer-Facing Constants</w:t>
            </w:r>
            <w:r>
              <w:tab/>
            </w:r>
            <w:r>
              <w:fldChar w:fldCharType="begin"/>
            </w:r>
            <w:r>
              <w:instrText xml:space="preserve"> PAGEREF _Toc100017 \h </w:instrText>
            </w:r>
            <w:r>
              <w:fldChar w:fldCharType="separate"/>
            </w:r>
            <w:r>
              <w:t>27</w:t>
            </w:r>
            <w:r>
              <w:fldChar w:fldCharType="end"/>
            </w:r>
          </w:hyperlink>
        </w:p>
        <w:p>
          <w:pPr>
            <w:pStyle w:val="9"/>
            <w:tabs>
              <w:tab w:val="right" w:leader="dot" w:pos="9026"/>
            </w:tabs>
            <w:spacing w:before="120" w:after="60"/>
          </w:pPr>
          <w:hyperlink w:anchor="_Toc100018" w:history="1">
            <w:r>
              <w:rPr>
                <w:rStyle w:val="Hyperlink"/>
              </w:rPr>
              <w:t>3. The Adaptive Reference Basket</w:t>
            </w:r>
            <w:r>
              <w:tab/>
            </w:r>
            <w:r>
              <w:fldChar w:fldCharType="begin"/>
            </w:r>
            <w:r>
              <w:instrText xml:space="preserve"> PAGEREF _Toc100018 \h </w:instrText>
            </w:r>
            <w:r>
              <w:fldChar w:fldCharType="separate"/>
            </w:r>
            <w:r>
              <w:t>27</w:t>
            </w:r>
            <w:r>
              <w:fldChar w:fldCharType="end"/>
            </w:r>
          </w:hyperlink>
        </w:p>
        <w:p>
          <w:pPr>
            <w:pStyle w:val="11"/>
            <w:ind w:left="360"/>
            <w:tabs>
              <w:tab w:val="right" w:leader="dot" w:pos="9026"/>
            </w:tabs>
            <w:spacing w:before="120" w:after="60"/>
          </w:pPr>
          <w:hyperlink w:anchor="_Toc100019" w:history="1">
            <w:r>
              <w:rPr>
                <w:rStyle w:val="Hyperlink"/>
              </w:rPr>
              <w:t>3.1 The No-Fixed-Weighting Principle</w:t>
            </w:r>
            <w:r>
              <w:tab/>
            </w:r>
            <w:r>
              <w:fldChar w:fldCharType="begin"/>
            </w:r>
            <w:r>
              <w:instrText xml:space="preserve"> PAGEREF _Toc100019 \h </w:instrText>
            </w:r>
            <w:r>
              <w:fldChar w:fldCharType="separate"/>
            </w:r>
            <w:r>
              <w:t>27</w:t>
            </w:r>
            <w:r>
              <w:fldChar w:fldCharType="end"/>
            </w:r>
          </w:hyperlink>
        </w:p>
        <w:p>
          <w:pPr>
            <w:pStyle w:val="11"/>
            <w:ind w:left="360"/>
            <w:tabs>
              <w:tab w:val="right" w:leader="dot" w:pos="9026"/>
            </w:tabs>
            <w:spacing w:before="120" w:after="60"/>
          </w:pPr>
          <w:hyperlink w:anchor="_Toc100020" w:history="1">
            <w:r>
              <w:rPr>
                <w:rStyle w:val="Hyperlink"/>
              </w:rPr>
              <w:t>3.2 Initial Strategic Prior</w:t>
            </w:r>
            <w:r>
              <w:tab/>
            </w:r>
            <w:r>
              <w:fldChar w:fldCharType="begin"/>
            </w:r>
            <w:r>
              <w:instrText xml:space="preserve"> PAGEREF _Toc100020 \h </w:instrText>
            </w:r>
            <w:r>
              <w:fldChar w:fldCharType="separate"/>
            </w:r>
            <w:r>
              <w:t>28</w:t>
            </w:r>
            <w:r>
              <w:fldChar w:fldCharType="end"/>
            </w:r>
          </w:hyperlink>
        </w:p>
        <w:p>
          <w:pPr>
            <w:pStyle w:val="11"/>
            <w:ind w:left="360"/>
            <w:tabs>
              <w:tab w:val="right" w:leader="dot" w:pos="9026"/>
            </w:tabs>
            <w:spacing w:before="120" w:after="60"/>
          </w:pPr>
          <w:hyperlink w:anchor="_Toc100021" w:history="1">
            <w:r>
              <w:rPr>
                <w:rStyle w:val="Hyperlink"/>
              </w:rPr>
              <w:t>3.3 Gold as a First-Class Reference-Basket Component</w:t>
            </w:r>
            <w:r>
              <w:tab/>
            </w:r>
            <w:r>
              <w:fldChar w:fldCharType="begin"/>
            </w:r>
            <w:r>
              <w:instrText xml:space="preserve"> PAGEREF _Toc100021 \h </w:instrText>
            </w:r>
            <w:r>
              <w:fldChar w:fldCharType="separate"/>
            </w:r>
            <w:r>
              <w:t>29</w:t>
            </w:r>
            <w:r>
              <w:fldChar w:fldCharType="end"/>
            </w:r>
          </w:hyperlink>
        </w:p>
        <w:p>
          <w:pPr>
            <w:pStyle w:val="11"/>
            <w:ind w:left="360"/>
            <w:tabs>
              <w:tab w:val="right" w:leader="dot" w:pos="9026"/>
            </w:tabs>
            <w:spacing w:before="120" w:after="60"/>
          </w:pPr>
          <w:hyperlink w:anchor="_Toc100022" w:history="1">
            <w:r>
              <w:rPr>
                <w:rStyle w:val="Hyperlink"/>
              </w:rPr>
              <w:t>3.4 Genesis Weight Initialization</w:t>
            </w:r>
            <w:r>
              <w:tab/>
            </w:r>
            <w:r>
              <w:fldChar w:fldCharType="begin"/>
            </w:r>
            <w:r>
              <w:instrText xml:space="preserve"> PAGEREF _Toc100022 \h </w:instrText>
            </w:r>
            <w:r>
              <w:fldChar w:fldCharType="separate"/>
            </w:r>
            <w:r>
              <w:t>30</w:t>
            </w:r>
            <w:r>
              <w:fldChar w:fldCharType="end"/>
            </w:r>
          </w:hyperlink>
        </w:p>
        <w:p>
          <w:pPr>
            <w:pStyle w:val="11"/>
            <w:ind w:left="360"/>
            <w:tabs>
              <w:tab w:val="right" w:leader="dot" w:pos="9026"/>
            </w:tabs>
            <w:spacing w:before="120" w:after="60"/>
          </w:pPr>
          <w:hyperlink w:anchor="_Toc100023" w:history="1">
            <w:r>
              <w:rPr>
                <w:rStyle w:val="Hyperlink"/>
              </w:rPr>
              <w:t>3.5 Basket Size and Unit Economics</w:t>
            </w:r>
            <w:r>
              <w:tab/>
            </w:r>
            <w:r>
              <w:fldChar w:fldCharType="begin"/>
            </w:r>
            <w:r>
              <w:instrText xml:space="preserve"> PAGEREF _Toc100023 \h </w:instrText>
            </w:r>
            <w:r>
              <w:fldChar w:fldCharType="separate"/>
            </w:r>
            <w:r>
              <w:t>31</w:t>
            </w:r>
            <w:r>
              <w:fldChar w:fldCharType="end"/>
            </w:r>
          </w:hyperlink>
        </w:p>
        <w:p>
          <w:pPr>
            <w:pStyle w:val="9"/>
            <w:tabs>
              <w:tab w:val="right" w:leader="dot" w:pos="9026"/>
            </w:tabs>
            <w:spacing w:before="120" w:after="60"/>
          </w:pPr>
          <w:hyperlink w:anchor="_Toc100024" w:history="1">
            <w:r>
              <w:rPr>
                <w:rStyle w:val="Hyperlink"/>
              </w:rPr>
              <w:t>4. The Currency Constituency Engine</w:t>
            </w:r>
            <w:r>
              <w:tab/>
            </w:r>
            <w:r>
              <w:fldChar w:fldCharType="begin"/>
            </w:r>
            <w:r>
              <w:instrText xml:space="preserve"> PAGEREF _Toc100024 \h </w:instrText>
            </w:r>
            <w:r>
              <w:fldChar w:fldCharType="separate"/>
            </w:r>
            <w:r>
              <w:t>31</w:t>
            </w:r>
            <w:r>
              <w:fldChar w:fldCharType="end"/>
            </w:r>
          </w:hyperlink>
        </w:p>
        <w:p>
          <w:pPr>
            <w:pStyle w:val="11"/>
            <w:ind w:left="360"/>
            <w:tabs>
              <w:tab w:val="right" w:leader="dot" w:pos="9026"/>
            </w:tabs>
            <w:spacing w:before="120" w:after="60"/>
          </w:pPr>
          <w:hyperlink w:anchor="_Toc100025" w:history="1">
            <w:r>
              <w:rPr>
                <w:rStyle w:val="Hyperlink"/>
              </w:rPr>
              <w:t>4.1 Purpose and Design</w:t>
            </w:r>
            <w:r>
              <w:tab/>
            </w:r>
            <w:r>
              <w:fldChar w:fldCharType="begin"/>
            </w:r>
            <w:r>
              <w:instrText xml:space="preserve"> PAGEREF _Toc100025 \h </w:instrText>
            </w:r>
            <w:r>
              <w:fldChar w:fldCharType="separate"/>
            </w:r>
            <w:r>
              <w:t>31</w:t>
            </w:r>
            <w:r>
              <w:fldChar w:fldCharType="end"/>
            </w:r>
          </w:hyperlink>
        </w:p>
        <w:p>
          <w:pPr>
            <w:pStyle w:val="11"/>
            <w:ind w:left="360"/>
            <w:tabs>
              <w:tab w:val="right" w:leader="dot" w:pos="9026"/>
            </w:tabs>
            <w:spacing w:before="120" w:after="60"/>
          </w:pPr>
          <w:hyperlink w:anchor="_Toc100026" w:history="1">
            <w:r>
              <w:rPr>
                <w:rStyle w:val="Hyperlink"/>
              </w:rPr>
              <w:t>4.2 Eligibility Scoring Model</w:t>
            </w:r>
            <w:r>
              <w:tab/>
            </w:r>
            <w:r>
              <w:fldChar w:fldCharType="begin"/>
            </w:r>
            <w:r>
              <w:instrText xml:space="preserve"> PAGEREF _Toc100026 \h </w:instrText>
            </w:r>
            <w:r>
              <w:fldChar w:fldCharType="separate"/>
            </w:r>
            <w:r>
              <w:t>31</w:t>
            </w:r>
            <w:r>
              <w:fldChar w:fldCharType="end"/>
            </w:r>
          </w:hyperlink>
        </w:p>
        <w:p>
          <w:pPr>
            <w:pStyle w:val="12"/>
            <w:ind w:left="720"/>
            <w:tabs>
              <w:tab w:val="right" w:leader="dot" w:pos="9026"/>
            </w:tabs>
            <w:spacing w:before="120" w:after="60"/>
          </w:pPr>
          <w:hyperlink w:anchor="_Toc100027" w:history="1">
            <w:r>
              <w:rPr>
                <w:rStyle w:val="Hyperlink"/>
              </w:rPr>
              <w:t>4.2.1 Score Normalization</w:t>
            </w:r>
            <w:r>
              <w:tab/>
            </w:r>
            <w:r>
              <w:fldChar w:fldCharType="begin"/>
            </w:r>
            <w:r>
              <w:instrText xml:space="preserve"> PAGEREF _Toc100027 \h </w:instrText>
            </w:r>
            <w:r>
              <w:fldChar w:fldCharType="separate"/>
            </w:r>
            <w:r>
              <w:t>32</w:t>
            </w:r>
            <w:r>
              <w:fldChar w:fldCharType="end"/>
            </w:r>
          </w:hyperlink>
        </w:p>
        <w:p>
          <w:pPr>
            <w:pStyle w:val="11"/>
            <w:ind w:left="360"/>
            <w:tabs>
              <w:tab w:val="right" w:leader="dot" w:pos="9026"/>
            </w:tabs>
            <w:spacing w:before="120" w:after="60"/>
          </w:pPr>
          <w:hyperlink w:anchor="_Toc100028" w:history="1">
            <w:r>
              <w:rPr>
                <w:rStyle w:val="Hyperlink"/>
              </w:rPr>
              <w:t>4.3 Institutional Data Sources</w:t>
            </w:r>
            <w:r>
              <w:tab/>
            </w:r>
            <w:r>
              <w:fldChar w:fldCharType="begin"/>
            </w:r>
            <w:r>
              <w:instrText xml:space="preserve"> PAGEREF _Toc100028 \h </w:instrText>
            </w:r>
            <w:r>
              <w:fldChar w:fldCharType="separate"/>
            </w:r>
            <w:r>
              <w:t>33</w:t>
            </w:r>
            <w:r>
              <w:fldChar w:fldCharType="end"/>
            </w:r>
          </w:hyperlink>
        </w:p>
        <w:p>
          <w:pPr>
            <w:pStyle w:val="12"/>
            <w:ind w:left="720"/>
            <w:tabs>
              <w:tab w:val="right" w:leader="dot" w:pos="9026"/>
            </w:tabs>
            <w:spacing w:before="120" w:after="60"/>
          </w:pPr>
          <w:hyperlink w:anchor="_Toc100029" w:history="1">
            <w:r>
              <w:rPr>
                <w:rStyle w:val="Hyperlink"/>
              </w:rPr>
              <w:t>4.3.1 Reserve Relevance — IMF COFER</w:t>
            </w:r>
            <w:r>
              <w:tab/>
            </w:r>
            <w:r>
              <w:fldChar w:fldCharType="begin"/>
            </w:r>
            <w:r>
              <w:instrText xml:space="preserve"> PAGEREF _Toc100029 \h </w:instrText>
            </w:r>
            <w:r>
              <w:fldChar w:fldCharType="separate"/>
            </w:r>
            <w:r>
              <w:t>33</w:t>
            </w:r>
            <w:r>
              <w:fldChar w:fldCharType="end"/>
            </w:r>
          </w:hyperlink>
        </w:p>
        <w:p>
          <w:pPr>
            <w:pStyle w:val="12"/>
            <w:ind w:left="720"/>
            <w:tabs>
              <w:tab w:val="right" w:leader="dot" w:pos="9026"/>
            </w:tabs>
            <w:spacing w:before="120" w:after="60"/>
          </w:pPr>
          <w:hyperlink w:anchor="_Toc100030" w:history="1">
            <w:r>
              <w:rPr>
                <w:rStyle w:val="Hyperlink"/>
              </w:rPr>
              <w:t>4.3.2 FX Liquidity and Market Relevance — BIS Triennial Survey</w:t>
            </w:r>
            <w:r>
              <w:tab/>
            </w:r>
            <w:r>
              <w:fldChar w:fldCharType="begin"/>
            </w:r>
            <w:r>
              <w:instrText xml:space="preserve"> PAGEREF _Toc100030 \h </w:instrText>
            </w:r>
            <w:r>
              <w:fldChar w:fldCharType="separate"/>
            </w:r>
            <w:r>
              <w:t>33</w:t>
            </w:r>
            <w:r>
              <w:fldChar w:fldCharType="end"/>
            </w:r>
          </w:hyperlink>
        </w:p>
        <w:p>
          <w:pPr>
            <w:pStyle w:val="11"/>
            <w:ind w:left="360"/>
            <w:tabs>
              <w:tab w:val="right" w:leader="dot" w:pos="9026"/>
            </w:tabs>
            <w:spacing w:before="120" w:after="60"/>
          </w:pPr>
          <w:hyperlink w:anchor="_Toc100031" w:history="1">
            <w:r>
              <w:rPr>
                <w:rStyle w:val="Hyperlink"/>
              </w:rPr>
              <w:t>4.4 Initial Universe and Currency Decisions</w:t>
            </w:r>
            <w:r>
              <w:tab/>
            </w:r>
            <w:r>
              <w:fldChar w:fldCharType="begin"/>
            </w:r>
            <w:r>
              <w:instrText xml:space="preserve"> PAGEREF _Toc100031 \h </w:instrText>
            </w:r>
            <w:r>
              <w:fldChar w:fldCharType="separate"/>
            </w:r>
            <w:r>
              <w:t>34</w:t>
            </w:r>
            <w:r>
              <w:fldChar w:fldCharType="end"/>
            </w:r>
          </w:hyperlink>
        </w:p>
        <w:p>
          <w:pPr>
            <w:pStyle w:val="11"/>
            <w:ind w:left="360"/>
            <w:tabs>
              <w:tab w:val="right" w:leader="dot" w:pos="9026"/>
            </w:tabs>
            <w:spacing w:before="120" w:after="60"/>
          </w:pPr>
          <w:hyperlink w:anchor="_Toc100032" w:history="1">
            <w:r>
              <w:rPr>
                <w:rStyle w:val="Hyperlink"/>
              </w:rPr>
              <w:t>4.5 Structural Score Construction</w:t>
            </w:r>
            <w:r>
              <w:tab/>
            </w:r>
            <w:r>
              <w:fldChar w:fldCharType="begin"/>
            </w:r>
            <w:r>
              <w:instrText xml:space="preserve"> PAGEREF _Toc100032 \h </w:instrText>
            </w:r>
            <w:r>
              <w:fldChar w:fldCharType="separate"/>
            </w:r>
            <w:r>
              <w:t>34</w:t>
            </w:r>
            <w:r>
              <w:fldChar w:fldCharType="end"/>
            </w:r>
          </w:hyperlink>
        </w:p>
        <w:p>
          <w:pPr>
            <w:pStyle w:val="11"/>
            <w:ind w:left="360"/>
            <w:tabs>
              <w:tab w:val="right" w:leader="dot" w:pos="9026"/>
            </w:tabs>
            <w:spacing w:before="120" w:after="60"/>
          </w:pPr>
          <w:hyperlink w:anchor="_Toc100033" w:history="1">
            <w:r>
              <w:rPr>
                <w:rStyle w:val="Hyperlink"/>
              </w:rPr>
              <w:t>4.6 Constituency Transitions</w:t>
            </w:r>
            <w:r>
              <w:tab/>
            </w:r>
            <w:r>
              <w:fldChar w:fldCharType="begin"/>
            </w:r>
            <w:r>
              <w:instrText xml:space="preserve"> PAGEREF _Toc100033 \h </w:instrText>
            </w:r>
            <w:r>
              <w:fldChar w:fldCharType="separate"/>
            </w:r>
            <w:r>
              <w:t>35</w:t>
            </w:r>
            <w:r>
              <w:fldChar w:fldCharType="end"/>
            </w:r>
          </w:hyperlink>
        </w:p>
        <w:p>
          <w:pPr>
            <w:pStyle w:val="11"/>
            <w:ind w:left="360"/>
            <w:tabs>
              <w:tab w:val="right" w:leader="dot" w:pos="9026"/>
            </w:tabs>
            <w:spacing w:before="120" w:after="60"/>
          </w:pPr>
          <w:hyperlink w:anchor="_Toc100034" w:history="1">
            <w:r>
              <w:rPr>
                <w:rStyle w:val="Hyperlink"/>
              </w:rPr>
              <w:t>4.7 Hysteresis (Anti-Oscillation)</w:t>
            </w:r>
            <w:r>
              <w:tab/>
            </w:r>
            <w:r>
              <w:fldChar w:fldCharType="begin"/>
            </w:r>
            <w:r>
              <w:instrText xml:space="preserve"> PAGEREF _Toc100034 \h </w:instrText>
            </w:r>
            <w:r>
              <w:fldChar w:fldCharType="separate"/>
            </w:r>
            <w:r>
              <w:t>35</w:t>
            </w:r>
            <w:r>
              <w:fldChar w:fldCharType="end"/>
            </w:r>
          </w:hyperlink>
        </w:p>
        <w:p>
          <w:pPr>
            <w:pStyle w:val="11"/>
            <w:ind w:left="360"/>
            <w:tabs>
              <w:tab w:val="right" w:leader="dot" w:pos="9026"/>
            </w:tabs>
            <w:spacing w:before="120" w:after="60"/>
          </w:pPr>
          <w:hyperlink w:anchor="_Toc100035" w:history="1">
            <w:r>
              <w:rPr>
                <w:rStyle w:val="Hyperlink"/>
              </w:rPr>
              <w:t>4.8 SGTX-G Is Not Inherited Automatically</w:t>
            </w:r>
            <w:r>
              <w:tab/>
            </w:r>
            <w:r>
              <w:fldChar w:fldCharType="begin"/>
            </w:r>
            <w:r>
              <w:instrText xml:space="preserve"> PAGEREF _Toc100035 \h </w:instrText>
            </w:r>
            <w:r>
              <w:fldChar w:fldCharType="separate"/>
            </w:r>
            <w:r>
              <w:t>36</w:t>
            </w:r>
            <w:r>
              <w:fldChar w:fldCharType="end"/>
            </w:r>
          </w:hyperlink>
        </w:p>
        <w:p>
          <w:pPr>
            <w:pStyle w:val="9"/>
            <w:tabs>
              <w:tab w:val="right" w:leader="dot" w:pos="9026"/>
            </w:tabs>
            <w:spacing w:before="120" w:after="60"/>
          </w:pPr>
          <w:hyperlink w:anchor="_Toc100036" w:history="1">
            <w:r>
              <w:rPr>
                <w:rStyle w:val="Hyperlink"/>
              </w:rPr>
              <w:t>5. MASE Input Signals and Regime Detection</w:t>
            </w:r>
            <w:r>
              <w:tab/>
            </w:r>
            <w:r>
              <w:fldChar w:fldCharType="begin"/>
            </w:r>
            <w:r>
              <w:instrText xml:space="preserve"> PAGEREF _Toc100036 \h </w:instrText>
            </w:r>
            <w:r>
              <w:fldChar w:fldCharType="separate"/>
            </w:r>
            <w:r>
              <w:t>36</w:t>
            </w:r>
            <w:r>
              <w:fldChar w:fldCharType="end"/>
            </w:r>
          </w:hyperlink>
        </w:p>
        <w:p>
          <w:pPr>
            <w:pStyle w:val="11"/>
            <w:ind w:left="360"/>
            <w:tabs>
              <w:tab w:val="right" w:leader="dot" w:pos="9026"/>
            </w:tabs>
            <w:spacing w:before="120" w:after="60"/>
          </w:pPr>
          <w:hyperlink w:anchor="_Toc100037" w:history="1">
            <w:r>
              <w:rPr>
                <w:rStyle w:val="Hyperlink"/>
              </w:rPr>
              <w:t>5.1 Multi-Horizon Volatility</w:t>
            </w:r>
            <w:r>
              <w:tab/>
            </w:r>
            <w:r>
              <w:fldChar w:fldCharType="begin"/>
            </w:r>
            <w:r>
              <w:instrText xml:space="preserve"> PAGEREF _Toc100037 \h </w:instrText>
            </w:r>
            <w:r>
              <w:fldChar w:fldCharType="separate"/>
            </w:r>
            <w:r>
              <w:t>36</w:t>
            </w:r>
            <w:r>
              <w:fldChar w:fldCharType="end"/>
            </w:r>
          </w:hyperlink>
        </w:p>
        <w:p>
          <w:pPr>
            <w:pStyle w:val="11"/>
            <w:ind w:left="360"/>
            <w:tabs>
              <w:tab w:val="right" w:leader="dot" w:pos="9026"/>
            </w:tabs>
            <w:spacing w:before="120" w:after="60"/>
          </w:pPr>
          <w:hyperlink w:anchor="_Toc100038" w:history="1">
            <w:r>
              <w:rPr>
                <w:rStyle w:val="Hyperlink"/>
              </w:rPr>
              <w:t>5.2 Gold-Relative Purchasing-Power Signal</w:t>
            </w:r>
            <w:r>
              <w:tab/>
            </w:r>
            <w:r>
              <w:fldChar w:fldCharType="begin"/>
            </w:r>
            <w:r>
              <w:instrText xml:space="preserve"> PAGEREF _Toc100038 \h </w:instrText>
            </w:r>
            <w:r>
              <w:fldChar w:fldCharType="separate"/>
            </w:r>
            <w:r>
              <w:t>37</w:t>
            </w:r>
            <w:r>
              <w:fldChar w:fldCharType="end"/>
            </w:r>
          </w:hyperlink>
        </w:p>
        <w:p>
          <w:pPr>
            <w:pStyle w:val="11"/>
            <w:ind w:left="360"/>
            <w:tabs>
              <w:tab w:val="right" w:leader="dot" w:pos="9026"/>
            </w:tabs>
            <w:spacing w:before="120" w:after="60"/>
          </w:pPr>
          <w:hyperlink w:anchor="_Toc100039" w:history="1">
            <w:r>
              <w:rPr>
                <w:rStyle w:val="Hyperlink"/>
              </w:rPr>
              <w:t>5.3 Signal Standardization (Z-Scores)</w:t>
            </w:r>
            <w:r>
              <w:tab/>
            </w:r>
            <w:r>
              <w:fldChar w:fldCharType="begin"/>
            </w:r>
            <w:r>
              <w:instrText xml:space="preserve"> PAGEREF _Toc100039 \h </w:instrText>
            </w:r>
            <w:r>
              <w:fldChar w:fldCharType="separate"/>
            </w:r>
            <w:r>
              <w:t>38</w:t>
            </w:r>
            <w:r>
              <w:fldChar w:fldCharType="end"/>
            </w:r>
          </w:hyperlink>
        </w:p>
        <w:p>
          <w:pPr>
            <w:pStyle w:val="11"/>
            <w:ind w:left="360"/>
            <w:tabs>
              <w:tab w:val="right" w:leader="dot" w:pos="9026"/>
            </w:tabs>
            <w:spacing w:before="120" w:after="60"/>
          </w:pPr>
          <w:hyperlink w:anchor="_Toc100040" w:history="1">
            <w:r>
              <w:rPr>
                <w:rStyle w:val="Hyperlink"/>
              </w:rPr>
              <w:t>5.4 The Regime Model</w:t>
            </w:r>
            <w:r>
              <w:tab/>
            </w:r>
            <w:r>
              <w:fldChar w:fldCharType="begin"/>
            </w:r>
            <w:r>
              <w:instrText xml:space="preserve"> PAGEREF _Toc100040 \h </w:instrText>
            </w:r>
            <w:r>
              <w:fldChar w:fldCharType="separate"/>
            </w:r>
            <w:r>
              <w:t>39</w:t>
            </w:r>
            <w:r>
              <w:fldChar w:fldCharType="end"/>
            </w:r>
          </w:hyperlink>
        </w:p>
        <w:p>
          <w:pPr>
            <w:pStyle w:val="11"/>
            <w:ind w:left="360"/>
            <w:tabs>
              <w:tab w:val="right" w:leader="dot" w:pos="9026"/>
            </w:tabs>
            <w:spacing w:before="120" w:after="60"/>
          </w:pPr>
          <w:hyperlink w:anchor="_Toc100041" w:history="1">
            <w:r>
              <w:rPr>
                <w:rStyle w:val="Hyperlink"/>
              </w:rPr>
              <w:t>5.5 The Crisis-Risk Score</w:t>
            </w:r>
            <w:r>
              <w:tab/>
            </w:r>
            <w:r>
              <w:fldChar w:fldCharType="begin"/>
            </w:r>
            <w:r>
              <w:instrText xml:space="preserve"> PAGEREF _Toc100041 \h </w:instrText>
            </w:r>
            <w:r>
              <w:fldChar w:fldCharType="separate"/>
            </w:r>
            <w:r>
              <w:t>40</w:t>
            </w:r>
            <w:r>
              <w:fldChar w:fldCharType="end"/>
            </w:r>
          </w:hyperlink>
        </w:p>
        <w:p>
          <w:pPr>
            <w:pStyle w:val="9"/>
            <w:tabs>
              <w:tab w:val="right" w:leader="dot" w:pos="9026"/>
            </w:tabs>
            <w:spacing w:before="120" w:after="60"/>
          </w:pPr>
          <w:hyperlink w:anchor="_Toc100042" w:history="1">
            <w:r>
              <w:rPr>
                <w:rStyle w:val="Hyperlink"/>
              </w:rPr>
              <w:t>6. Risk Estimation and Candidate Optimization Models</w:t>
            </w:r>
            <w:r>
              <w:tab/>
            </w:r>
            <w:r>
              <w:fldChar w:fldCharType="begin"/>
            </w:r>
            <w:r>
              <w:instrText xml:space="preserve"> PAGEREF _Toc100042 \h </w:instrText>
            </w:r>
            <w:r>
              <w:fldChar w:fldCharType="separate"/>
            </w:r>
            <w:r>
              <w:t>41</w:t>
            </w:r>
            <w:r>
              <w:fldChar w:fldCharType="end"/>
            </w:r>
          </w:hyperlink>
        </w:p>
        <w:p>
          <w:pPr>
            <w:pStyle w:val="11"/>
            <w:ind w:left="360"/>
            <w:tabs>
              <w:tab w:val="right" w:leader="dot" w:pos="9026"/>
            </w:tabs>
            <w:spacing w:before="120" w:after="60"/>
          </w:pPr>
          <w:hyperlink w:anchor="_Toc100043" w:history="1">
            <w:r>
              <w:rPr>
                <w:rStyle w:val="Hyperlink"/>
              </w:rPr>
              <w:t>6.1 The Correlation Matrix</w:t>
            </w:r>
            <w:r>
              <w:tab/>
            </w:r>
            <w:r>
              <w:fldChar w:fldCharType="begin"/>
            </w:r>
            <w:r>
              <w:instrText xml:space="preserve"> PAGEREF _Toc100043 \h </w:instrText>
            </w:r>
            <w:r>
              <w:fldChar w:fldCharType="separate"/>
            </w:r>
            <w:r>
              <w:t>41</w:t>
            </w:r>
            <w:r>
              <w:fldChar w:fldCharType="end"/>
            </w:r>
          </w:hyperlink>
        </w:p>
        <w:p>
          <w:pPr>
            <w:pStyle w:val="11"/>
            <w:ind w:left="360"/>
            <w:tabs>
              <w:tab w:val="right" w:leader="dot" w:pos="9026"/>
            </w:tabs>
            <w:spacing w:before="120" w:after="60"/>
          </w:pPr>
          <w:hyperlink w:anchor="_Toc100044" w:history="1">
            <w:r>
              <w:rPr>
                <w:rStyle w:val="Hyperlink"/>
              </w:rPr>
              <w:t>6.2 Covariance Shrinkage</w:t>
            </w:r>
            <w:r>
              <w:tab/>
            </w:r>
            <w:r>
              <w:fldChar w:fldCharType="begin"/>
            </w:r>
            <w:r>
              <w:instrText xml:space="preserve"> PAGEREF _Toc100044 \h </w:instrText>
            </w:r>
            <w:r>
              <w:fldChar w:fldCharType="separate"/>
            </w:r>
            <w:r>
              <w:t>41</w:t>
            </w:r>
            <w:r>
              <w:fldChar w:fldCharType="end"/>
            </w:r>
          </w:hyperlink>
        </w:p>
        <w:p>
          <w:pPr>
            <w:pStyle w:val="11"/>
            <w:ind w:left="360"/>
            <w:tabs>
              <w:tab w:val="right" w:leader="dot" w:pos="9026"/>
            </w:tabs>
            <w:spacing w:before="120" w:after="60"/>
          </w:pPr>
          <w:hyperlink w:anchor="_Toc100045" w:history="1">
            <w:r>
              <w:rPr>
                <w:rStyle w:val="Hyperlink"/>
              </w:rPr>
              <w:t>6.3 Candidate Model 1 — Minimum Variance</w:t>
            </w:r>
            <w:r>
              <w:tab/>
            </w:r>
            <w:r>
              <w:fldChar w:fldCharType="begin"/>
            </w:r>
            <w:r>
              <w:instrText xml:space="preserve"> PAGEREF _Toc100045 \h </w:instrText>
            </w:r>
            <w:r>
              <w:fldChar w:fldCharType="separate"/>
            </w:r>
            <w:r>
              <w:t>42</w:t>
            </w:r>
            <w:r>
              <w:fldChar w:fldCharType="end"/>
            </w:r>
          </w:hyperlink>
        </w:p>
        <w:p>
          <w:pPr>
            <w:pStyle w:val="11"/>
            <w:ind w:left="360"/>
            <w:tabs>
              <w:tab w:val="right" w:leader="dot" w:pos="9026"/>
            </w:tabs>
            <w:spacing w:before="120" w:after="60"/>
          </w:pPr>
          <w:hyperlink w:anchor="_Toc100046" w:history="1">
            <w:r>
              <w:rPr>
                <w:rStyle w:val="Hyperlink"/>
              </w:rPr>
              <w:t>6.4 Candidate Model 2 — Equal Risk Contribution (Risk Parity)</w:t>
            </w:r>
            <w:r>
              <w:tab/>
            </w:r>
            <w:r>
              <w:fldChar w:fldCharType="begin"/>
            </w:r>
            <w:r>
              <w:instrText xml:space="preserve"> PAGEREF _Toc100046 \h </w:instrText>
            </w:r>
            <w:r>
              <w:fldChar w:fldCharType="separate"/>
            </w:r>
            <w:r>
              <w:t>42</w:t>
            </w:r>
            <w:r>
              <w:fldChar w:fldCharType="end"/>
            </w:r>
          </w:hyperlink>
        </w:p>
        <w:p>
          <w:pPr>
            <w:pStyle w:val="11"/>
            <w:ind w:left="360"/>
            <w:tabs>
              <w:tab w:val="right" w:leader="dot" w:pos="9026"/>
            </w:tabs>
            <w:spacing w:before="120" w:after="60"/>
          </w:pPr>
          <w:hyperlink w:anchor="_Toc100047" w:history="1">
            <w:r>
              <w:rPr>
                <w:rStyle w:val="Hyperlink"/>
              </w:rPr>
              <w:t>6.5 Candidate Model 3 — Maximum Diversification</w:t>
            </w:r>
            <w:r>
              <w:tab/>
            </w:r>
            <w:r>
              <w:fldChar w:fldCharType="begin"/>
            </w:r>
            <w:r>
              <w:instrText xml:space="preserve"> PAGEREF _Toc100047 \h </w:instrText>
            </w:r>
            <w:r>
              <w:fldChar w:fldCharType="separate"/>
            </w:r>
            <w:r>
              <w:t>43</w:t>
            </w:r>
            <w:r>
              <w:fldChar w:fldCharType="end"/>
            </w:r>
          </w:hyperlink>
        </w:p>
        <w:p>
          <w:pPr>
            <w:pStyle w:val="11"/>
            <w:ind w:left="360"/>
            <w:tabs>
              <w:tab w:val="right" w:leader="dot" w:pos="9026"/>
            </w:tabs>
            <w:spacing w:before="120" w:after="60"/>
          </w:pPr>
          <w:hyperlink w:anchor="_Toc100048" w:history="1">
            <w:r>
              <w:rPr>
                <w:rStyle w:val="Hyperlink"/>
              </w:rPr>
              <w:t>6.6 Candidate Model 4 — Tail Risk (CVaR)</w:t>
            </w:r>
            <w:r>
              <w:tab/>
            </w:r>
            <w:r>
              <w:fldChar w:fldCharType="begin"/>
            </w:r>
            <w:r>
              <w:instrText xml:space="preserve"> PAGEREF _Toc100048 \h </w:instrText>
            </w:r>
            <w:r>
              <w:fldChar w:fldCharType="separate"/>
            </w:r>
            <w:r>
              <w:t>44</w:t>
            </w:r>
            <w:r>
              <w:fldChar w:fldCharType="end"/>
            </w:r>
          </w:hyperlink>
        </w:p>
        <w:p>
          <w:pPr>
            <w:pStyle w:val="11"/>
            <w:ind w:left="360"/>
            <w:tabs>
              <w:tab w:val="right" w:leader="dot" w:pos="9026"/>
            </w:tabs>
            <w:spacing w:before="120" w:after="60"/>
          </w:pPr>
          <w:hyperlink w:anchor="_Toc100049" w:history="1">
            <w:r>
              <w:rPr>
                <w:rStyle w:val="Hyperlink"/>
              </w:rPr>
              <w:t>6.7 Drawdown Control</w:t>
            </w:r>
            <w:r>
              <w:tab/>
            </w:r>
            <w:r>
              <w:fldChar w:fldCharType="begin"/>
            </w:r>
            <w:r>
              <w:instrText xml:space="preserve"> PAGEREF _Toc100049 \h </w:instrText>
            </w:r>
            <w:r>
              <w:fldChar w:fldCharType="separate"/>
            </w:r>
            <w:r>
              <w:t>45</w:t>
            </w:r>
            <w:r>
              <w:fldChar w:fldCharType="end"/>
            </w:r>
          </w:hyperlink>
        </w:p>
        <w:p>
          <w:pPr>
            <w:pStyle w:val="11"/>
            <w:ind w:left="360"/>
            <w:tabs>
              <w:tab w:val="right" w:leader="dot" w:pos="9026"/>
            </w:tabs>
            <w:spacing w:before="120" w:after="60"/>
          </w:pPr>
          <w:hyperlink w:anchor="_Toc100050" w:history="1">
            <w:r>
              <w:rPr>
                <w:rStyle w:val="Hyperlink"/>
              </w:rPr>
              <w:t>6.8 The Purchasing-Power Objective</w:t>
            </w:r>
            <w:r>
              <w:tab/>
            </w:r>
            <w:r>
              <w:fldChar w:fldCharType="begin"/>
            </w:r>
            <w:r>
              <w:instrText xml:space="preserve"> PAGEREF _Toc100050 \h </w:instrText>
            </w:r>
            <w:r>
              <w:fldChar w:fldCharType="separate"/>
            </w:r>
            <w:r>
              <w:t>45</w:t>
            </w:r>
            <w:r>
              <w:fldChar w:fldCharType="end"/>
            </w:r>
          </w:hyperlink>
        </w:p>
        <w:p>
          <w:pPr>
            <w:pStyle w:val="9"/>
            <w:tabs>
              <w:tab w:val="right" w:leader="dot" w:pos="9026"/>
            </w:tabs>
            <w:spacing w:before="120" w:after="60"/>
          </w:pPr>
          <w:hyperlink w:anchor="_Toc100051" w:history="1">
            <w:r>
              <w:rPr>
                <w:rStyle w:val="Hyperlink"/>
              </w:rPr>
              <w:t>7. The Composite MASE Objective and Ensemble Architecture</w:t>
            </w:r>
            <w:r>
              <w:tab/>
            </w:r>
            <w:r>
              <w:fldChar w:fldCharType="begin"/>
            </w:r>
            <w:r>
              <w:instrText xml:space="preserve"> PAGEREF _Toc100051 \h </w:instrText>
            </w:r>
            <w:r>
              <w:fldChar w:fldCharType="separate"/>
            </w:r>
            <w:r>
              <w:t>46</w:t>
            </w:r>
            <w:r>
              <w:fldChar w:fldCharType="end"/>
            </w:r>
          </w:hyperlink>
        </w:p>
        <w:p>
          <w:pPr>
            <w:pStyle w:val="11"/>
            <w:ind w:left="360"/>
            <w:tabs>
              <w:tab w:val="right" w:leader="dot" w:pos="9026"/>
            </w:tabs>
            <w:spacing w:before="120" w:after="60"/>
          </w:pPr>
          <w:hyperlink w:anchor="_Toc100052" w:history="1">
            <w:r>
              <w:rPr>
                <w:rStyle w:val="Hyperlink"/>
              </w:rPr>
              <w:t>7.1 Strategic-Prior Penalty (Soft Anchor)</w:t>
            </w:r>
            <w:r>
              <w:tab/>
            </w:r>
            <w:r>
              <w:fldChar w:fldCharType="begin"/>
            </w:r>
            <w:r>
              <w:instrText xml:space="preserve"> PAGEREF _Toc100052 \h </w:instrText>
            </w:r>
            <w:r>
              <w:fldChar w:fldCharType="separate"/>
            </w:r>
            <w:r>
              <w:t>46</w:t>
            </w:r>
            <w:r>
              <w:fldChar w:fldCharType="end"/>
            </w:r>
          </w:hyperlink>
        </w:p>
        <w:p>
          <w:pPr>
            <w:pStyle w:val="11"/>
            <w:ind w:left="360"/>
            <w:tabs>
              <w:tab w:val="right" w:leader="dot" w:pos="9026"/>
            </w:tabs>
            <w:spacing w:before="120" w:after="60"/>
          </w:pPr>
          <w:hyperlink w:anchor="_Toc100053" w:history="1">
            <w:r>
              <w:rPr>
                <w:rStyle w:val="Hyperlink"/>
              </w:rPr>
              <w:t>7.2 Diversification (Concentration) Penalty</w:t>
            </w:r>
            <w:r>
              <w:tab/>
            </w:r>
            <w:r>
              <w:fldChar w:fldCharType="begin"/>
            </w:r>
            <w:r>
              <w:instrText xml:space="preserve"> PAGEREF _Toc100053 \h </w:instrText>
            </w:r>
            <w:r>
              <w:fldChar w:fldCharType="separate"/>
            </w:r>
            <w:r>
              <w:t>47</w:t>
            </w:r>
            <w:r>
              <w:fldChar w:fldCharType="end"/>
            </w:r>
          </w:hyperlink>
        </w:p>
        <w:p>
          <w:pPr>
            <w:pStyle w:val="11"/>
            <w:ind w:left="360"/>
            <w:tabs>
              <w:tab w:val="right" w:leader="dot" w:pos="9026"/>
            </w:tabs>
            <w:spacing w:before="120" w:after="60"/>
          </w:pPr>
          <w:hyperlink w:anchor="_Toc100054" w:history="1">
            <w:r>
              <w:rPr>
                <w:rStyle w:val="Hyperlink"/>
              </w:rPr>
              <w:t>7.3 Turnover Penalty</w:t>
            </w:r>
            <w:r>
              <w:tab/>
            </w:r>
            <w:r>
              <w:fldChar w:fldCharType="begin"/>
            </w:r>
            <w:r>
              <w:instrText xml:space="preserve"> PAGEREF _Toc100054 \h </w:instrText>
            </w:r>
            <w:r>
              <w:fldChar w:fldCharType="separate"/>
            </w:r>
            <w:r>
              <w:t>48</w:t>
            </w:r>
            <w:r>
              <w:fldChar w:fldCharType="end"/>
            </w:r>
          </w:hyperlink>
        </w:p>
        <w:p>
          <w:pPr>
            <w:pStyle w:val="11"/>
            <w:ind w:left="360"/>
            <w:tabs>
              <w:tab w:val="right" w:leader="dot" w:pos="9026"/>
            </w:tabs>
            <w:spacing w:before="120" w:after="60"/>
          </w:pPr>
          <w:hyperlink w:anchor="_Toc100055" w:history="1">
            <w:r>
              <w:rPr>
                <w:rStyle w:val="Hyperlink"/>
              </w:rPr>
              <w:t>7.4 The Full MASE Objective</w:t>
            </w:r>
            <w:r>
              <w:tab/>
            </w:r>
            <w:r>
              <w:fldChar w:fldCharType="begin"/>
            </w:r>
            <w:r>
              <w:instrText xml:space="preserve"> PAGEREF _Toc100055 \h </w:instrText>
            </w:r>
            <w:r>
              <w:fldChar w:fldCharType="separate"/>
            </w:r>
            <w:r>
              <w:t>49</w:t>
            </w:r>
            <w:r>
              <w:fldChar w:fldCharType="end"/>
            </w:r>
          </w:hyperlink>
        </w:p>
        <w:p>
          <w:pPr>
            <w:pStyle w:val="11"/>
            <w:ind w:left="360"/>
            <w:tabs>
              <w:tab w:val="right" w:leader="dot" w:pos="9026"/>
            </w:tabs>
            <w:spacing w:before="120" w:after="60"/>
          </w:pPr>
          <w:hyperlink w:anchor="_Toc100056" w:history="1">
            <w:r>
              <w:rPr>
                <w:rStyle w:val="Hyperlink"/>
              </w:rPr>
              <w:t>7.5 The Ensemble Architecture</w:t>
            </w:r>
            <w:r>
              <w:tab/>
            </w:r>
            <w:r>
              <w:fldChar w:fldCharType="begin"/>
            </w:r>
            <w:r>
              <w:instrText xml:space="preserve"> PAGEREF _Toc100056 \h </w:instrText>
            </w:r>
            <w:r>
              <w:fldChar w:fldCharType="separate"/>
            </w:r>
            <w:r>
              <w:t>50</w:t>
            </w:r>
            <w:r>
              <w:fldChar w:fldCharType="end"/>
            </w:r>
          </w:hyperlink>
        </w:p>
        <w:p>
          <w:pPr>
            <w:pStyle w:val="11"/>
            <w:ind w:left="360"/>
            <w:tabs>
              <w:tab w:val="right" w:leader="dot" w:pos="9026"/>
            </w:tabs>
            <w:spacing w:before="120" w:after="60"/>
          </w:pPr>
          <w:hyperlink w:anchor="_Toc100057" w:history="1">
            <w:r>
              <w:rPr>
                <w:rStyle w:val="Hyperlink"/>
              </w:rPr>
              <w:t>7.6 Adaptive Model Weights</w:t>
            </w:r>
            <w:r>
              <w:tab/>
            </w:r>
            <w:r>
              <w:fldChar w:fldCharType="begin"/>
            </w:r>
            <w:r>
              <w:instrText xml:space="preserve"> PAGEREF _Toc100057 \h </w:instrText>
            </w:r>
            <w:r>
              <w:fldChar w:fldCharType="separate"/>
            </w:r>
            <w:r>
              <w:t>50</w:t>
            </w:r>
            <w:r>
              <w:fldChar w:fldCharType="end"/>
            </w:r>
          </w:hyperlink>
        </w:p>
        <w:p>
          <w:pPr>
            <w:pStyle w:val="11"/>
            <w:ind w:left="360"/>
            <w:tabs>
              <w:tab w:val="right" w:leader="dot" w:pos="9026"/>
            </w:tabs>
            <w:spacing w:before="120" w:after="60"/>
          </w:pPr>
          <w:hyperlink w:anchor="_Toc100058" w:history="1">
            <w:r>
              <w:rPr>
                <w:rStyle w:val="Hyperlink"/>
              </w:rPr>
              <w:t>7.7 Smart Contract Implementation — MASE Weight Verification and Registry</w:t>
            </w:r>
            <w:r>
              <w:tab/>
            </w:r>
            <w:r>
              <w:fldChar w:fldCharType="begin"/>
            </w:r>
            <w:r>
              <w:instrText xml:space="preserve"> PAGEREF _Toc100058 \h </w:instrText>
            </w:r>
            <w:r>
              <w:fldChar w:fldCharType="separate"/>
            </w:r>
            <w:r>
              <w:t>51</w:t>
            </w:r>
            <w:r>
              <w:fldChar w:fldCharType="end"/>
            </w:r>
          </w:hyperlink>
        </w:p>
        <w:p>
          <w:pPr>
            <w:pStyle w:val="9"/>
            <w:tabs>
              <w:tab w:val="right" w:leader="dot" w:pos="9026"/>
            </w:tabs>
            <w:spacing w:before="120" w:after="60"/>
          </w:pPr>
          <w:hyperlink w:anchor="_Toc100059" w:history="1">
            <w:r>
              <w:rPr>
                <w:rStyle w:val="Hyperlink"/>
              </w:rPr>
              <w:t>8. Constitutional Constraints and Guardrails</w:t>
            </w:r>
            <w:r>
              <w:tab/>
            </w:r>
            <w:r>
              <w:fldChar w:fldCharType="begin"/>
            </w:r>
            <w:r>
              <w:instrText xml:space="preserve"> PAGEREF _Toc100059 \h </w:instrText>
            </w:r>
            <w:r>
              <w:fldChar w:fldCharType="separate"/>
            </w:r>
            <w:r>
              <w:t>68</w:t>
            </w:r>
            <w:r>
              <w:fldChar w:fldCharType="end"/>
            </w:r>
          </w:hyperlink>
        </w:p>
        <w:p>
          <w:pPr>
            <w:pStyle w:val="11"/>
            <w:ind w:left="360"/>
            <w:tabs>
              <w:tab w:val="right" w:leader="dot" w:pos="9026"/>
            </w:tabs>
            <w:spacing w:before="120" w:after="60"/>
          </w:pPr>
          <w:hyperlink w:anchor="_Toc100060" w:history="1">
            <w:r>
              <w:rPr>
                <w:rStyle w:val="Hyperlink"/>
              </w:rPr>
              <w:t>8.1 Hard Bounds (Constitutional Admissibility Envelopes)</w:t>
            </w:r>
            <w:r>
              <w:tab/>
            </w:r>
            <w:r>
              <w:fldChar w:fldCharType="begin"/>
            </w:r>
            <w:r>
              <w:instrText xml:space="preserve"> PAGEREF _Toc100060 \h </w:instrText>
            </w:r>
            <w:r>
              <w:fldChar w:fldCharType="separate"/>
            </w:r>
            <w:r>
              <w:t>68</w:t>
            </w:r>
            <w:r>
              <w:fldChar w:fldCharType="end"/>
            </w:r>
          </w:hyperlink>
        </w:p>
        <w:p>
          <w:pPr>
            <w:pStyle w:val="11"/>
            <w:ind w:left="360"/>
            <w:tabs>
              <w:tab w:val="right" w:leader="dot" w:pos="9026"/>
            </w:tabs>
            <w:spacing w:before="120" w:after="60"/>
          </w:pPr>
          <w:hyperlink w:anchor="_Toc100061" w:history="1">
            <w:r>
              <w:rPr>
                <w:rStyle w:val="Hyperlink"/>
              </w:rPr>
              <w:t>8.2 Dynamic Admissibility</w:t>
            </w:r>
            <w:r>
              <w:tab/>
            </w:r>
            <w:r>
              <w:fldChar w:fldCharType="begin"/>
            </w:r>
            <w:r>
              <w:instrText xml:space="preserve"> PAGEREF _Toc100061 \h </w:instrText>
            </w:r>
            <w:r>
              <w:fldChar w:fldCharType="separate"/>
            </w:r>
            <w:r>
              <w:t>69</w:t>
            </w:r>
            <w:r>
              <w:fldChar w:fldCharType="end"/>
            </w:r>
          </w:hyperlink>
        </w:p>
        <w:p>
          <w:pPr>
            <w:pStyle w:val="11"/>
            <w:ind w:left="360"/>
            <w:tabs>
              <w:tab w:val="right" w:leader="dot" w:pos="9026"/>
            </w:tabs>
            <w:spacing w:before="120" w:after="60"/>
          </w:pPr>
          <w:hyperlink w:anchor="_Toc100062" w:history="1">
            <w:r>
              <w:rPr>
                <w:rStyle w:val="Hyperlink"/>
              </w:rPr>
              <w:t>8.3 The Weight-Velocity Constraint</w:t>
            </w:r>
            <w:r>
              <w:tab/>
            </w:r>
            <w:r>
              <w:fldChar w:fldCharType="begin"/>
            </w:r>
            <w:r>
              <w:instrText xml:space="preserve"> PAGEREF _Toc100062 \h </w:instrText>
            </w:r>
            <w:r>
              <w:fldChar w:fldCharType="separate"/>
            </w:r>
            <w:r>
              <w:t>70</w:t>
            </w:r>
            <w:r>
              <w:fldChar w:fldCharType="end"/>
            </w:r>
          </w:hyperlink>
        </w:p>
        <w:p>
          <w:pPr>
            <w:pStyle w:val="11"/>
            <w:ind w:left="360"/>
            <w:tabs>
              <w:tab w:val="right" w:leader="dot" w:pos="9026"/>
            </w:tabs>
            <w:spacing w:before="120" w:after="60"/>
          </w:pPr>
          <w:hyperlink w:anchor="_Toc100063" w:history="1">
            <w:r>
              <w:rPr>
                <w:rStyle w:val="Hyperlink"/>
              </w:rPr>
              <w:t>8.4 Stress-Adaptive Smoothing</w:t>
            </w:r>
            <w:r>
              <w:tab/>
            </w:r>
            <w:r>
              <w:fldChar w:fldCharType="begin"/>
            </w:r>
            <w:r>
              <w:instrText xml:space="preserve"> PAGEREF _Toc100063 \h </w:instrText>
            </w:r>
            <w:r>
              <w:fldChar w:fldCharType="separate"/>
            </w:r>
            <w:r>
              <w:t>71</w:t>
            </w:r>
            <w:r>
              <w:fldChar w:fldCharType="end"/>
            </w:r>
          </w:hyperlink>
        </w:p>
        <w:p>
          <w:pPr>
            <w:pStyle w:val="11"/>
            <w:ind w:left="360"/>
            <w:tabs>
              <w:tab w:val="right" w:leader="dot" w:pos="9026"/>
            </w:tabs>
            <w:spacing w:before="120" w:after="60"/>
          </w:pPr>
          <w:hyperlink w:anchor="_Toc100064" w:history="1">
            <w:r>
              <w:rPr>
                <w:rStyle w:val="Hyperlink"/>
              </w:rPr>
              <w:t>8.5 The Complete Constraint Set (Consolidated)</w:t>
            </w:r>
            <w:r>
              <w:tab/>
            </w:r>
            <w:r>
              <w:fldChar w:fldCharType="begin"/>
            </w:r>
            <w:r>
              <w:instrText xml:space="preserve"> PAGEREF _Toc100064 \h </w:instrText>
            </w:r>
            <w:r>
              <w:fldChar w:fldCharType="separate"/>
            </w:r>
            <w:r>
              <w:t>72</w:t>
            </w:r>
            <w:r>
              <w:fldChar w:fldCharType="end"/>
            </w:r>
          </w:hyperlink>
        </w:p>
        <w:p>
          <w:pPr>
            <w:pStyle w:val="9"/>
            <w:tabs>
              <w:tab w:val="right" w:leader="dot" w:pos="9026"/>
            </w:tabs>
            <w:spacing w:before="120" w:after="60"/>
          </w:pPr>
          <w:hyperlink w:anchor="_Toc100065" w:history="1">
            <w:r>
              <w:rPr>
                <w:rStyle w:val="Hyperlink"/>
              </w:rPr>
              <w:t>9. Chain-Linked Index Valuation and Attribution</w:t>
            </w:r>
            <w:r>
              <w:tab/>
            </w:r>
            <w:r>
              <w:fldChar w:fldCharType="begin"/>
            </w:r>
            <w:r>
              <w:instrText xml:space="preserve"> PAGEREF _Toc100065 \h </w:instrText>
            </w:r>
            <w:r>
              <w:fldChar w:fldCharType="separate"/>
            </w:r>
            <w:r>
              <w:t>73</w:t>
            </w:r>
            <w:r>
              <w:fldChar w:fldCharType="end"/>
            </w:r>
          </w:hyperlink>
        </w:p>
        <w:p>
          <w:pPr>
            <w:pStyle w:val="11"/>
            <w:ind w:left="360"/>
            <w:tabs>
              <w:tab w:val="right" w:leader="dot" w:pos="9026"/>
            </w:tabs>
            <w:spacing w:before="120" w:after="60"/>
          </w:pPr>
          <w:hyperlink w:anchor="_Toc100066" w:history="1">
            <w:r>
              <w:rPr>
                <w:rStyle w:val="Hyperlink"/>
              </w:rPr>
              <w:t>9.1 Reference Basket Valuation</w:t>
            </w:r>
            <w:r>
              <w:tab/>
            </w:r>
            <w:r>
              <w:fldChar w:fldCharType="begin"/>
            </w:r>
            <w:r>
              <w:instrText xml:space="preserve"> PAGEREF _Toc100066 \h </w:instrText>
            </w:r>
            <w:r>
              <w:fldChar w:fldCharType="separate"/>
            </w:r>
            <w:r>
              <w:t>73</w:t>
            </w:r>
            <w:r>
              <w:fldChar w:fldCharType="end"/>
            </w:r>
          </w:hyperlink>
        </w:p>
        <w:p>
          <w:pPr>
            <w:pStyle w:val="11"/>
            <w:ind w:left="360"/>
            <w:tabs>
              <w:tab w:val="right" w:leader="dot" w:pos="9026"/>
            </w:tabs>
            <w:spacing w:before="120" w:after="60"/>
          </w:pPr>
          <w:hyperlink w:anchor="_Toc100067" w:history="1">
            <w:r>
              <w:rPr>
                <w:rStyle w:val="Hyperlink"/>
              </w:rPr>
              <w:t>9.2 The Chain-Linked Index Calculation</w:t>
            </w:r>
            <w:r>
              <w:tab/>
            </w:r>
            <w:r>
              <w:fldChar w:fldCharType="begin"/>
            </w:r>
            <w:r>
              <w:instrText xml:space="preserve"> PAGEREF _Toc100067 \h </w:instrText>
            </w:r>
            <w:r>
              <w:fldChar w:fldCharType="separate"/>
            </w:r>
            <w:r>
              <w:t>75</w:t>
            </w:r>
            <w:r>
              <w:fldChar w:fldCharType="end"/>
            </w:r>
          </w:hyperlink>
        </w:p>
        <w:p>
          <w:pPr>
            <w:pStyle w:val="11"/>
            <w:ind w:left="360"/>
            <w:tabs>
              <w:tab w:val="right" w:leader="dot" w:pos="9026"/>
            </w:tabs>
            <w:spacing w:before="120" w:after="60"/>
          </w:pPr>
          <w:hyperlink w:anchor="_Toc100068" w:history="1">
            <w:r>
              <w:rPr>
                <w:rStyle w:val="Hyperlink"/>
              </w:rPr>
              <w:t>9.3 The Chain-Link Adjustment at Rebalance</w:t>
            </w:r>
            <w:r>
              <w:tab/>
            </w:r>
            <w:r>
              <w:fldChar w:fldCharType="begin"/>
            </w:r>
            <w:r>
              <w:instrText xml:space="preserve"> PAGEREF _Toc100068 \h </w:instrText>
            </w:r>
            <w:r>
              <w:fldChar w:fldCharType="separate"/>
            </w:r>
            <w:r>
              <w:t>76</w:t>
            </w:r>
            <w:r>
              <w:fldChar w:fldCharType="end"/>
            </w:r>
          </w:hyperlink>
        </w:p>
        <w:p>
          <w:pPr>
            <w:pStyle w:val="11"/>
            <w:ind w:left="360"/>
            <w:tabs>
              <w:tab w:val="right" w:leader="dot" w:pos="9026"/>
            </w:tabs>
            <w:spacing w:before="120" w:after="60"/>
          </w:pPr>
          <w:hyperlink w:anchor="_Toc100069" w:history="1">
            <w:r>
              <w:rPr>
                <w:rStyle w:val="Hyperlink"/>
              </w:rPr>
              <w:t>9.4 Contribution Mathematics — Gold and Currency</w:t>
            </w:r>
            <w:r>
              <w:tab/>
            </w:r>
            <w:r>
              <w:fldChar w:fldCharType="begin"/>
            </w:r>
            <w:r>
              <w:instrText xml:space="preserve"> PAGEREF _Toc100069 \h </w:instrText>
            </w:r>
            <w:r>
              <w:fldChar w:fldCharType="separate"/>
            </w:r>
            <w:r>
              <w:t>77</w:t>
            </w:r>
            <w:r>
              <w:fldChar w:fldCharType="end"/>
            </w:r>
          </w:hyperlink>
        </w:p>
        <w:p>
          <w:pPr>
            <w:pStyle w:val="11"/>
            <w:ind w:left="360"/>
            <w:tabs>
              <w:tab w:val="right" w:leader="dot" w:pos="9026"/>
            </w:tabs>
            <w:spacing w:before="120" w:after="60"/>
          </w:pPr>
          <w:hyperlink w:anchor="_Toc100070" w:history="1">
            <w:r>
              <w:rPr>
                <w:rStyle w:val="Hyperlink"/>
              </w:rPr>
              <w:t>9.5 The Attribution Engine</w:t>
            </w:r>
            <w:r>
              <w:tab/>
            </w:r>
            <w:r>
              <w:fldChar w:fldCharType="begin"/>
            </w:r>
            <w:r>
              <w:instrText xml:space="preserve"> PAGEREF _Toc100070 \h </w:instrText>
            </w:r>
            <w:r>
              <w:fldChar w:fldCharType="separate"/>
            </w:r>
            <w:r>
              <w:t>78</w:t>
            </w:r>
            <w:r>
              <w:fldChar w:fldCharType="end"/>
            </w:r>
          </w:hyperlink>
        </w:p>
        <w:p>
          <w:pPr>
            <w:pStyle w:val="11"/>
            <w:ind w:left="360"/>
            <w:tabs>
              <w:tab w:val="right" w:leader="dot" w:pos="9026"/>
            </w:tabs>
            <w:spacing w:before="120" w:after="60"/>
          </w:pPr>
          <w:hyperlink w:anchor="_Toc100071" w:history="1">
            <w:r>
              <w:rPr>
                <w:rStyle w:val="Hyperlink"/>
              </w:rPr>
              <w:t>9.6 Genesis Verification and Audit Trail</w:t>
            </w:r>
            <w:r>
              <w:tab/>
            </w:r>
            <w:r>
              <w:fldChar w:fldCharType="begin"/>
            </w:r>
            <w:r>
              <w:instrText xml:space="preserve"> PAGEREF _Toc100071 \h </w:instrText>
            </w:r>
            <w:r>
              <w:fldChar w:fldCharType="separate"/>
            </w:r>
            <w:r>
              <w:t>79</w:t>
            </w:r>
            <w:r>
              <w:fldChar w:fldCharType="end"/>
            </w:r>
          </w:hyperlink>
        </w:p>
        <w:p>
          <w:pPr>
            <w:pStyle w:val="12"/>
            <w:ind w:left="720"/>
            <w:tabs>
              <w:tab w:val="right" w:leader="dot" w:pos="9026"/>
            </w:tabs>
            <w:spacing w:before="120" w:after="60"/>
          </w:pPr>
          <w:hyperlink w:anchor="_Toc100072" w:history="1">
            <w:r>
              <w:rPr>
                <w:rStyle w:val="Hyperlink"/>
              </w:rPr>
              <w:t>9.6.1 The Genesis Verification Event [BP §2.6.1]</w:t>
            </w:r>
            <w:r>
              <w:tab/>
            </w:r>
            <w:r>
              <w:fldChar w:fldCharType="begin"/>
            </w:r>
            <w:r>
              <w:instrText xml:space="preserve"> PAGEREF _Toc100072 \h </w:instrText>
            </w:r>
            <w:r>
              <w:fldChar w:fldCharType="separate"/>
            </w:r>
            <w:r>
              <w:t>79</w:t>
            </w:r>
            <w:r>
              <w:fldChar w:fldCharType="end"/>
            </w:r>
          </w:hyperlink>
        </w:p>
        <w:p>
          <w:pPr>
            <w:pStyle w:val="12"/>
            <w:ind w:left="720"/>
            <w:tabs>
              <w:tab w:val="right" w:leader="dot" w:pos="9026"/>
            </w:tabs>
            <w:spacing w:before="120" w:after="60"/>
          </w:pPr>
          <w:hyperlink w:anchor="_Toc100073" w:history="1">
            <w:r>
              <w:rPr>
                <w:rStyle w:val="Hyperlink"/>
              </w:rPr>
              <w:t>9.6.2 Off-Chain Verification Function [BP §2.6.2]</w:t>
            </w:r>
            <w:r>
              <w:tab/>
            </w:r>
            <w:r>
              <w:fldChar w:fldCharType="begin"/>
            </w:r>
            <w:r>
              <w:instrText xml:space="preserve"> PAGEREF _Toc100073 \h </w:instrText>
            </w:r>
            <w:r>
              <w:fldChar w:fldCharType="separate"/>
            </w:r>
            <w:r>
              <w:t>81</w:t>
            </w:r>
            <w:r>
              <w:fldChar w:fldCharType="end"/>
            </w:r>
          </w:hyperlink>
        </w:p>
        <w:p>
          <w:pPr>
            <w:pStyle w:val="12"/>
            <w:ind w:left="720"/>
            <w:tabs>
              <w:tab w:val="right" w:leader="dot" w:pos="9026"/>
            </w:tabs>
            <w:spacing w:before="120" w:after="60"/>
          </w:pPr>
          <w:hyperlink w:anchor="_Toc100074" w:history="1">
            <w:r>
              <w:rPr>
                <w:rStyle w:val="Hyperlink"/>
              </w:rPr>
              <w:t>9.6.3 Testnet Implementation Note [BP §2.6.3]</w:t>
            </w:r>
            <w:r>
              <w:tab/>
            </w:r>
            <w:r>
              <w:fldChar w:fldCharType="begin"/>
            </w:r>
            <w:r>
              <w:instrText xml:space="preserve"> PAGEREF _Toc100074 \h </w:instrText>
            </w:r>
            <w:r>
              <w:fldChar w:fldCharType="separate"/>
            </w:r>
            <w:r>
              <w:t>83</w:t>
            </w:r>
            <w:r>
              <w:fldChar w:fldCharType="end"/>
            </w:r>
          </w:hyperlink>
        </w:p>
        <w:p>
          <w:pPr>
            <w:pStyle w:val="12"/>
            <w:ind w:left="720"/>
            <w:tabs>
              <w:tab w:val="right" w:leader="dot" w:pos="9026"/>
            </w:tabs>
            <w:spacing w:before="120" w:after="60"/>
          </w:pPr>
          <w:hyperlink w:anchor="_Toc100075" w:history="1">
            <w:r>
              <w:rPr>
                <w:rStyle w:val="Hyperlink"/>
              </w:rPr>
              <w:t>9.6.4 Developer Checklist [BP §2.6.4]</w:t>
            </w:r>
            <w:r>
              <w:tab/>
            </w:r>
            <w:r>
              <w:fldChar w:fldCharType="begin"/>
            </w:r>
            <w:r>
              <w:instrText xml:space="preserve"> PAGEREF _Toc100075 \h </w:instrText>
            </w:r>
            <w:r>
              <w:fldChar w:fldCharType="separate"/>
            </w:r>
            <w:r>
              <w:t>83</w:t>
            </w:r>
            <w:r>
              <w:fldChar w:fldCharType="end"/>
            </w:r>
          </w:hyperlink>
        </w:p>
        <w:p>
          <w:pPr>
            <w:pStyle w:val="11"/>
            <w:ind w:left="360"/>
            <w:tabs>
              <w:tab w:val="right" w:leader="dot" w:pos="9026"/>
            </w:tabs>
            <w:spacing w:before="120" w:after="60"/>
          </w:pPr>
          <w:hyperlink w:anchor="_Toc100076" w:history="1">
            <w:r>
              <w:rPr>
                <w:rStyle w:val="Hyperlink"/>
              </w:rPr>
              <w:t>9.7 Index Construction Details</w:t>
            </w:r>
            <w:r>
              <w:tab/>
            </w:r>
            <w:r>
              <w:fldChar w:fldCharType="begin"/>
            </w:r>
            <w:r>
              <w:instrText xml:space="preserve"> PAGEREF _Toc100076 \h </w:instrText>
            </w:r>
            <w:r>
              <w:fldChar w:fldCharType="separate"/>
            </w:r>
            <w:r>
              <w:t>84</w:t>
            </w:r>
            <w:r>
              <w:fldChar w:fldCharType="end"/>
            </w:r>
          </w:hyperlink>
        </w:p>
        <w:p>
          <w:pPr>
            <w:pStyle w:val="12"/>
            <w:ind w:left="720"/>
            <w:tabs>
              <w:tab w:val="right" w:leader="dot" w:pos="9026"/>
            </w:tabs>
            <w:spacing w:before="120" w:after="60"/>
          </w:pPr>
          <w:hyperlink w:anchor="_Toc100077" w:history="1">
            <w:r>
              <w:rPr>
                <w:rStyle w:val="Hyperlink"/>
              </w:rPr>
              <w:t>9.7.1 The Normalized Index Formula [BP §2.2]</w:t>
            </w:r>
            <w:r>
              <w:tab/>
            </w:r>
            <w:r>
              <w:fldChar w:fldCharType="begin"/>
            </w:r>
            <w:r>
              <w:instrText xml:space="preserve"> PAGEREF _Toc100077 \h </w:instrText>
            </w:r>
            <w:r>
              <w:fldChar w:fldCharType="separate"/>
            </w:r>
            <w:r>
              <w:t>84</w:t>
            </w:r>
            <w:r>
              <w:fldChar w:fldCharType="end"/>
            </w:r>
          </w:hyperlink>
        </w:p>
        <w:p>
          <w:pPr>
            <w:pStyle w:val="12"/>
            <w:ind w:left="720"/>
            <w:tabs>
              <w:tab w:val="right" w:leader="dot" w:pos="9026"/>
            </w:tabs>
            <w:spacing w:before="120" w:after="60"/>
          </w:pPr>
          <w:hyperlink w:anchor="_Toc100078" w:history="1">
            <w:r>
              <w:rPr>
                <w:rStyle w:val="Hyperlink"/>
              </w:rPr>
              <w:t>9.7.2 Base-Date Fixings (Genesis Oracles) [BP §2.3]</w:t>
            </w:r>
            <w:r>
              <w:tab/>
            </w:r>
            <w:r>
              <w:fldChar w:fldCharType="begin"/>
            </w:r>
            <w:r>
              <w:instrText xml:space="preserve"> PAGEREF _Toc100078 \h </w:instrText>
            </w:r>
            <w:r>
              <w:fldChar w:fldCharType="separate"/>
            </w:r>
            <w:r>
              <w:t>85</w:t>
            </w:r>
            <w:r>
              <w:fldChar w:fldCharType="end"/>
            </w:r>
          </w:hyperlink>
        </w:p>
        <w:p>
          <w:pPr>
            <w:pStyle w:val="12"/>
            <w:ind w:left="720"/>
            <w:tabs>
              <w:tab w:val="right" w:leader="dot" w:pos="9026"/>
            </w:tabs>
            <w:spacing w:before="120" w:after="60"/>
          </w:pPr>
          <w:hyperlink w:anchor="_Toc100079" w:history="1">
            <w:r>
              <w:rPr>
                <w:rStyle w:val="Hyperlink"/>
              </w:rPr>
              <w:t>9.7.3 On-Chain Oracle Feed Mapping [BP §2.4]</w:t>
            </w:r>
            <w:r>
              <w:tab/>
            </w:r>
            <w:r>
              <w:fldChar w:fldCharType="begin"/>
            </w:r>
            <w:r>
              <w:instrText xml:space="preserve"> PAGEREF _Toc100079 \h </w:instrText>
            </w:r>
            <w:r>
              <w:fldChar w:fldCharType="separate"/>
            </w:r>
            <w:r>
              <w:t>86</w:t>
            </w:r>
            <w:r>
              <w:fldChar w:fldCharType="end"/>
            </w:r>
          </w:hyperlink>
        </w:p>
        <w:p>
          <w:pPr>
            <w:pStyle w:val="12"/>
            <w:ind w:left="720"/>
            <w:tabs>
              <w:tab w:val="right" w:leader="dot" w:pos="9026"/>
            </w:tabs>
            <w:spacing w:before="120" w:after="60"/>
          </w:pPr>
          <w:hyperlink w:anchor="_Toc100080" w:history="1">
            <w:r>
              <w:rPr>
                <w:rStyle w:val="Hyperlink"/>
              </w:rPr>
              <w:t>9.7.4 Derivative Asset Value and Exposure [BP §2.5]</w:t>
            </w:r>
            <w:r>
              <w:tab/>
            </w:r>
            <w:r>
              <w:fldChar w:fldCharType="begin"/>
            </w:r>
            <w:r>
              <w:instrText xml:space="preserve"> PAGEREF _Toc100080 \h </w:instrText>
            </w:r>
            <w:r>
              <w:fldChar w:fldCharType="separate"/>
            </w:r>
            <w:r>
              <w:t>86</w:t>
            </w:r>
            <w:r>
              <w:fldChar w:fldCharType="end"/>
            </w:r>
          </w:hyperlink>
        </w:p>
        <w:p>
          <w:pPr>
            <w:pStyle w:val="11"/>
            <w:ind w:left="360"/>
            <w:tabs>
              <w:tab w:val="right" w:leader="dot" w:pos="9026"/>
            </w:tabs>
            <w:spacing w:before="120" w:after="60"/>
          </w:pPr>
          <w:hyperlink w:anchor="_Toc100081" w:history="1">
            <w:r>
              <w:rPr>
                <w:rStyle w:val="Hyperlink"/>
              </w:rPr>
              <w:t>9.8 Smart Contract Implementation — Chain-Linked Index and Genesis Verification</w:t>
            </w:r>
            <w:r>
              <w:tab/>
            </w:r>
            <w:r>
              <w:fldChar w:fldCharType="begin"/>
            </w:r>
            <w:r>
              <w:instrText xml:space="preserve"> PAGEREF _Toc100081 \h </w:instrText>
            </w:r>
            <w:r>
              <w:fldChar w:fldCharType="separate"/>
            </w:r>
            <w:r>
              <w:t>87</w:t>
            </w:r>
            <w:r>
              <w:fldChar w:fldCharType="end"/>
            </w:r>
          </w:hyperlink>
        </w:p>
        <w:p>
          <w:pPr>
            <w:pStyle w:val="9"/>
            <w:tabs>
              <w:tab w:val="right" w:leader="dot" w:pos="9026"/>
            </w:tabs>
            <w:spacing w:before="120" w:after="60"/>
          </w:pPr>
          <w:hyperlink w:anchor="_Toc100082" w:history="1">
            <w:r>
              <w:rPr>
                <w:rStyle w:val="Hyperlink"/>
              </w:rPr>
              <w:t>10. MARP: The Monetary Adaptive Rebalancing Protocol</w:t>
            </w:r>
            <w:r>
              <w:tab/>
            </w:r>
            <w:r>
              <w:fldChar w:fldCharType="begin"/>
            </w:r>
            <w:r>
              <w:instrText xml:space="preserve"> PAGEREF _Toc100082 \h </w:instrText>
            </w:r>
            <w:r>
              <w:fldChar w:fldCharType="separate"/>
            </w:r>
            <w:r>
              <w:t>118</w:t>
            </w:r>
            <w:r>
              <w:fldChar w:fldCharType="end"/>
            </w:r>
          </w:hyperlink>
        </w:p>
        <w:p>
          <w:pPr>
            <w:pStyle w:val="11"/>
            <w:ind w:left="360"/>
            <w:tabs>
              <w:tab w:val="right" w:leader="dot" w:pos="9026"/>
            </w:tabs>
            <w:spacing w:before="120" w:after="60"/>
          </w:pPr>
          <w:hyperlink w:anchor="_Toc100083" w:history="1">
            <w:r>
              <w:rPr>
                <w:rStyle w:val="Hyperlink"/>
              </w:rPr>
              <w:t>10.1 Daily Calculation vs Actual Rebalancing</w:t>
            </w:r>
            <w:r>
              <w:tab/>
            </w:r>
            <w:r>
              <w:fldChar w:fldCharType="begin"/>
            </w:r>
            <w:r>
              <w:instrText xml:space="preserve"> PAGEREF _Toc100083 \h </w:instrText>
            </w:r>
            <w:r>
              <w:fldChar w:fldCharType="separate"/>
            </w:r>
            <w:r>
              <w:t>118</w:t>
            </w:r>
            <w:r>
              <w:fldChar w:fldCharType="end"/>
            </w:r>
          </w:hyperlink>
        </w:p>
        <w:p>
          <w:pPr>
            <w:pStyle w:val="11"/>
            <w:ind w:left="360"/>
            <w:tabs>
              <w:tab w:val="right" w:leader="dot" w:pos="9026"/>
            </w:tabs>
            <w:spacing w:before="120" w:after="60"/>
          </w:pPr>
          <w:hyperlink w:anchor="_Toc100084" w:history="1">
            <w:r>
              <w:rPr>
                <w:rStyle w:val="Hyperlink"/>
              </w:rPr>
              <w:t>10.2 Rebalancing Urgency</w:t>
            </w:r>
            <w:r>
              <w:tab/>
            </w:r>
            <w:r>
              <w:fldChar w:fldCharType="begin"/>
            </w:r>
            <w:r>
              <w:instrText xml:space="preserve"> PAGEREF _Toc100084 \h </w:instrText>
            </w:r>
            <w:r>
              <w:fldChar w:fldCharType="separate"/>
            </w:r>
            <w:r>
              <w:t>119</w:t>
            </w:r>
            <w:r>
              <w:fldChar w:fldCharType="end"/>
            </w:r>
          </w:hyperlink>
        </w:p>
        <w:p>
          <w:pPr>
            <w:pStyle w:val="11"/>
            <w:ind w:left="360"/>
            <w:tabs>
              <w:tab w:val="right" w:leader="dot" w:pos="9026"/>
            </w:tabs>
            <w:spacing w:before="120" w:after="60"/>
          </w:pPr>
          <w:hyperlink w:anchor="_Toc100085" w:history="1">
            <w:r>
              <w:rPr>
                <w:rStyle w:val="Hyperlink"/>
              </w:rPr>
              <w:t>10.3 The Rebalancing Hierarchy</w:t>
            </w:r>
            <w:r>
              <w:tab/>
            </w:r>
            <w:r>
              <w:fldChar w:fldCharType="begin"/>
            </w:r>
            <w:r>
              <w:instrText xml:space="preserve"> PAGEREF _Toc100085 \h </w:instrText>
            </w:r>
            <w:r>
              <w:fldChar w:fldCharType="separate"/>
            </w:r>
            <w:r>
              <w:t>120</w:t>
            </w:r>
            <w:r>
              <w:fldChar w:fldCharType="end"/>
            </w:r>
          </w:hyperlink>
        </w:p>
        <w:p>
          <w:pPr>
            <w:pStyle w:val="12"/>
            <w:ind w:left="720"/>
            <w:tabs>
              <w:tab w:val="right" w:leader="dot" w:pos="9026"/>
            </w:tabs>
            <w:spacing w:before="120" w:after="60"/>
          </w:pPr>
          <w:hyperlink w:anchor="_Toc100086" w:history="1">
            <w:r>
              <w:rPr>
                <w:rStyle w:val="Hyperlink"/>
              </w:rPr>
              <w:t>Level 0 — Monitor</w:t>
            </w:r>
            <w:r>
              <w:tab/>
            </w:r>
            <w:r>
              <w:fldChar w:fldCharType="begin"/>
            </w:r>
            <w:r>
              <w:instrText xml:space="preserve"> PAGEREF _Toc100086 \h </w:instrText>
            </w:r>
            <w:r>
              <w:fldChar w:fldCharType="separate"/>
            </w:r>
            <w:r>
              <w:t>121</w:t>
            </w:r>
            <w:r>
              <w:fldChar w:fldCharType="end"/>
            </w:r>
          </w:hyperlink>
        </w:p>
        <w:p>
          <w:pPr>
            <w:pStyle w:val="12"/>
            <w:ind w:left="720"/>
            <w:tabs>
              <w:tab w:val="right" w:leader="dot" w:pos="9026"/>
            </w:tabs>
            <w:spacing w:before="120" w:after="60"/>
          </w:pPr>
          <w:hyperlink w:anchor="_Toc100087" w:history="1">
            <w:r>
              <w:rPr>
                <w:rStyle w:val="Hyperlink"/>
              </w:rPr>
              <w:t>Level 1 — Natural Flow</w:t>
            </w:r>
            <w:r>
              <w:tab/>
            </w:r>
            <w:r>
              <w:fldChar w:fldCharType="begin"/>
            </w:r>
            <w:r>
              <w:instrText xml:space="preserve"> PAGEREF _Toc100087 \h </w:instrText>
            </w:r>
            <w:r>
              <w:fldChar w:fldCharType="separate"/>
            </w:r>
            <w:r>
              <w:t>121</w:t>
            </w:r>
            <w:r>
              <w:fldChar w:fldCharType="end"/>
            </w:r>
          </w:hyperlink>
        </w:p>
        <w:p>
          <w:pPr>
            <w:pStyle w:val="12"/>
            <w:ind w:left="720"/>
            <w:tabs>
              <w:tab w:val="right" w:leader="dot" w:pos="9026"/>
            </w:tabs>
            <w:spacing w:before="120" w:after="60"/>
          </w:pPr>
          <w:hyperlink w:anchor="_Toc100088" w:history="1">
            <w:r>
              <w:rPr>
                <w:rStyle w:val="Hyperlink"/>
              </w:rPr>
              <w:t>Level 2 — Drift Trigger</w:t>
            </w:r>
            <w:r>
              <w:tab/>
            </w:r>
            <w:r>
              <w:fldChar w:fldCharType="begin"/>
            </w:r>
            <w:r>
              <w:instrText xml:space="preserve"> PAGEREF _Toc100088 \h </w:instrText>
            </w:r>
            <w:r>
              <w:fldChar w:fldCharType="separate"/>
            </w:r>
            <w:r>
              <w:t>121</w:t>
            </w:r>
            <w:r>
              <w:fldChar w:fldCharType="end"/>
            </w:r>
          </w:hyperlink>
        </w:p>
        <w:p>
          <w:pPr>
            <w:pStyle w:val="12"/>
            <w:ind w:left="720"/>
            <w:tabs>
              <w:tab w:val="right" w:leader="dot" w:pos="9026"/>
            </w:tabs>
            <w:spacing w:before="120" w:after="60"/>
          </w:pPr>
          <w:hyperlink w:anchor="_Toc100089" w:history="1">
            <w:r>
              <w:rPr>
                <w:rStyle w:val="Hyperlink"/>
              </w:rPr>
              <w:t>Level 3 — Risk Trigger</w:t>
            </w:r>
            <w:r>
              <w:tab/>
            </w:r>
            <w:r>
              <w:fldChar w:fldCharType="begin"/>
            </w:r>
            <w:r>
              <w:instrText xml:space="preserve"> PAGEREF _Toc100089 \h </w:instrText>
            </w:r>
            <w:r>
              <w:fldChar w:fldCharType="separate"/>
            </w:r>
            <w:r>
              <w:t>121</w:t>
            </w:r>
            <w:r>
              <w:fldChar w:fldCharType="end"/>
            </w:r>
          </w:hyperlink>
        </w:p>
        <w:p>
          <w:pPr>
            <w:pStyle w:val="12"/>
            <w:ind w:left="720"/>
            <w:tabs>
              <w:tab w:val="right" w:leader="dot" w:pos="9026"/>
            </w:tabs>
            <w:spacing w:before="120" w:after="60"/>
          </w:pPr>
          <w:hyperlink w:anchor="_Toc100090" w:history="1">
            <w:r>
              <w:rPr>
                <w:rStyle w:val="Hyperlink"/>
              </w:rPr>
              <w:t>Level 4 — Structural Change</w:t>
            </w:r>
            <w:r>
              <w:tab/>
            </w:r>
            <w:r>
              <w:fldChar w:fldCharType="begin"/>
            </w:r>
            <w:r>
              <w:instrText xml:space="preserve"> PAGEREF _Toc100090 \h </w:instrText>
            </w:r>
            <w:r>
              <w:fldChar w:fldCharType="separate"/>
            </w:r>
            <w:r>
              <w:t>122</w:t>
            </w:r>
            <w:r>
              <w:fldChar w:fldCharType="end"/>
            </w:r>
          </w:hyperlink>
        </w:p>
        <w:p>
          <w:pPr>
            <w:pStyle w:val="12"/>
            <w:ind w:left="720"/>
            <w:tabs>
              <w:tab w:val="right" w:leader="dot" w:pos="9026"/>
            </w:tabs>
            <w:spacing w:before="120" w:after="60"/>
          </w:pPr>
          <w:hyperlink w:anchor="_Toc100091" w:history="1">
            <w:r>
              <w:rPr>
                <w:rStyle w:val="Hyperlink"/>
              </w:rPr>
              <w:t>Level 5 — Emergency</w:t>
            </w:r>
            <w:r>
              <w:tab/>
            </w:r>
            <w:r>
              <w:fldChar w:fldCharType="begin"/>
            </w:r>
            <w:r>
              <w:instrText xml:space="preserve"> PAGEREF _Toc100091 \h </w:instrText>
            </w:r>
            <w:r>
              <w:fldChar w:fldCharType="separate"/>
            </w:r>
            <w:r>
              <w:t>122</w:t>
            </w:r>
            <w:r>
              <w:fldChar w:fldCharType="end"/>
            </w:r>
          </w:hyperlink>
        </w:p>
        <w:p>
          <w:pPr>
            <w:pStyle w:val="11"/>
            <w:ind w:left="360"/>
            <w:tabs>
              <w:tab w:val="right" w:leader="dot" w:pos="9026"/>
            </w:tabs>
            <w:spacing w:before="120" w:after="60"/>
          </w:pPr>
          <w:hyperlink w:anchor="_Toc100092" w:history="1">
            <w:r>
              <w:rPr>
                <w:rStyle w:val="Hyperlink"/>
              </w:rPr>
              <w:t>10.4 The No-Trade Zone</w:t>
            </w:r>
            <w:r>
              <w:tab/>
            </w:r>
            <w:r>
              <w:fldChar w:fldCharType="begin"/>
            </w:r>
            <w:r>
              <w:instrText xml:space="preserve"> PAGEREF _Toc100092 \h </w:instrText>
            </w:r>
            <w:r>
              <w:fldChar w:fldCharType="separate"/>
            </w:r>
            <w:r>
              <w:t>122</w:t>
            </w:r>
            <w:r>
              <w:fldChar w:fldCharType="end"/>
            </w:r>
          </w:hyperlink>
        </w:p>
        <w:p>
          <w:pPr>
            <w:pStyle w:val="11"/>
            <w:ind w:left="360"/>
            <w:tabs>
              <w:tab w:val="right" w:leader="dot" w:pos="9026"/>
            </w:tabs>
            <w:spacing w:before="120" w:after="60"/>
          </w:pPr>
          <w:hyperlink w:anchor="_Toc100093" w:history="1">
            <w:r>
              <w:rPr>
                <w:rStyle w:val="Hyperlink"/>
              </w:rPr>
              <w:t>10.5 Dynamic No-Trade Thresholds</w:t>
            </w:r>
            <w:r>
              <w:tab/>
            </w:r>
            <w:r>
              <w:fldChar w:fldCharType="begin"/>
            </w:r>
            <w:r>
              <w:instrText xml:space="preserve"> PAGEREF _Toc100093 \h </w:instrText>
            </w:r>
            <w:r>
              <w:fldChar w:fldCharType="separate"/>
            </w:r>
            <w:r>
              <w:t>123</w:t>
            </w:r>
            <w:r>
              <w:fldChar w:fldCharType="end"/>
            </w:r>
          </w:hyperlink>
        </w:p>
        <w:p>
          <w:pPr>
            <w:pStyle w:val="11"/>
            <w:ind w:left="360"/>
            <w:tabs>
              <w:tab w:val="right" w:leader="dot" w:pos="9026"/>
            </w:tabs>
            <w:spacing w:before="120" w:after="60"/>
          </w:pPr>
          <w:hyperlink w:anchor="_Toc100094" w:history="1">
            <w:r>
              <w:rPr>
                <w:rStyle w:val="Hyperlink"/>
              </w:rPr>
              <w:t>10.6 Partial Rebalancing</w:t>
            </w:r>
            <w:r>
              <w:tab/>
            </w:r>
            <w:r>
              <w:fldChar w:fldCharType="begin"/>
            </w:r>
            <w:r>
              <w:instrText xml:space="preserve"> PAGEREF _Toc100094 \h </w:instrText>
            </w:r>
            <w:r>
              <w:fldChar w:fldCharType="separate"/>
            </w:r>
            <w:r>
              <w:t>124</w:t>
            </w:r>
            <w:r>
              <w:fldChar w:fldCharType="end"/>
            </w:r>
          </w:hyperlink>
        </w:p>
        <w:p>
          <w:pPr>
            <w:pStyle w:val="11"/>
            <w:ind w:left="360"/>
            <w:tabs>
              <w:tab w:val="right" w:leader="dot" w:pos="9026"/>
            </w:tabs>
            <w:spacing w:before="120" w:after="60"/>
          </w:pPr>
          <w:hyperlink w:anchor="_Toc100095" w:history="1">
            <w:r>
              <w:rPr>
                <w:rStyle w:val="Hyperlink"/>
              </w:rPr>
              <w:t>10.7 Natural Cash-Flow Rebalancing</w:t>
            </w:r>
            <w:r>
              <w:tab/>
            </w:r>
            <w:r>
              <w:fldChar w:fldCharType="begin"/>
            </w:r>
            <w:r>
              <w:instrText xml:space="preserve"> PAGEREF _Toc100095 \h </w:instrText>
            </w:r>
            <w:r>
              <w:fldChar w:fldCharType="separate"/>
            </w:r>
            <w:r>
              <w:t>125</w:t>
            </w:r>
            <w:r>
              <w:fldChar w:fldCharType="end"/>
            </w:r>
          </w:hyperlink>
        </w:p>
        <w:p>
          <w:pPr>
            <w:pStyle w:val="11"/>
            <w:ind w:left="360"/>
            <w:tabs>
              <w:tab w:val="right" w:leader="dot" w:pos="9026"/>
            </w:tabs>
            <w:spacing w:before="120" w:after="60"/>
          </w:pPr>
          <w:hyperlink w:anchor="_Toc100096" w:history="1">
            <w:r>
              <w:rPr>
                <w:rStyle w:val="Hyperlink"/>
              </w:rPr>
              <w:t>10.8 The Cost-Benefit Gate</w:t>
            </w:r>
            <w:r>
              <w:tab/>
            </w:r>
            <w:r>
              <w:fldChar w:fldCharType="begin"/>
            </w:r>
            <w:r>
              <w:instrText xml:space="preserve"> PAGEREF _Toc100096 \h </w:instrText>
            </w:r>
            <w:r>
              <w:fldChar w:fldCharType="separate"/>
            </w:r>
            <w:r>
              <w:t>125</w:t>
            </w:r>
            <w:r>
              <w:fldChar w:fldCharType="end"/>
            </w:r>
          </w:hyperlink>
        </w:p>
        <w:p>
          <w:pPr>
            <w:pStyle w:val="11"/>
            <w:ind w:left="360"/>
            <w:tabs>
              <w:tab w:val="right" w:leader="dot" w:pos="9026"/>
            </w:tabs>
            <w:spacing w:before="120" w:after="60"/>
          </w:pPr>
          <w:hyperlink w:anchor="_Toc100097" w:history="1">
            <w:r>
              <w:rPr>
                <w:rStyle w:val="Hyperlink"/>
              </w:rPr>
              <w:t>10.9 The Rebalancing Objective</w:t>
            </w:r>
            <w:r>
              <w:tab/>
            </w:r>
            <w:r>
              <w:fldChar w:fldCharType="begin"/>
            </w:r>
            <w:r>
              <w:instrText xml:space="preserve"> PAGEREF _Toc100097 \h </w:instrText>
            </w:r>
            <w:r>
              <w:fldChar w:fldCharType="separate"/>
            </w:r>
            <w:r>
              <w:t>126</w:t>
            </w:r>
            <w:r>
              <w:fldChar w:fldCharType="end"/>
            </w:r>
          </w:hyperlink>
        </w:p>
        <w:p>
          <w:pPr>
            <w:pStyle w:val="11"/>
            <w:ind w:left="360"/>
            <w:tabs>
              <w:tab w:val="right" w:leader="dot" w:pos="9026"/>
            </w:tabs>
            <w:spacing w:before="120" w:after="60"/>
          </w:pPr>
          <w:hyperlink w:anchor="_Toc100098" w:history="1">
            <w:r>
              <w:rPr>
                <w:rStyle w:val="Hyperlink"/>
              </w:rPr>
              <w:t>10.10 Strategic Review Cadence and Dynamic Frequency</w:t>
            </w:r>
            <w:r>
              <w:tab/>
            </w:r>
            <w:r>
              <w:fldChar w:fldCharType="begin"/>
            </w:r>
            <w:r>
              <w:instrText xml:space="preserve"> PAGEREF _Toc100098 \h </w:instrText>
            </w:r>
            <w:r>
              <w:fldChar w:fldCharType="separate"/>
            </w:r>
            <w:r>
              <w:t>128</w:t>
            </w:r>
            <w:r>
              <w:fldChar w:fldCharType="end"/>
            </w:r>
          </w:hyperlink>
        </w:p>
        <w:p>
          <w:pPr>
            <w:pStyle w:val="9"/>
            <w:tabs>
              <w:tab w:val="right" w:leader="dot" w:pos="9026"/>
            </w:tabs>
            <w:spacing w:before="120" w:after="60"/>
          </w:pPr>
          <w:hyperlink w:anchor="_Toc100099" w:history="1">
            <w:r>
              <w:rPr>
                <w:rStyle w:val="Hyperlink"/>
              </w:rPr>
              <w:t>11. Execution Mechanics: Deviations, Triggers and the MARP Contract</w:t>
            </w:r>
            <w:r>
              <w:tab/>
            </w:r>
            <w:r>
              <w:fldChar w:fldCharType="begin"/>
            </w:r>
            <w:r>
              <w:instrText xml:space="preserve"> PAGEREF _Toc100099 \h </w:instrText>
            </w:r>
            <w:r>
              <w:fldChar w:fldCharType="separate"/>
            </w:r>
            <w:r>
              <w:t>129</w:t>
            </w:r>
            <w:r>
              <w:fldChar w:fldCharType="end"/>
            </w:r>
          </w:hyperlink>
        </w:p>
        <w:p>
          <w:pPr>
            <w:pStyle w:val="11"/>
            <w:ind w:left="360"/>
            <w:tabs>
              <w:tab w:val="right" w:leader="dot" w:pos="9026"/>
            </w:tabs>
            <w:spacing w:before="120" w:after="60"/>
          </w:pPr>
          <w:hyperlink w:anchor="_Toc100100" w:history="1">
            <w:r>
              <w:rPr>
                <w:rStyle w:val="Hyperlink"/>
              </w:rPr>
              <w:t>11.1 Observed and Target Weights</w:t>
            </w:r>
            <w:r>
              <w:tab/>
            </w:r>
            <w:r>
              <w:fldChar w:fldCharType="begin"/>
            </w:r>
            <w:r>
              <w:instrText xml:space="preserve"> PAGEREF _Toc100100 \h </w:instrText>
            </w:r>
            <w:r>
              <w:fldChar w:fldCharType="separate"/>
            </w:r>
            <w:r>
              <w:t>129</w:t>
            </w:r>
            <w:r>
              <w:fldChar w:fldCharType="end"/>
            </w:r>
          </w:hyperlink>
        </w:p>
        <w:p>
          <w:pPr>
            <w:pStyle w:val="11"/>
            <w:ind w:left="360"/>
            <w:tabs>
              <w:tab w:val="right" w:leader="dot" w:pos="9026"/>
            </w:tabs>
            <w:spacing w:before="120" w:after="60"/>
          </w:pPr>
          <w:hyperlink w:anchor="_Toc100101" w:history="1">
            <w:r>
              <w:rPr>
                <w:rStyle w:val="Hyperlink"/>
              </w:rPr>
              <w:t>11.2 The Deviation</w:t>
            </w:r>
            <w:r>
              <w:tab/>
            </w:r>
            <w:r>
              <w:fldChar w:fldCharType="begin"/>
            </w:r>
            <w:r>
              <w:instrText xml:space="preserve"> PAGEREF _Toc100101 \h </w:instrText>
            </w:r>
            <w:r>
              <w:fldChar w:fldCharType="separate"/>
            </w:r>
            <w:r>
              <w:t>130</w:t>
            </w:r>
            <w:r>
              <w:fldChar w:fldCharType="end"/>
            </w:r>
          </w:hyperlink>
        </w:p>
        <w:p>
          <w:pPr>
            <w:pStyle w:val="11"/>
            <w:ind w:left="360"/>
            <w:tabs>
              <w:tab w:val="right" w:leader="dot" w:pos="9026"/>
            </w:tabs>
            <w:spacing w:before="120" w:after="60"/>
          </w:pPr>
          <w:hyperlink w:anchor="_Toc100102" w:history="1">
            <w:r>
              <w:rPr>
                <w:rStyle w:val="Hyperlink"/>
              </w:rPr>
              <w:t>11.3 Dynamic Trigger Conditions</w:t>
            </w:r>
            <w:r>
              <w:tab/>
            </w:r>
            <w:r>
              <w:fldChar w:fldCharType="begin"/>
            </w:r>
            <w:r>
              <w:instrText xml:space="preserve"> PAGEREF _Toc100102 \h </w:instrText>
            </w:r>
            <w:r>
              <w:fldChar w:fldCharType="separate"/>
            </w:r>
            <w:r>
              <w:t>131</w:t>
            </w:r>
            <w:r>
              <w:fldChar w:fldCharType="end"/>
            </w:r>
          </w:hyperlink>
        </w:p>
        <w:p>
          <w:pPr>
            <w:pStyle w:val="11"/>
            <w:ind w:left="360"/>
            <w:tabs>
              <w:tab w:val="right" w:leader="dot" w:pos="9026"/>
            </w:tabs>
            <w:spacing w:before="120" w:after="60"/>
          </w:pPr>
          <w:hyperlink w:anchor="_Toc100103" w:history="1">
            <w:r>
              <w:rPr>
                <w:rStyle w:val="Hyperlink"/>
              </w:rPr>
              <w:t>11.4 Trade Sizing — Liquidity-Sensitive</w:t>
            </w:r>
            <w:r>
              <w:tab/>
            </w:r>
            <w:r>
              <w:fldChar w:fldCharType="begin"/>
            </w:r>
            <w:r>
              <w:instrText xml:space="preserve"> PAGEREF _Toc100103 \h </w:instrText>
            </w:r>
            <w:r>
              <w:fldChar w:fldCharType="separate"/>
            </w:r>
            <w:r>
              <w:t>132</w:t>
            </w:r>
            <w:r>
              <w:fldChar w:fldCharType="end"/>
            </w:r>
          </w:hyperlink>
        </w:p>
        <w:p>
          <w:pPr>
            <w:pStyle w:val="11"/>
            <w:ind w:left="360"/>
            <w:tabs>
              <w:tab w:val="right" w:leader="dot" w:pos="9026"/>
            </w:tabs>
            <w:spacing w:before="120" w:after="60"/>
          </w:pPr>
          <w:hyperlink w:anchor="_Toc100104" w:history="1">
            <w:r>
              <w:rPr>
                <w:rStyle w:val="Hyperlink"/>
              </w:rPr>
              <w:t>11.5 Execution Constraints and the Direction Lock</w:t>
            </w:r>
            <w:r>
              <w:tab/>
            </w:r>
            <w:r>
              <w:fldChar w:fldCharType="begin"/>
            </w:r>
            <w:r>
              <w:instrText xml:space="preserve"> PAGEREF _Toc100104 \h </w:instrText>
            </w:r>
            <w:r>
              <w:fldChar w:fldCharType="separate"/>
            </w:r>
            <w:r>
              <w:t>132</w:t>
            </w:r>
            <w:r>
              <w:fldChar w:fldCharType="end"/>
            </w:r>
          </w:hyperlink>
        </w:p>
        <w:p>
          <w:pPr>
            <w:pStyle w:val="12"/>
            <w:ind w:left="720"/>
            <w:tabs>
              <w:tab w:val="right" w:leader="dot" w:pos="9026"/>
            </w:tabs>
            <w:spacing w:before="120" w:after="60"/>
          </w:pPr>
          <w:hyperlink w:anchor="_Toc100105" w:history="1">
            <w:r>
              <w:rPr>
                <w:rStyle w:val="Hyperlink"/>
              </w:rPr>
              <w:t>11.5.1 Slippage Guard</w:t>
            </w:r>
            <w:r>
              <w:tab/>
            </w:r>
            <w:r>
              <w:fldChar w:fldCharType="begin"/>
            </w:r>
            <w:r>
              <w:instrText xml:space="preserve"> PAGEREF _Toc100105 \h </w:instrText>
            </w:r>
            <w:r>
              <w:fldChar w:fldCharType="separate"/>
            </w:r>
            <w:r>
              <w:t>133</w:t>
            </w:r>
            <w:r>
              <w:fldChar w:fldCharType="end"/>
            </w:r>
          </w:hyperlink>
        </w:p>
        <w:p>
          <w:pPr>
            <w:pStyle w:val="12"/>
            <w:ind w:left="720"/>
            <w:tabs>
              <w:tab w:val="right" w:leader="dot" w:pos="9026"/>
            </w:tabs>
            <w:spacing w:before="120" w:after="60"/>
          </w:pPr>
          <w:hyperlink w:anchor="_Toc100106" w:history="1">
            <w:r>
              <w:rPr>
                <w:rStyle w:val="Hyperlink"/>
              </w:rPr>
              <w:t>11.5.2 Maximum Daily Turnover</w:t>
            </w:r>
            <w:r>
              <w:tab/>
            </w:r>
            <w:r>
              <w:fldChar w:fldCharType="begin"/>
            </w:r>
            <w:r>
              <w:instrText xml:space="preserve"> PAGEREF _Toc100106 \h </w:instrText>
            </w:r>
            <w:r>
              <w:fldChar w:fldCharType="separate"/>
            </w:r>
            <w:r>
              <w:t>133</w:t>
            </w:r>
            <w:r>
              <w:fldChar w:fldCharType="end"/>
            </w:r>
          </w:hyperlink>
        </w:p>
        <w:p>
          <w:pPr>
            <w:pStyle w:val="12"/>
            <w:ind w:left="720"/>
            <w:tabs>
              <w:tab w:val="right" w:leader="dot" w:pos="9026"/>
            </w:tabs>
            <w:spacing w:before="120" w:after="60"/>
          </w:pPr>
          <w:hyperlink w:anchor="_Toc100107" w:history="1">
            <w:r>
              <w:rPr>
                <w:rStyle w:val="Hyperlink"/>
              </w:rPr>
              <w:t>11.5.3 Direction Lock (Whipsaw Guard)</w:t>
            </w:r>
            <w:r>
              <w:tab/>
            </w:r>
            <w:r>
              <w:fldChar w:fldCharType="begin"/>
            </w:r>
            <w:r>
              <w:instrText xml:space="preserve"> PAGEREF _Toc100107 \h </w:instrText>
            </w:r>
            <w:r>
              <w:fldChar w:fldCharType="separate"/>
            </w:r>
            <w:r>
              <w:t>134</w:t>
            </w:r>
            <w:r>
              <w:fldChar w:fldCharType="end"/>
            </w:r>
          </w:hyperlink>
        </w:p>
        <w:p>
          <w:pPr>
            <w:pStyle w:val="11"/>
            <w:ind w:left="360"/>
            <w:tabs>
              <w:tab w:val="right" w:leader="dot" w:pos="9026"/>
            </w:tabs>
            <w:spacing w:before="120" w:after="60"/>
          </w:pPr>
          <w:hyperlink w:anchor="_Toc100108" w:history="1">
            <w:r>
              <w:rPr>
                <w:rStyle w:val="Hyperlink"/>
              </w:rPr>
              <w:t>11.6 Integration with Regime and Crisis Signals</w:t>
            </w:r>
            <w:r>
              <w:tab/>
            </w:r>
            <w:r>
              <w:fldChar w:fldCharType="begin"/>
            </w:r>
            <w:r>
              <w:instrText xml:space="preserve"> PAGEREF _Toc100108 \h </w:instrText>
            </w:r>
            <w:r>
              <w:fldChar w:fldCharType="separate"/>
            </w:r>
            <w:r>
              <w:t>134</w:t>
            </w:r>
            <w:r>
              <w:fldChar w:fldCharType="end"/>
            </w:r>
          </w:hyperlink>
        </w:p>
        <w:p>
          <w:pPr>
            <w:pStyle w:val="11"/>
            <w:ind w:left="360"/>
            <w:tabs>
              <w:tab w:val="right" w:leader="dot" w:pos="9026"/>
            </w:tabs>
            <w:spacing w:before="120" w:after="60"/>
          </w:pPr>
          <w:hyperlink w:anchor="_Toc100109" w:history="1">
            <w:r>
              <w:rPr>
                <w:rStyle w:val="Hyperlink"/>
              </w:rPr>
              <w:t>11.7 Event Emissions and Decision Logging</w:t>
            </w:r>
            <w:r>
              <w:tab/>
            </w:r>
            <w:r>
              <w:fldChar w:fldCharType="begin"/>
            </w:r>
            <w:r>
              <w:instrText xml:space="preserve"> PAGEREF _Toc100109 \h </w:instrText>
            </w:r>
            <w:r>
              <w:fldChar w:fldCharType="separate"/>
            </w:r>
            <w:r>
              <w:t>135</w:t>
            </w:r>
            <w:r>
              <w:fldChar w:fldCharType="end"/>
            </w:r>
          </w:hyperlink>
        </w:p>
        <w:p>
          <w:pPr>
            <w:pStyle w:val="11"/>
            <w:ind w:left="360"/>
            <w:tabs>
              <w:tab w:val="right" w:leader="dot" w:pos="9026"/>
            </w:tabs>
            <w:spacing w:before="120" w:after="60"/>
          </w:pPr>
          <w:hyperlink w:anchor="_Toc100110" w:history="1">
            <w:r>
              <w:rPr>
                <w:rStyle w:val="Hyperlink"/>
              </w:rPr>
              <w:t>11.8 Summary of Developer-Facing Constants</w:t>
            </w:r>
            <w:r>
              <w:tab/>
            </w:r>
            <w:r>
              <w:fldChar w:fldCharType="begin"/>
            </w:r>
            <w:r>
              <w:instrText xml:space="preserve"> PAGEREF _Toc100110 \h </w:instrText>
            </w:r>
            <w:r>
              <w:fldChar w:fldCharType="separate"/>
            </w:r>
            <w:r>
              <w:t>136</w:t>
            </w:r>
            <w:r>
              <w:fldChar w:fldCharType="end"/>
            </w:r>
          </w:hyperlink>
        </w:p>
        <w:p>
          <w:pPr>
            <w:pStyle w:val="11"/>
            <w:ind w:left="360"/>
            <w:tabs>
              <w:tab w:val="right" w:leader="dot" w:pos="9026"/>
            </w:tabs>
            <w:spacing w:before="120" w:after="60"/>
          </w:pPr>
          <w:hyperlink w:anchor="_Toc100111" w:history="1">
            <w:r>
              <w:rPr>
                <w:rStyle w:val="Hyperlink"/>
              </w:rPr>
              <w:t>11.9 Design of the On-Chain Execution Layer</w:t>
            </w:r>
            <w:r>
              <w:tab/>
            </w:r>
            <w:r>
              <w:fldChar w:fldCharType="begin"/>
            </w:r>
            <w:r>
              <w:instrText xml:space="preserve"> PAGEREF _Toc100111 \h </w:instrText>
            </w:r>
            <w:r>
              <w:fldChar w:fldCharType="separate"/>
            </w:r>
            <w:r>
              <w:t>137</w:t>
            </w:r>
            <w:r>
              <w:fldChar w:fldCharType="end"/>
            </w:r>
          </w:hyperlink>
        </w:p>
        <w:p>
          <w:pPr>
            <w:pStyle w:val="11"/>
            <w:ind w:left="360"/>
            <w:tabs>
              <w:tab w:val="right" w:leader="dot" w:pos="9026"/>
            </w:tabs>
            <w:spacing w:before="120" w:after="60"/>
          </w:pPr>
          <w:hyperlink w:anchor="_Toc100112" w:history="1">
            <w:r>
              <w:rPr>
                <w:rStyle w:val="Hyperlink"/>
              </w:rPr>
              <w:t>11.10 Governance of Execution Parameters</w:t>
            </w:r>
            <w:r>
              <w:tab/>
            </w:r>
            <w:r>
              <w:fldChar w:fldCharType="begin"/>
            </w:r>
            <w:r>
              <w:instrText xml:space="preserve"> PAGEREF _Toc100112 \h </w:instrText>
            </w:r>
            <w:r>
              <w:fldChar w:fldCharType="separate"/>
            </w:r>
            <w:r>
              <w:t>137</w:t>
            </w:r>
            <w:r>
              <w:fldChar w:fldCharType="end"/>
            </w:r>
          </w:hyperlink>
        </w:p>
        <w:p>
          <w:pPr>
            <w:pStyle w:val="11"/>
            <w:ind w:left="360"/>
            <w:tabs>
              <w:tab w:val="right" w:leader="dot" w:pos="9026"/>
            </w:tabs>
            <w:spacing w:before="120" w:after="60"/>
          </w:pPr>
          <w:hyperlink w:anchor="_Toc100113" w:history="1">
            <w:r>
              <w:rPr>
                <w:rStyle w:val="Hyperlink"/>
              </w:rPr>
              <w:t>11.11 Smart Contract Implementation — MARP Execution Engine</w:t>
            </w:r>
            <w:r>
              <w:tab/>
            </w:r>
            <w:r>
              <w:fldChar w:fldCharType="begin"/>
            </w:r>
            <w:r>
              <w:instrText xml:space="preserve"> PAGEREF _Toc100113 \h </w:instrText>
            </w:r>
            <w:r>
              <w:fldChar w:fldCharType="separate"/>
            </w:r>
            <w:r>
              <w:t>138</w:t>
            </w:r>
            <w:r>
              <w:fldChar w:fldCharType="end"/>
            </w:r>
          </w:hyperlink>
        </w:p>
        <w:p>
          <w:pPr>
            <w:pStyle w:val="9"/>
            <w:tabs>
              <w:tab w:val="right" w:leader="dot" w:pos="9026"/>
            </w:tabs>
            <w:spacing w:before="120" w:after="60"/>
          </w:pPr>
          <w:hyperlink w:anchor="_Toc100114" w:history="1">
            <w:r>
              <w:rPr>
                <w:rStyle w:val="Hyperlink"/>
              </w:rPr>
              <w:t>12. Execution Optimization and Slippage Protection</w:t>
            </w:r>
            <w:r>
              <w:tab/>
            </w:r>
            <w:r>
              <w:fldChar w:fldCharType="begin"/>
            </w:r>
            <w:r>
              <w:instrText xml:space="preserve"> PAGEREF _Toc100114 \h </w:instrText>
            </w:r>
            <w:r>
              <w:fldChar w:fldCharType="separate"/>
            </w:r>
            <w:r>
              <w:t>203</w:t>
            </w:r>
            <w:r>
              <w:fldChar w:fldCharType="end"/>
            </w:r>
          </w:hyperlink>
        </w:p>
        <w:p>
          <w:pPr>
            <w:pStyle w:val="11"/>
            <w:ind w:left="360"/>
            <w:tabs>
              <w:tab w:val="right" w:leader="dot" w:pos="9026"/>
            </w:tabs>
            <w:spacing w:before="120" w:after="60"/>
          </w:pPr>
          <w:hyperlink w:anchor="_Toc100115" w:history="1">
            <w:r>
              <w:rPr>
                <w:rStyle w:val="Hyperlink"/>
              </w:rPr>
              <w:t>12.1 Purpose</w:t>
            </w:r>
            <w:r>
              <w:tab/>
            </w:r>
            <w:r>
              <w:fldChar w:fldCharType="begin"/>
            </w:r>
            <w:r>
              <w:instrText xml:space="preserve"> PAGEREF _Toc100115 \h </w:instrText>
            </w:r>
            <w:r>
              <w:fldChar w:fldCharType="separate"/>
            </w:r>
            <w:r>
              <w:t>203</w:t>
            </w:r>
            <w:r>
              <w:fldChar w:fldCharType="end"/>
            </w:r>
          </w:hyperlink>
        </w:p>
        <w:p>
          <w:pPr>
            <w:pStyle w:val="11"/>
            <w:ind w:left="360"/>
            <w:tabs>
              <w:tab w:val="right" w:leader="dot" w:pos="9026"/>
            </w:tabs>
            <w:spacing w:before="120" w:after="60"/>
          </w:pPr>
          <w:hyperlink w:anchor="_Toc100116" w:history="1">
            <w:r>
              <w:rPr>
                <w:rStyle w:val="Hyperlink"/>
              </w:rPr>
              <w:t>12.2 The Quote-Based Execution Model</w:t>
            </w:r>
            <w:r>
              <w:tab/>
            </w:r>
            <w:r>
              <w:fldChar w:fldCharType="begin"/>
            </w:r>
            <w:r>
              <w:instrText xml:space="preserve"> PAGEREF _Toc100116 \h </w:instrText>
            </w:r>
            <w:r>
              <w:fldChar w:fldCharType="separate"/>
            </w:r>
            <w:r>
              <w:t>205</w:t>
            </w:r>
            <w:r>
              <w:fldChar w:fldCharType="end"/>
            </w:r>
          </w:hyperlink>
        </w:p>
        <w:p>
          <w:pPr>
            <w:pStyle w:val="12"/>
            <w:ind w:left="720"/>
            <w:tabs>
              <w:tab w:val="right" w:leader="dot" w:pos="9026"/>
            </w:tabs>
            <w:spacing w:before="120" w:after="60"/>
          </w:pPr>
          <w:hyperlink w:anchor="_Toc100117" w:history="1">
            <w:r>
              <w:rPr>
                <w:rStyle w:val="Hyperlink"/>
              </w:rPr>
              <w:t>12.2.1 The Quote Lifecycle</w:t>
            </w:r>
            <w:r>
              <w:tab/>
            </w:r>
            <w:r>
              <w:fldChar w:fldCharType="begin"/>
            </w:r>
            <w:r>
              <w:instrText xml:space="preserve"> PAGEREF _Toc100117 \h </w:instrText>
            </w:r>
            <w:r>
              <w:fldChar w:fldCharType="separate"/>
            </w:r>
            <w:r>
              <w:t>206</w:t>
            </w:r>
            <w:r>
              <w:fldChar w:fldCharType="end"/>
            </w:r>
          </w:hyperlink>
        </w:p>
        <w:p>
          <w:pPr>
            <w:pStyle w:val="11"/>
            <w:ind w:left="360"/>
            <w:tabs>
              <w:tab w:val="right" w:leader="dot" w:pos="9026"/>
            </w:tabs>
            <w:spacing w:before="120" w:after="60"/>
          </w:pPr>
          <w:hyperlink w:anchor="_Toc100118" w:history="1">
            <w:r>
              <w:rPr>
                <w:rStyle w:val="Hyperlink"/>
              </w:rPr>
              <w:t>12.3 Two-Sided Slippage Bounds</w:t>
            </w:r>
            <w:r>
              <w:tab/>
            </w:r>
            <w:r>
              <w:fldChar w:fldCharType="begin"/>
            </w:r>
            <w:r>
              <w:instrText xml:space="preserve"> PAGEREF _Toc100118 \h </w:instrText>
            </w:r>
            <w:r>
              <w:fldChar w:fldCharType="separate"/>
            </w:r>
            <w:r>
              <w:t>207</w:t>
            </w:r>
            <w:r>
              <w:fldChar w:fldCharType="end"/>
            </w:r>
          </w:hyperlink>
        </w:p>
        <w:p>
          <w:pPr>
            <w:pStyle w:val="12"/>
            <w:ind w:left="720"/>
            <w:tabs>
              <w:tab w:val="right" w:leader="dot" w:pos="9026"/>
            </w:tabs>
            <w:spacing w:before="120" w:after="60"/>
          </w:pPr>
          <w:hyperlink w:anchor="_Toc100119" w:history="1">
            <w:r>
              <w:rPr>
                <w:rStyle w:val="Hyperlink"/>
              </w:rPr>
              <w:t>12.3.1 Selling Gold (PAXG → USDC)</w:t>
            </w:r>
            <w:r>
              <w:tab/>
            </w:r>
            <w:r>
              <w:fldChar w:fldCharType="begin"/>
            </w:r>
            <w:r>
              <w:instrText xml:space="preserve"> PAGEREF _Toc100119 \h </w:instrText>
            </w:r>
            <w:r>
              <w:fldChar w:fldCharType="separate"/>
            </w:r>
            <w:r>
              <w:t>207</w:t>
            </w:r>
            <w:r>
              <w:fldChar w:fldCharType="end"/>
            </w:r>
          </w:hyperlink>
        </w:p>
        <w:p>
          <w:pPr>
            <w:pStyle w:val="12"/>
            <w:ind w:left="720"/>
            <w:tabs>
              <w:tab w:val="right" w:leader="dot" w:pos="9026"/>
            </w:tabs>
            <w:spacing w:before="120" w:after="60"/>
          </w:pPr>
          <w:hyperlink w:anchor="_Toc100120" w:history="1">
            <w:r>
              <w:rPr>
                <w:rStyle w:val="Hyperlink"/>
              </w:rPr>
              <w:t>12.3.2 Buying Gold (USDC → PAXG)</w:t>
            </w:r>
            <w:r>
              <w:tab/>
            </w:r>
            <w:r>
              <w:fldChar w:fldCharType="begin"/>
            </w:r>
            <w:r>
              <w:instrText xml:space="preserve"> PAGEREF _Toc100120 \h </w:instrText>
            </w:r>
            <w:r>
              <w:fldChar w:fldCharType="separate"/>
            </w:r>
            <w:r>
              <w:t>207</w:t>
            </w:r>
            <w:r>
              <w:fldChar w:fldCharType="end"/>
            </w:r>
          </w:hyperlink>
        </w:p>
        <w:p>
          <w:pPr>
            <w:pStyle w:val="12"/>
            <w:ind w:left="720"/>
            <w:tabs>
              <w:tab w:val="right" w:leader="dot" w:pos="9026"/>
            </w:tabs>
            <w:spacing w:before="120" w:after="60"/>
          </w:pPr>
          <w:hyperlink w:anchor="_Toc100121" w:history="1">
            <w:r>
              <w:rPr>
                <w:rStyle w:val="Hyperlink"/>
              </w:rPr>
              <w:t>12.3.3 Slippage Tolerance Table</w:t>
            </w:r>
            <w:r>
              <w:tab/>
            </w:r>
            <w:r>
              <w:fldChar w:fldCharType="begin"/>
            </w:r>
            <w:r>
              <w:instrText xml:space="preserve"> PAGEREF _Toc100121 \h </w:instrText>
            </w:r>
            <w:r>
              <w:fldChar w:fldCharType="separate"/>
            </w:r>
            <w:r>
              <w:t>208</w:t>
            </w:r>
            <w:r>
              <w:fldChar w:fldCharType="end"/>
            </w:r>
          </w:hyperlink>
        </w:p>
        <w:p>
          <w:pPr>
            <w:pStyle w:val="11"/>
            <w:ind w:left="360"/>
            <w:tabs>
              <w:tab w:val="right" w:leader="dot" w:pos="9026"/>
            </w:tabs>
            <w:spacing w:before="120" w:after="60"/>
          </w:pPr>
          <w:hyperlink w:anchor="_Toc100122" w:history="1">
            <w:r>
              <w:rPr>
                <w:rStyle w:val="Hyperlink"/>
              </w:rPr>
              <w:t>12.4 Trade Sizing and Staged Execution</w:t>
            </w:r>
            <w:r>
              <w:tab/>
            </w:r>
            <w:r>
              <w:fldChar w:fldCharType="begin"/>
            </w:r>
            <w:r>
              <w:instrText xml:space="preserve"> PAGEREF _Toc100122 \h </w:instrText>
            </w:r>
            <w:r>
              <w:fldChar w:fldCharType="separate"/>
            </w:r>
            <w:r>
              <w:t>208</w:t>
            </w:r>
            <w:r>
              <w:fldChar w:fldCharType="end"/>
            </w:r>
          </w:hyperlink>
        </w:p>
        <w:p>
          <w:pPr>
            <w:pStyle w:val="12"/>
            <w:ind w:left="720"/>
            <w:tabs>
              <w:tab w:val="right" w:leader="dot" w:pos="9026"/>
            </w:tabs>
            <w:spacing w:before="120" w:after="60"/>
          </w:pPr>
          <w:hyperlink w:anchor="_Toc100123" w:history="1">
            <w:r>
              <w:rPr>
                <w:rStyle w:val="Hyperlink"/>
              </w:rPr>
              <w:t>12.4.1 The Liquidity Cap</w:t>
            </w:r>
            <w:r>
              <w:tab/>
            </w:r>
            <w:r>
              <w:fldChar w:fldCharType="begin"/>
            </w:r>
            <w:r>
              <w:instrText xml:space="preserve"> PAGEREF _Toc100123 \h </w:instrText>
            </w:r>
            <w:r>
              <w:fldChar w:fldCharType="separate"/>
            </w:r>
            <w:r>
              <w:t>209</w:t>
            </w:r>
            <w:r>
              <w:fldChar w:fldCharType="end"/>
            </w:r>
          </w:hyperlink>
        </w:p>
        <w:p>
          <w:pPr>
            <w:pStyle w:val="12"/>
            <w:ind w:left="720"/>
            <w:tabs>
              <w:tab w:val="right" w:leader="dot" w:pos="9026"/>
            </w:tabs>
            <w:spacing w:before="120" w:after="60"/>
          </w:pPr>
          <w:hyperlink w:anchor="_Toc100124" w:history="1">
            <w:r>
              <w:rPr>
                <w:rStyle w:val="Hyperlink"/>
              </w:rPr>
              <w:t>12.4.2 Staged Execution for Large Trades</w:t>
            </w:r>
            <w:r>
              <w:tab/>
            </w:r>
            <w:r>
              <w:fldChar w:fldCharType="begin"/>
            </w:r>
            <w:r>
              <w:instrText xml:space="preserve"> PAGEREF _Toc100124 \h </w:instrText>
            </w:r>
            <w:r>
              <w:fldChar w:fldCharType="separate"/>
            </w:r>
            <w:r>
              <w:t>209</w:t>
            </w:r>
            <w:r>
              <w:fldChar w:fldCharType="end"/>
            </w:r>
          </w:hyperlink>
        </w:p>
        <w:p>
          <w:pPr>
            <w:pStyle w:val="11"/>
            <w:ind w:left="360"/>
            <w:tabs>
              <w:tab w:val="right" w:leader="dot" w:pos="9026"/>
            </w:tabs>
            <w:spacing w:before="120" w:after="60"/>
          </w:pPr>
          <w:hyperlink w:anchor="_Toc100125" w:history="1">
            <w:r>
              <w:rPr>
                <w:rStyle w:val="Hyperlink"/>
              </w:rPr>
              <w:t>12.5 The Minimum Profitability Guard</w:t>
            </w:r>
            <w:r>
              <w:tab/>
            </w:r>
            <w:r>
              <w:fldChar w:fldCharType="begin"/>
            </w:r>
            <w:r>
              <w:instrText xml:space="preserve"> PAGEREF _Toc100125 \h </w:instrText>
            </w:r>
            <w:r>
              <w:fldChar w:fldCharType="separate"/>
            </w:r>
            <w:r>
              <w:t>210</w:t>
            </w:r>
            <w:r>
              <w:fldChar w:fldCharType="end"/>
            </w:r>
          </w:hyperlink>
        </w:p>
        <w:p>
          <w:pPr>
            <w:pStyle w:val="11"/>
            <w:ind w:left="360"/>
            <w:tabs>
              <w:tab w:val="right" w:leader="dot" w:pos="9026"/>
            </w:tabs>
            <w:spacing w:before="120" w:after="60"/>
          </w:pPr>
          <w:hyperlink w:anchor="_Toc100126" w:history="1">
            <w:r>
              <w:rPr>
                <w:rStyle w:val="Hyperlink"/>
              </w:rPr>
              <w:t>12.6 MEV Protection (Private Mempool Submission)</w:t>
            </w:r>
            <w:r>
              <w:tab/>
            </w:r>
            <w:r>
              <w:fldChar w:fldCharType="begin"/>
            </w:r>
            <w:r>
              <w:instrText xml:space="preserve"> PAGEREF _Toc100126 \h </w:instrText>
            </w:r>
            <w:r>
              <w:fldChar w:fldCharType="separate"/>
            </w:r>
            <w:r>
              <w:t>211</w:t>
            </w:r>
            <w:r>
              <w:fldChar w:fldCharType="end"/>
            </w:r>
          </w:hyperlink>
        </w:p>
        <w:p>
          <w:pPr>
            <w:pStyle w:val="11"/>
            <w:ind w:left="360"/>
            <w:tabs>
              <w:tab w:val="right" w:leader="dot" w:pos="9026"/>
            </w:tabs>
            <w:spacing w:before="120" w:after="60"/>
          </w:pPr>
          <w:hyperlink w:anchor="_Toc100127" w:history="1">
            <w:r>
              <w:rPr>
                <w:rStyle w:val="Hyperlink"/>
              </w:rPr>
              <w:t>12.7 Gas Estimation and Cost Control</w:t>
            </w:r>
            <w:r>
              <w:tab/>
            </w:r>
            <w:r>
              <w:fldChar w:fldCharType="begin"/>
            </w:r>
            <w:r>
              <w:instrText xml:space="preserve"> PAGEREF _Toc100127 \h </w:instrText>
            </w:r>
            <w:r>
              <w:fldChar w:fldCharType="separate"/>
            </w:r>
            <w:r>
              <w:t>212</w:t>
            </w:r>
            <w:r>
              <w:fldChar w:fldCharType="end"/>
            </w:r>
          </w:hyperlink>
        </w:p>
        <w:p>
          <w:pPr>
            <w:pStyle w:val="11"/>
            <w:ind w:left="360"/>
            <w:tabs>
              <w:tab w:val="right" w:leader="dot" w:pos="9026"/>
            </w:tabs>
            <w:spacing w:before="120" w:after="60"/>
          </w:pPr>
          <w:hyperlink w:anchor="_Toc100128" w:history="1">
            <w:r>
              <w:rPr>
                <w:rStyle w:val="Hyperlink"/>
              </w:rPr>
              <w:t>12.8 Smart Contract Implementation — Execution Protection</w:t>
            </w:r>
            <w:r>
              <w:tab/>
            </w:r>
            <w:r>
              <w:fldChar w:fldCharType="begin"/>
            </w:r>
            <w:r>
              <w:instrText xml:space="preserve"> PAGEREF _Toc100128 \h </w:instrText>
            </w:r>
            <w:r>
              <w:fldChar w:fldCharType="separate"/>
            </w:r>
            <w:r>
              <w:t>213</w:t>
            </w:r>
            <w:r>
              <w:fldChar w:fldCharType="end"/>
            </w:r>
          </w:hyperlink>
        </w:p>
        <w:p>
          <w:pPr>
            <w:pStyle w:val="11"/>
            <w:ind w:left="360"/>
            <w:tabs>
              <w:tab w:val="right" w:leader="dot" w:pos="9026"/>
            </w:tabs>
            <w:spacing w:before="120" w:after="60"/>
          </w:pPr>
          <w:hyperlink w:anchor="_Toc100129" w:history="1">
            <w:r>
              <w:rPr>
                <w:rStyle w:val="Hyperlink"/>
              </w:rPr>
              <w:t>12.9 Event Emissions and Constants Summary</w:t>
            </w:r>
            <w:r>
              <w:tab/>
            </w:r>
            <w:r>
              <w:fldChar w:fldCharType="begin"/>
            </w:r>
            <w:r>
              <w:instrText xml:space="preserve"> PAGEREF _Toc100129 \h </w:instrText>
            </w:r>
            <w:r>
              <w:fldChar w:fldCharType="separate"/>
            </w:r>
            <w:r>
              <w:t>258</w:t>
            </w:r>
            <w:r>
              <w:fldChar w:fldCharType="end"/>
            </w:r>
          </w:hyperlink>
        </w:p>
        <w:p>
          <w:pPr>
            <w:pStyle w:val="9"/>
            <w:tabs>
              <w:tab w:val="right" w:leader="dot" w:pos="9026"/>
            </w:tabs>
            <w:spacing w:before="120" w:after="60"/>
          </w:pPr>
          <w:hyperlink w:anchor="_Toc100130" w:history="1">
            <w:r>
              <w:rPr>
                <w:rStyle w:val="Hyperlink"/>
              </w:rPr>
              <w:t>13. Reserve Architecture, Coverage and Liquidity</w:t>
            </w:r>
            <w:r>
              <w:tab/>
            </w:r>
            <w:r>
              <w:fldChar w:fldCharType="begin"/>
            </w:r>
            <w:r>
              <w:instrText xml:space="preserve"> PAGEREF _Toc100130 \h </w:instrText>
            </w:r>
            <w:r>
              <w:fldChar w:fldCharType="separate"/>
            </w:r>
            <w:r>
              <w:t>259</w:t>
            </w:r>
            <w:r>
              <w:fldChar w:fldCharType="end"/>
            </w:r>
          </w:hyperlink>
        </w:p>
        <w:p>
          <w:pPr>
            <w:pStyle w:val="11"/>
            <w:ind w:left="360"/>
            <w:tabs>
              <w:tab w:val="right" w:leader="dot" w:pos="9026"/>
            </w:tabs>
            <w:spacing w:before="120" w:after="60"/>
          </w:pPr>
          <w:hyperlink w:anchor="_Toc100131" w:history="1">
            <w:r>
              <w:rPr>
                <w:rStyle w:val="Hyperlink"/>
              </w:rPr>
              <w:t>13.1 The Reserve Architecture Design Principle</w:t>
            </w:r>
            <w:r>
              <w:tab/>
            </w:r>
            <w:r>
              <w:fldChar w:fldCharType="begin"/>
            </w:r>
            <w:r>
              <w:instrText xml:space="preserve"> PAGEREF _Toc100131 \h </w:instrText>
            </w:r>
            <w:r>
              <w:fldChar w:fldCharType="separate"/>
            </w:r>
            <w:r>
              <w:t>259</w:t>
            </w:r>
            <w:r>
              <w:fldChar w:fldCharType="end"/>
            </w:r>
          </w:hyperlink>
        </w:p>
        <w:p>
          <w:pPr>
            <w:pStyle w:val="11"/>
            <w:ind w:left="360"/>
            <w:tabs>
              <w:tab w:val="right" w:leader="dot" w:pos="9026"/>
            </w:tabs>
            <w:spacing w:before="120" w:after="60"/>
          </w:pPr>
          <w:hyperlink w:anchor="_Toc100132" w:history="1">
            <w:r>
              <w:rPr>
                <w:rStyle w:val="Hyperlink"/>
              </w:rPr>
              <w:t>13.2 Reserve Coverage</w:t>
            </w:r>
            <w:r>
              <w:tab/>
            </w:r>
            <w:r>
              <w:fldChar w:fldCharType="begin"/>
            </w:r>
            <w:r>
              <w:instrText xml:space="preserve"> PAGEREF _Toc100132 \h </w:instrText>
            </w:r>
            <w:r>
              <w:fldChar w:fldCharType="separate"/>
            </w:r>
            <w:r>
              <w:t>260</w:t>
            </w:r>
            <w:r>
              <w:fldChar w:fldCharType="end"/>
            </w:r>
          </w:hyperlink>
        </w:p>
        <w:p>
          <w:pPr>
            <w:pStyle w:val="12"/>
            <w:ind w:left="720"/>
            <w:tabs>
              <w:tab w:val="right" w:leader="dot" w:pos="9026"/>
            </w:tabs>
            <w:spacing w:before="120" w:after="60"/>
          </w:pPr>
          <w:hyperlink w:anchor="_Toc100133" w:history="1">
            <w:r>
              <w:rPr>
                <w:rStyle w:val="Hyperlink"/>
              </w:rPr>
              <w:t>13.2.1 What Counts: The Eligible Reserve</w:t>
            </w:r>
            <w:r>
              <w:tab/>
            </w:r>
            <w:r>
              <w:fldChar w:fldCharType="begin"/>
            </w:r>
            <w:r>
              <w:instrText xml:space="preserve"> PAGEREF _Toc100133 \h </w:instrText>
            </w:r>
            <w:r>
              <w:fldChar w:fldCharType="separate"/>
            </w:r>
            <w:r>
              <w:t>261</w:t>
            </w:r>
            <w:r>
              <w:fldChar w:fldCharType="end"/>
            </w:r>
          </w:hyperlink>
        </w:p>
        <w:p>
          <w:pPr>
            <w:pStyle w:val="12"/>
            <w:ind w:left="720"/>
            <w:tabs>
              <w:tab w:val="right" w:leader="dot" w:pos="9026"/>
            </w:tabs>
            <w:spacing w:before="120" w:after="60"/>
          </w:pPr>
          <w:hyperlink w:anchor="_Toc100134" w:history="1">
            <w:r>
              <w:rPr>
                <w:rStyle w:val="Hyperlink"/>
              </w:rPr>
              <w:t>13.2.2 What Counts: Outstanding Obligations</w:t>
            </w:r>
            <w:r>
              <w:tab/>
            </w:r>
            <w:r>
              <w:fldChar w:fldCharType="begin"/>
            </w:r>
            <w:r>
              <w:instrText xml:space="preserve"> PAGEREF _Toc100134 \h </w:instrText>
            </w:r>
            <w:r>
              <w:fldChar w:fldCharType="separate"/>
            </w:r>
            <w:r>
              <w:t>261</w:t>
            </w:r>
            <w:r>
              <w:fldChar w:fldCharType="end"/>
            </w:r>
          </w:hyperlink>
        </w:p>
        <w:p>
          <w:pPr>
            <w:pStyle w:val="12"/>
            <w:ind w:left="720"/>
            <w:tabs>
              <w:tab w:val="right" w:leader="dot" w:pos="9026"/>
            </w:tabs>
            <w:spacing w:before="120" w:after="60"/>
          </w:pPr>
          <w:hyperlink w:anchor="_Toc100135" w:history="1">
            <w:r>
              <w:rPr>
                <w:rStyle w:val="Hyperlink"/>
              </w:rPr>
              <w:t>13.2.3 How Much Is Enough</w:t>
            </w:r>
            <w:r>
              <w:tab/>
            </w:r>
            <w:r>
              <w:fldChar w:fldCharType="begin"/>
            </w:r>
            <w:r>
              <w:instrText xml:space="preserve"> PAGEREF _Toc100135 \h </w:instrText>
            </w:r>
            <w:r>
              <w:fldChar w:fldCharType="separate"/>
            </w:r>
            <w:r>
              <w:t>262</w:t>
            </w:r>
            <w:r>
              <w:fldChar w:fldCharType="end"/>
            </w:r>
          </w:hyperlink>
        </w:p>
        <w:p>
          <w:pPr>
            <w:pStyle w:val="11"/>
            <w:ind w:left="360"/>
            <w:tabs>
              <w:tab w:val="right" w:leader="dot" w:pos="9026"/>
            </w:tabs>
            <w:spacing w:before="120" w:after="60"/>
          </w:pPr>
          <w:hyperlink w:anchor="_Toc100136" w:history="1">
            <w:r>
              <w:rPr>
                <w:rStyle w:val="Hyperlink"/>
              </w:rPr>
              <w:t>13.3 Gold Reserve and Gold Index Allocation Are Separate</w:t>
            </w:r>
            <w:r>
              <w:tab/>
            </w:r>
            <w:r>
              <w:fldChar w:fldCharType="begin"/>
            </w:r>
            <w:r>
              <w:instrText xml:space="preserve"> PAGEREF _Toc100136 \h </w:instrText>
            </w:r>
            <w:r>
              <w:fldChar w:fldCharType="separate"/>
            </w:r>
            <w:r>
              <w:t>262</w:t>
            </w:r>
            <w:r>
              <w:fldChar w:fldCharType="end"/>
            </w:r>
          </w:hyperlink>
        </w:p>
        <w:p>
          <w:pPr>
            <w:pStyle w:val="11"/>
            <w:ind w:left="360"/>
            <w:tabs>
              <w:tab w:val="right" w:leader="dot" w:pos="9026"/>
            </w:tabs>
            <w:spacing w:before="120" w:after="60"/>
          </w:pPr>
          <w:hyperlink w:anchor="_Toc100137" w:history="1">
            <w:r>
              <w:rPr>
                <w:rStyle w:val="Hyperlink"/>
              </w:rPr>
              <w:t>13.4 Reserve Liquidity Coverage</w:t>
            </w:r>
            <w:r>
              <w:tab/>
            </w:r>
            <w:r>
              <w:fldChar w:fldCharType="begin"/>
            </w:r>
            <w:r>
              <w:instrText xml:space="preserve"> PAGEREF _Toc100137 \h </w:instrText>
            </w:r>
            <w:r>
              <w:fldChar w:fldCharType="separate"/>
            </w:r>
            <w:r>
              <w:t>263</w:t>
            </w:r>
            <w:r>
              <w:fldChar w:fldCharType="end"/>
            </w:r>
          </w:hyperlink>
        </w:p>
        <w:p>
          <w:pPr>
            <w:pStyle w:val="12"/>
            <w:ind w:left="720"/>
            <w:tabs>
              <w:tab w:val="right" w:leader="dot" w:pos="9026"/>
            </w:tabs>
            <w:spacing w:before="120" w:after="60"/>
          </w:pPr>
          <w:hyperlink w:anchor="_Toc100138" w:history="1">
            <w:r>
              <w:rPr>
                <w:rStyle w:val="Hyperlink"/>
              </w:rPr>
              <w:t>13.4.1 What Counts as Immediately Liquid</w:t>
            </w:r>
            <w:r>
              <w:tab/>
            </w:r>
            <w:r>
              <w:fldChar w:fldCharType="begin"/>
            </w:r>
            <w:r>
              <w:instrText xml:space="preserve"> PAGEREF _Toc100138 \h </w:instrText>
            </w:r>
            <w:r>
              <w:fldChar w:fldCharType="separate"/>
            </w:r>
            <w:r>
              <w:t>264</w:t>
            </w:r>
            <w:r>
              <w:fldChar w:fldCharType="end"/>
            </w:r>
          </w:hyperlink>
        </w:p>
        <w:p>
          <w:pPr>
            <w:pStyle w:val="12"/>
            <w:ind w:left="720"/>
            <w:tabs>
              <w:tab w:val="right" w:leader="dot" w:pos="9026"/>
            </w:tabs>
            <w:spacing w:before="120" w:after="60"/>
          </w:pPr>
          <w:hyperlink w:anchor="_Toc100139" w:history="1">
            <w:r>
              <w:rPr>
                <w:rStyle w:val="Hyperlink"/>
              </w:rPr>
              <w:t>13.4.2 Near-Term Obligations and Stress Redemption Demand</w:t>
            </w:r>
            <w:r>
              <w:tab/>
            </w:r>
            <w:r>
              <w:fldChar w:fldCharType="begin"/>
            </w:r>
            <w:r>
              <w:instrText xml:space="preserve"> PAGEREF _Toc100139 \h </w:instrText>
            </w:r>
            <w:r>
              <w:fldChar w:fldCharType="separate"/>
            </w:r>
            <w:r>
              <w:t>264</w:t>
            </w:r>
            <w:r>
              <w:fldChar w:fldCharType="end"/>
            </w:r>
          </w:hyperlink>
        </w:p>
        <w:p>
          <w:pPr>
            <w:pStyle w:val="12"/>
            <w:ind w:left="720"/>
            <w:tabs>
              <w:tab w:val="right" w:leader="dot" w:pos="9026"/>
            </w:tabs>
            <w:spacing w:before="120" w:after="60"/>
          </w:pPr>
          <w:hyperlink w:anchor="_Toc100140" w:history="1">
            <w:r>
              <w:rPr>
                <w:rStyle w:val="Hyperlink"/>
              </w:rPr>
              <w:t>13.4.3 The Constitutional Floor and Breach Behavior</w:t>
            </w:r>
            <w:r>
              <w:tab/>
            </w:r>
            <w:r>
              <w:fldChar w:fldCharType="begin"/>
            </w:r>
            <w:r>
              <w:instrText xml:space="preserve"> PAGEREF _Toc100140 \h </w:instrText>
            </w:r>
            <w:r>
              <w:fldChar w:fldCharType="separate"/>
            </w:r>
            <w:r>
              <w:t>265</w:t>
            </w:r>
            <w:r>
              <w:fldChar w:fldCharType="end"/>
            </w:r>
          </w:hyperlink>
        </w:p>
        <w:p>
          <w:pPr>
            <w:pStyle w:val="11"/>
            <w:ind w:left="360"/>
            <w:tabs>
              <w:tab w:val="right" w:leader="dot" w:pos="9026"/>
            </w:tabs>
            <w:spacing w:before="120" w:after="60"/>
          </w:pPr>
          <w:hyperlink w:anchor="_Toc100141" w:history="1">
            <w:r>
              <w:rPr>
                <w:rStyle w:val="Hyperlink"/>
              </w:rPr>
              <w:t>13.5 Strategic Gold Reserve Sizing</w:t>
            </w:r>
            <w:r>
              <w:tab/>
            </w:r>
            <w:r>
              <w:fldChar w:fldCharType="begin"/>
            </w:r>
            <w:r>
              <w:instrText xml:space="preserve"> PAGEREF _Toc100141 \h </w:instrText>
            </w:r>
            <w:r>
              <w:fldChar w:fldCharType="separate"/>
            </w:r>
            <w:r>
              <w:t>266</w:t>
            </w:r>
            <w:r>
              <w:fldChar w:fldCharType="end"/>
            </w:r>
          </w:hyperlink>
        </w:p>
        <w:p>
          <w:pPr>
            <w:pStyle w:val="12"/>
            <w:ind w:left="720"/>
            <w:tabs>
              <w:tab w:val="right" w:leader="dot" w:pos="9026"/>
            </w:tabs>
            <w:spacing w:before="120" w:after="60"/>
          </w:pPr>
          <w:hyperlink w:anchor="_Toc100142" w:history="1">
            <w:r>
              <w:rPr>
                <w:rStyle w:val="Hyperlink"/>
              </w:rPr>
              <w:t>13.5.1 The Decision Inputs</w:t>
            </w:r>
            <w:r>
              <w:tab/>
            </w:r>
            <w:r>
              <w:fldChar w:fldCharType="begin"/>
            </w:r>
            <w:r>
              <w:instrText xml:space="preserve"> PAGEREF _Toc100142 \h </w:instrText>
            </w:r>
            <w:r>
              <w:fldChar w:fldCharType="separate"/>
            </w:r>
            <w:r>
              <w:t>266</w:t>
            </w:r>
            <w:r>
              <w:fldChar w:fldCharType="end"/>
            </w:r>
          </w:hyperlink>
        </w:p>
        <w:p>
          <w:pPr>
            <w:pStyle w:val="12"/>
            <w:ind w:left="720"/>
            <w:tabs>
              <w:tab w:val="right" w:leader="dot" w:pos="9026"/>
            </w:tabs>
            <w:spacing w:before="120" w:after="60"/>
          </w:pPr>
          <w:hyperlink w:anchor="_Toc100143" w:history="1">
            <w:r>
              <w:rPr>
                <w:rStyle w:val="Hyperlink"/>
              </w:rPr>
              <w:t>13.5.2 Historical Input — the v1.2 Core-plus-Buffer Structure</w:t>
            </w:r>
            <w:r>
              <w:tab/>
            </w:r>
            <w:r>
              <w:fldChar w:fldCharType="begin"/>
            </w:r>
            <w:r>
              <w:instrText xml:space="preserve"> PAGEREF _Toc100143 \h </w:instrText>
            </w:r>
            <w:r>
              <w:fldChar w:fldCharType="separate"/>
            </w:r>
            <w:r>
              <w:t>267</w:t>
            </w:r>
            <w:r>
              <w:fldChar w:fldCharType="end"/>
            </w:r>
          </w:hyperlink>
        </w:p>
        <w:p>
          <w:pPr>
            <w:pStyle w:val="12"/>
            <w:ind w:left="720"/>
            <w:tabs>
              <w:tab w:val="right" w:leader="dot" w:pos="9026"/>
            </w:tabs>
            <w:spacing w:before="120" w:after="60"/>
          </w:pPr>
          <w:hyperlink w:anchor="_Toc100144" w:history="1">
            <w:r>
              <w:rPr>
                <w:rStyle w:val="Hyperlink"/>
              </w:rPr>
              <w:t>13.5.3 Instrument Eligibility — Tokenized and Physical Gold</w:t>
            </w:r>
            <w:r>
              <w:tab/>
            </w:r>
            <w:r>
              <w:fldChar w:fldCharType="begin"/>
            </w:r>
            <w:r>
              <w:instrText xml:space="preserve"> PAGEREF _Toc100144 \h </w:instrText>
            </w:r>
            <w:r>
              <w:fldChar w:fldCharType="separate"/>
            </w:r>
            <w:r>
              <w:t>268</w:t>
            </w:r>
            <w:r>
              <w:fldChar w:fldCharType="end"/>
            </w:r>
          </w:hyperlink>
        </w:p>
        <w:p>
          <w:pPr>
            <w:pStyle w:val="11"/>
            <w:ind w:left="360"/>
            <w:tabs>
              <w:tab w:val="right" w:leader="dot" w:pos="9026"/>
            </w:tabs>
            <w:spacing w:before="120" w:after="60"/>
          </w:pPr>
          <w:hyperlink w:anchor="_Toc100145" w:history="1">
            <w:r>
              <w:rPr>
                <w:rStyle w:val="Hyperlink"/>
              </w:rPr>
              <w:t>13.6 No Market-Price Support</w:t>
            </w:r>
            <w:r>
              <w:tab/>
            </w:r>
            <w:r>
              <w:fldChar w:fldCharType="begin"/>
            </w:r>
            <w:r>
              <w:instrText xml:space="preserve"> PAGEREF _Toc100145 \h </w:instrText>
            </w:r>
            <w:r>
              <w:fldChar w:fldCharType="separate"/>
            </w:r>
            <w:r>
              <w:t>268</w:t>
            </w:r>
            <w:r>
              <w:fldChar w:fldCharType="end"/>
            </w:r>
          </w:hyperlink>
        </w:p>
        <w:p>
          <w:pPr>
            <w:pStyle w:val="9"/>
            <w:tabs>
              <w:tab w:val="right" w:leader="dot" w:pos="9026"/>
            </w:tabs>
            <w:spacing w:before="120" w:after="60"/>
          </w:pPr>
          <w:hyperlink w:anchor="_Toc100146" w:history="1">
            <w:r>
              <w:rPr>
                <w:rStyle w:val="Hyperlink"/>
              </w:rPr>
              <w:t>14. Reserve Valuation and Risk Management</w:t>
            </w:r>
            <w:r>
              <w:tab/>
            </w:r>
            <w:r>
              <w:fldChar w:fldCharType="begin"/>
            </w:r>
            <w:r>
              <w:instrText xml:space="preserve"> PAGEREF _Toc100146 \h </w:instrText>
            </w:r>
            <w:r>
              <w:fldChar w:fldCharType="separate"/>
            </w:r>
            <w:r>
              <w:t>270</w:t>
            </w:r>
            <w:r>
              <w:fldChar w:fldCharType="end"/>
            </w:r>
          </w:hyperlink>
        </w:p>
        <w:p>
          <w:pPr>
            <w:pStyle w:val="11"/>
            <w:ind w:left="360"/>
            <w:tabs>
              <w:tab w:val="right" w:leader="dot" w:pos="9026"/>
            </w:tabs>
            <w:spacing w:before="120" w:after="60"/>
          </w:pPr>
          <w:hyperlink w:anchor="_Toc100147" w:history="1">
            <w:r>
              <w:rPr>
                <w:rStyle w:val="Hyperlink"/>
              </w:rPr>
              <w:t>14.1 Net Asset Value — Prudential Valuation</w:t>
            </w:r>
            <w:r>
              <w:tab/>
            </w:r>
            <w:r>
              <w:fldChar w:fldCharType="begin"/>
            </w:r>
            <w:r>
              <w:instrText xml:space="preserve"> PAGEREF _Toc100147 \h </w:instrText>
            </w:r>
            <w:r>
              <w:fldChar w:fldCharType="separate"/>
            </w:r>
            <w:r>
              <w:t>270</w:t>
            </w:r>
            <w:r>
              <w:fldChar w:fldCharType="end"/>
            </w:r>
          </w:hyperlink>
        </w:p>
        <w:p>
          <w:pPr>
            <w:pStyle w:val="12"/>
            <w:ind w:left="720"/>
            <w:tabs>
              <w:tab w:val="right" w:leader="dot" w:pos="9026"/>
            </w:tabs>
            <w:spacing w:before="120" w:after="60"/>
          </w:pPr>
          <w:hyperlink w:anchor="_Toc100148" w:history="1">
            <w:r>
              <w:rPr>
                <w:rStyle w:val="Hyperlink"/>
              </w:rPr>
              <w:t>14.1.1 The Constitutional Haircut Table</w:t>
            </w:r>
            <w:r>
              <w:tab/>
            </w:r>
            <w:r>
              <w:fldChar w:fldCharType="begin"/>
            </w:r>
            <w:r>
              <w:instrText xml:space="preserve"> PAGEREF _Toc100148 \h </w:instrText>
            </w:r>
            <w:r>
              <w:fldChar w:fldCharType="separate"/>
            </w:r>
            <w:r>
              <w:t>271</w:t>
            </w:r>
            <w:r>
              <w:fldChar w:fldCharType="end"/>
            </w:r>
          </w:hyperlink>
        </w:p>
        <w:p>
          <w:pPr>
            <w:pStyle w:val="11"/>
            <w:ind w:left="360"/>
            <w:tabs>
              <w:tab w:val="right" w:leader="dot" w:pos="9026"/>
            </w:tabs>
            <w:spacing w:before="120" w:after="60"/>
          </w:pPr>
          <w:hyperlink w:anchor="_Toc100149" w:history="1">
            <w:r>
              <w:rPr>
                <w:rStyle w:val="Hyperlink"/>
              </w:rPr>
              <w:t>14.2 The Reserve Ratio and Constitutional Tiers</w:t>
            </w:r>
            <w:r>
              <w:tab/>
            </w:r>
            <w:r>
              <w:fldChar w:fldCharType="begin"/>
            </w:r>
            <w:r>
              <w:instrText xml:space="preserve"> PAGEREF _Toc100149 \h </w:instrText>
            </w:r>
            <w:r>
              <w:fldChar w:fldCharType="separate"/>
            </w:r>
            <w:r>
              <w:t>271</w:t>
            </w:r>
            <w:r>
              <w:fldChar w:fldCharType="end"/>
            </w:r>
          </w:hyperlink>
        </w:p>
        <w:p>
          <w:pPr>
            <w:pStyle w:val="12"/>
            <w:ind w:left="720"/>
            <w:tabs>
              <w:tab w:val="right" w:leader="dot" w:pos="9026"/>
            </w:tabs>
            <w:spacing w:before="120" w:after="60"/>
          </w:pPr>
          <w:hyperlink w:anchor="_Toc100150" w:history="1">
            <w:r>
              <w:rPr>
                <w:rStyle w:val="Hyperlink"/>
              </w:rPr>
              <w:t>14.2.1 The Three Floors</w:t>
            </w:r>
            <w:r>
              <w:tab/>
            </w:r>
            <w:r>
              <w:fldChar w:fldCharType="begin"/>
            </w:r>
            <w:r>
              <w:instrText xml:space="preserve"> PAGEREF _Toc100150 \h </w:instrText>
            </w:r>
            <w:r>
              <w:fldChar w:fldCharType="separate"/>
            </w:r>
            <w:r>
              <w:t>272</w:t>
            </w:r>
            <w:r>
              <w:fldChar w:fldCharType="end"/>
            </w:r>
          </w:hyperlink>
        </w:p>
        <w:p>
          <w:pPr>
            <w:pStyle w:val="12"/>
            <w:ind w:left="720"/>
            <w:tabs>
              <w:tab w:val="right" w:leader="dot" w:pos="9026"/>
            </w:tabs>
            <w:spacing w:before="120" w:after="60"/>
          </w:pPr>
          <w:hyperlink w:anchor="_Toc100151" w:history="1">
            <w:r>
              <w:rPr>
                <w:rStyle w:val="Hyperlink"/>
              </w:rPr>
              <w:t>14.2.2 Status Determination</w:t>
            </w:r>
            <w:r>
              <w:tab/>
            </w:r>
            <w:r>
              <w:fldChar w:fldCharType="begin"/>
            </w:r>
            <w:r>
              <w:instrText xml:space="preserve"> PAGEREF _Toc100151 \h </w:instrText>
            </w:r>
            <w:r>
              <w:fldChar w:fldCharType="separate"/>
            </w:r>
            <w:r>
              <w:t>272</w:t>
            </w:r>
            <w:r>
              <w:fldChar w:fldCharType="end"/>
            </w:r>
          </w:hyperlink>
        </w:p>
        <w:p>
          <w:pPr>
            <w:pStyle w:val="11"/>
            <w:ind w:left="360"/>
            <w:tabs>
              <w:tab w:val="right" w:leader="dot" w:pos="9026"/>
            </w:tabs>
            <w:spacing w:before="120" w:after="60"/>
          </w:pPr>
          <w:hyperlink w:anchor="_Toc100152" w:history="1">
            <w:r>
              <w:rPr>
                <w:rStyle w:val="Hyperlink"/>
              </w:rPr>
              <w:t>14.3 Tokenized and Physical Gold Instruments</w:t>
            </w:r>
            <w:r>
              <w:tab/>
            </w:r>
            <w:r>
              <w:fldChar w:fldCharType="begin"/>
            </w:r>
            <w:r>
              <w:instrText xml:space="preserve"> PAGEREF _Toc100152 \h </w:instrText>
            </w:r>
            <w:r>
              <w:fldChar w:fldCharType="separate"/>
            </w:r>
            <w:r>
              <w:t>273</w:t>
            </w:r>
            <w:r>
              <w:fldChar w:fldCharType="end"/>
            </w:r>
          </w:hyperlink>
        </w:p>
        <w:p>
          <w:pPr>
            <w:pStyle w:val="11"/>
            <w:ind w:left="360"/>
            <w:tabs>
              <w:tab w:val="right" w:leader="dot" w:pos="9026"/>
            </w:tabs>
            <w:spacing w:before="120" w:after="60"/>
          </w:pPr>
          <w:hyperlink w:anchor="_Toc100153" w:history="1">
            <w:r>
              <w:rPr>
                <w:rStyle w:val="Hyperlink"/>
              </w:rPr>
              <w:t>14.4 Reserve Rebalancing and the Gold-Cost Rule</w:t>
            </w:r>
            <w:r>
              <w:tab/>
            </w:r>
            <w:r>
              <w:fldChar w:fldCharType="begin"/>
            </w:r>
            <w:r>
              <w:instrText xml:space="preserve"> PAGEREF _Toc100153 \h </w:instrText>
            </w:r>
            <w:r>
              <w:fldChar w:fldCharType="separate"/>
            </w:r>
            <w:r>
              <w:t>274</w:t>
            </w:r>
            <w:r>
              <w:fldChar w:fldCharType="end"/>
            </w:r>
          </w:hyperlink>
        </w:p>
        <w:p>
          <w:pPr>
            <w:pStyle w:val="12"/>
            <w:ind w:left="720"/>
            <w:tabs>
              <w:tab w:val="right" w:leader="dot" w:pos="9026"/>
            </w:tabs>
            <w:spacing w:before="120" w:after="60"/>
          </w:pPr>
          <w:hyperlink w:anchor="_Toc100154" w:history="1">
            <w:r>
              <w:rPr>
                <w:rStyle w:val="Hyperlink"/>
              </w:rPr>
              <w:t>14.4.1 The Gold-Cost Rule</w:t>
            </w:r>
            <w:r>
              <w:tab/>
            </w:r>
            <w:r>
              <w:fldChar w:fldCharType="begin"/>
            </w:r>
            <w:r>
              <w:instrText xml:space="preserve"> PAGEREF _Toc100154 \h </w:instrText>
            </w:r>
            <w:r>
              <w:fldChar w:fldCharType="separate"/>
            </w:r>
            <w:r>
              <w:t>275</w:t>
            </w:r>
            <w:r>
              <w:fldChar w:fldCharType="end"/>
            </w:r>
          </w:hyperlink>
        </w:p>
        <w:p>
          <w:pPr>
            <w:pStyle w:val="11"/>
            <w:ind w:left="360"/>
            <w:tabs>
              <w:tab w:val="right" w:leader="dot" w:pos="9026"/>
            </w:tabs>
            <w:spacing w:before="120" w:after="60"/>
          </w:pPr>
          <w:hyperlink w:anchor="_Toc100155" w:history="1">
            <w:r>
              <w:rPr>
                <w:rStyle w:val="Hyperlink"/>
              </w:rPr>
              <w:t>14.5 Crisis Mode</w:t>
            </w:r>
            <w:r>
              <w:tab/>
            </w:r>
            <w:r>
              <w:fldChar w:fldCharType="begin"/>
            </w:r>
            <w:r>
              <w:instrText xml:space="preserve"> PAGEREF _Toc100155 \h </w:instrText>
            </w:r>
            <w:r>
              <w:fldChar w:fldCharType="separate"/>
            </w:r>
            <w:r>
              <w:t>276</w:t>
            </w:r>
            <w:r>
              <w:fldChar w:fldCharType="end"/>
            </w:r>
          </w:hyperlink>
        </w:p>
        <w:p>
          <w:pPr>
            <w:pStyle w:val="11"/>
            <w:ind w:left="360"/>
            <w:tabs>
              <w:tab w:val="right" w:leader="dot" w:pos="9026"/>
            </w:tabs>
            <w:spacing w:before="120" w:after="60"/>
          </w:pPr>
          <w:hyperlink w:anchor="_Toc100156" w:history="1">
            <w:r>
              <w:rPr>
                <w:rStyle w:val="Hyperlink"/>
              </w:rPr>
              <w:t>14.6 Smart Contract Implementation — Reserve Manager</w:t>
            </w:r>
            <w:r>
              <w:tab/>
            </w:r>
            <w:r>
              <w:fldChar w:fldCharType="begin"/>
            </w:r>
            <w:r>
              <w:instrText xml:space="preserve"> PAGEREF _Toc100156 \h </w:instrText>
            </w:r>
            <w:r>
              <w:fldChar w:fldCharType="separate"/>
            </w:r>
            <w:r>
              <w:t>277</w:t>
            </w:r>
            <w:r>
              <w:fldChar w:fldCharType="end"/>
            </w:r>
          </w:hyperlink>
        </w:p>
        <w:p>
          <w:pPr>
            <w:pStyle w:val="12"/>
            <w:ind w:left="720"/>
            <w:tabs>
              <w:tab w:val="right" w:leader="dot" w:pos="9026"/>
            </w:tabs>
            <w:spacing w:before="120" w:after="60"/>
          </w:pPr>
          <w:hyperlink w:anchor="_Toc100157" w:history="1">
            <w:r>
              <w:rPr>
                <w:rStyle w:val="Hyperlink"/>
              </w:rPr>
              <w:t>14.6.1 The Contract</w:t>
            </w:r>
            <w:r>
              <w:tab/>
            </w:r>
            <w:r>
              <w:fldChar w:fldCharType="begin"/>
            </w:r>
            <w:r>
              <w:instrText xml:space="preserve"> PAGEREF _Toc100157 \h </w:instrText>
            </w:r>
            <w:r>
              <w:fldChar w:fldCharType="separate"/>
            </w:r>
            <w:r>
              <w:t>278</w:t>
            </w:r>
            <w:r>
              <w:fldChar w:fldCharType="end"/>
            </w:r>
          </w:hyperlink>
        </w:p>
        <w:p>
          <w:pPr>
            <w:pStyle w:val="12"/>
            <w:ind w:left="720"/>
            <w:tabs>
              <w:tab w:val="right" w:leader="dot" w:pos="9026"/>
            </w:tabs>
            <w:spacing w:before="120" w:after="60"/>
          </w:pPr>
          <w:hyperlink w:anchor="_Toc100158" w:history="1">
            <w:r>
              <w:rPr>
                <w:rStyle w:val="Hyperlink"/>
              </w:rPr>
              <w:t>14.6.2 Event Emissions</w:t>
            </w:r>
            <w:r>
              <w:tab/>
            </w:r>
            <w:r>
              <w:fldChar w:fldCharType="begin"/>
            </w:r>
            <w:r>
              <w:instrText xml:space="preserve"> PAGEREF _Toc100158 \h </w:instrText>
            </w:r>
            <w:r>
              <w:fldChar w:fldCharType="separate"/>
            </w:r>
            <w:r>
              <w:t>304</w:t>
            </w:r>
            <w:r>
              <w:fldChar w:fldCharType="end"/>
            </w:r>
          </w:hyperlink>
        </w:p>
        <w:p>
          <w:pPr>
            <w:pStyle w:val="12"/>
            <w:ind w:left="720"/>
            <w:tabs>
              <w:tab w:val="right" w:leader="dot" w:pos="9026"/>
            </w:tabs>
            <w:spacing w:before="120" w:after="60"/>
          </w:pPr>
          <w:hyperlink w:anchor="_Toc100159" w:history="1">
            <w:r>
              <w:rPr>
                <w:rStyle w:val="Hyperlink"/>
              </w:rPr>
              <w:t>14.6.3 Developer-Facing Constants</w:t>
            </w:r>
            <w:r>
              <w:tab/>
            </w:r>
            <w:r>
              <w:fldChar w:fldCharType="begin"/>
            </w:r>
            <w:r>
              <w:instrText xml:space="preserve"> PAGEREF _Toc100159 \h </w:instrText>
            </w:r>
            <w:r>
              <w:fldChar w:fldCharType="separate"/>
            </w:r>
            <w:r>
              <w:t>304</w:t>
            </w:r>
            <w:r>
              <w:fldChar w:fldCharType="end"/>
            </w:r>
          </w:hyperlink>
        </w:p>
        <w:p>
          <w:pPr>
            <w:pStyle w:val="9"/>
            <w:tabs>
              <w:tab w:val="right" w:leader="dot" w:pos="9026"/>
            </w:tabs>
            <w:spacing w:before="120" w:after="60"/>
          </w:pPr>
          <w:hyperlink w:anchor="_Toc100160" w:history="1">
            <w:r>
              <w:rPr>
                <w:rStyle w:val="Hyperlink"/>
              </w:rPr>
              <w:t>15. The Asset Admission Registry</w:t>
            </w:r>
            <w:r>
              <w:tab/>
            </w:r>
            <w:r>
              <w:fldChar w:fldCharType="begin"/>
            </w:r>
            <w:r>
              <w:instrText xml:space="preserve"> PAGEREF _Toc100160 \h </w:instrText>
            </w:r>
            <w:r>
              <w:fldChar w:fldCharType="separate"/>
            </w:r>
            <w:r>
              <w:t>305</w:t>
            </w:r>
            <w:r>
              <w:fldChar w:fldCharType="end"/>
            </w:r>
          </w:hyperlink>
        </w:p>
        <w:p>
          <w:pPr>
            <w:pStyle w:val="11"/>
            <w:ind w:left="360"/>
            <w:tabs>
              <w:tab w:val="right" w:leader="dot" w:pos="9026"/>
            </w:tabs>
            <w:spacing w:before="120" w:after="60"/>
          </w:pPr>
          <w:hyperlink w:anchor="_Toc100161" w:history="1">
            <w:r>
              <w:rPr>
                <w:rStyle w:val="Hyperlink"/>
              </w:rPr>
              <w:t>15.1 Purpose and Scope</w:t>
            </w:r>
            <w:r>
              <w:tab/>
            </w:r>
            <w:r>
              <w:fldChar w:fldCharType="begin"/>
            </w:r>
            <w:r>
              <w:instrText xml:space="preserve"> PAGEREF _Toc100161 \h </w:instrText>
            </w:r>
            <w:r>
              <w:fldChar w:fldCharType="separate"/>
            </w:r>
            <w:r>
              <w:t>305</w:t>
            </w:r>
            <w:r>
              <w:fldChar w:fldCharType="end"/>
            </w:r>
          </w:hyperlink>
        </w:p>
        <w:p>
          <w:pPr>
            <w:pStyle w:val="11"/>
            <w:ind w:left="360"/>
            <w:tabs>
              <w:tab w:val="right" w:leader="dot" w:pos="9026"/>
            </w:tabs>
            <w:spacing w:before="120" w:after="60"/>
          </w:pPr>
          <w:hyperlink w:anchor="_Toc100162" w:history="1">
            <w:r>
              <w:rPr>
                <w:rStyle w:val="Hyperlink"/>
              </w:rPr>
              <w:t>15.2 The Eligibility Standard</w:t>
            </w:r>
            <w:r>
              <w:tab/>
            </w:r>
            <w:r>
              <w:fldChar w:fldCharType="begin"/>
            </w:r>
            <w:r>
              <w:instrText xml:space="preserve"> PAGEREF _Toc100162 \h </w:instrText>
            </w:r>
            <w:r>
              <w:fldChar w:fldCharType="separate"/>
            </w:r>
            <w:r>
              <w:t>306</w:t>
            </w:r>
            <w:r>
              <w:fldChar w:fldCharType="end"/>
            </w:r>
          </w:hyperlink>
        </w:p>
        <w:p>
          <w:pPr>
            <w:pStyle w:val="11"/>
            <w:ind w:left="360"/>
            <w:tabs>
              <w:tab w:val="right" w:leader="dot" w:pos="9026"/>
            </w:tabs>
            <w:spacing w:before="120" w:after="60"/>
          </w:pPr>
          <w:hyperlink w:anchor="_Toc100163" w:history="1">
            <w:r>
              <w:rPr>
                <w:rStyle w:val="Hyperlink"/>
              </w:rPr>
              <w:t>15.3 Asset States</w:t>
            </w:r>
            <w:r>
              <w:tab/>
            </w:r>
            <w:r>
              <w:fldChar w:fldCharType="begin"/>
            </w:r>
            <w:r>
              <w:instrText xml:space="preserve"> PAGEREF _Toc100163 \h </w:instrText>
            </w:r>
            <w:r>
              <w:fldChar w:fldCharType="separate"/>
            </w:r>
            <w:r>
              <w:t>306</w:t>
            </w:r>
            <w:r>
              <w:fldChar w:fldCharType="end"/>
            </w:r>
          </w:hyperlink>
        </w:p>
        <w:p>
          <w:pPr>
            <w:pStyle w:val="11"/>
            <w:ind w:left="360"/>
            <w:tabs>
              <w:tab w:val="right" w:leader="dot" w:pos="9026"/>
            </w:tabs>
            <w:spacing w:before="120" w:after="60"/>
          </w:pPr>
          <w:hyperlink w:anchor="_Toc100164" w:history="1">
            <w:r>
              <w:rPr>
                <w:rStyle w:val="Hyperlink"/>
              </w:rPr>
              <w:t>15.4 Registry Data Structures</w:t>
            </w:r>
            <w:r>
              <w:tab/>
            </w:r>
            <w:r>
              <w:fldChar w:fldCharType="begin"/>
            </w:r>
            <w:r>
              <w:instrText xml:space="preserve"> PAGEREF _Toc100164 \h </w:instrText>
            </w:r>
            <w:r>
              <w:fldChar w:fldCharType="separate"/>
            </w:r>
            <w:r>
              <w:t>307</w:t>
            </w:r>
            <w:r>
              <w:fldChar w:fldCharType="end"/>
            </w:r>
          </w:hyperlink>
        </w:p>
        <w:p>
          <w:pPr>
            <w:pStyle w:val="12"/>
            <w:ind w:left="720"/>
            <w:tabs>
              <w:tab w:val="right" w:leader="dot" w:pos="9026"/>
            </w:tabs>
            <w:spacing w:before="120" w:after="60"/>
          </w:pPr>
          <w:hyperlink w:anchor="_Toc100165" w:history="1">
            <w:r>
              <w:rPr>
                <w:rStyle w:val="Hyperlink"/>
              </w:rPr>
              <w:t>15.4.1 Asset Record</w:t>
            </w:r>
            <w:r>
              <w:tab/>
            </w:r>
            <w:r>
              <w:fldChar w:fldCharType="begin"/>
            </w:r>
            <w:r>
              <w:instrText xml:space="preserve"> PAGEREF _Toc100165 \h </w:instrText>
            </w:r>
            <w:r>
              <w:fldChar w:fldCharType="separate"/>
            </w:r>
            <w:r>
              <w:t>307</w:t>
            </w:r>
            <w:r>
              <w:fldChar w:fldCharType="end"/>
            </w:r>
          </w:hyperlink>
        </w:p>
        <w:p>
          <w:pPr>
            <w:pStyle w:val="12"/>
            <w:ind w:left="720"/>
            <w:tabs>
              <w:tab w:val="right" w:leader="dot" w:pos="9026"/>
            </w:tabs>
            <w:spacing w:before="120" w:after="60"/>
          </w:pPr>
          <w:hyperlink w:anchor="_Toc100166" w:history="1">
            <w:r>
              <w:rPr>
                <w:rStyle w:val="Hyperlink"/>
              </w:rPr>
              <w:t>15.4.2 Currency-to-Asset Mapping</w:t>
            </w:r>
            <w:r>
              <w:tab/>
            </w:r>
            <w:r>
              <w:fldChar w:fldCharType="begin"/>
            </w:r>
            <w:r>
              <w:instrText xml:space="preserve"> PAGEREF _Toc100166 \h </w:instrText>
            </w:r>
            <w:r>
              <w:fldChar w:fldCharType="separate"/>
            </w:r>
            <w:r>
              <w:t>308</w:t>
            </w:r>
            <w:r>
              <w:fldChar w:fldCharType="end"/>
            </w:r>
          </w:hyperlink>
        </w:p>
        <w:p>
          <w:pPr>
            <w:pStyle w:val="11"/>
            <w:ind w:left="360"/>
            <w:tabs>
              <w:tab w:val="right" w:leader="dot" w:pos="9026"/>
            </w:tabs>
            <w:spacing w:before="120" w:after="60"/>
          </w:pPr>
          <w:hyperlink w:anchor="_Toc100167" w:history="1">
            <w:r>
              <w:rPr>
                <w:rStyle w:val="Hyperlink"/>
              </w:rPr>
              <w:t>15.5 Core Registry Functions</w:t>
            </w:r>
            <w:r>
              <w:tab/>
            </w:r>
            <w:r>
              <w:fldChar w:fldCharType="begin"/>
            </w:r>
            <w:r>
              <w:instrText xml:space="preserve"> PAGEREF _Toc100167 \h </w:instrText>
            </w:r>
            <w:r>
              <w:fldChar w:fldCharType="separate"/>
            </w:r>
            <w:r>
              <w:t>309</w:t>
            </w:r>
            <w:r>
              <w:fldChar w:fldCharType="end"/>
            </w:r>
          </w:hyperlink>
        </w:p>
        <w:p>
          <w:pPr>
            <w:pStyle w:val="11"/>
            <w:ind w:left="360"/>
            <w:tabs>
              <w:tab w:val="right" w:leader="dot" w:pos="9026"/>
            </w:tabs>
            <w:spacing w:before="120" w:after="60"/>
          </w:pPr>
          <w:hyperlink w:anchor="_Toc100168" w:history="1">
            <w:r>
              <w:rPr>
                <w:rStyle w:val="Hyperlink"/>
              </w:rPr>
              <w:t>15.6 Concentration Limits and Chain Diversification</w:t>
            </w:r>
            <w:r>
              <w:tab/>
            </w:r>
            <w:r>
              <w:fldChar w:fldCharType="begin"/>
            </w:r>
            <w:r>
              <w:instrText xml:space="preserve"> PAGEREF _Toc100168 \h </w:instrText>
            </w:r>
            <w:r>
              <w:fldChar w:fldCharType="separate"/>
            </w:r>
            <w:r>
              <w:t>309</w:t>
            </w:r>
            <w:r>
              <w:fldChar w:fldCharType="end"/>
            </w:r>
          </w:hyperlink>
        </w:p>
        <w:p>
          <w:pPr>
            <w:pStyle w:val="12"/>
            <w:ind w:left="720"/>
            <w:tabs>
              <w:tab w:val="right" w:leader="dot" w:pos="9026"/>
            </w:tabs>
            <w:spacing w:before="120" w:after="60"/>
          </w:pPr>
          <w:hyperlink w:anchor="_Toc100169" w:history="1">
            <w:r>
              <w:rPr>
                <w:rStyle w:val="Hyperlink"/>
              </w:rPr>
              <w:t>15.6.1 Issuer Concentration</w:t>
            </w:r>
            <w:r>
              <w:tab/>
            </w:r>
            <w:r>
              <w:fldChar w:fldCharType="begin"/>
            </w:r>
            <w:r>
              <w:instrText xml:space="preserve"> PAGEREF _Toc100169 \h </w:instrText>
            </w:r>
            <w:r>
              <w:fldChar w:fldCharType="separate"/>
            </w:r>
            <w:r>
              <w:t>309</w:t>
            </w:r>
            <w:r>
              <w:fldChar w:fldCharType="end"/>
            </w:r>
          </w:hyperlink>
        </w:p>
        <w:p>
          <w:pPr>
            <w:pStyle w:val="12"/>
            <w:ind w:left="720"/>
            <w:tabs>
              <w:tab w:val="right" w:leader="dot" w:pos="9026"/>
            </w:tabs>
            <w:spacing w:before="120" w:after="60"/>
          </w:pPr>
          <w:hyperlink w:anchor="_Toc100170" w:history="1">
            <w:r>
              <w:rPr>
                <w:rStyle w:val="Hyperlink"/>
              </w:rPr>
              <w:t>15.6.2 Reserve Concentration by Asset</w:t>
            </w:r>
            <w:r>
              <w:tab/>
            </w:r>
            <w:r>
              <w:fldChar w:fldCharType="begin"/>
            </w:r>
            <w:r>
              <w:instrText xml:space="preserve"> PAGEREF _Toc100170 \h </w:instrText>
            </w:r>
            <w:r>
              <w:fldChar w:fldCharType="separate"/>
            </w:r>
            <w:r>
              <w:t>310</w:t>
            </w:r>
            <w:r>
              <w:fldChar w:fldCharType="end"/>
            </w:r>
          </w:hyperlink>
        </w:p>
        <w:p>
          <w:pPr>
            <w:pStyle w:val="12"/>
            <w:ind w:left="720"/>
            <w:tabs>
              <w:tab w:val="right" w:leader="dot" w:pos="9026"/>
            </w:tabs>
            <w:spacing w:before="120" w:after="60"/>
          </w:pPr>
          <w:hyperlink w:anchor="_Toc100171" w:history="1">
            <w:r>
              <w:rPr>
                <w:rStyle w:val="Hyperlink"/>
              </w:rPr>
              <w:t>15.6.3 Currency Concentration</w:t>
            </w:r>
            <w:r>
              <w:tab/>
            </w:r>
            <w:r>
              <w:fldChar w:fldCharType="begin"/>
            </w:r>
            <w:r>
              <w:instrText xml:space="preserve"> PAGEREF _Toc100171 \h </w:instrText>
            </w:r>
            <w:r>
              <w:fldChar w:fldCharType="separate"/>
            </w:r>
            <w:r>
              <w:t>311</w:t>
            </w:r>
            <w:r>
              <w:fldChar w:fldCharType="end"/>
            </w:r>
          </w:hyperlink>
        </w:p>
        <w:p>
          <w:pPr>
            <w:pStyle w:val="12"/>
            <w:ind w:left="720"/>
            <w:tabs>
              <w:tab w:val="right" w:leader="dot" w:pos="9026"/>
            </w:tabs>
            <w:spacing w:before="120" w:after="60"/>
          </w:pPr>
          <w:hyperlink w:anchor="_Toc100172" w:history="1">
            <w:r>
              <w:rPr>
                <w:rStyle w:val="Hyperlink"/>
              </w:rPr>
              <w:t>15.6.4 Chain Diversification Policy</w:t>
            </w:r>
            <w:r>
              <w:tab/>
            </w:r>
            <w:r>
              <w:fldChar w:fldCharType="begin"/>
            </w:r>
            <w:r>
              <w:instrText xml:space="preserve"> PAGEREF _Toc100172 \h </w:instrText>
            </w:r>
            <w:r>
              <w:fldChar w:fldCharType="separate"/>
            </w:r>
            <w:r>
              <w:t>312</w:t>
            </w:r>
            <w:r>
              <w:fldChar w:fldCharType="end"/>
            </w:r>
          </w:hyperlink>
        </w:p>
        <w:p>
          <w:pPr>
            <w:pStyle w:val="11"/>
            <w:ind w:left="360"/>
            <w:tabs>
              <w:tab w:val="right" w:leader="dot" w:pos="9026"/>
            </w:tabs>
            <w:spacing w:before="120" w:after="60"/>
          </w:pPr>
          <w:hyperlink w:anchor="_Toc100173" w:history="1">
            <w:r>
              <w:rPr>
                <w:rStyle w:val="Hyperlink"/>
              </w:rPr>
              <w:t>15.7 Integration and Events</w:t>
            </w:r>
            <w:r>
              <w:tab/>
            </w:r>
            <w:r>
              <w:fldChar w:fldCharType="begin"/>
            </w:r>
            <w:r>
              <w:instrText xml:space="preserve"> PAGEREF _Toc100173 \h </w:instrText>
            </w:r>
            <w:r>
              <w:fldChar w:fldCharType="separate"/>
            </w:r>
            <w:r>
              <w:t>313</w:t>
            </w:r>
            <w:r>
              <w:fldChar w:fldCharType="end"/>
            </w:r>
          </w:hyperlink>
        </w:p>
        <w:p>
          <w:pPr>
            <w:pStyle w:val="11"/>
            <w:ind w:left="360"/>
            <w:tabs>
              <w:tab w:val="right" w:leader="dot" w:pos="9026"/>
            </w:tabs>
            <w:spacing w:before="120" w:after="60"/>
          </w:pPr>
          <w:hyperlink w:anchor="_Toc100174" w:history="1">
            <w:r>
              <w:rPr>
                <w:rStyle w:val="Hyperlink"/>
              </w:rPr>
              <w:t>15.8 Smart Contract Implementation — Asset Admission Registry</w:t>
            </w:r>
            <w:r>
              <w:tab/>
            </w:r>
            <w:r>
              <w:fldChar w:fldCharType="begin"/>
            </w:r>
            <w:r>
              <w:instrText xml:space="preserve"> PAGEREF _Toc100174 \h </w:instrText>
            </w:r>
            <w:r>
              <w:fldChar w:fldCharType="separate"/>
            </w:r>
            <w:r>
              <w:t>314</w:t>
            </w:r>
            <w:r>
              <w:fldChar w:fldCharType="end"/>
            </w:r>
          </w:hyperlink>
        </w:p>
        <w:p>
          <w:pPr>
            <w:pStyle w:val="9"/>
            <w:tabs>
              <w:tab w:val="right" w:leader="dot" w:pos="9026"/>
            </w:tabs>
            <w:spacing w:before="120" w:after="60"/>
          </w:pPr>
          <w:hyperlink w:anchor="_Toc100175" w:history="1">
            <w:r>
              <w:rPr>
                <w:rStyle w:val="Hyperlink"/>
              </w:rPr>
              <w:t>16. The Dynamic Buffer</w:t>
            </w:r>
            <w:r>
              <w:tab/>
            </w:r>
            <w:r>
              <w:fldChar w:fldCharType="begin"/>
            </w:r>
            <w:r>
              <w:instrText xml:space="preserve"> PAGEREF _Toc100175 \h </w:instrText>
            </w:r>
            <w:r>
              <w:fldChar w:fldCharType="separate"/>
            </w:r>
            <w:r>
              <w:t>336</w:t>
            </w:r>
            <w:r>
              <w:fldChar w:fldCharType="end"/>
            </w:r>
          </w:hyperlink>
        </w:p>
        <w:p>
          <w:pPr>
            <w:pStyle w:val="11"/>
            <w:ind w:left="360"/>
            <w:tabs>
              <w:tab w:val="right" w:leader="dot" w:pos="9026"/>
            </w:tabs>
            <w:spacing w:before="120" w:after="60"/>
          </w:pPr>
          <w:hyperlink w:anchor="_Toc100176" w:history="1">
            <w:r>
              <w:rPr>
                <w:rStyle w:val="Hyperlink"/>
              </w:rPr>
              <w:t>16.1 Purpose</w:t>
            </w:r>
            <w:r>
              <w:tab/>
            </w:r>
            <w:r>
              <w:fldChar w:fldCharType="begin"/>
            </w:r>
            <w:r>
              <w:instrText xml:space="preserve"> PAGEREF _Toc100176 \h </w:instrText>
            </w:r>
            <w:r>
              <w:fldChar w:fldCharType="separate"/>
            </w:r>
            <w:r>
              <w:t>336</w:t>
            </w:r>
            <w:r>
              <w:fldChar w:fldCharType="end"/>
            </w:r>
          </w:hyperlink>
        </w:p>
        <w:p>
          <w:pPr>
            <w:pStyle w:val="11"/>
            <w:ind w:left="360"/>
            <w:tabs>
              <w:tab w:val="right" w:leader="dot" w:pos="9026"/>
            </w:tabs>
            <w:spacing w:before="120" w:after="60"/>
          </w:pPr>
          <w:hyperlink w:anchor="_Toc100177" w:history="1">
            <w:r>
              <w:rPr>
                <w:rStyle w:val="Hyperlink"/>
              </w:rPr>
              <w:t>16.2 The Three Buffer States</w:t>
            </w:r>
            <w:r>
              <w:tab/>
            </w:r>
            <w:r>
              <w:fldChar w:fldCharType="begin"/>
            </w:r>
            <w:r>
              <w:instrText xml:space="preserve"> PAGEREF _Toc100177 \h </w:instrText>
            </w:r>
            <w:r>
              <w:fldChar w:fldCharType="separate"/>
            </w:r>
            <w:r>
              <w:t>337</w:t>
            </w:r>
            <w:r>
              <w:fldChar w:fldCharType="end"/>
            </w:r>
          </w:hyperlink>
        </w:p>
        <w:p>
          <w:pPr>
            <w:pStyle w:val="11"/>
            <w:ind w:left="360"/>
            <w:tabs>
              <w:tab w:val="right" w:leader="dot" w:pos="9026"/>
            </w:tabs>
            <w:spacing w:before="120" w:after="60"/>
          </w:pPr>
          <w:hyperlink w:anchor="_Toc100178" w:history="1">
            <w:r>
              <w:rPr>
                <w:rStyle w:val="Hyperlink"/>
              </w:rPr>
              <w:t>16.3 Buffer Allocation and State Transitions</w:t>
            </w:r>
            <w:r>
              <w:tab/>
            </w:r>
            <w:r>
              <w:fldChar w:fldCharType="begin"/>
            </w:r>
            <w:r>
              <w:instrText xml:space="preserve"> PAGEREF _Toc100178 \h </w:instrText>
            </w:r>
            <w:r>
              <w:fldChar w:fldCharType="separate"/>
            </w:r>
            <w:r>
              <w:t>338</w:t>
            </w:r>
            <w:r>
              <w:fldChar w:fldCharType="end"/>
            </w:r>
          </w:hyperlink>
        </w:p>
        <w:p>
          <w:pPr>
            <w:pStyle w:val="11"/>
            <w:ind w:left="360"/>
            <w:tabs>
              <w:tab w:val="right" w:leader="dot" w:pos="9026"/>
            </w:tabs>
            <w:spacing w:before="120" w:after="60"/>
          </w:pPr>
          <w:hyperlink w:anchor="_Toc100179" w:history="1">
            <w:r>
              <w:rPr>
                <w:rStyle w:val="Hyperlink"/>
              </w:rPr>
              <w:t>16.4 Buffer Consumption — The First-Loss Waterfall</w:t>
            </w:r>
            <w:r>
              <w:tab/>
            </w:r>
            <w:r>
              <w:fldChar w:fldCharType="begin"/>
            </w:r>
            <w:r>
              <w:instrText xml:space="preserve"> PAGEREF _Toc100179 \h </w:instrText>
            </w:r>
            <w:r>
              <w:fldChar w:fldCharType="separate"/>
            </w:r>
            <w:r>
              <w:t>340</w:t>
            </w:r>
            <w:r>
              <w:fldChar w:fldCharType="end"/>
            </w:r>
          </w:hyperlink>
        </w:p>
        <w:p>
          <w:pPr>
            <w:pStyle w:val="12"/>
            <w:ind w:left="720"/>
            <w:tabs>
              <w:tab w:val="right" w:leader="dot" w:pos="9026"/>
            </w:tabs>
            <w:spacing w:before="120" w:after="60"/>
          </w:pPr>
          <w:hyperlink w:anchor="_Toc100180" w:history="1">
            <w:r>
              <w:rPr>
                <w:rStyle w:val="Hyperlink"/>
              </w:rPr>
              <w:t>16.4.1 Integration with the Rebalancing Engine</w:t>
            </w:r>
            <w:r>
              <w:tab/>
            </w:r>
            <w:r>
              <w:fldChar w:fldCharType="begin"/>
            </w:r>
            <w:r>
              <w:instrText xml:space="preserve"> PAGEREF _Toc100180 \h </w:instrText>
            </w:r>
            <w:r>
              <w:fldChar w:fldCharType="separate"/>
            </w:r>
            <w:r>
              <w:t>341</w:t>
            </w:r>
            <w:r>
              <w:fldChar w:fldCharType="end"/>
            </w:r>
          </w:hyperlink>
        </w:p>
        <w:p>
          <w:pPr>
            <w:pStyle w:val="11"/>
            <w:ind w:left="360"/>
            <w:tabs>
              <w:tab w:val="right" w:leader="dot" w:pos="9026"/>
            </w:tabs>
            <w:spacing w:before="120" w:after="60"/>
          </w:pPr>
          <w:hyperlink w:anchor="_Toc100181" w:history="1">
            <w:r>
              <w:rPr>
                <w:rStyle w:val="Hyperlink"/>
              </w:rPr>
              <w:t>16.5 Smart Contract Implementation — Dynamic Buffer</w:t>
            </w:r>
            <w:r>
              <w:tab/>
            </w:r>
            <w:r>
              <w:fldChar w:fldCharType="begin"/>
            </w:r>
            <w:r>
              <w:instrText xml:space="preserve"> PAGEREF _Toc100181 \h </w:instrText>
            </w:r>
            <w:r>
              <w:fldChar w:fldCharType="separate"/>
            </w:r>
            <w:r>
              <w:t>343</w:t>
            </w:r>
            <w:r>
              <w:fldChar w:fldCharType="end"/>
            </w:r>
          </w:hyperlink>
        </w:p>
        <w:p>
          <w:pPr>
            <w:pStyle w:val="12"/>
            <w:ind w:left="720"/>
            <w:tabs>
              <w:tab w:val="right" w:leader="dot" w:pos="9026"/>
            </w:tabs>
            <w:spacing w:before="120" w:after="60"/>
          </w:pPr>
          <w:hyperlink w:anchor="_Toc100182" w:history="1">
            <w:r>
              <w:rPr>
                <w:rStyle w:val="Hyperlink"/>
              </w:rPr>
              <w:t>16.5.1 The Contract</w:t>
            </w:r>
            <w:r>
              <w:tab/>
            </w:r>
            <w:r>
              <w:fldChar w:fldCharType="begin"/>
            </w:r>
            <w:r>
              <w:instrText xml:space="preserve"> PAGEREF _Toc100182 \h </w:instrText>
            </w:r>
            <w:r>
              <w:fldChar w:fldCharType="separate"/>
            </w:r>
            <w:r>
              <w:t>343</w:t>
            </w:r>
            <w:r>
              <w:fldChar w:fldCharType="end"/>
            </w:r>
          </w:hyperlink>
        </w:p>
        <w:p>
          <w:pPr>
            <w:pStyle w:val="12"/>
            <w:ind w:left="720"/>
            <w:tabs>
              <w:tab w:val="right" w:leader="dot" w:pos="9026"/>
            </w:tabs>
            <w:spacing w:before="120" w:after="60"/>
          </w:pPr>
          <w:hyperlink w:anchor="_Toc100183" w:history="1">
            <w:r>
              <w:rPr>
                <w:rStyle w:val="Hyperlink"/>
              </w:rPr>
              <w:t>16.5.2 Developer-Facing Constants</w:t>
            </w:r>
            <w:r>
              <w:tab/>
            </w:r>
            <w:r>
              <w:fldChar w:fldCharType="begin"/>
            </w:r>
            <w:r>
              <w:instrText xml:space="preserve"> PAGEREF _Toc100183 \h </w:instrText>
            </w:r>
            <w:r>
              <w:fldChar w:fldCharType="separate"/>
            </w:r>
            <w:r>
              <w:t>380</w:t>
            </w:r>
            <w:r>
              <w:fldChar w:fldCharType="end"/>
            </w:r>
          </w:hyperlink>
        </w:p>
        <w:p>
          <w:pPr>
            <w:pStyle w:val="9"/>
            <w:tabs>
              <w:tab w:val="right" w:leader="dot" w:pos="9026"/>
            </w:tabs>
            <w:spacing w:before="120" w:after="60"/>
          </w:pPr>
          <w:hyperlink w:anchor="_Toc100184" w:history="1">
            <w:r>
              <w:rPr>
                <w:rStyle w:val="Hyperlink"/>
              </w:rPr>
              <w:t>17. Oracle Architecture and the Canonical Gold Price</w:t>
            </w:r>
            <w:r>
              <w:tab/>
            </w:r>
            <w:r>
              <w:fldChar w:fldCharType="begin"/>
            </w:r>
            <w:r>
              <w:instrText xml:space="preserve"> PAGEREF _Toc100184 \h </w:instrText>
            </w:r>
            <w:r>
              <w:fldChar w:fldCharType="separate"/>
            </w:r>
            <w:r>
              <w:t>380</w:t>
            </w:r>
            <w:r>
              <w:fldChar w:fldCharType="end"/>
            </w:r>
          </w:hyperlink>
        </w:p>
        <w:p>
          <w:pPr>
            <w:pStyle w:val="11"/>
            <w:ind w:left="360"/>
            <w:tabs>
              <w:tab w:val="right" w:leader="dot" w:pos="9026"/>
            </w:tabs>
            <w:spacing w:before="120" w:after="60"/>
          </w:pPr>
          <w:hyperlink w:anchor="_Toc100185" w:history="1">
            <w:r>
              <w:rPr>
                <w:rStyle w:val="Hyperlink"/>
              </w:rPr>
              <w:t>17.1 Purpose and Design Principles</w:t>
            </w:r>
            <w:r>
              <w:tab/>
            </w:r>
            <w:r>
              <w:fldChar w:fldCharType="begin"/>
            </w:r>
            <w:r>
              <w:instrText xml:space="preserve"> PAGEREF _Toc100185 \h </w:instrText>
            </w:r>
            <w:r>
              <w:fldChar w:fldCharType="separate"/>
            </w:r>
            <w:r>
              <w:t>380</w:t>
            </w:r>
            <w:r>
              <w:fldChar w:fldCharType="end"/>
            </w:r>
          </w:hyperlink>
        </w:p>
        <w:p>
          <w:pPr>
            <w:pStyle w:val="11"/>
            <w:ind w:left="360"/>
            <w:tabs>
              <w:tab w:val="right" w:leader="dot" w:pos="9026"/>
            </w:tabs>
            <w:spacing w:before="120" w:after="60"/>
          </w:pPr>
          <w:hyperlink w:anchor="_Toc100186" w:history="1">
            <w:r>
              <w:rPr>
                <w:rStyle w:val="Hyperlink"/>
              </w:rPr>
              <w:t>17.2 The Three-Source Consensus Model</w:t>
            </w:r>
            <w:r>
              <w:tab/>
            </w:r>
            <w:r>
              <w:fldChar w:fldCharType="begin"/>
            </w:r>
            <w:r>
              <w:instrText xml:space="preserve"> PAGEREF _Toc100186 \h </w:instrText>
            </w:r>
            <w:r>
              <w:fldChar w:fldCharType="separate"/>
            </w:r>
            <w:r>
              <w:t>381</w:t>
            </w:r>
            <w:r>
              <w:fldChar w:fldCharType="end"/>
            </w:r>
          </w:hyperlink>
        </w:p>
        <w:p>
          <w:pPr>
            <w:pStyle w:val="11"/>
            <w:ind w:left="360"/>
            <w:tabs>
              <w:tab w:val="right" w:leader="dot" w:pos="9026"/>
            </w:tabs>
            <w:spacing w:before="120" w:after="60"/>
          </w:pPr>
          <w:hyperlink w:anchor="_Toc100187" w:history="1">
            <w:r>
              <w:rPr>
                <w:rStyle w:val="Hyperlink"/>
              </w:rPr>
              <w:t>17.3 Validation Criteria</w:t>
            </w:r>
            <w:r>
              <w:tab/>
            </w:r>
            <w:r>
              <w:fldChar w:fldCharType="begin"/>
            </w:r>
            <w:r>
              <w:instrText xml:space="preserve"> PAGEREF _Toc100187 \h </w:instrText>
            </w:r>
            <w:r>
              <w:fldChar w:fldCharType="separate"/>
            </w:r>
            <w:r>
              <w:t>383</w:t>
            </w:r>
            <w:r>
              <w:fldChar w:fldCharType="end"/>
            </w:r>
          </w:hyperlink>
        </w:p>
        <w:p>
          <w:pPr>
            <w:pStyle w:val="12"/>
            <w:ind w:left="720"/>
            <w:tabs>
              <w:tab w:val="right" w:leader="dot" w:pos="9026"/>
            </w:tabs>
            <w:spacing w:before="120" w:after="60"/>
          </w:pPr>
          <w:hyperlink w:anchor="_Toc100188" w:history="1">
            <w:r>
              <w:rPr>
                <w:rStyle w:val="Hyperlink"/>
              </w:rPr>
              <w:t>17.3.1 Timestamp Freshness</w:t>
            </w:r>
            <w:r>
              <w:tab/>
            </w:r>
            <w:r>
              <w:fldChar w:fldCharType="begin"/>
            </w:r>
            <w:r>
              <w:instrText xml:space="preserve"> PAGEREF _Toc100188 \h </w:instrText>
            </w:r>
            <w:r>
              <w:fldChar w:fldCharType="separate"/>
            </w:r>
            <w:r>
              <w:t>383</w:t>
            </w:r>
            <w:r>
              <w:fldChar w:fldCharType="end"/>
            </w:r>
          </w:hyperlink>
        </w:p>
        <w:p>
          <w:pPr>
            <w:pStyle w:val="12"/>
            <w:ind w:left="720"/>
            <w:tabs>
              <w:tab w:val="right" w:leader="dot" w:pos="9026"/>
            </w:tabs>
            <w:spacing w:before="120" w:after="60"/>
          </w:pPr>
          <w:hyperlink w:anchor="_Toc100189" w:history="1">
            <w:r>
              <w:rPr>
                <w:rStyle w:val="Hyperlink"/>
              </w:rPr>
              <w:t>17.3.2 Confidence Interval (Pyth-Specific)</w:t>
            </w:r>
            <w:r>
              <w:tab/>
            </w:r>
            <w:r>
              <w:fldChar w:fldCharType="begin"/>
            </w:r>
            <w:r>
              <w:instrText xml:space="preserve"> PAGEREF _Toc100189 \h </w:instrText>
            </w:r>
            <w:r>
              <w:fldChar w:fldCharType="separate"/>
            </w:r>
            <w:r>
              <w:t>383</w:t>
            </w:r>
            <w:r>
              <w:fldChar w:fldCharType="end"/>
            </w:r>
          </w:hyperlink>
        </w:p>
        <w:p>
          <w:pPr>
            <w:pStyle w:val="12"/>
            <w:ind w:left="720"/>
            <w:tabs>
              <w:tab w:val="right" w:leader="dot" w:pos="9026"/>
            </w:tabs>
            <w:spacing w:before="120" w:after="60"/>
          </w:pPr>
          <w:hyperlink w:anchor="_Toc100190" w:history="1">
            <w:r>
              <w:rPr>
                <w:rStyle w:val="Hyperlink"/>
              </w:rPr>
              <w:t>17.3.3 Deviation Circuit Breaker</w:t>
            </w:r>
            <w:r>
              <w:tab/>
            </w:r>
            <w:r>
              <w:fldChar w:fldCharType="begin"/>
            </w:r>
            <w:r>
              <w:instrText xml:space="preserve"> PAGEREF _Toc100190 \h </w:instrText>
            </w:r>
            <w:r>
              <w:fldChar w:fldCharType="separate"/>
            </w:r>
            <w:r>
              <w:t>384</w:t>
            </w:r>
            <w:r>
              <w:fldChar w:fldCharType="end"/>
            </w:r>
          </w:hyperlink>
        </w:p>
        <w:p>
          <w:pPr>
            <w:pStyle w:val="12"/>
            <w:ind w:left="720"/>
            <w:tabs>
              <w:tab w:val="right" w:leader="dot" w:pos="9026"/>
            </w:tabs>
            <w:spacing w:before="120" w:after="60"/>
          </w:pPr>
          <w:hyperlink w:anchor="_Toc100191" w:history="1">
            <w:r>
              <w:rPr>
                <w:rStyle w:val="Hyperlink"/>
              </w:rPr>
              <w:t>17.3.4 Source Independence Check</w:t>
            </w:r>
            <w:r>
              <w:tab/>
            </w:r>
            <w:r>
              <w:fldChar w:fldCharType="begin"/>
            </w:r>
            <w:r>
              <w:instrText xml:space="preserve"> PAGEREF _Toc100191 \h </w:instrText>
            </w:r>
            <w:r>
              <w:fldChar w:fldCharType="separate"/>
            </w:r>
            <w:r>
              <w:t>384</w:t>
            </w:r>
            <w:r>
              <w:fldChar w:fldCharType="end"/>
            </w:r>
          </w:hyperlink>
        </w:p>
        <w:p>
          <w:pPr>
            <w:pStyle w:val="11"/>
            <w:ind w:left="360"/>
            <w:tabs>
              <w:tab w:val="right" w:leader="dot" w:pos="9026"/>
            </w:tabs>
            <w:spacing w:before="120" w:after="60"/>
          </w:pPr>
          <w:hyperlink w:anchor="_Toc100192" w:history="1">
            <w:r>
              <w:rPr>
                <w:rStyle w:val="Hyperlink"/>
              </w:rPr>
              <w:t>17.4 The Gold Price Reference Unit and Canonical Gold Price</w:t>
            </w:r>
            <w:r>
              <w:tab/>
            </w:r>
            <w:r>
              <w:fldChar w:fldCharType="begin"/>
            </w:r>
            <w:r>
              <w:instrText xml:space="preserve"> PAGEREF _Toc100192 \h </w:instrText>
            </w:r>
            <w:r>
              <w:fldChar w:fldCharType="separate"/>
            </w:r>
            <w:r>
              <w:t>385</w:t>
            </w:r>
            <w:r>
              <w:fldChar w:fldCharType="end"/>
            </w:r>
          </w:hyperlink>
        </w:p>
        <w:p>
          <w:pPr>
            <w:pStyle w:val="11"/>
            <w:ind w:left="360"/>
            <w:tabs>
              <w:tab w:val="right" w:leader="dot" w:pos="9026"/>
            </w:tabs>
            <w:spacing w:before="120" w:after="60"/>
          </w:pPr>
          <w:hyperlink w:anchor="_Toc100193" w:history="1">
            <w:r>
              <w:rPr>
                <w:rStyle w:val="Hyperlink"/>
              </w:rPr>
              <w:t>17.5 Price Aggregation Logic</w:t>
            </w:r>
            <w:r>
              <w:tab/>
            </w:r>
            <w:r>
              <w:fldChar w:fldCharType="begin"/>
            </w:r>
            <w:r>
              <w:instrText xml:space="preserve"> PAGEREF _Toc100193 \h </w:instrText>
            </w:r>
            <w:r>
              <w:fldChar w:fldCharType="separate"/>
            </w:r>
            <w:r>
              <w:t>386</w:t>
            </w:r>
            <w:r>
              <w:fldChar w:fldCharType="end"/>
            </w:r>
          </w:hyperlink>
        </w:p>
        <w:p>
          <w:pPr>
            <w:pStyle w:val="11"/>
            <w:ind w:left="360"/>
            <w:tabs>
              <w:tab w:val="right" w:leader="dot" w:pos="9026"/>
            </w:tabs>
            <w:spacing w:before="120" w:after="60"/>
          </w:pPr>
          <w:hyperlink w:anchor="_Toc100194" w:history="1">
            <w:r>
              <w:rPr>
                <w:rStyle w:val="Hyperlink"/>
              </w:rPr>
              <w:t>17.6 Gold Oracle Confidence Mathematics</w:t>
            </w:r>
            <w:r>
              <w:tab/>
            </w:r>
            <w:r>
              <w:fldChar w:fldCharType="begin"/>
            </w:r>
            <w:r>
              <w:instrText xml:space="preserve"> PAGEREF _Toc100194 \h </w:instrText>
            </w:r>
            <w:r>
              <w:fldChar w:fldCharType="separate"/>
            </w:r>
            <w:r>
              <w:t>388</w:t>
            </w:r>
            <w:r>
              <w:fldChar w:fldCharType="end"/>
            </w:r>
          </w:hyperlink>
        </w:p>
        <w:p>
          <w:pPr>
            <w:pStyle w:val="11"/>
            <w:ind w:left="360"/>
            <w:tabs>
              <w:tab w:val="right" w:leader="dot" w:pos="9026"/>
            </w:tabs>
            <w:spacing w:before="120" w:after="60"/>
          </w:pPr>
          <w:hyperlink w:anchor="_Toc100195" w:history="1">
            <w:r>
              <w:rPr>
                <w:rStyle w:val="Hyperlink"/>
              </w:rPr>
              <w:t>17.7 Oracle States and Degradation Modes</w:t>
            </w:r>
            <w:r>
              <w:tab/>
            </w:r>
            <w:r>
              <w:fldChar w:fldCharType="begin"/>
            </w:r>
            <w:r>
              <w:instrText xml:space="preserve"> PAGEREF _Toc100195 \h </w:instrText>
            </w:r>
            <w:r>
              <w:fldChar w:fldCharType="separate"/>
            </w:r>
            <w:r>
              <w:t>390</w:t>
            </w:r>
            <w:r>
              <w:fldChar w:fldCharType="end"/>
            </w:r>
          </w:hyperlink>
        </w:p>
        <w:p>
          <w:pPr>
            <w:pStyle w:val="11"/>
            <w:ind w:left="360"/>
            <w:tabs>
              <w:tab w:val="right" w:leader="dot" w:pos="9026"/>
            </w:tabs>
            <w:spacing w:before="120" w:after="60"/>
          </w:pPr>
          <w:hyperlink w:anchor="_Toc100196" w:history="1">
            <w:r>
              <w:rPr>
                <w:rStyle w:val="Hyperlink"/>
              </w:rPr>
              <w:t>17.8 Staleness and Heartbeat Management</w:t>
            </w:r>
            <w:r>
              <w:tab/>
            </w:r>
            <w:r>
              <w:fldChar w:fldCharType="begin"/>
            </w:r>
            <w:r>
              <w:instrText xml:space="preserve"> PAGEREF _Toc100196 \h </w:instrText>
            </w:r>
            <w:r>
              <w:fldChar w:fldCharType="separate"/>
            </w:r>
            <w:r>
              <w:t>391</w:t>
            </w:r>
            <w:r>
              <w:fldChar w:fldCharType="end"/>
            </w:r>
          </w:hyperlink>
        </w:p>
        <w:p>
          <w:pPr>
            <w:pStyle w:val="11"/>
            <w:ind w:left="360"/>
            <w:tabs>
              <w:tab w:val="right" w:leader="dot" w:pos="9026"/>
            </w:tabs>
            <w:spacing w:before="120" w:after="60"/>
          </w:pPr>
          <w:hyperlink w:anchor="_Toc100197" w:history="1">
            <w:r>
              <w:rPr>
                <w:rStyle w:val="Hyperlink"/>
              </w:rPr>
              <w:t>17.9 Cross-Source Correlation Detection</w:t>
            </w:r>
            <w:r>
              <w:tab/>
            </w:r>
            <w:r>
              <w:fldChar w:fldCharType="begin"/>
            </w:r>
            <w:r>
              <w:instrText xml:space="preserve"> PAGEREF _Toc100197 \h </w:instrText>
            </w:r>
            <w:r>
              <w:fldChar w:fldCharType="separate"/>
            </w:r>
            <w:r>
              <w:t>392</w:t>
            </w:r>
            <w:r>
              <w:fldChar w:fldCharType="end"/>
            </w:r>
          </w:hyperlink>
        </w:p>
        <w:p>
          <w:pPr>
            <w:pStyle w:val="11"/>
            <w:ind w:left="360"/>
            <w:tabs>
              <w:tab w:val="right" w:leader="dot" w:pos="9026"/>
            </w:tabs>
            <w:spacing w:before="120" w:after="60"/>
          </w:pPr>
          <w:hyperlink w:anchor="_Toc100198" w:history="1">
            <w:r>
              <w:rPr>
                <w:rStyle w:val="Hyperlink"/>
              </w:rPr>
              <w:t>17.10 Asset-Specific Oracle Addresses</w:t>
            </w:r>
            <w:r>
              <w:tab/>
            </w:r>
            <w:r>
              <w:fldChar w:fldCharType="begin"/>
            </w:r>
            <w:r>
              <w:instrText xml:space="preserve"> PAGEREF _Toc100198 \h </w:instrText>
            </w:r>
            <w:r>
              <w:fldChar w:fldCharType="separate"/>
            </w:r>
            <w:r>
              <w:t>392</w:t>
            </w:r>
            <w:r>
              <w:fldChar w:fldCharType="end"/>
            </w:r>
          </w:hyperlink>
        </w:p>
        <w:p>
          <w:pPr>
            <w:pStyle w:val="11"/>
            <w:ind w:left="360"/>
            <w:tabs>
              <w:tab w:val="right" w:leader="dot" w:pos="9026"/>
            </w:tabs>
            <w:spacing w:before="120" w:after="60"/>
          </w:pPr>
          <w:hyperlink w:anchor="_Toc100199" w:history="1">
            <w:r>
              <w:rPr>
                <w:rStyle w:val="Hyperlink"/>
              </w:rPr>
              <w:t>17.11 Contract State and Events</w:t>
            </w:r>
            <w:r>
              <w:tab/>
            </w:r>
            <w:r>
              <w:fldChar w:fldCharType="begin"/>
            </w:r>
            <w:r>
              <w:instrText xml:space="preserve"> PAGEREF _Toc100199 \h </w:instrText>
            </w:r>
            <w:r>
              <w:fldChar w:fldCharType="separate"/>
            </w:r>
            <w:r>
              <w:t>393</w:t>
            </w:r>
            <w:r>
              <w:fldChar w:fldCharType="end"/>
            </w:r>
          </w:hyperlink>
        </w:p>
        <w:p>
          <w:pPr>
            <w:pStyle w:val="11"/>
            <w:ind w:left="360"/>
            <w:tabs>
              <w:tab w:val="right" w:leader="dot" w:pos="9026"/>
            </w:tabs>
            <w:spacing w:before="120" w:after="60"/>
          </w:pPr>
          <w:hyperlink w:anchor="_Toc100200" w:history="1">
            <w:r>
              <w:rPr>
                <w:rStyle w:val="Hyperlink"/>
              </w:rPr>
              <w:t>17.12 Smart Contract Implementation — Oracle Aggregator</w:t>
            </w:r>
            <w:r>
              <w:tab/>
            </w:r>
            <w:r>
              <w:fldChar w:fldCharType="begin"/>
            </w:r>
            <w:r>
              <w:instrText xml:space="preserve"> PAGEREF _Toc100200 \h </w:instrText>
            </w:r>
            <w:r>
              <w:fldChar w:fldCharType="separate"/>
            </w:r>
            <w:r>
              <w:t>394</w:t>
            </w:r>
            <w:r>
              <w:fldChar w:fldCharType="end"/>
            </w:r>
          </w:hyperlink>
        </w:p>
        <w:p>
          <w:pPr>
            <w:pStyle w:val="9"/>
            <w:tabs>
              <w:tab w:val="right" w:leader="dot" w:pos="9026"/>
            </w:tabs>
            <w:spacing w:before="120" w:after="60"/>
          </w:pPr>
          <w:hyperlink w:anchor="_Toc100201" w:history="1">
            <w:r>
              <w:rPr>
                <w:rStyle w:val="Hyperlink"/>
              </w:rPr>
              <w:t>18. The Monetary Unit, Daily State Vector and Monitoring</w:t>
            </w:r>
            <w:r>
              <w:tab/>
            </w:r>
            <w:r>
              <w:fldChar w:fldCharType="begin"/>
            </w:r>
            <w:r>
              <w:instrText xml:space="preserve"> PAGEREF _Toc100201 \h </w:instrText>
            </w:r>
            <w:r>
              <w:fldChar w:fldCharType="separate"/>
            </w:r>
            <w:r>
              <w:t>446</w:t>
            </w:r>
            <w:r>
              <w:fldChar w:fldCharType="end"/>
            </w:r>
          </w:hyperlink>
        </w:p>
        <w:p>
          <w:pPr>
            <w:pStyle w:val="11"/>
            <w:ind w:left="360"/>
            <w:tabs>
              <w:tab w:val="right" w:leader="dot" w:pos="9026"/>
            </w:tabs>
            <w:spacing w:before="120" w:after="60"/>
          </w:pPr>
          <w:hyperlink w:anchor="_Toc100202" w:history="1">
            <w:r>
              <w:rPr>
                <w:rStyle w:val="Hyperlink"/>
              </w:rPr>
              <w:t>18.1 The MTQ Reference Price and PAR</w:t>
            </w:r>
            <w:r>
              <w:tab/>
            </w:r>
            <w:r>
              <w:fldChar w:fldCharType="begin"/>
            </w:r>
            <w:r>
              <w:instrText xml:space="preserve"> PAGEREF _Toc100202 \h </w:instrText>
            </w:r>
            <w:r>
              <w:fldChar w:fldCharType="separate"/>
            </w:r>
            <w:r>
              <w:t>446</w:t>
            </w:r>
            <w:r>
              <w:fldChar w:fldCharType="end"/>
            </w:r>
          </w:hyperlink>
        </w:p>
        <w:p>
          <w:pPr>
            <w:pStyle w:val="11"/>
            <w:ind w:left="360"/>
            <w:tabs>
              <w:tab w:val="right" w:leader="dot" w:pos="9026"/>
            </w:tabs>
            <w:spacing w:before="120" w:after="60"/>
          </w:pPr>
          <w:hyperlink w:anchor="_Toc100203" w:history="1">
            <w:r>
              <w:rPr>
                <w:rStyle w:val="Hyperlink"/>
              </w:rPr>
              <w:t>18.2 The Liability and Solvency Identity</w:t>
            </w:r>
            <w:r>
              <w:tab/>
            </w:r>
            <w:r>
              <w:fldChar w:fldCharType="begin"/>
            </w:r>
            <w:r>
              <w:instrText xml:space="preserve"> PAGEREF _Toc100203 \h </w:instrText>
            </w:r>
            <w:r>
              <w:fldChar w:fldCharType="separate"/>
            </w:r>
            <w:r>
              <w:t>447</w:t>
            </w:r>
            <w:r>
              <w:fldChar w:fldCharType="end"/>
            </w:r>
          </w:hyperlink>
        </w:p>
        <w:p>
          <w:pPr>
            <w:pStyle w:val="11"/>
            <w:ind w:left="360"/>
            <w:tabs>
              <w:tab w:val="right" w:leader="dot" w:pos="9026"/>
            </w:tabs>
            <w:spacing w:before="120" w:after="60"/>
          </w:pPr>
          <w:hyperlink w:anchor="_Toc100204" w:history="1">
            <w:r>
              <w:rPr>
                <w:rStyle w:val="Hyperlink"/>
              </w:rPr>
              <w:t>18.3 The Full Daily State Vector</w:t>
            </w:r>
            <w:r>
              <w:tab/>
            </w:r>
            <w:r>
              <w:fldChar w:fldCharType="begin"/>
            </w:r>
            <w:r>
              <w:instrText xml:space="preserve"> PAGEREF _Toc100204 \h </w:instrText>
            </w:r>
            <w:r>
              <w:fldChar w:fldCharType="separate"/>
            </w:r>
            <w:r>
              <w:t>448</w:t>
            </w:r>
            <w:r>
              <w:fldChar w:fldCharType="end"/>
            </w:r>
          </w:hyperlink>
        </w:p>
        <w:p>
          <w:pPr>
            <w:pStyle w:val="11"/>
            <w:ind w:left="360"/>
            <w:tabs>
              <w:tab w:val="right" w:leader="dot" w:pos="9026"/>
            </w:tabs>
            <w:spacing w:before="120" w:after="60"/>
          </w:pPr>
          <w:hyperlink w:anchor="_Toc100205" w:history="1">
            <w:r>
              <w:rPr>
                <w:rStyle w:val="Hyperlink"/>
              </w:rPr>
              <w:t>18.4 Price Sanity Checks, Circuit Breakers and Event Emissions</w:t>
            </w:r>
            <w:r>
              <w:tab/>
            </w:r>
            <w:r>
              <w:fldChar w:fldCharType="begin"/>
            </w:r>
            <w:r>
              <w:instrText xml:space="preserve"> PAGEREF _Toc100205 \h </w:instrText>
            </w:r>
            <w:r>
              <w:fldChar w:fldCharType="separate"/>
            </w:r>
            <w:r>
              <w:t>449</w:t>
            </w:r>
            <w:r>
              <w:fldChar w:fldCharType="end"/>
            </w:r>
          </w:hyperlink>
        </w:p>
        <w:p>
          <w:pPr>
            <w:pStyle w:val="11"/>
            <w:ind w:left="360"/>
            <w:tabs>
              <w:tab w:val="right" w:leader="dot" w:pos="9026"/>
            </w:tabs>
            <w:spacing w:before="120" w:after="60"/>
          </w:pPr>
          <w:hyperlink w:anchor="_Toc100206" w:history="1">
            <w:r>
              <w:rPr>
                <w:rStyle w:val="Hyperlink"/>
              </w:rPr>
              <w:t>18.5 Smart Contract Implementation — Monetary Unit and State Vector</w:t>
            </w:r>
            <w:r>
              <w:tab/>
            </w:r>
            <w:r>
              <w:fldChar w:fldCharType="begin"/>
            </w:r>
            <w:r>
              <w:instrText xml:space="preserve"> PAGEREF _Toc100206 \h </w:instrText>
            </w:r>
            <w:r>
              <w:fldChar w:fldCharType="separate"/>
            </w:r>
            <w:r>
              <w:t>450</w:t>
            </w:r>
            <w:r>
              <w:fldChar w:fldCharType="end"/>
            </w:r>
          </w:hyperlink>
        </w:p>
        <w:p>
          <w:pPr>
            <w:pStyle w:val="9"/>
            <w:tabs>
              <w:tab w:val="right" w:leader="dot" w:pos="9026"/>
            </w:tabs>
            <w:spacing w:before="120" w:after="60"/>
          </w:pPr>
          <w:hyperlink w:anchor="_Toc100207" w:history="1">
            <w:r>
              <w:rPr>
                <w:rStyle w:val="Hyperlink"/>
              </w:rPr>
              <w:t>19. Minting and Redemption</w:t>
            </w:r>
            <w:r>
              <w:tab/>
            </w:r>
            <w:r>
              <w:fldChar w:fldCharType="begin"/>
            </w:r>
            <w:r>
              <w:instrText xml:space="preserve"> PAGEREF _Toc100207 \h </w:instrText>
            </w:r>
            <w:r>
              <w:fldChar w:fldCharType="separate"/>
            </w:r>
            <w:r>
              <w:t>478</w:t>
            </w:r>
            <w:r>
              <w:fldChar w:fldCharType="end"/>
            </w:r>
          </w:hyperlink>
        </w:p>
        <w:p>
          <w:pPr>
            <w:pStyle w:val="11"/>
            <w:ind w:left="360"/>
            <w:tabs>
              <w:tab w:val="right" w:leader="dot" w:pos="9026"/>
            </w:tabs>
            <w:spacing w:before="120" w:after="60"/>
          </w:pPr>
          <w:hyperlink w:anchor="_Toc100208" w:history="1">
            <w:r>
              <w:rPr>
                <w:rStyle w:val="Hyperlink"/>
              </w:rPr>
              <w:t>19.1 Purpose and Pricing Doctrine</w:t>
            </w:r>
            <w:r>
              <w:tab/>
            </w:r>
            <w:r>
              <w:fldChar w:fldCharType="begin"/>
            </w:r>
            <w:r>
              <w:instrText xml:space="preserve"> PAGEREF _Toc100208 \h </w:instrText>
            </w:r>
            <w:r>
              <w:fldChar w:fldCharType="separate"/>
            </w:r>
            <w:r>
              <w:t>478</w:t>
            </w:r>
            <w:r>
              <w:fldChar w:fldCharType="end"/>
            </w:r>
          </w:hyperlink>
        </w:p>
        <w:p>
          <w:pPr>
            <w:pStyle w:val="11"/>
            <w:ind w:left="360"/>
            <w:tabs>
              <w:tab w:val="right" w:leader="dot" w:pos="9026"/>
            </w:tabs>
            <w:spacing w:before="120" w:after="60"/>
          </w:pPr>
          <w:hyperlink w:anchor="_Toc100209" w:history="1">
            <w:r>
              <w:rPr>
                <w:rStyle w:val="Hyperlink"/>
              </w:rPr>
              <w:t>19.2 The Minting Flow</w:t>
            </w:r>
            <w:r>
              <w:tab/>
            </w:r>
            <w:r>
              <w:fldChar w:fldCharType="begin"/>
            </w:r>
            <w:r>
              <w:instrText xml:space="preserve"> PAGEREF _Toc100209 \h </w:instrText>
            </w:r>
            <w:r>
              <w:fldChar w:fldCharType="separate"/>
            </w:r>
            <w:r>
              <w:t>479</w:t>
            </w:r>
            <w:r>
              <w:fldChar w:fldCharType="end"/>
            </w:r>
          </w:hyperlink>
        </w:p>
        <w:p>
          <w:pPr>
            <w:pStyle w:val="12"/>
            <w:ind w:left="720"/>
            <w:tabs>
              <w:tab w:val="right" w:leader="dot" w:pos="9026"/>
            </w:tabs>
            <w:spacing w:before="120" w:after="60"/>
          </w:pPr>
          <w:hyperlink w:anchor="_Toc100210" w:history="1">
            <w:r>
              <w:rPr>
                <w:rStyle w:val="Hyperlink"/>
              </w:rPr>
              <w:t>19.2.1 User Inputs</w:t>
            </w:r>
            <w:r>
              <w:tab/>
            </w:r>
            <w:r>
              <w:fldChar w:fldCharType="begin"/>
            </w:r>
            <w:r>
              <w:instrText xml:space="preserve"> PAGEREF _Toc100210 \h </w:instrText>
            </w:r>
            <w:r>
              <w:fldChar w:fldCharType="separate"/>
            </w:r>
            <w:r>
              <w:t>480</w:t>
            </w:r>
            <w:r>
              <w:fldChar w:fldCharType="end"/>
            </w:r>
          </w:hyperlink>
        </w:p>
        <w:p>
          <w:pPr>
            <w:pStyle w:val="12"/>
            <w:ind w:left="720"/>
            <w:tabs>
              <w:tab w:val="right" w:leader="dot" w:pos="9026"/>
            </w:tabs>
            <w:spacing w:before="120" w:after="60"/>
          </w:pPr>
          <w:hyperlink w:anchor="_Toc100211" w:history="1">
            <w:r>
              <w:rPr>
                <w:rStyle w:val="Hyperlink"/>
              </w:rPr>
              <w:t>19.2.2 Step-by-Step Minting Process</w:t>
            </w:r>
            <w:r>
              <w:tab/>
            </w:r>
            <w:r>
              <w:fldChar w:fldCharType="begin"/>
            </w:r>
            <w:r>
              <w:instrText xml:space="preserve"> PAGEREF _Toc100211 \h </w:instrText>
            </w:r>
            <w:r>
              <w:fldChar w:fldCharType="separate"/>
            </w:r>
            <w:r>
              <w:t>480</w:t>
            </w:r>
            <w:r>
              <w:fldChar w:fldCharType="end"/>
            </w:r>
          </w:hyperlink>
        </w:p>
        <w:p>
          <w:pPr>
            <w:pStyle w:val="11"/>
            <w:ind w:left="360"/>
            <w:tabs>
              <w:tab w:val="right" w:leader="dot" w:pos="9026"/>
            </w:tabs>
            <w:spacing w:before="120" w:after="60"/>
          </w:pPr>
          <w:hyperlink w:anchor="_Toc100212" w:history="1">
            <w:r>
              <w:rPr>
                <w:rStyle w:val="Hyperlink"/>
              </w:rPr>
              <w:t>19.3 The Redemption Flow</w:t>
            </w:r>
            <w:r>
              <w:tab/>
            </w:r>
            <w:r>
              <w:fldChar w:fldCharType="begin"/>
            </w:r>
            <w:r>
              <w:instrText xml:space="preserve"> PAGEREF _Toc100212 \h </w:instrText>
            </w:r>
            <w:r>
              <w:fldChar w:fldCharType="separate"/>
            </w:r>
            <w:r>
              <w:t>482</w:t>
            </w:r>
            <w:r>
              <w:fldChar w:fldCharType="end"/>
            </w:r>
          </w:hyperlink>
        </w:p>
        <w:p>
          <w:pPr>
            <w:pStyle w:val="12"/>
            <w:ind w:left="720"/>
            <w:tabs>
              <w:tab w:val="right" w:leader="dot" w:pos="9026"/>
            </w:tabs>
            <w:spacing w:before="120" w:after="60"/>
          </w:pPr>
          <w:hyperlink w:anchor="_Toc100213" w:history="1">
            <w:r>
              <w:rPr>
                <w:rStyle w:val="Hyperlink"/>
              </w:rPr>
              <w:t>19.3.1 User Inputs</w:t>
            </w:r>
            <w:r>
              <w:tab/>
            </w:r>
            <w:r>
              <w:fldChar w:fldCharType="begin"/>
            </w:r>
            <w:r>
              <w:instrText xml:space="preserve"> PAGEREF _Toc100213 \h </w:instrText>
            </w:r>
            <w:r>
              <w:fldChar w:fldCharType="separate"/>
            </w:r>
            <w:r>
              <w:t>482</w:t>
            </w:r>
            <w:r>
              <w:fldChar w:fldCharType="end"/>
            </w:r>
          </w:hyperlink>
        </w:p>
        <w:p>
          <w:pPr>
            <w:pStyle w:val="12"/>
            <w:ind w:left="720"/>
            <w:tabs>
              <w:tab w:val="right" w:leader="dot" w:pos="9026"/>
            </w:tabs>
            <w:spacing w:before="120" w:after="60"/>
          </w:pPr>
          <w:hyperlink w:anchor="_Toc100214" w:history="1">
            <w:r>
              <w:rPr>
                <w:rStyle w:val="Hyperlink"/>
              </w:rPr>
              <w:t>19.3.2 Step-by-Step Redemption Process</w:t>
            </w:r>
            <w:r>
              <w:tab/>
            </w:r>
            <w:r>
              <w:fldChar w:fldCharType="begin"/>
            </w:r>
            <w:r>
              <w:instrText xml:space="preserve"> PAGEREF _Toc100214 \h </w:instrText>
            </w:r>
            <w:r>
              <w:fldChar w:fldCharType="separate"/>
            </w:r>
            <w:r>
              <w:t>483</w:t>
            </w:r>
            <w:r>
              <w:fldChar w:fldCharType="end"/>
            </w:r>
          </w:hyperlink>
        </w:p>
        <w:p>
          <w:pPr>
            <w:pStyle w:val="11"/>
            <w:ind w:left="360"/>
            <w:tabs>
              <w:tab w:val="right" w:leader="dot" w:pos="9026"/>
            </w:tabs>
            <w:spacing w:before="120" w:after="60"/>
          </w:pPr>
          <w:hyperlink w:anchor="_Toc100215" w:history="1">
            <w:r>
              <w:rPr>
                <w:rStyle w:val="Hyperlink"/>
              </w:rPr>
              <w:t>19.4 Slippage Guard Mathematics</w:t>
            </w:r>
            <w:r>
              <w:tab/>
            </w:r>
            <w:r>
              <w:fldChar w:fldCharType="begin"/>
            </w:r>
            <w:r>
              <w:instrText xml:space="preserve"> PAGEREF _Toc100215 \h </w:instrText>
            </w:r>
            <w:r>
              <w:fldChar w:fldCharType="separate"/>
            </w:r>
            <w:r>
              <w:t>485</w:t>
            </w:r>
            <w:r>
              <w:fldChar w:fldCharType="end"/>
            </w:r>
          </w:hyperlink>
        </w:p>
        <w:p>
          <w:pPr>
            <w:pStyle w:val="12"/>
            <w:ind w:left="720"/>
            <w:tabs>
              <w:tab w:val="right" w:leader="dot" w:pos="9026"/>
            </w:tabs>
            <w:spacing w:before="120" w:after="60"/>
          </w:pPr>
          <w:hyperlink w:anchor="_Toc100216" w:history="1">
            <w:r>
              <w:rPr>
                <w:rStyle w:val="Hyperlink"/>
              </w:rPr>
              <w:t>19.4.1 Minting Slippage Guard</w:t>
            </w:r>
            <w:r>
              <w:tab/>
            </w:r>
            <w:r>
              <w:fldChar w:fldCharType="begin"/>
            </w:r>
            <w:r>
              <w:instrText xml:space="preserve"> PAGEREF _Toc100216 \h </w:instrText>
            </w:r>
            <w:r>
              <w:fldChar w:fldCharType="separate"/>
            </w:r>
            <w:r>
              <w:t>485</w:t>
            </w:r>
            <w:r>
              <w:fldChar w:fldCharType="end"/>
            </w:r>
          </w:hyperlink>
        </w:p>
        <w:p>
          <w:pPr>
            <w:pStyle w:val="12"/>
            <w:ind w:left="720"/>
            <w:tabs>
              <w:tab w:val="right" w:leader="dot" w:pos="9026"/>
            </w:tabs>
            <w:spacing w:before="120" w:after="60"/>
          </w:pPr>
          <w:hyperlink w:anchor="_Toc100217" w:history="1">
            <w:r>
              <w:rPr>
                <w:rStyle w:val="Hyperlink"/>
              </w:rPr>
              <w:t>19.4.2 Redemption Slippage Guard (Single-Asset Router)</w:t>
            </w:r>
            <w:r>
              <w:tab/>
            </w:r>
            <w:r>
              <w:fldChar w:fldCharType="begin"/>
            </w:r>
            <w:r>
              <w:instrText xml:space="preserve"> PAGEREF _Toc100217 \h </w:instrText>
            </w:r>
            <w:r>
              <w:fldChar w:fldCharType="separate"/>
            </w:r>
            <w:r>
              <w:t>486</w:t>
            </w:r>
            <w:r>
              <w:fldChar w:fldCharType="end"/>
            </w:r>
          </w:hyperlink>
        </w:p>
        <w:p>
          <w:pPr>
            <w:pStyle w:val="11"/>
            <w:ind w:left="360"/>
            <w:tabs>
              <w:tab w:val="right" w:leader="dot" w:pos="9026"/>
            </w:tabs>
            <w:spacing w:before="120" w:after="60"/>
          </w:pPr>
          <w:hyperlink w:anchor="_Toc100218" w:history="1">
            <w:r>
              <w:rPr>
                <w:rStyle w:val="Hyperlink"/>
              </w:rPr>
              <w:t>19.5 Smart Contract Implementation — mint() and redeem()</w:t>
            </w:r>
            <w:r>
              <w:tab/>
            </w:r>
            <w:r>
              <w:fldChar w:fldCharType="begin"/>
            </w:r>
            <w:r>
              <w:instrText xml:space="preserve"> PAGEREF _Toc100218 \h </w:instrText>
            </w:r>
            <w:r>
              <w:fldChar w:fldCharType="separate"/>
            </w:r>
            <w:r>
              <w:t>487</w:t>
            </w:r>
            <w:r>
              <w:fldChar w:fldCharType="end"/>
            </w:r>
          </w:hyperlink>
        </w:p>
        <w:p>
          <w:pPr>
            <w:pStyle w:val="11"/>
            <w:ind w:left="360"/>
            <w:tabs>
              <w:tab w:val="right" w:leader="dot" w:pos="9026"/>
            </w:tabs>
            <w:spacing w:before="120" w:after="60"/>
          </w:pPr>
          <w:hyperlink w:anchor="_Toc100219" w:history="1">
            <w:r>
              <w:rPr>
                <w:rStyle w:val="Hyperlink"/>
              </w:rPr>
              <w:t>19.6 Critical Notes</w:t>
            </w:r>
            <w:r>
              <w:tab/>
            </w:r>
            <w:r>
              <w:fldChar w:fldCharType="begin"/>
            </w:r>
            <w:r>
              <w:instrText xml:space="preserve"> PAGEREF _Toc100219 \h </w:instrText>
            </w:r>
            <w:r>
              <w:fldChar w:fldCharType="separate"/>
            </w:r>
            <w:r>
              <w:t>518</w:t>
            </w:r>
            <w:r>
              <w:fldChar w:fldCharType="end"/>
            </w:r>
          </w:hyperlink>
        </w:p>
        <w:p>
          <w:pPr>
            <w:pStyle w:val="12"/>
            <w:ind w:left="720"/>
            <w:tabs>
              <w:tab w:val="right" w:leader="dot" w:pos="9026"/>
            </w:tabs>
            <w:spacing w:before="120" w:after="60"/>
          </w:pPr>
          <w:hyperlink w:anchor="_Toc100220" w:history="1">
            <w:r>
              <w:rPr>
                <w:rStyle w:val="Hyperlink"/>
              </w:rPr>
              <w:t>19.6.1 Minting Does Not Create a 1:1 USD Peg</w:t>
            </w:r>
            <w:r>
              <w:tab/>
            </w:r>
            <w:r>
              <w:fldChar w:fldCharType="begin"/>
            </w:r>
            <w:r>
              <w:instrText xml:space="preserve"> PAGEREF _Toc100220 \h </w:instrText>
            </w:r>
            <w:r>
              <w:fldChar w:fldCharType="separate"/>
            </w:r>
            <w:r>
              <w:t>518</w:t>
            </w:r>
            <w:r>
              <w:fldChar w:fldCharType="end"/>
            </w:r>
          </w:hyperlink>
        </w:p>
        <w:p>
          <w:pPr>
            <w:pStyle w:val="12"/>
            <w:ind w:left="720"/>
            <w:tabs>
              <w:tab w:val="right" w:leader="dot" w:pos="9026"/>
            </w:tabs>
            <w:spacing w:before="120" w:after="60"/>
          </w:pPr>
          <w:hyperlink w:anchor="_Toc100221" w:history="1">
            <w:r>
              <w:rPr>
                <w:rStyle w:val="Hyperlink"/>
              </w:rPr>
              <w:t>19.6.2 Redemption Releases the Full Basket</w:t>
            </w:r>
            <w:r>
              <w:tab/>
            </w:r>
            <w:r>
              <w:fldChar w:fldCharType="begin"/>
            </w:r>
            <w:r>
              <w:instrText xml:space="preserve"> PAGEREF _Toc100221 \h </w:instrText>
            </w:r>
            <w:r>
              <w:fldChar w:fldCharType="separate"/>
            </w:r>
            <w:r>
              <w:t>519</w:t>
            </w:r>
            <w:r>
              <w:fldChar w:fldCharType="end"/>
            </w:r>
          </w:hyperlink>
        </w:p>
        <w:p>
          <w:pPr>
            <w:pStyle w:val="12"/>
            <w:ind w:left="720"/>
            <w:tabs>
              <w:tab w:val="right" w:leader="dot" w:pos="9026"/>
            </w:tabs>
            <w:spacing w:before="120" w:after="60"/>
          </w:pPr>
          <w:hyperlink w:anchor="_Toc100222" w:history="1">
            <w:r>
              <w:rPr>
                <w:rStyle w:val="Hyperlink"/>
              </w:rPr>
              <w:t>19.6.3 Atomicity Is On-Chain Only</w:t>
            </w:r>
            <w:r>
              <w:tab/>
            </w:r>
            <w:r>
              <w:fldChar w:fldCharType="begin"/>
            </w:r>
            <w:r>
              <w:instrText xml:space="preserve"> PAGEREF _Toc100222 \h </w:instrText>
            </w:r>
            <w:r>
              <w:fldChar w:fldCharType="separate"/>
            </w:r>
            <w:r>
              <w:t>519</w:t>
            </w:r>
            <w:r>
              <w:fldChar w:fldCharType="end"/>
            </w:r>
          </w:hyperlink>
        </w:p>
        <w:p>
          <w:pPr>
            <w:pStyle w:val="12"/>
            <w:ind w:left="720"/>
            <w:tabs>
              <w:tab w:val="right" w:leader="dot" w:pos="9026"/>
            </w:tabs>
            <w:spacing w:before="120" w:after="60"/>
          </w:pPr>
          <w:hyperlink w:anchor="_Toc100223" w:history="1">
            <w:r>
              <w:rPr>
                <w:rStyle w:val="Hyperlink"/>
              </w:rPr>
              <w:t>19.6.4 Minimum Amounts</w:t>
            </w:r>
            <w:r>
              <w:tab/>
            </w:r>
            <w:r>
              <w:fldChar w:fldCharType="begin"/>
            </w:r>
            <w:r>
              <w:instrText xml:space="preserve"> PAGEREF _Toc100223 \h </w:instrText>
            </w:r>
            <w:r>
              <w:fldChar w:fldCharType="separate"/>
            </w:r>
            <w:r>
              <w:t>519</w:t>
            </w:r>
            <w:r>
              <w:fldChar w:fldCharType="end"/>
            </w:r>
          </w:hyperlink>
        </w:p>
        <w:p>
          <w:pPr>
            <w:pStyle w:val="11"/>
            <w:ind w:left="360"/>
            <w:tabs>
              <w:tab w:val="right" w:leader="dot" w:pos="9026"/>
            </w:tabs>
            <w:spacing w:before="120" w:after="60"/>
          </w:pPr>
          <w:hyperlink w:anchor="_Toc100224" w:history="1">
            <w:r>
              <w:rPr>
                <w:rStyle w:val="Hyperlink"/>
              </w:rPr>
              <w:t>19.7 Summary of Developer-Facing Constants</w:t>
            </w:r>
            <w:r>
              <w:tab/>
            </w:r>
            <w:r>
              <w:fldChar w:fldCharType="begin"/>
            </w:r>
            <w:r>
              <w:instrText xml:space="preserve"> PAGEREF _Toc100224 \h </w:instrText>
            </w:r>
            <w:r>
              <w:fldChar w:fldCharType="separate"/>
            </w:r>
            <w:r>
              <w:t>519</w:t>
            </w:r>
            <w:r>
              <w:fldChar w:fldCharType="end"/>
            </w:r>
          </w:hyperlink>
        </w:p>
        <w:p>
          <w:pPr>
            <w:pStyle w:val="9"/>
            <w:tabs>
              <w:tab w:val="right" w:leader="dot" w:pos="9026"/>
            </w:tabs>
            <w:spacing w:before="120" w:after="60"/>
          </w:pPr>
          <w:hyperlink w:anchor="_Toc100225" w:history="1">
            <w:r>
              <w:rPr>
                <w:rStyle w:val="Hyperlink"/>
              </w:rPr>
              <w:t>20. Genesis, Accounting and Treasury</w:t>
            </w:r>
            <w:r>
              <w:tab/>
            </w:r>
            <w:r>
              <w:fldChar w:fldCharType="begin"/>
            </w:r>
            <w:r>
              <w:instrText xml:space="preserve"> PAGEREF _Toc100225 \h </w:instrText>
            </w:r>
            <w:r>
              <w:fldChar w:fldCharType="separate"/>
            </w:r>
            <w:r>
              <w:t>520</w:t>
            </w:r>
            <w:r>
              <w:fldChar w:fldCharType="end"/>
            </w:r>
          </w:hyperlink>
        </w:p>
        <w:p>
          <w:pPr>
            <w:pStyle w:val="11"/>
            <w:ind w:left="360"/>
            <w:tabs>
              <w:tab w:val="right" w:leader="dot" w:pos="9026"/>
            </w:tabs>
            <w:spacing w:before="120" w:after="60"/>
          </w:pPr>
          <w:hyperlink w:anchor="_Toc100226" w:history="1">
            <w:r>
              <w:rPr>
                <w:rStyle w:val="Hyperlink"/>
              </w:rPr>
              <w:t>20.1 The Genesis Event</w:t>
            </w:r>
            <w:r>
              <w:tab/>
            </w:r>
            <w:r>
              <w:fldChar w:fldCharType="begin"/>
            </w:r>
            <w:r>
              <w:instrText xml:space="preserve"> PAGEREF _Toc100226 \h </w:instrText>
            </w:r>
            <w:r>
              <w:fldChar w:fldCharType="separate"/>
            </w:r>
            <w:r>
              <w:t>520</w:t>
            </w:r>
            <w:r>
              <w:fldChar w:fldCharType="end"/>
            </w:r>
          </w:hyperlink>
        </w:p>
        <w:p>
          <w:pPr>
            <w:pStyle w:val="12"/>
            <w:ind w:left="720"/>
            <w:tabs>
              <w:tab w:val="right" w:leader="dot" w:pos="9026"/>
            </w:tabs>
            <w:spacing w:before="120" w:after="60"/>
          </w:pPr>
          <w:hyperlink w:anchor="_Toc100227" w:history="1">
            <w:r>
              <w:rPr>
                <w:rStyle w:val="Hyperlink"/>
              </w:rPr>
              <w:t>20.1.1 Purpose of the Genesis Event</w:t>
            </w:r>
            <w:r>
              <w:tab/>
            </w:r>
            <w:r>
              <w:fldChar w:fldCharType="begin"/>
            </w:r>
            <w:r>
              <w:instrText xml:space="preserve"> PAGEREF _Toc100227 \h </w:instrText>
            </w:r>
            <w:r>
              <w:fldChar w:fldCharType="separate"/>
            </w:r>
            <w:r>
              <w:t>520</w:t>
            </w:r>
            <w:r>
              <w:fldChar w:fldCharType="end"/>
            </w:r>
          </w:hyperlink>
        </w:p>
        <w:p>
          <w:pPr>
            <w:pStyle w:val="12"/>
            <w:ind w:left="720"/>
            <w:tabs>
              <w:tab w:val="right" w:leader="dot" w:pos="9026"/>
            </w:tabs>
            <w:spacing w:before="120" w:after="60"/>
          </w:pPr>
          <w:hyperlink w:anchor="_Toc100228" w:history="1">
            <w:r>
              <w:rPr>
                <w:rStyle w:val="Hyperlink"/>
              </w:rPr>
              <w:t>20.1.2 The Genesis Deposit</w:t>
            </w:r>
            <w:r>
              <w:tab/>
            </w:r>
            <w:r>
              <w:fldChar w:fldCharType="begin"/>
            </w:r>
            <w:r>
              <w:instrText xml:space="preserve"> PAGEREF _Toc100228 \h </w:instrText>
            </w:r>
            <w:r>
              <w:fldChar w:fldCharType="separate"/>
            </w:r>
            <w:r>
              <w:t>521</w:t>
            </w:r>
            <w:r>
              <w:fldChar w:fldCharType="end"/>
            </w:r>
          </w:hyperlink>
        </w:p>
        <w:p>
          <w:pPr>
            <w:pStyle w:val="12"/>
            <w:ind w:left="720"/>
            <w:tabs>
              <w:tab w:val="right" w:leader="dot" w:pos="9026"/>
            </w:tabs>
            <w:spacing w:before="120" w:after="60"/>
          </w:pPr>
          <w:hyperlink w:anchor="_Toc100229" w:history="1">
            <w:r>
              <w:rPr>
                <w:rStyle w:val="Hyperlink"/>
              </w:rPr>
              <w:t>20.1.3 The Atomic Genesis Swap</w:t>
            </w:r>
            <w:r>
              <w:tab/>
            </w:r>
            <w:r>
              <w:fldChar w:fldCharType="begin"/>
            </w:r>
            <w:r>
              <w:instrText xml:space="preserve"> PAGEREF _Toc100229 \h </w:instrText>
            </w:r>
            <w:r>
              <w:fldChar w:fldCharType="separate"/>
            </w:r>
            <w:r>
              <w:t>522</w:t>
            </w:r>
            <w:r>
              <w:fldChar w:fldCharType="end"/>
            </w:r>
          </w:hyperlink>
        </w:p>
        <w:p>
          <w:pPr>
            <w:pStyle w:val="12"/>
            <w:ind w:left="720"/>
            <w:tabs>
              <w:tab w:val="right" w:leader="dot" w:pos="9026"/>
            </w:tabs>
            <w:spacing w:before="120" w:after="60"/>
          </w:pPr>
          <w:hyperlink w:anchor="_Toc100230" w:history="1">
            <w:r>
              <w:rPr>
                <w:rStyle w:val="Hyperlink"/>
              </w:rPr>
              <w:t>20.1.4 The Genesis Mint</w:t>
            </w:r>
            <w:r>
              <w:tab/>
            </w:r>
            <w:r>
              <w:fldChar w:fldCharType="begin"/>
            </w:r>
            <w:r>
              <w:instrText xml:space="preserve"> PAGEREF _Toc100230 \h </w:instrText>
            </w:r>
            <w:r>
              <w:fldChar w:fldCharType="separate"/>
            </w:r>
            <w:r>
              <w:t>522</w:t>
            </w:r>
            <w:r>
              <w:fldChar w:fldCharType="end"/>
            </w:r>
          </w:hyperlink>
        </w:p>
        <w:p>
          <w:pPr>
            <w:pStyle w:val="12"/>
            <w:ind w:left="720"/>
            <w:tabs>
              <w:tab w:val="right" w:leader="dot" w:pos="9026"/>
            </w:tabs>
            <w:spacing w:before="120" w:after="60"/>
          </w:pPr>
          <w:hyperlink w:anchor="_Toc100231" w:history="1">
            <w:r>
              <w:rPr>
                <w:rStyle w:val="Hyperlink"/>
              </w:rPr>
              <w:t>20.1.5 The Index Base Denominator</w:t>
            </w:r>
            <w:r>
              <w:tab/>
            </w:r>
            <w:r>
              <w:fldChar w:fldCharType="begin"/>
            </w:r>
            <w:r>
              <w:instrText xml:space="preserve"> PAGEREF _Toc100231 \h </w:instrText>
            </w:r>
            <w:r>
              <w:fldChar w:fldCharType="separate"/>
            </w:r>
            <w:r>
              <w:t>523</w:t>
            </w:r>
            <w:r>
              <w:fldChar w:fldCharType="end"/>
            </w:r>
          </w:hyperlink>
        </w:p>
        <w:p>
          <w:pPr>
            <w:pStyle w:val="12"/>
            <w:ind w:left="720"/>
            <w:tabs>
              <w:tab w:val="right" w:leader="dot" w:pos="9026"/>
            </w:tabs>
            <w:spacing w:before="120" w:after="60"/>
          </w:pPr>
          <w:hyperlink w:anchor="_Toc100232" w:history="1">
            <w:r>
              <w:rPr>
                <w:rStyle w:val="Hyperlink"/>
              </w:rPr>
              <w:t>20.1.6 The Genesis Function</w:t>
            </w:r>
            <w:r>
              <w:tab/>
            </w:r>
            <w:r>
              <w:fldChar w:fldCharType="begin"/>
            </w:r>
            <w:r>
              <w:instrText xml:space="preserve"> PAGEREF _Toc100232 \h </w:instrText>
            </w:r>
            <w:r>
              <w:fldChar w:fldCharType="separate"/>
            </w:r>
            <w:r>
              <w:t>524</w:t>
            </w:r>
            <w:r>
              <w:fldChar w:fldCharType="end"/>
            </w:r>
          </w:hyperlink>
        </w:p>
        <w:p>
          <w:pPr>
            <w:pStyle w:val="11"/>
            <w:ind w:left="360"/>
            <w:tabs>
              <w:tab w:val="right" w:leader="dot" w:pos="9026"/>
            </w:tabs>
            <w:spacing w:before="120" w:after="60"/>
          </w:pPr>
          <w:hyperlink w:anchor="_Toc100233" w:history="1">
            <w:r>
              <w:rPr>
                <w:rStyle w:val="Hyperlink"/>
              </w:rPr>
              <w:t>20.2 Accounting Separation — The Three Pools</w:t>
            </w:r>
            <w:r>
              <w:tab/>
            </w:r>
            <w:r>
              <w:fldChar w:fldCharType="begin"/>
            </w:r>
            <w:r>
              <w:instrText xml:space="preserve"> PAGEREF _Toc100233 \h </w:instrText>
            </w:r>
            <w:r>
              <w:fldChar w:fldCharType="separate"/>
            </w:r>
            <w:r>
              <w:t>525</w:t>
            </w:r>
            <w:r>
              <w:fldChar w:fldCharType="end"/>
            </w:r>
          </w:hyperlink>
        </w:p>
        <w:p>
          <w:pPr>
            <w:pStyle w:val="11"/>
            <w:ind w:left="360"/>
            <w:tabs>
              <w:tab w:val="right" w:leader="dot" w:pos="9026"/>
            </w:tabs>
            <w:spacing w:before="120" w:after="60"/>
          </w:pPr>
          <w:hyperlink w:anchor="_Toc100234" w:history="1">
            <w:r>
              <w:rPr>
                <w:rStyle w:val="Hyperlink"/>
              </w:rPr>
              <w:t>20.3 The Treasury Sweep</w:t>
            </w:r>
            <w:r>
              <w:tab/>
            </w:r>
            <w:r>
              <w:fldChar w:fldCharType="begin"/>
            </w:r>
            <w:r>
              <w:instrText xml:space="preserve"> PAGEREF _Toc100234 \h </w:instrText>
            </w:r>
            <w:r>
              <w:fldChar w:fldCharType="separate"/>
            </w:r>
            <w:r>
              <w:t>525</w:t>
            </w:r>
            <w:r>
              <w:fldChar w:fldCharType="end"/>
            </w:r>
          </w:hyperlink>
        </w:p>
        <w:p>
          <w:pPr>
            <w:pStyle w:val="12"/>
            <w:ind w:left="720"/>
            <w:tabs>
              <w:tab w:val="right" w:leader="dot" w:pos="9026"/>
            </w:tabs>
            <w:spacing w:before="120" w:after="60"/>
          </w:pPr>
          <w:hyperlink w:anchor="_Toc100235" w:history="1">
            <w:r>
              <w:rPr>
                <w:rStyle w:val="Hyperlink"/>
              </w:rPr>
              <w:t>20.3.1 The Sweep Threshold</w:t>
            </w:r>
            <w:r>
              <w:tab/>
            </w:r>
            <w:r>
              <w:fldChar w:fldCharType="begin"/>
            </w:r>
            <w:r>
              <w:instrText xml:space="preserve"> PAGEREF _Toc100235 \h </w:instrText>
            </w:r>
            <w:r>
              <w:fldChar w:fldCharType="separate"/>
            </w:r>
            <w:r>
              <w:t>526</w:t>
            </w:r>
            <w:r>
              <w:fldChar w:fldCharType="end"/>
            </w:r>
          </w:hyperlink>
        </w:p>
        <w:p>
          <w:pPr>
            <w:pStyle w:val="12"/>
            <w:ind w:left="720"/>
            <w:tabs>
              <w:tab w:val="right" w:leader="dot" w:pos="9026"/>
            </w:tabs>
            <w:spacing w:before="120" w:after="60"/>
          </w:pPr>
          <w:hyperlink w:anchor="_Toc100236" w:history="1">
            <w:r>
              <w:rPr>
                <w:rStyle w:val="Hyperlink"/>
              </w:rPr>
              <w:t>20.3.2 The Sweep Function</w:t>
            </w:r>
            <w:r>
              <w:tab/>
            </w:r>
            <w:r>
              <w:fldChar w:fldCharType="begin"/>
            </w:r>
            <w:r>
              <w:instrText xml:space="preserve"> PAGEREF _Toc100236 \h </w:instrText>
            </w:r>
            <w:r>
              <w:fldChar w:fldCharType="separate"/>
            </w:r>
            <w:r>
              <w:t>526</w:t>
            </w:r>
            <w:r>
              <w:fldChar w:fldCharType="end"/>
            </w:r>
          </w:hyperlink>
        </w:p>
        <w:p>
          <w:pPr>
            <w:pStyle w:val="12"/>
            <w:ind w:left="720"/>
            <w:tabs>
              <w:tab w:val="right" w:leader="dot" w:pos="9026"/>
            </w:tabs>
            <w:spacing w:before="120" w:after="60"/>
          </w:pPr>
          <w:hyperlink w:anchor="_Toc100237" w:history="1">
            <w:r>
              <w:rPr>
                <w:rStyle w:val="Hyperlink"/>
              </w:rPr>
              <w:t>20.3.3 Cold Treasury Security Requirements</w:t>
            </w:r>
            <w:r>
              <w:tab/>
            </w:r>
            <w:r>
              <w:fldChar w:fldCharType="begin"/>
            </w:r>
            <w:r>
              <w:instrText xml:space="preserve"> PAGEREF _Toc100237 \h </w:instrText>
            </w:r>
            <w:r>
              <w:fldChar w:fldCharType="separate"/>
            </w:r>
            <w:r>
              <w:t>526</w:t>
            </w:r>
            <w:r>
              <w:fldChar w:fldCharType="end"/>
            </w:r>
          </w:hyperlink>
        </w:p>
        <w:p>
          <w:pPr>
            <w:pStyle w:val="11"/>
            <w:ind w:left="360"/>
            <w:tabs>
              <w:tab w:val="right" w:leader="dot" w:pos="9026"/>
            </w:tabs>
            <w:spacing w:before="120" w:after="60"/>
          </w:pPr>
          <w:hyperlink w:anchor="_Toc100238" w:history="1">
            <w:r>
              <w:rPr>
                <w:rStyle w:val="Hyperlink"/>
              </w:rPr>
              <w:t>20.4 Fee Accrual, Surplus and Reserve Replenishment</w:t>
            </w:r>
            <w:r>
              <w:tab/>
            </w:r>
            <w:r>
              <w:fldChar w:fldCharType="begin"/>
            </w:r>
            <w:r>
              <w:instrText xml:space="preserve"> PAGEREF _Toc100238 \h </w:instrText>
            </w:r>
            <w:r>
              <w:fldChar w:fldCharType="separate"/>
            </w:r>
            <w:r>
              <w:t>527</w:t>
            </w:r>
            <w:r>
              <w:fldChar w:fldCharType="end"/>
            </w:r>
          </w:hyperlink>
        </w:p>
        <w:p>
          <w:pPr>
            <w:pStyle w:val="12"/>
            <w:ind w:left="720"/>
            <w:tabs>
              <w:tab w:val="right" w:leader="dot" w:pos="9026"/>
            </w:tabs>
            <w:spacing w:before="120" w:after="60"/>
          </w:pPr>
          <w:hyperlink w:anchor="_Toc100239" w:history="1">
            <w:r>
              <w:rPr>
                <w:rStyle w:val="Hyperlink"/>
              </w:rPr>
              <w:t>20.4.1 Operational Surplus and Reserve Replenishment</w:t>
            </w:r>
            <w:r>
              <w:tab/>
            </w:r>
            <w:r>
              <w:fldChar w:fldCharType="begin"/>
            </w:r>
            <w:r>
              <w:instrText xml:space="preserve"> PAGEREF _Toc100239 \h </w:instrText>
            </w:r>
            <w:r>
              <w:fldChar w:fldCharType="separate"/>
            </w:r>
            <w:r>
              <w:t>527</w:t>
            </w:r>
            <w:r>
              <w:fldChar w:fldCharType="end"/>
            </w:r>
          </w:hyperlink>
        </w:p>
        <w:p>
          <w:pPr>
            <w:pStyle w:val="11"/>
            <w:ind w:left="360"/>
            <w:tabs>
              <w:tab w:val="right" w:leader="dot" w:pos="9026"/>
            </w:tabs>
            <w:spacing w:before="120" w:after="60"/>
          </w:pPr>
          <w:hyperlink w:anchor="_Toc100240" w:history="1">
            <w:r>
              <w:rPr>
                <w:rStyle w:val="Hyperlink"/>
              </w:rPr>
              <w:t>20.5 Smart Contract Implementation — Genesis and Treasury</w:t>
            </w:r>
            <w:r>
              <w:tab/>
            </w:r>
            <w:r>
              <w:fldChar w:fldCharType="begin"/>
            </w:r>
            <w:r>
              <w:instrText xml:space="preserve"> PAGEREF _Toc100240 \h </w:instrText>
            </w:r>
            <w:r>
              <w:fldChar w:fldCharType="separate"/>
            </w:r>
            <w:r>
              <w:t>528</w:t>
            </w:r>
            <w:r>
              <w:fldChar w:fldCharType="end"/>
            </w:r>
          </w:hyperlink>
        </w:p>
        <w:p>
          <w:pPr>
            <w:pStyle w:val="12"/>
            <w:ind w:left="720"/>
            <w:tabs>
              <w:tab w:val="right" w:leader="dot" w:pos="9026"/>
            </w:tabs>
            <w:spacing w:before="120" w:after="60"/>
          </w:pPr>
          <w:hyperlink w:anchor="_Toc100241" w:history="1">
            <w:r>
              <w:rPr>
                <w:rStyle w:val="Hyperlink"/>
              </w:rPr>
              <w:t>20.5.1 Summary of Storage Variables</w:t>
            </w:r>
            <w:r>
              <w:tab/>
            </w:r>
            <w:r>
              <w:fldChar w:fldCharType="begin"/>
            </w:r>
            <w:r>
              <w:instrText xml:space="preserve"> PAGEREF _Toc100241 \h </w:instrText>
            </w:r>
            <w:r>
              <w:fldChar w:fldCharType="separate"/>
            </w:r>
            <w:r>
              <w:t>565</w:t>
            </w:r>
            <w:r>
              <w:fldChar w:fldCharType="end"/>
            </w:r>
          </w:hyperlink>
        </w:p>
        <w:p>
          <w:pPr>
            <w:pStyle w:val="12"/>
            <w:ind w:left="720"/>
            <w:tabs>
              <w:tab w:val="right" w:leader="dot" w:pos="9026"/>
            </w:tabs>
            <w:spacing w:before="120" w:after="60"/>
          </w:pPr>
          <w:hyperlink w:anchor="_Toc100242" w:history="1">
            <w:r>
              <w:rPr>
                <w:rStyle w:val="Hyperlink"/>
              </w:rPr>
              <w:t>20.5.2 Event Summary</w:t>
            </w:r>
            <w:r>
              <w:tab/>
            </w:r>
            <w:r>
              <w:fldChar w:fldCharType="begin"/>
            </w:r>
            <w:r>
              <w:instrText xml:space="preserve"> PAGEREF _Toc100242 \h </w:instrText>
            </w:r>
            <w:r>
              <w:fldChar w:fldCharType="separate"/>
            </w:r>
            <w:r>
              <w:t>565</w:t>
            </w:r>
            <w:r>
              <w:fldChar w:fldCharType="end"/>
            </w:r>
          </w:hyperlink>
        </w:p>
        <w:p>
          <w:pPr>
            <w:pStyle w:val="12"/>
            <w:ind w:left="720"/>
            <w:tabs>
              <w:tab w:val="right" w:leader="dot" w:pos="9026"/>
            </w:tabs>
            <w:spacing w:before="120" w:after="60"/>
          </w:pPr>
          <w:hyperlink w:anchor="_Toc100243" w:history="1">
            <w:r>
              <w:rPr>
                <w:rStyle w:val="Hyperlink"/>
              </w:rPr>
              <w:t>20.5.3 Deployment Notes (Summary)</w:t>
            </w:r>
            <w:r>
              <w:tab/>
            </w:r>
            <w:r>
              <w:fldChar w:fldCharType="begin"/>
            </w:r>
            <w:r>
              <w:instrText xml:space="preserve"> PAGEREF _Toc100243 \h </w:instrText>
            </w:r>
            <w:r>
              <w:fldChar w:fldCharType="separate"/>
            </w:r>
            <w:r>
              <w:t>565</w:t>
            </w:r>
            <w:r>
              <w:fldChar w:fldCharType="end"/>
            </w:r>
          </w:hyperlink>
        </w:p>
        <w:p>
          <w:pPr>
            <w:pStyle w:val="11"/>
            <w:ind w:left="360"/>
            <w:tabs>
              <w:tab w:val="right" w:leader="dot" w:pos="9026"/>
            </w:tabs>
            <w:spacing w:before="120" w:after="60"/>
          </w:pPr>
          <w:hyperlink w:anchor="_Toc100244" w:history="1">
            <w:r>
              <w:rPr>
                <w:rStyle w:val="Hyperlink"/>
              </w:rPr>
              <w:t>20.6 Summary of Developer-Facing Constants</w:t>
            </w:r>
            <w:r>
              <w:tab/>
            </w:r>
            <w:r>
              <w:fldChar w:fldCharType="begin"/>
            </w:r>
            <w:r>
              <w:instrText xml:space="preserve"> PAGEREF _Toc100244 \h </w:instrText>
            </w:r>
            <w:r>
              <w:fldChar w:fldCharType="separate"/>
            </w:r>
            <w:r>
              <w:t>566</w:t>
            </w:r>
            <w:r>
              <w:fldChar w:fldCharType="end"/>
            </w:r>
          </w:hyperlink>
        </w:p>
        <w:p>
          <w:pPr>
            <w:pStyle w:val="9"/>
            <w:tabs>
              <w:tab w:val="right" w:leader="dot" w:pos="9026"/>
            </w:tabs>
            <w:spacing w:before="120" w:after="60"/>
          </w:pPr>
          <w:hyperlink w:anchor="_Toc100245" w:history="1">
            <w:r>
              <w:rPr>
                <w:rStyle w:val="Hyperlink"/>
              </w:rPr>
              <w:t>21. The Risk State Machine, Crisis Execution and Emergency Actions</w:t>
            </w:r>
            <w:r>
              <w:tab/>
            </w:r>
            <w:r>
              <w:fldChar w:fldCharType="begin"/>
            </w:r>
            <w:r>
              <w:instrText xml:space="preserve"> PAGEREF _Toc100245 \h </w:instrText>
            </w:r>
            <w:r>
              <w:fldChar w:fldCharType="separate"/>
            </w:r>
            <w:r>
              <w:t>566</w:t>
            </w:r>
            <w:r>
              <w:fldChar w:fldCharType="end"/>
            </w:r>
          </w:hyperlink>
        </w:p>
        <w:p>
          <w:pPr>
            <w:pStyle w:val="11"/>
            <w:ind w:left="360"/>
            <w:tabs>
              <w:tab w:val="right" w:leader="dot" w:pos="9026"/>
            </w:tabs>
            <w:spacing w:before="120" w:after="60"/>
          </w:pPr>
          <w:hyperlink w:anchor="_Toc100246" w:history="1">
            <w:r>
              <w:rPr>
                <w:rStyle w:val="Hyperlink"/>
              </w:rPr>
              <w:t>21.1 Purpose</w:t>
            </w:r>
            <w:r>
              <w:tab/>
            </w:r>
            <w:r>
              <w:fldChar w:fldCharType="begin"/>
            </w:r>
            <w:r>
              <w:instrText xml:space="preserve"> PAGEREF _Toc100246 \h </w:instrText>
            </w:r>
            <w:r>
              <w:fldChar w:fldCharType="separate"/>
            </w:r>
            <w:r>
              <w:t>566</w:t>
            </w:r>
            <w:r>
              <w:fldChar w:fldCharType="end"/>
            </w:r>
          </w:hyperlink>
        </w:p>
        <w:p>
          <w:pPr>
            <w:pStyle w:val="11"/>
            <w:ind w:left="360"/>
            <w:tabs>
              <w:tab w:val="right" w:leader="dot" w:pos="9026"/>
            </w:tabs>
            <w:spacing w:before="120" w:after="60"/>
          </w:pPr>
          <w:hyperlink w:anchor="_Toc100247" w:history="1">
            <w:r>
              <w:rPr>
                <w:rStyle w:val="Hyperlink"/>
              </w:rPr>
              <w:t>21.2 The Six Risk States</w:t>
            </w:r>
            <w:r>
              <w:tab/>
            </w:r>
            <w:r>
              <w:fldChar w:fldCharType="begin"/>
            </w:r>
            <w:r>
              <w:instrText xml:space="preserve"> PAGEREF _Toc100247 \h </w:instrText>
            </w:r>
            <w:r>
              <w:fldChar w:fldCharType="separate"/>
            </w:r>
            <w:r>
              <w:t>567</w:t>
            </w:r>
            <w:r>
              <w:fldChar w:fldCharType="end"/>
            </w:r>
          </w:hyperlink>
        </w:p>
        <w:p>
          <w:pPr>
            <w:pStyle w:val="11"/>
            <w:ind w:left="360"/>
            <w:tabs>
              <w:tab w:val="right" w:leader="dot" w:pos="9026"/>
            </w:tabs>
            <w:spacing w:before="120" w:after="60"/>
          </w:pPr>
          <w:hyperlink w:anchor="_Toc100248" w:history="1">
            <w:r>
              <w:rPr>
                <w:rStyle w:val="Hyperlink"/>
              </w:rPr>
              <w:t>21.3 State Transition Logic</w:t>
            </w:r>
            <w:r>
              <w:tab/>
            </w:r>
            <w:r>
              <w:fldChar w:fldCharType="begin"/>
            </w:r>
            <w:r>
              <w:instrText xml:space="preserve"> PAGEREF _Toc100248 \h </w:instrText>
            </w:r>
            <w:r>
              <w:fldChar w:fldCharType="separate"/>
            </w:r>
            <w:r>
              <w:t>568</w:t>
            </w:r>
            <w:r>
              <w:fldChar w:fldCharType="end"/>
            </w:r>
          </w:hyperlink>
        </w:p>
        <w:p>
          <w:pPr>
            <w:pStyle w:val="11"/>
            <w:ind w:left="360"/>
            <w:tabs>
              <w:tab w:val="right" w:leader="dot" w:pos="9026"/>
            </w:tabs>
            <w:spacing w:before="120" w:after="60"/>
          </w:pPr>
          <w:hyperlink w:anchor="_Toc100249" w:history="1">
            <w:r>
              <w:rPr>
                <w:rStyle w:val="Hyperlink"/>
              </w:rPr>
              <w:t>21.4 The State-Dependent Action Matrix</w:t>
            </w:r>
            <w:r>
              <w:tab/>
            </w:r>
            <w:r>
              <w:fldChar w:fldCharType="begin"/>
            </w:r>
            <w:r>
              <w:instrText xml:space="preserve"> PAGEREF _Toc100249 \h </w:instrText>
            </w:r>
            <w:r>
              <w:fldChar w:fldCharType="separate"/>
            </w:r>
            <w:r>
              <w:t>569</w:t>
            </w:r>
            <w:r>
              <w:fldChar w:fldCharType="end"/>
            </w:r>
          </w:hyperlink>
        </w:p>
        <w:p>
          <w:pPr>
            <w:pStyle w:val="11"/>
            <w:ind w:left="360"/>
            <w:tabs>
              <w:tab w:val="right" w:leader="dot" w:pos="9026"/>
            </w:tabs>
            <w:spacing w:before="120" w:after="60"/>
          </w:pPr>
          <w:hyperlink w:anchor="_Toc100250" w:history="1">
            <w:r>
              <w:rPr>
                <w:rStyle w:val="Hyperlink"/>
              </w:rPr>
              <w:t>21.5 Geopolitical Eject — Staged Liquidation and Reintegration</w:t>
            </w:r>
            <w:r>
              <w:tab/>
            </w:r>
            <w:r>
              <w:fldChar w:fldCharType="begin"/>
            </w:r>
            <w:r>
              <w:instrText xml:space="preserve"> PAGEREF _Toc100250 \h </w:instrText>
            </w:r>
            <w:r>
              <w:fldChar w:fldCharType="separate"/>
            </w:r>
            <w:r>
              <w:t>570</w:t>
            </w:r>
            <w:r>
              <w:fldChar w:fldCharType="end"/>
            </w:r>
          </w:hyperlink>
        </w:p>
        <w:p>
          <w:pPr>
            <w:pStyle w:val="12"/>
            <w:ind w:left="720"/>
            <w:tabs>
              <w:tab w:val="right" w:leader="dot" w:pos="9026"/>
            </w:tabs>
            <w:spacing w:before="120" w:after="60"/>
          </w:pPr>
          <w:hyperlink w:anchor="_Toc100251" w:history="1">
            <w:r>
              <w:rPr>
                <w:rStyle w:val="Hyperlink"/>
              </w:rPr>
              <w:t>21.5.1 Purpose</w:t>
            </w:r>
            <w:r>
              <w:tab/>
            </w:r>
            <w:r>
              <w:fldChar w:fldCharType="begin"/>
            </w:r>
            <w:r>
              <w:instrText xml:space="preserve"> PAGEREF _Toc100251 \h </w:instrText>
            </w:r>
            <w:r>
              <w:fldChar w:fldCharType="separate"/>
            </w:r>
            <w:r>
              <w:t>570</w:t>
            </w:r>
            <w:r>
              <w:fldChar w:fldCharType="end"/>
            </w:r>
          </w:hyperlink>
        </w:p>
        <w:p>
          <w:pPr>
            <w:pStyle w:val="12"/>
            <w:ind w:left="720"/>
            <w:tabs>
              <w:tab w:val="right" w:leader="dot" w:pos="9026"/>
            </w:tabs>
            <w:spacing w:before="120" w:after="60"/>
          </w:pPr>
          <w:hyperlink w:anchor="_Toc100252" w:history="1">
            <w:r>
              <w:rPr>
                <w:rStyle w:val="Hyperlink"/>
              </w:rPr>
              <w:t>21.5.2 The De-peg Detector</w:t>
            </w:r>
            <w:r>
              <w:tab/>
            </w:r>
            <w:r>
              <w:fldChar w:fldCharType="begin"/>
            </w:r>
            <w:r>
              <w:instrText xml:space="preserve"> PAGEREF _Toc100252 \h </w:instrText>
            </w:r>
            <w:r>
              <w:fldChar w:fldCharType="separate"/>
            </w:r>
            <w:r>
              <w:t>570</w:t>
            </w:r>
            <w:r>
              <w:fldChar w:fldCharType="end"/>
            </w:r>
          </w:hyperlink>
        </w:p>
        <w:p>
          <w:pPr>
            <w:pStyle w:val="12"/>
            <w:ind w:left="720"/>
            <w:tabs>
              <w:tab w:val="right" w:leader="dot" w:pos="9026"/>
            </w:tabs>
            <w:spacing w:before="120" w:after="60"/>
          </w:pPr>
          <w:hyperlink w:anchor="_Toc100253" w:history="1">
            <w:r>
              <w:rPr>
                <w:rStyle w:val="Hyperlink"/>
              </w:rPr>
              <w:t>21.5.3 The Staged Liquidation Ladder</w:t>
            </w:r>
            <w:r>
              <w:tab/>
            </w:r>
            <w:r>
              <w:fldChar w:fldCharType="begin"/>
            </w:r>
            <w:r>
              <w:instrText xml:space="preserve"> PAGEREF _Toc100253 \h </w:instrText>
            </w:r>
            <w:r>
              <w:fldChar w:fldCharType="separate"/>
            </w:r>
            <w:r>
              <w:t>571</w:t>
            </w:r>
            <w:r>
              <w:fldChar w:fldCharType="end"/>
            </w:r>
          </w:hyperlink>
        </w:p>
        <w:p>
          <w:pPr>
            <w:pStyle w:val="12"/>
            <w:ind w:left="720"/>
            <w:tabs>
              <w:tab w:val="right" w:leader="dot" w:pos="9026"/>
            </w:tabs>
            <w:spacing w:before="120" w:after="60"/>
          </w:pPr>
          <w:hyperlink w:anchor="_Toc100254" w:history="1">
            <w:r>
              <w:rPr>
                <w:rStyle w:val="Hyperlink"/>
              </w:rPr>
              <w:t>21.5.4 The Reintegration Score (Anti-Gaming)</w:t>
            </w:r>
            <w:r>
              <w:tab/>
            </w:r>
            <w:r>
              <w:fldChar w:fldCharType="begin"/>
            </w:r>
            <w:r>
              <w:instrText xml:space="preserve"> PAGEREF _Toc100254 \h </w:instrText>
            </w:r>
            <w:r>
              <w:fldChar w:fldCharType="separate"/>
            </w:r>
            <w:r>
              <w:t>572</w:t>
            </w:r>
            <w:r>
              <w:fldChar w:fldCharType="end"/>
            </w:r>
          </w:hyperlink>
        </w:p>
        <w:p>
          <w:pPr>
            <w:pStyle w:val="12"/>
            <w:ind w:left="720"/>
            <w:tabs>
              <w:tab w:val="right" w:leader="dot" w:pos="9026"/>
            </w:tabs>
            <w:spacing w:before="120" w:after="60"/>
          </w:pPr>
          <w:hyperlink w:anchor="_Toc100255" w:history="1">
            <w:r>
              <w:rPr>
                <w:rStyle w:val="Hyperlink"/>
              </w:rPr>
              <w:t>21.5.5 Special Cases — Issuer Freeze and Sanctions</w:t>
            </w:r>
            <w:r>
              <w:tab/>
            </w:r>
            <w:r>
              <w:fldChar w:fldCharType="begin"/>
            </w:r>
            <w:r>
              <w:instrText xml:space="preserve"> PAGEREF _Toc100255 \h </w:instrText>
            </w:r>
            <w:r>
              <w:fldChar w:fldCharType="separate"/>
            </w:r>
            <w:r>
              <w:t>573</w:t>
            </w:r>
            <w:r>
              <w:fldChar w:fldCharType="end"/>
            </w:r>
          </w:hyperlink>
        </w:p>
        <w:p>
          <w:pPr>
            <w:pStyle w:val="11"/>
            <w:ind w:left="360"/>
            <w:tabs>
              <w:tab w:val="right" w:leader="dot" w:pos="9026"/>
            </w:tabs>
            <w:spacing w:before="120" w:after="60"/>
          </w:pPr>
          <w:hyperlink w:anchor="_Toc100256" w:history="1">
            <w:r>
              <w:rPr>
                <w:rStyle w:val="Hyperlink"/>
              </w:rPr>
              <w:t>21.6 Smart Contract Implementation — Risk State Machine and Eject</w:t>
            </w:r>
            <w:r>
              <w:tab/>
            </w:r>
            <w:r>
              <w:fldChar w:fldCharType="begin"/>
            </w:r>
            <w:r>
              <w:instrText xml:space="preserve"> PAGEREF _Toc100256 \h </w:instrText>
            </w:r>
            <w:r>
              <w:fldChar w:fldCharType="separate"/>
            </w:r>
            <w:r>
              <w:t>574</w:t>
            </w:r>
            <w:r>
              <w:fldChar w:fldCharType="end"/>
            </w:r>
          </w:hyperlink>
        </w:p>
        <w:p>
          <w:pPr>
            <w:pStyle w:val="12"/>
            <w:ind w:left="720"/>
            <w:tabs>
              <w:tab w:val="right" w:leader="dot" w:pos="9026"/>
            </w:tabs>
            <w:spacing w:before="120" w:after="60"/>
          </w:pPr>
          <w:hyperlink w:anchor="_Toc100257" w:history="1">
            <w:r>
              <w:rPr>
                <w:rStyle w:val="Hyperlink"/>
              </w:rPr>
              <w:t>21.6.1 Event Emissions</w:t>
            </w:r>
            <w:r>
              <w:tab/>
            </w:r>
            <w:r>
              <w:fldChar w:fldCharType="begin"/>
            </w:r>
            <w:r>
              <w:instrText xml:space="preserve"> PAGEREF _Toc100257 \h </w:instrText>
            </w:r>
            <w:r>
              <w:fldChar w:fldCharType="separate"/>
            </w:r>
            <w:r>
              <w:t>637</w:t>
            </w:r>
            <w:r>
              <w:fldChar w:fldCharType="end"/>
            </w:r>
          </w:hyperlink>
        </w:p>
        <w:p>
          <w:pPr>
            <w:pStyle w:val="12"/>
            <w:ind w:left="720"/>
            <w:tabs>
              <w:tab w:val="right" w:leader="dot" w:pos="9026"/>
            </w:tabs>
            <w:spacing w:before="120" w:after="60"/>
          </w:pPr>
          <w:hyperlink w:anchor="_Toc100258" w:history="1">
            <w:r>
              <w:rPr>
                <w:rStyle w:val="Hyperlink"/>
              </w:rPr>
              <w:t>21.6.2 Developer-Facing Constants</w:t>
            </w:r>
            <w:r>
              <w:tab/>
            </w:r>
            <w:r>
              <w:fldChar w:fldCharType="begin"/>
            </w:r>
            <w:r>
              <w:instrText xml:space="preserve"> PAGEREF _Toc100258 \h </w:instrText>
            </w:r>
            <w:r>
              <w:fldChar w:fldCharType="separate"/>
            </w:r>
            <w:r>
              <w:t>637</w:t>
            </w:r>
            <w:r>
              <w:fldChar w:fldCharType="end"/>
            </w:r>
          </w:hyperlink>
        </w:p>
        <w:p>
          <w:pPr>
            <w:pStyle w:val="9"/>
            <w:tabs>
              <w:tab w:val="right" w:leader="dot" w:pos="9026"/>
            </w:tabs>
            <w:spacing w:before="120" w:after="60"/>
          </w:pPr>
          <w:hyperlink w:anchor="_Toc100259" w:history="1">
            <w:r>
              <w:rPr>
                <w:rStyle w:val="Hyperlink"/>
              </w:rPr>
              <w:t>22. Governance</w:t>
            </w:r>
            <w:r>
              <w:tab/>
            </w:r>
            <w:r>
              <w:fldChar w:fldCharType="begin"/>
            </w:r>
            <w:r>
              <w:instrText xml:space="preserve"> PAGEREF _Toc100259 \h </w:instrText>
            </w:r>
            <w:r>
              <w:fldChar w:fldCharType="separate"/>
            </w:r>
            <w:r>
              <w:t>638</w:t>
            </w:r>
            <w:r>
              <w:fldChar w:fldCharType="end"/>
            </w:r>
          </w:hyperlink>
        </w:p>
        <w:p>
          <w:pPr>
            <w:pStyle w:val="11"/>
            <w:ind w:left="360"/>
            <w:tabs>
              <w:tab w:val="right" w:leader="dot" w:pos="9026"/>
            </w:tabs>
            <w:spacing w:before="120" w:after="60"/>
          </w:pPr>
          <w:hyperlink w:anchor="_Toc100260" w:history="1">
            <w:r>
              <w:rPr>
                <w:rStyle w:val="Hyperlink"/>
              </w:rPr>
              <w:t>22.1 Constitutional Separation of the Algorithmic Layers</w:t>
            </w:r>
            <w:r>
              <w:tab/>
            </w:r>
            <w:r>
              <w:fldChar w:fldCharType="begin"/>
            </w:r>
            <w:r>
              <w:instrText xml:space="preserve"> PAGEREF _Toc100260 \h </w:instrText>
            </w:r>
            <w:r>
              <w:fldChar w:fldCharType="separate"/>
            </w:r>
            <w:r>
              <w:t>638</w:t>
            </w:r>
            <w:r>
              <w:fldChar w:fldCharType="end"/>
            </w:r>
          </w:hyperlink>
        </w:p>
        <w:p>
          <w:pPr>
            <w:pStyle w:val="11"/>
            <w:ind w:left="360"/>
            <w:tabs>
              <w:tab w:val="right" w:leader="dot" w:pos="9026"/>
            </w:tabs>
            <w:spacing w:before="120" w:after="60"/>
          </w:pPr>
          <w:hyperlink w:anchor="_Toc100261" w:history="1">
            <w:r>
              <w:rPr>
                <w:rStyle w:val="Hyperlink"/>
              </w:rPr>
              <w:t>22.2 Governance Separation</w:t>
            </w:r>
            <w:r>
              <w:tab/>
            </w:r>
            <w:r>
              <w:fldChar w:fldCharType="begin"/>
            </w:r>
            <w:r>
              <w:instrText xml:space="preserve"> PAGEREF _Toc100261 \h </w:instrText>
            </w:r>
            <w:r>
              <w:fldChar w:fldCharType="separate"/>
            </w:r>
            <w:r>
              <w:t>639</w:t>
            </w:r>
            <w:r>
              <w:fldChar w:fldCharType="end"/>
            </w:r>
          </w:hyperlink>
        </w:p>
        <w:p>
          <w:pPr>
            <w:pStyle w:val="11"/>
            <w:ind w:left="360"/>
            <w:tabs>
              <w:tab w:val="right" w:leader="dot" w:pos="9026"/>
            </w:tabs>
            <w:spacing w:before="120" w:after="60"/>
          </w:pPr>
          <w:hyperlink w:anchor="_Toc100262" w:history="1">
            <w:r>
              <w:rPr>
                <w:rStyle w:val="Hyperlink"/>
              </w:rPr>
              <w:t>22.3 The Four Governance Layers</w:t>
            </w:r>
            <w:r>
              <w:tab/>
            </w:r>
            <w:r>
              <w:fldChar w:fldCharType="begin"/>
            </w:r>
            <w:r>
              <w:instrText xml:space="preserve"> PAGEREF _Toc100262 \h </w:instrText>
            </w:r>
            <w:r>
              <w:fldChar w:fldCharType="separate"/>
            </w:r>
            <w:r>
              <w:t>640</w:t>
            </w:r>
            <w:r>
              <w:fldChar w:fldCharType="end"/>
            </w:r>
          </w:hyperlink>
        </w:p>
        <w:p>
          <w:pPr>
            <w:pStyle w:val="11"/>
            <w:ind w:left="360"/>
            <w:tabs>
              <w:tab w:val="right" w:leader="dot" w:pos="9026"/>
            </w:tabs>
            <w:spacing w:before="120" w:after="60"/>
          </w:pPr>
          <w:hyperlink w:anchor="_Toc100263" w:history="1">
            <w:r>
              <w:rPr>
                <w:rStyle w:val="Hyperlink"/>
              </w:rPr>
              <w:t>22.4 The Parameter Registry and Authority Matrix</w:t>
            </w:r>
            <w:r>
              <w:tab/>
            </w:r>
            <w:r>
              <w:fldChar w:fldCharType="begin"/>
            </w:r>
            <w:r>
              <w:instrText xml:space="preserve"> PAGEREF _Toc100263 \h </w:instrText>
            </w:r>
            <w:r>
              <w:fldChar w:fldCharType="separate"/>
            </w:r>
            <w:r>
              <w:t>641</w:t>
            </w:r>
            <w:r>
              <w:fldChar w:fldCharType="end"/>
            </w:r>
          </w:hyperlink>
        </w:p>
        <w:p>
          <w:pPr>
            <w:pStyle w:val="11"/>
            <w:ind w:left="360"/>
            <w:tabs>
              <w:tab w:val="right" w:leader="dot" w:pos="9026"/>
            </w:tabs>
            <w:spacing w:before="120" w:after="60"/>
          </w:pPr>
          <w:hyperlink w:anchor="_Toc100264" w:history="1">
            <w:r>
              <w:rPr>
                <w:rStyle w:val="Hyperlink"/>
              </w:rPr>
              <w:t>22.5 Emergency Actions</w:t>
            </w:r>
            <w:r>
              <w:tab/>
            </w:r>
            <w:r>
              <w:fldChar w:fldCharType="begin"/>
            </w:r>
            <w:r>
              <w:instrText xml:space="preserve"> PAGEREF _Toc100264 \h </w:instrText>
            </w:r>
            <w:r>
              <w:fldChar w:fldCharType="separate"/>
            </w:r>
            <w:r>
              <w:t>642</w:t>
            </w:r>
            <w:r>
              <w:fldChar w:fldCharType="end"/>
            </w:r>
          </w:hyperlink>
        </w:p>
        <w:p>
          <w:pPr>
            <w:pStyle w:val="11"/>
            <w:ind w:left="360"/>
            <w:tabs>
              <w:tab w:val="right" w:leader="dot" w:pos="9026"/>
            </w:tabs>
            <w:spacing w:before="120" w:after="60"/>
          </w:pPr>
          <w:hyperlink w:anchor="_Toc100265" w:history="1">
            <w:r>
              <w:rPr>
                <w:rStyle w:val="Hyperlink"/>
              </w:rPr>
              <w:t>22.6 Smart Contract Implementation — Governance and Emergency Functions</w:t>
            </w:r>
            <w:r>
              <w:tab/>
            </w:r>
            <w:r>
              <w:fldChar w:fldCharType="begin"/>
            </w:r>
            <w:r>
              <w:instrText xml:space="preserve"> PAGEREF _Toc100265 \h </w:instrText>
            </w:r>
            <w:r>
              <w:fldChar w:fldCharType="separate"/>
            </w:r>
            <w:r>
              <w:t>643</w:t>
            </w:r>
            <w:r>
              <w:fldChar w:fldCharType="end"/>
            </w:r>
          </w:hyperlink>
        </w:p>
        <w:p>
          <w:pPr>
            <w:pStyle w:val="9"/>
            <w:tabs>
              <w:tab w:val="right" w:leader="dot" w:pos="9026"/>
            </w:tabs>
            <w:spacing w:before="120" w:after="60"/>
          </w:pPr>
          <w:hyperlink w:anchor="_Toc100266" w:history="1">
            <w:r>
              <w:rPr>
                <w:rStyle w:val="Hyperlink"/>
              </w:rPr>
              <w:t>23. The Validation and Research Program (Production Precondition)</w:t>
            </w:r>
            <w:r>
              <w:tab/>
            </w:r>
            <w:r>
              <w:fldChar w:fldCharType="begin"/>
            </w:r>
            <w:r>
              <w:instrText xml:space="preserve"> PAGEREF _Toc100266 \h </w:instrText>
            </w:r>
            <w:r>
              <w:fldChar w:fldCharType="separate"/>
            </w:r>
            <w:r>
              <w:t>672</w:t>
            </w:r>
            <w:r>
              <w:fldChar w:fldCharType="end"/>
            </w:r>
          </w:hyperlink>
        </w:p>
        <w:p>
          <w:pPr>
            <w:pStyle w:val="11"/>
            <w:ind w:left="360"/>
            <w:tabs>
              <w:tab w:val="right" w:leader="dot" w:pos="9026"/>
            </w:tabs>
            <w:spacing w:before="120" w:after="60"/>
          </w:pPr>
          <w:hyperlink w:anchor="_Toc100267" w:history="1">
            <w:r>
              <w:rPr>
                <w:rStyle w:val="Hyperlink"/>
              </w:rPr>
              <w:t>23.1 The Validation Methodology</w:t>
            </w:r>
            <w:r>
              <w:tab/>
            </w:r>
            <w:r>
              <w:fldChar w:fldCharType="begin"/>
            </w:r>
            <w:r>
              <w:instrText xml:space="preserve"> PAGEREF _Toc100267 \h </w:instrText>
            </w:r>
            <w:r>
              <w:fldChar w:fldCharType="separate"/>
            </w:r>
            <w:r>
              <w:t>672</w:t>
            </w:r>
            <w:r>
              <w:fldChar w:fldCharType="end"/>
            </w:r>
          </w:hyperlink>
        </w:p>
        <w:p>
          <w:pPr>
            <w:pStyle w:val="11"/>
            <w:ind w:left="360"/>
            <w:tabs>
              <w:tab w:val="right" w:leader="dot" w:pos="9026"/>
            </w:tabs>
            <w:spacing w:before="120" w:after="60"/>
          </w:pPr>
          <w:hyperlink w:anchor="_Toc100268" w:history="1">
            <w:r>
              <w:rPr>
                <w:rStyle w:val="Hyperlink"/>
              </w:rPr>
              <w:t>23.2 The Historical Backtest</w:t>
            </w:r>
            <w:r>
              <w:tab/>
            </w:r>
            <w:r>
              <w:fldChar w:fldCharType="begin"/>
            </w:r>
            <w:r>
              <w:instrText xml:space="preserve"> PAGEREF _Toc100268 \h </w:instrText>
            </w:r>
            <w:r>
              <w:fldChar w:fldCharType="separate"/>
            </w:r>
            <w:r>
              <w:t>672</w:t>
            </w:r>
            <w:r>
              <w:fldChar w:fldCharType="end"/>
            </w:r>
          </w:hyperlink>
        </w:p>
        <w:p>
          <w:pPr>
            <w:pStyle w:val="11"/>
            <w:ind w:left="360"/>
            <w:tabs>
              <w:tab w:val="right" w:leader="dot" w:pos="9026"/>
            </w:tabs>
            <w:spacing w:before="120" w:after="60"/>
          </w:pPr>
          <w:hyperlink w:anchor="_Toc100269" w:history="1">
            <w:r>
              <w:rPr>
                <w:rStyle w:val="Hyperlink"/>
              </w:rPr>
              <w:t>23.3 Walk-Forward Validation</w:t>
            </w:r>
            <w:r>
              <w:tab/>
            </w:r>
            <w:r>
              <w:fldChar w:fldCharType="begin"/>
            </w:r>
            <w:r>
              <w:instrText xml:space="preserve"> PAGEREF _Toc100269 \h </w:instrText>
            </w:r>
            <w:r>
              <w:fldChar w:fldCharType="separate"/>
            </w:r>
            <w:r>
              <w:t>673</w:t>
            </w:r>
            <w:r>
              <w:fldChar w:fldCharType="end"/>
            </w:r>
          </w:hyperlink>
        </w:p>
        <w:p>
          <w:pPr>
            <w:pStyle w:val="11"/>
            <w:ind w:left="360"/>
            <w:tabs>
              <w:tab w:val="right" w:leader="dot" w:pos="9026"/>
            </w:tabs>
            <w:spacing w:before="120" w:after="60"/>
          </w:pPr>
          <w:hyperlink w:anchor="_Toc100270" w:history="1">
            <w:r>
              <w:rPr>
                <w:rStyle w:val="Hyperlink"/>
              </w:rPr>
              <w:t>23.4 Purged and Leakage-Controlled Validation</w:t>
            </w:r>
            <w:r>
              <w:tab/>
            </w:r>
            <w:r>
              <w:fldChar w:fldCharType="begin"/>
            </w:r>
            <w:r>
              <w:instrText xml:space="preserve"> PAGEREF _Toc100270 \h </w:instrText>
            </w:r>
            <w:r>
              <w:fldChar w:fldCharType="separate"/>
            </w:r>
            <w:r>
              <w:t>674</w:t>
            </w:r>
            <w:r>
              <w:fldChar w:fldCharType="end"/>
            </w:r>
          </w:hyperlink>
        </w:p>
        <w:p>
          <w:pPr>
            <w:pStyle w:val="11"/>
            <w:ind w:left="360"/>
            <w:tabs>
              <w:tab w:val="right" w:leader="dot" w:pos="9026"/>
            </w:tabs>
            <w:spacing w:before="120" w:after="60"/>
          </w:pPr>
          <w:hyperlink w:anchor="_Toc100271" w:history="1">
            <w:r>
              <w:rPr>
                <w:rStyle w:val="Hyperlink"/>
              </w:rPr>
              <w:t>23.5 Monte Carlo Testing</w:t>
            </w:r>
            <w:r>
              <w:tab/>
            </w:r>
            <w:r>
              <w:fldChar w:fldCharType="begin"/>
            </w:r>
            <w:r>
              <w:instrText xml:space="preserve"> PAGEREF _Toc100271 \h </w:instrText>
            </w:r>
            <w:r>
              <w:fldChar w:fldCharType="separate"/>
            </w:r>
            <w:r>
              <w:t>675</w:t>
            </w:r>
            <w:r>
              <w:fldChar w:fldCharType="end"/>
            </w:r>
          </w:hyperlink>
        </w:p>
        <w:p>
          <w:pPr>
            <w:pStyle w:val="11"/>
            <w:ind w:left="360"/>
            <w:tabs>
              <w:tab w:val="right" w:leader="dot" w:pos="9026"/>
            </w:tabs>
            <w:spacing w:before="120" w:after="60"/>
          </w:pPr>
          <w:hyperlink w:anchor="_Toc100272" w:history="1">
            <w:r>
              <w:rPr>
                <w:rStyle w:val="Hyperlink"/>
              </w:rPr>
              <w:t>23.6 Parameter Perturbation and Robustness Testing</w:t>
            </w:r>
            <w:r>
              <w:tab/>
            </w:r>
            <w:r>
              <w:fldChar w:fldCharType="begin"/>
            </w:r>
            <w:r>
              <w:instrText xml:space="preserve"> PAGEREF _Toc100272 \h </w:instrText>
            </w:r>
            <w:r>
              <w:fldChar w:fldCharType="separate"/>
            </w:r>
            <w:r>
              <w:t>676</w:t>
            </w:r>
            <w:r>
              <w:fldChar w:fldCharType="end"/>
            </w:r>
          </w:hyperlink>
        </w:p>
        <w:p>
          <w:pPr>
            <w:pStyle w:val="11"/>
            <w:ind w:left="360"/>
            <w:tabs>
              <w:tab w:val="right" w:leader="dot" w:pos="9026"/>
            </w:tabs>
            <w:spacing w:before="120" w:after="60"/>
          </w:pPr>
          <w:hyperlink w:anchor="_Toc100273" w:history="1">
            <w:r>
              <w:rPr>
                <w:rStyle w:val="Hyperlink"/>
              </w:rPr>
              <w:t>23.7 The Model-Selection Criterion</w:t>
            </w:r>
            <w:r>
              <w:tab/>
            </w:r>
            <w:r>
              <w:fldChar w:fldCharType="begin"/>
            </w:r>
            <w:r>
              <w:instrText xml:space="preserve"> PAGEREF _Toc100273 \h </w:instrText>
            </w:r>
            <w:r>
              <w:fldChar w:fldCharType="separate"/>
            </w:r>
            <w:r>
              <w:t>677</w:t>
            </w:r>
            <w:r>
              <w:fldChar w:fldCharType="end"/>
            </w:r>
          </w:hyperlink>
        </w:p>
        <w:p>
          <w:pPr>
            <w:pStyle w:val="11"/>
            <w:ind w:left="360"/>
            <w:tabs>
              <w:tab w:val="right" w:leader="dot" w:pos="9026"/>
            </w:tabs>
            <w:spacing w:before="120" w:after="60"/>
          </w:pPr>
          <w:hyperlink w:anchor="_Toc100274" w:history="1">
            <w:r>
              <w:rPr>
                <w:rStyle w:val="Hyperlink"/>
              </w:rPr>
              <w:t>23.8 Gold-Specific Stress Tests</w:t>
            </w:r>
            <w:r>
              <w:tab/>
            </w:r>
            <w:r>
              <w:fldChar w:fldCharType="begin"/>
            </w:r>
            <w:r>
              <w:instrText xml:space="preserve"> PAGEREF _Toc100274 \h </w:instrText>
            </w:r>
            <w:r>
              <w:fldChar w:fldCharType="separate"/>
            </w:r>
            <w:r>
              <w:t>677</w:t>
            </w:r>
            <w:r>
              <w:fldChar w:fldCharType="end"/>
            </w:r>
          </w:hyperlink>
        </w:p>
        <w:p>
          <w:pPr>
            <w:pStyle w:val="12"/>
            <w:ind w:left="720"/>
            <w:tabs>
              <w:tab w:val="right" w:leader="dot" w:pos="9026"/>
            </w:tabs>
            <w:spacing w:before="120" w:after="60"/>
          </w:pPr>
          <w:hyperlink w:anchor="_Toc100275" w:history="1">
            <w:r>
              <w:rPr>
                <w:rStyle w:val="Hyperlink"/>
              </w:rPr>
              <w:t>23.8.1 Gold Price Shocks (+50%, +25%, −10%, −20%, −30%)</w:t>
            </w:r>
            <w:r>
              <w:tab/>
            </w:r>
            <w:r>
              <w:fldChar w:fldCharType="begin"/>
            </w:r>
            <w:r>
              <w:instrText xml:space="preserve"> PAGEREF _Toc100275 \h </w:instrText>
            </w:r>
            <w:r>
              <w:fldChar w:fldCharType="separate"/>
            </w:r>
            <w:r>
              <w:t>678</w:t>
            </w:r>
            <w:r>
              <w:fldChar w:fldCharType="end"/>
            </w:r>
          </w:hyperlink>
        </w:p>
        <w:p>
          <w:pPr>
            <w:pStyle w:val="12"/>
            <w:ind w:left="720"/>
            <w:tabs>
              <w:tab w:val="right" w:leader="dot" w:pos="9026"/>
            </w:tabs>
            <w:spacing w:before="120" w:after="60"/>
          </w:pPr>
          <w:hyperlink w:anchor="_Toc100276" w:history="1">
            <w:r>
              <w:rPr>
                <w:rStyle w:val="Hyperlink"/>
              </w:rPr>
              <w:t>23.8.2 Sudden Gold-Market Liquidity Reduction</w:t>
            </w:r>
            <w:r>
              <w:tab/>
            </w:r>
            <w:r>
              <w:fldChar w:fldCharType="begin"/>
            </w:r>
            <w:r>
              <w:instrText xml:space="preserve"> PAGEREF _Toc100276 \h </w:instrText>
            </w:r>
            <w:r>
              <w:fldChar w:fldCharType="separate"/>
            </w:r>
            <w:r>
              <w:t>678</w:t>
            </w:r>
            <w:r>
              <w:fldChar w:fldCharType="end"/>
            </w:r>
          </w:hyperlink>
        </w:p>
        <w:p>
          <w:pPr>
            <w:pStyle w:val="12"/>
            <w:ind w:left="720"/>
            <w:tabs>
              <w:tab w:val="right" w:leader="dot" w:pos="9026"/>
            </w:tabs>
            <w:spacing w:before="120" w:after="60"/>
          </w:pPr>
          <w:hyperlink w:anchor="_Toc100277" w:history="1">
            <w:r>
              <w:rPr>
                <w:rStyle w:val="Hyperlink"/>
              </w:rPr>
              <w:t>23.8.3 Tokenized-Gold Issuer Failure</w:t>
            </w:r>
            <w:r>
              <w:tab/>
            </w:r>
            <w:r>
              <w:fldChar w:fldCharType="begin"/>
            </w:r>
            <w:r>
              <w:instrText xml:space="preserve"> PAGEREF _Toc100277 \h </w:instrText>
            </w:r>
            <w:r>
              <w:fldChar w:fldCharType="separate"/>
            </w:r>
            <w:r>
              <w:t>679</w:t>
            </w:r>
            <w:r>
              <w:fldChar w:fldCharType="end"/>
            </w:r>
          </w:hyperlink>
        </w:p>
        <w:p>
          <w:pPr>
            <w:pStyle w:val="12"/>
            <w:ind w:left="720"/>
            <w:tabs>
              <w:tab w:val="right" w:leader="dot" w:pos="9026"/>
            </w:tabs>
            <w:spacing w:before="120" w:after="60"/>
          </w:pPr>
          <w:hyperlink w:anchor="_Toc100278" w:history="1">
            <w:r>
              <w:rPr>
                <w:rStyle w:val="Hyperlink"/>
              </w:rPr>
              <w:t>23.8.4 Physical-Gold Custody Interruption</w:t>
            </w:r>
            <w:r>
              <w:tab/>
            </w:r>
            <w:r>
              <w:fldChar w:fldCharType="begin"/>
            </w:r>
            <w:r>
              <w:instrText xml:space="preserve"> PAGEREF _Toc100278 \h </w:instrText>
            </w:r>
            <w:r>
              <w:fldChar w:fldCharType="separate"/>
            </w:r>
            <w:r>
              <w:t>679</w:t>
            </w:r>
            <w:r>
              <w:fldChar w:fldCharType="end"/>
            </w:r>
          </w:hyperlink>
        </w:p>
        <w:p>
          <w:pPr>
            <w:pStyle w:val="12"/>
            <w:ind w:left="720"/>
            <w:tabs>
              <w:tab w:val="right" w:leader="dot" w:pos="9026"/>
            </w:tabs>
            <w:spacing w:before="120" w:after="60"/>
          </w:pPr>
          <w:hyperlink w:anchor="_Toc100279" w:history="1">
            <w:r>
              <w:rPr>
                <w:rStyle w:val="Hyperlink"/>
              </w:rPr>
              <w:t>23.8.5 Oracle Disagreement</w:t>
            </w:r>
            <w:r>
              <w:tab/>
            </w:r>
            <w:r>
              <w:fldChar w:fldCharType="begin"/>
            </w:r>
            <w:r>
              <w:instrText xml:space="preserve"> PAGEREF _Toc100279 \h </w:instrText>
            </w:r>
            <w:r>
              <w:fldChar w:fldCharType="separate"/>
            </w:r>
            <w:r>
              <w:t>679</w:t>
            </w:r>
            <w:r>
              <w:fldChar w:fldCharType="end"/>
            </w:r>
          </w:hyperlink>
        </w:p>
        <w:p>
          <w:pPr>
            <w:pStyle w:val="11"/>
            <w:ind w:left="360"/>
            <w:tabs>
              <w:tab w:val="right" w:leader="dot" w:pos="9026"/>
            </w:tabs>
            <w:spacing w:before="120" w:after="60"/>
          </w:pPr>
          <w:hyperlink w:anchor="_Toc100280" w:history="1">
            <w:r>
              <w:rPr>
                <w:rStyle w:val="Hyperlink"/>
              </w:rPr>
              <w:t>23.9 Currency-Specific Stress Tests</w:t>
            </w:r>
            <w:r>
              <w:tab/>
            </w:r>
            <w:r>
              <w:fldChar w:fldCharType="begin"/>
            </w:r>
            <w:r>
              <w:instrText xml:space="preserve"> PAGEREF _Toc100280 \h </w:instrText>
            </w:r>
            <w:r>
              <w:fldChar w:fldCharType="separate"/>
            </w:r>
            <w:r>
              <w:t>680</w:t>
            </w:r>
            <w:r>
              <w:fldChar w:fldCharType="end"/>
            </w:r>
          </w:hyperlink>
        </w:p>
        <w:p>
          <w:pPr>
            <w:pStyle w:val="11"/>
            <w:ind w:left="360"/>
            <w:tabs>
              <w:tab w:val="right" w:leader="dot" w:pos="9026"/>
            </w:tabs>
            <w:spacing w:before="120" w:after="60"/>
          </w:pPr>
          <w:hyperlink w:anchor="_Toc100281" w:history="1">
            <w:r>
              <w:rPr>
                <w:rStyle w:val="Hyperlink"/>
              </w:rPr>
              <w:t>23.10 Stable-Value Asset Stress</w:t>
            </w:r>
            <w:r>
              <w:tab/>
            </w:r>
            <w:r>
              <w:fldChar w:fldCharType="begin"/>
            </w:r>
            <w:r>
              <w:instrText xml:space="preserve"> PAGEREF _Toc100281 \h </w:instrText>
            </w:r>
            <w:r>
              <w:fldChar w:fldCharType="separate"/>
            </w:r>
            <w:r>
              <w:t>680</w:t>
            </w:r>
            <w:r>
              <w:fldChar w:fldCharType="end"/>
            </w:r>
          </w:hyperlink>
        </w:p>
        <w:p>
          <w:pPr>
            <w:pStyle w:val="11"/>
            <w:ind w:left="360"/>
            <w:tabs>
              <w:tab w:val="right" w:leader="dot" w:pos="9026"/>
            </w:tabs>
            <w:spacing w:before="120" w:after="60"/>
          </w:pPr>
          <w:hyperlink w:anchor="_Toc100282" w:history="1">
            <w:r>
              <w:rPr>
                <w:rStyle w:val="Hyperlink"/>
              </w:rPr>
              <w:t>23.11 The Reserve Stress Equation</w:t>
            </w:r>
            <w:r>
              <w:tab/>
            </w:r>
            <w:r>
              <w:fldChar w:fldCharType="begin"/>
            </w:r>
            <w:r>
              <w:instrText xml:space="preserve"> PAGEREF _Toc100282 \h </w:instrText>
            </w:r>
            <w:r>
              <w:fldChar w:fldCharType="separate"/>
            </w:r>
            <w:r>
              <w:t>681</w:t>
            </w:r>
            <w:r>
              <w:fldChar w:fldCharType="end"/>
            </w:r>
          </w:hyperlink>
        </w:p>
        <w:p>
          <w:pPr>
            <w:pStyle w:val="11"/>
            <w:ind w:left="360"/>
            <w:tabs>
              <w:tab w:val="right" w:leader="dot" w:pos="9026"/>
            </w:tabs>
            <w:spacing w:before="120" w:after="60"/>
          </w:pPr>
          <w:hyperlink w:anchor="_Toc100283" w:history="1">
            <w:r>
              <w:rPr>
                <w:rStyle w:val="Hyperlink"/>
              </w:rPr>
              <w:t>23.12 Validation Gates and Production Preconditions</w:t>
            </w:r>
            <w:r>
              <w:tab/>
            </w:r>
            <w:r>
              <w:fldChar w:fldCharType="begin"/>
            </w:r>
            <w:r>
              <w:instrText xml:space="preserve"> PAGEREF _Toc100283 \h </w:instrText>
            </w:r>
            <w:r>
              <w:fldChar w:fldCharType="separate"/>
            </w:r>
            <w:r>
              <w:t>682</w:t>
            </w:r>
            <w:r>
              <w:fldChar w:fldCharType="end"/>
            </w:r>
          </w:hyperlink>
        </w:p>
        <w:p>
          <w:pPr>
            <w:pStyle w:val="9"/>
            <w:tabs>
              <w:tab w:val="right" w:leader="dot" w:pos="9026"/>
            </w:tabs>
            <w:spacing w:before="120" w:after="60"/>
          </w:pPr>
          <w:hyperlink w:anchor="_Toc100284" w:history="1">
            <w:r>
              <w:rPr>
                <w:rStyle w:val="Hyperlink"/>
              </w:rPr>
              <w:t>24. Transparency, Reproducibility and Publication</w:t>
            </w:r>
            <w:r>
              <w:tab/>
            </w:r>
            <w:r>
              <w:fldChar w:fldCharType="begin"/>
            </w:r>
            <w:r>
              <w:instrText xml:space="preserve"> PAGEREF _Toc100284 \h </w:instrText>
            </w:r>
            <w:r>
              <w:fldChar w:fldCharType="separate"/>
            </w:r>
            <w:r>
              <w:t>682</w:t>
            </w:r>
            <w:r>
              <w:fldChar w:fldCharType="end"/>
            </w:r>
          </w:hyperlink>
        </w:p>
        <w:p>
          <w:pPr>
            <w:pStyle w:val="11"/>
            <w:ind w:left="360"/>
            <w:tabs>
              <w:tab w:val="right" w:leader="dot" w:pos="9026"/>
            </w:tabs>
            <w:spacing w:before="120" w:after="60"/>
          </w:pPr>
          <w:hyperlink w:anchor="_Toc100285" w:history="1">
            <w:r>
              <w:rPr>
                <w:rStyle w:val="Hyperlink"/>
              </w:rPr>
              <w:t>24.1 Deterministic Reproducibility</w:t>
            </w:r>
            <w:r>
              <w:tab/>
            </w:r>
            <w:r>
              <w:fldChar w:fldCharType="begin"/>
            </w:r>
            <w:r>
              <w:instrText xml:space="preserve"> PAGEREF _Toc100285 \h </w:instrText>
            </w:r>
            <w:r>
              <w:fldChar w:fldCharType="separate"/>
            </w:r>
            <w:r>
              <w:t>683</w:t>
            </w:r>
            <w:r>
              <w:fldChar w:fldCharType="end"/>
            </w:r>
          </w:hyperlink>
        </w:p>
        <w:p>
          <w:pPr>
            <w:pStyle w:val="11"/>
            <w:ind w:left="360"/>
            <w:tabs>
              <w:tab w:val="right" w:leader="dot" w:pos="9026"/>
            </w:tabs>
            <w:spacing w:before="120" w:after="60"/>
          </w:pPr>
          <w:hyperlink w:anchor="_Toc100286" w:history="1">
            <w:r>
              <w:rPr>
                <w:rStyle w:val="Hyperlink"/>
              </w:rPr>
              <w:t>24.2 Data, Model, Parameter and Oracle Versioning</w:t>
            </w:r>
            <w:r>
              <w:tab/>
            </w:r>
            <w:r>
              <w:fldChar w:fldCharType="begin"/>
            </w:r>
            <w:r>
              <w:instrText xml:space="preserve"> PAGEREF _Toc100286 \h </w:instrText>
            </w:r>
            <w:r>
              <w:fldChar w:fldCharType="separate"/>
            </w:r>
            <w:r>
              <w:t>683</w:t>
            </w:r>
            <w:r>
              <w:fldChar w:fldCharType="end"/>
            </w:r>
          </w:hyperlink>
        </w:p>
        <w:p>
          <w:pPr>
            <w:pStyle w:val="11"/>
            <w:ind w:left="360"/>
            <w:tabs>
              <w:tab w:val="right" w:leader="dot" w:pos="9026"/>
            </w:tabs>
            <w:spacing w:before="120" w:after="60"/>
          </w:pPr>
          <w:hyperlink w:anchor="_Toc100287" w:history="1">
            <w:r>
              <w:rPr>
                <w:rStyle w:val="Hyperlink"/>
              </w:rPr>
              <w:t>24.3 Weight Publication</w:t>
            </w:r>
            <w:r>
              <w:tab/>
            </w:r>
            <w:r>
              <w:fldChar w:fldCharType="begin"/>
            </w:r>
            <w:r>
              <w:instrText xml:space="preserve"> PAGEREF _Toc100287 \h </w:instrText>
            </w:r>
            <w:r>
              <w:fldChar w:fldCharType="separate"/>
            </w:r>
            <w:r>
              <w:t>684</w:t>
            </w:r>
            <w:r>
              <w:fldChar w:fldCharType="end"/>
            </w:r>
          </w:hyperlink>
        </w:p>
        <w:p>
          <w:pPr>
            <w:pStyle w:val="11"/>
            <w:ind w:left="360"/>
            <w:tabs>
              <w:tab w:val="right" w:leader="dot" w:pos="9026"/>
            </w:tabs>
            <w:spacing w:before="120" w:after="60"/>
          </w:pPr>
          <w:hyperlink w:anchor="_Toc100288" w:history="1">
            <w:r>
              <w:rPr>
                <w:rStyle w:val="Hyperlink"/>
              </w:rPr>
              <w:t>24.4 The Rebalancing Decision Log</w:t>
            </w:r>
            <w:r>
              <w:tab/>
            </w:r>
            <w:r>
              <w:fldChar w:fldCharType="begin"/>
            </w:r>
            <w:r>
              <w:instrText xml:space="preserve"> PAGEREF _Toc100288 \h </w:instrText>
            </w:r>
            <w:r>
              <w:fldChar w:fldCharType="separate"/>
            </w:r>
            <w:r>
              <w:t>684</w:t>
            </w:r>
            <w:r>
              <w:fldChar w:fldCharType="end"/>
            </w:r>
          </w:hyperlink>
        </w:p>
        <w:p>
          <w:pPr>
            <w:pStyle w:val="11"/>
            <w:ind w:left="360"/>
            <w:tabs>
              <w:tab w:val="right" w:leader="dot" w:pos="9026"/>
            </w:tabs>
            <w:spacing w:before="120" w:after="60"/>
          </w:pPr>
          <w:hyperlink w:anchor="_Toc100289" w:history="1">
            <w:r>
              <w:rPr>
                <w:rStyle w:val="Hyperlink"/>
              </w:rPr>
              <w:t>24.5 The Final Live-Weight Equation</w:t>
            </w:r>
            <w:r>
              <w:tab/>
            </w:r>
            <w:r>
              <w:fldChar w:fldCharType="begin"/>
            </w:r>
            <w:r>
              <w:instrText xml:space="preserve"> PAGEREF _Toc100289 \h </w:instrText>
            </w:r>
            <w:r>
              <w:fldChar w:fldCharType="separate"/>
            </w:r>
            <w:r>
              <w:t>685</w:t>
            </w:r>
            <w:r>
              <w:fldChar w:fldCharType="end"/>
            </w:r>
          </w:hyperlink>
        </w:p>
        <w:p>
          <w:pPr>
            <w:pStyle w:val="9"/>
            <w:tabs>
              <w:tab w:val="right" w:leader="dot" w:pos="9026"/>
            </w:tabs>
            <w:spacing w:before="120" w:after="60"/>
          </w:pPr>
          <w:hyperlink w:anchor="_Toc100290" w:history="1">
            <w:r>
              <w:rPr>
                <w:rStyle w:val="Hyperlink"/>
              </w:rPr>
              <w:t>25. Claims and Honest Status</w:t>
            </w:r>
            <w:r>
              <w:tab/>
            </w:r>
            <w:r>
              <w:fldChar w:fldCharType="begin"/>
            </w:r>
            <w:r>
              <w:instrText xml:space="preserve"> PAGEREF _Toc100290 \h </w:instrText>
            </w:r>
            <w:r>
              <w:fldChar w:fldCharType="separate"/>
            </w:r>
            <w:r>
              <w:t>687</w:t>
            </w:r>
            <w:r>
              <w:fldChar w:fldCharType="end"/>
            </w:r>
          </w:hyperlink>
        </w:p>
        <w:p>
          <w:pPr>
            <w:pStyle w:val="11"/>
            <w:ind w:left="360"/>
            <w:tabs>
              <w:tab w:val="right" w:leader="dot" w:pos="9026"/>
            </w:tabs>
            <w:spacing w:before="120" w:after="60"/>
          </w:pPr>
          <w:hyperlink w:anchor="_Toc100291" w:history="1">
            <w:r>
              <w:rPr>
                <w:rStyle w:val="Hyperlink"/>
              </w:rPr>
              <w:t>25.1 Purpose — The Honesty Architecture</w:t>
            </w:r>
            <w:r>
              <w:tab/>
            </w:r>
            <w:r>
              <w:fldChar w:fldCharType="begin"/>
            </w:r>
            <w:r>
              <w:instrText xml:space="preserve"> PAGEREF _Toc100291 \h </w:instrText>
            </w:r>
            <w:r>
              <w:fldChar w:fldCharType="separate"/>
            </w:r>
            <w:r>
              <w:t>687</w:t>
            </w:r>
            <w:r>
              <w:fldChar w:fldCharType="end"/>
            </w:r>
          </w:hyperlink>
        </w:p>
        <w:p>
          <w:pPr>
            <w:pStyle w:val="11"/>
            <w:ind w:left="360"/>
            <w:tabs>
              <w:tab w:val="right" w:leader="dot" w:pos="9026"/>
            </w:tabs>
            <w:spacing w:before="120" w:after="60"/>
          </w:pPr>
          <w:hyperlink w:anchor="_Toc100292" w:history="1">
            <w:r>
              <w:rPr>
                <w:rStyle w:val="Hyperlink"/>
              </w:rPr>
              <w:t>25.2 Claims Supported by the Specification</w:t>
            </w:r>
            <w:r>
              <w:tab/>
            </w:r>
            <w:r>
              <w:fldChar w:fldCharType="begin"/>
            </w:r>
            <w:r>
              <w:instrText xml:space="preserve"> PAGEREF _Toc100292 \h </w:instrText>
            </w:r>
            <w:r>
              <w:fldChar w:fldCharType="separate"/>
            </w:r>
            <w:r>
              <w:t>688</w:t>
            </w:r>
            <w:r>
              <w:fldChar w:fldCharType="end"/>
            </w:r>
          </w:hyperlink>
        </w:p>
        <w:p>
          <w:pPr>
            <w:pStyle w:val="11"/>
            <w:ind w:left="360"/>
            <w:tabs>
              <w:tab w:val="right" w:leader="dot" w:pos="9026"/>
            </w:tabs>
            <w:spacing w:before="120" w:after="60"/>
          </w:pPr>
          <w:hyperlink w:anchor="_Toc100293" w:history="1">
            <w:r>
              <w:rPr>
                <w:rStyle w:val="Hyperlink"/>
              </w:rPr>
              <w:t>25.3 Claims NOT Supported by the Current Specification</w:t>
            </w:r>
            <w:r>
              <w:tab/>
            </w:r>
            <w:r>
              <w:fldChar w:fldCharType="begin"/>
            </w:r>
            <w:r>
              <w:instrText xml:space="preserve"> PAGEREF _Toc100293 \h </w:instrText>
            </w:r>
            <w:r>
              <w:fldChar w:fldCharType="separate"/>
            </w:r>
            <w:r>
              <w:t>688</w:t>
            </w:r>
            <w:r>
              <w:fldChar w:fldCharType="end"/>
            </w:r>
          </w:hyperlink>
        </w:p>
        <w:p>
          <w:pPr>
            <w:pStyle w:val="11"/>
            <w:ind w:left="360"/>
            <w:tabs>
              <w:tab w:val="right" w:leader="dot" w:pos="9026"/>
            </w:tabs>
            <w:spacing w:before="120" w:after="60"/>
          </w:pPr>
          <w:hyperlink w:anchor="_Toc100294" w:history="1">
            <w:r>
              <w:rPr>
                <w:rStyle w:val="Hyperlink"/>
              </w:rPr>
              <w:t>25.4 The Honest Status Table</w:t>
            </w:r>
            <w:r>
              <w:tab/>
            </w:r>
            <w:r>
              <w:fldChar w:fldCharType="begin"/>
            </w:r>
            <w:r>
              <w:instrText xml:space="preserve"> PAGEREF _Toc100294 \h </w:instrText>
            </w:r>
            <w:r>
              <w:fldChar w:fldCharType="separate"/>
            </w:r>
            <w:r>
              <w:t>689</w:t>
            </w:r>
            <w:r>
              <w:fldChar w:fldCharType="end"/>
            </w:r>
          </w:hyperlink>
        </w:p>
        <w:p>
          <w:pPr>
            <w:pStyle w:val="11"/>
            <w:ind w:left="360"/>
            <w:tabs>
              <w:tab w:val="right" w:leader="dot" w:pos="9026"/>
            </w:tabs>
            <w:spacing w:before="120" w:after="60"/>
          </w:pPr>
          <w:hyperlink w:anchor="_Toc100295" w:history="1">
            <w:r>
              <w:rPr>
                <w:rStyle w:val="Hyperlink"/>
              </w:rPr>
              <w:t>25.5 The Validation Gates</w:t>
            </w:r>
            <w:r>
              <w:tab/>
            </w:r>
            <w:r>
              <w:fldChar w:fldCharType="begin"/>
            </w:r>
            <w:r>
              <w:instrText xml:space="preserve"> PAGEREF _Toc100295 \h </w:instrText>
            </w:r>
            <w:r>
              <w:fldChar w:fldCharType="separate"/>
            </w:r>
            <w:r>
              <w:t>689</w:t>
            </w:r>
            <w:r>
              <w:fldChar w:fldCharType="end"/>
            </w:r>
          </w:hyperlink>
        </w:p>
        <w:p>
          <w:pPr>
            <w:pStyle w:val="11"/>
            <w:ind w:left="360"/>
            <w:tabs>
              <w:tab w:val="right" w:leader="dot" w:pos="9026"/>
            </w:tabs>
            <w:spacing w:before="120" w:after="60"/>
          </w:pPr>
          <w:hyperlink w:anchor="_Toc100296" w:history="1">
            <w:r>
              <w:rPr>
                <w:rStyle w:val="Hyperlink"/>
              </w:rPr>
              <w:t>25.6 The Honest Messaging Guide</w:t>
            </w:r>
            <w:r>
              <w:tab/>
            </w:r>
            <w:r>
              <w:fldChar w:fldCharType="begin"/>
            </w:r>
            <w:r>
              <w:instrText xml:space="preserve"> PAGEREF _Toc100296 \h </w:instrText>
            </w:r>
            <w:r>
              <w:fldChar w:fldCharType="separate"/>
            </w:r>
            <w:r>
              <w:t>690</w:t>
            </w:r>
            <w:r>
              <w:fldChar w:fldCharType="end"/>
            </w:r>
          </w:hyperlink>
        </w:p>
        <w:p>
          <w:pPr>
            <w:pStyle w:val="12"/>
            <w:ind w:left="720"/>
            <w:tabs>
              <w:tab w:val="right" w:leader="dot" w:pos="9026"/>
            </w:tabs>
            <w:spacing w:before="120" w:after="60"/>
          </w:pPr>
          <w:hyperlink w:anchor="_Toc100297" w:history="1">
            <w:r>
              <w:rPr>
                <w:rStyle w:val="Hyperlink"/>
              </w:rPr>
              <w:t>25.6.1 What to Say (Supported Claims)</w:t>
            </w:r>
            <w:r>
              <w:tab/>
            </w:r>
            <w:r>
              <w:fldChar w:fldCharType="begin"/>
            </w:r>
            <w:r>
              <w:instrText xml:space="preserve"> PAGEREF _Toc100297 \h </w:instrText>
            </w:r>
            <w:r>
              <w:fldChar w:fldCharType="separate"/>
            </w:r>
            <w:r>
              <w:t>690</w:t>
            </w:r>
            <w:r>
              <w:fldChar w:fldCharType="end"/>
            </w:r>
          </w:hyperlink>
        </w:p>
        <w:p>
          <w:pPr>
            <w:pStyle w:val="12"/>
            <w:ind w:left="720"/>
            <w:tabs>
              <w:tab w:val="right" w:leader="dot" w:pos="9026"/>
            </w:tabs>
            <w:spacing w:before="120" w:after="60"/>
          </w:pPr>
          <w:hyperlink w:anchor="_Toc100298" w:history="1">
            <w:r>
              <w:rPr>
                <w:rStyle w:val="Hyperlink"/>
              </w:rPr>
              <w:t>25.6.2 What NOT to Say (Unsupported Claims)</w:t>
            </w:r>
            <w:r>
              <w:tab/>
            </w:r>
            <w:r>
              <w:fldChar w:fldCharType="begin"/>
            </w:r>
            <w:r>
              <w:instrText xml:space="preserve"> PAGEREF _Toc100298 \h </w:instrText>
            </w:r>
            <w:r>
              <w:fldChar w:fldCharType="separate"/>
            </w:r>
            <w:r>
              <w:t>690</w:t>
            </w:r>
            <w:r>
              <w:fldChar w:fldCharType="end"/>
            </w:r>
          </w:hyperlink>
        </w:p>
        <w:p>
          <w:pPr>
            <w:pStyle w:val="11"/>
            <w:ind w:left="360"/>
            <w:tabs>
              <w:tab w:val="right" w:leader="dot" w:pos="9026"/>
            </w:tabs>
            <w:spacing w:before="120" w:after="60"/>
          </w:pPr>
          <w:hyperlink w:anchor="_Toc100299" w:history="1">
            <w:r>
              <w:rPr>
                <w:rStyle w:val="Hyperlink"/>
              </w:rPr>
              <w:t>25.7 Smart Contract Implementation — Honest Status</w:t>
            </w:r>
            <w:r>
              <w:tab/>
            </w:r>
            <w:r>
              <w:fldChar w:fldCharType="begin"/>
            </w:r>
            <w:r>
              <w:instrText xml:space="preserve"> PAGEREF _Toc100299 \h </w:instrText>
            </w:r>
            <w:r>
              <w:fldChar w:fldCharType="separate"/>
            </w:r>
            <w:r>
              <w:t>691</w:t>
            </w:r>
            <w:r>
              <w:fldChar w:fldCharType="end"/>
            </w:r>
          </w:hyperlink>
        </w:p>
        <w:p>
          <w:pPr>
            <w:pStyle w:val="9"/>
            <w:tabs>
              <w:tab w:val="right" w:leader="dot" w:pos="9026"/>
            </w:tabs>
            <w:spacing w:before="120" w:after="60"/>
          </w:pPr>
          <w:hyperlink w:anchor="_Toc100300" w:history="1">
            <w:r>
              <w:rPr>
                <w:rStyle w:val="Hyperlink"/>
              </w:rPr>
              <w:t>26. Final Declarations and Architecture Summary</w:t>
            </w:r>
            <w:r>
              <w:tab/>
            </w:r>
            <w:r>
              <w:fldChar w:fldCharType="begin"/>
            </w:r>
            <w:r>
              <w:instrText xml:space="preserve"> PAGEREF _Toc100300 \h </w:instrText>
            </w:r>
            <w:r>
              <w:fldChar w:fldCharType="separate"/>
            </w:r>
            <w:r>
              <w:t>707</w:t>
            </w:r>
            <w:r>
              <w:fldChar w:fldCharType="end"/>
            </w:r>
          </w:hyperlink>
        </w:p>
        <w:p>
          <w:pPr>
            <w:pStyle w:val="11"/>
            <w:ind w:left="360"/>
            <w:tabs>
              <w:tab w:val="right" w:leader="dot" w:pos="9026"/>
            </w:tabs>
            <w:spacing w:before="120" w:after="60"/>
          </w:pPr>
          <w:hyperlink w:anchor="_Toc100301" w:history="1">
            <w:r>
              <w:rPr>
                <w:rStyle w:val="Hyperlink"/>
              </w:rPr>
              <w:t>26.1 The Final Declaration</w:t>
            </w:r>
            <w:r>
              <w:tab/>
            </w:r>
            <w:r>
              <w:fldChar w:fldCharType="begin"/>
            </w:r>
            <w:r>
              <w:instrText xml:space="preserve"> PAGEREF _Toc100301 \h </w:instrText>
            </w:r>
            <w:r>
              <w:fldChar w:fldCharType="separate"/>
            </w:r>
            <w:r>
              <w:t>707</w:t>
            </w:r>
            <w:r>
              <w:fldChar w:fldCharType="end"/>
            </w:r>
          </w:hyperlink>
        </w:p>
        <w:p>
          <w:pPr>
            <w:pStyle w:val="11"/>
            <w:ind w:left="360"/>
            <w:tabs>
              <w:tab w:val="right" w:leader="dot" w:pos="9026"/>
            </w:tabs>
            <w:spacing w:before="120" w:after="60"/>
          </w:pPr>
          <w:hyperlink w:anchor="_Toc100302" w:history="1">
            <w:r>
              <w:rPr>
                <w:rStyle w:val="Hyperlink"/>
              </w:rPr>
              <w:t>26.2 The Critical Distinction — Four Weight States</w:t>
            </w:r>
            <w:r>
              <w:tab/>
            </w:r>
            <w:r>
              <w:fldChar w:fldCharType="begin"/>
            </w:r>
            <w:r>
              <w:instrText xml:space="preserve"> PAGEREF _Toc100302 \h </w:instrText>
            </w:r>
            <w:r>
              <w:fldChar w:fldCharType="separate"/>
            </w:r>
            <w:r>
              <w:t>709</w:t>
            </w:r>
            <w:r>
              <w:fldChar w:fldCharType="end"/>
            </w:r>
          </w:hyperlink>
        </w:p>
        <w:p>
          <w:pPr>
            <w:pStyle w:val="11"/>
            <w:ind w:left="360"/>
            <w:tabs>
              <w:tab w:val="right" w:leader="dot" w:pos="9026"/>
            </w:tabs>
            <w:spacing w:before="120" w:after="60"/>
          </w:pPr>
          <w:hyperlink w:anchor="_Toc100303" w:history="1">
            <w:r>
              <w:rPr>
                <w:rStyle w:val="Hyperlink"/>
              </w:rPr>
              <w:t>26.3 The Final Conceptual Flow</w:t>
            </w:r>
            <w:r>
              <w:tab/>
            </w:r>
            <w:r>
              <w:fldChar w:fldCharType="begin"/>
            </w:r>
            <w:r>
              <w:instrText xml:space="preserve"> PAGEREF _Toc100303 \h </w:instrText>
            </w:r>
            <w:r>
              <w:fldChar w:fldCharType="separate"/>
            </w:r>
            <w:r>
              <w:t>709</w:t>
            </w:r>
            <w:r>
              <w:fldChar w:fldCharType="end"/>
            </w:r>
          </w:hyperlink>
        </w:p>
        <w:p>
          <w:pPr>
            <w:pStyle w:val="12"/>
            <w:ind w:left="720"/>
            <w:tabs>
              <w:tab w:val="right" w:leader="dot" w:pos="9026"/>
            </w:tabs>
            <w:spacing w:before="120" w:after="60"/>
          </w:pPr>
          <w:hyperlink w:anchor="_Toc100304" w:history="1">
            <w:r>
              <w:rPr>
                <w:rStyle w:val="Hyperlink"/>
              </w:rPr>
              <w:t>26.3.1 The End-to-End Data-Flow View</w:t>
            </w:r>
            <w:r>
              <w:tab/>
            </w:r>
            <w:r>
              <w:fldChar w:fldCharType="begin"/>
            </w:r>
            <w:r>
              <w:instrText xml:space="preserve"> PAGEREF _Toc100304 \h </w:instrText>
            </w:r>
            <w:r>
              <w:fldChar w:fldCharType="separate"/>
            </w:r>
            <w:r>
              <w:t>710</w:t>
            </w:r>
            <w:r>
              <w:fldChar w:fldCharType="end"/>
            </w:r>
          </w:hyperlink>
        </w:p>
        <w:p>
          <w:pPr>
            <w:pStyle w:val="12"/>
            <w:ind w:left="720"/>
            <w:tabs>
              <w:tab w:val="right" w:leader="dot" w:pos="9026"/>
            </w:tabs>
            <w:spacing w:before="120" w:after="60"/>
          </w:pPr>
          <w:hyperlink w:anchor="_Toc100305" w:history="1">
            <w:r>
              <w:rPr>
                <w:rStyle w:val="Hyperlink"/>
              </w:rPr>
              <w:t>26.3.2 The Two-Engine Hierarchy View (COO-Approved Final Architecture)</w:t>
            </w:r>
            <w:r>
              <w:tab/>
            </w:r>
            <w:r>
              <w:fldChar w:fldCharType="begin"/>
            </w:r>
            <w:r>
              <w:instrText xml:space="preserve"> PAGEREF _Toc100305 \h </w:instrText>
            </w:r>
            <w:r>
              <w:fldChar w:fldCharType="separate"/>
            </w:r>
            <w:r>
              <w:t>717</w:t>
            </w:r>
            <w:r>
              <w:fldChar w:fldCharType="end"/>
            </w:r>
          </w:hyperlink>
        </w:p>
        <w:p>
          <w:pPr>
            <w:pStyle w:val="12"/>
            <w:ind w:left="720"/>
            <w:tabs>
              <w:tab w:val="right" w:leader="dot" w:pos="9026"/>
            </w:tabs>
            <w:spacing w:before="120" w:after="60"/>
          </w:pPr>
          <w:hyperlink w:anchor="_Toc100306" w:history="1">
            <w:r>
              <w:rPr>
                <w:rStyle w:val="Hyperlink"/>
              </w:rPr>
              <w:t>26.3.3 How the Two Views Relate</w:t>
            </w:r>
            <w:r>
              <w:tab/>
            </w:r>
            <w:r>
              <w:fldChar w:fldCharType="begin"/>
            </w:r>
            <w:r>
              <w:instrText xml:space="preserve"> PAGEREF _Toc100306 \h </w:instrText>
            </w:r>
            <w:r>
              <w:fldChar w:fldCharType="separate"/>
            </w:r>
            <w:r>
              <w:t>723</w:t>
            </w:r>
            <w:r>
              <w:fldChar w:fldCharType="end"/>
            </w:r>
          </w:hyperlink>
        </w:p>
        <w:p>
          <w:pPr>
            <w:pStyle w:val="11"/>
            <w:ind w:left="360"/>
            <w:tabs>
              <w:tab w:val="right" w:leader="dot" w:pos="9026"/>
            </w:tabs>
            <w:spacing w:before="120" w:after="60"/>
          </w:pPr>
          <w:hyperlink w:anchor="_Toc100307" w:history="1">
            <w:r>
              <w:rPr>
                <w:rStyle w:val="Hyperlink"/>
              </w:rPr>
              <w:t>26.4 The Final Strategic Basket Statement</w:t>
            </w:r>
            <w:r>
              <w:tab/>
            </w:r>
            <w:r>
              <w:fldChar w:fldCharType="begin"/>
            </w:r>
            <w:r>
              <w:instrText xml:space="preserve"> PAGEREF _Toc100307 \h </w:instrText>
            </w:r>
            <w:r>
              <w:fldChar w:fldCharType="separate"/>
            </w:r>
            <w:r>
              <w:t>724</w:t>
            </w:r>
            <w:r>
              <w:fldChar w:fldCharType="end"/>
            </w:r>
          </w:hyperlink>
        </w:p>
        <w:p>
          <w:pPr>
            <w:pStyle w:val="11"/>
            <w:ind w:left="360"/>
            <w:tabs>
              <w:tab w:val="right" w:leader="dot" w:pos="9026"/>
            </w:tabs>
            <w:spacing w:before="120" w:after="60"/>
          </w:pPr>
          <w:hyperlink w:anchor="_Toc100308" w:history="1">
            <w:r>
              <w:rPr>
                <w:rStyle w:val="Hyperlink"/>
              </w:rPr>
              <w:t>26.5 The COO-Approved Principles</w:t>
            </w:r>
            <w:r>
              <w:tab/>
            </w:r>
            <w:r>
              <w:fldChar w:fldCharType="begin"/>
            </w:r>
            <w:r>
              <w:instrText xml:space="preserve"> PAGEREF _Toc100308 \h </w:instrText>
            </w:r>
            <w:r>
              <w:fldChar w:fldCharType="separate"/>
            </w:r>
            <w:r>
              <w:t>725</w:t>
            </w:r>
            <w:r>
              <w:fldChar w:fldCharType="end"/>
            </w:r>
          </w:hyperlink>
        </w:p>
        <w:p>
          <w:pPr>
            <w:pStyle w:val="12"/>
            <w:ind w:left="720"/>
            <w:tabs>
              <w:tab w:val="right" w:leader="dot" w:pos="9026"/>
            </w:tabs>
            <w:spacing w:before="120" w:after="60"/>
          </w:pPr>
          <w:hyperlink w:anchor="_Toc100309" w:history="1">
            <w:r>
              <w:rPr>
                <w:rStyle w:val="Hyperlink"/>
              </w:rPr>
              <w:t>26.5.1 The Rebalancing Principle</w:t>
            </w:r>
            <w:r>
              <w:tab/>
            </w:r>
            <w:r>
              <w:fldChar w:fldCharType="begin"/>
            </w:r>
            <w:r>
              <w:instrText xml:space="preserve"> PAGEREF _Toc100309 \h </w:instrText>
            </w:r>
            <w:r>
              <w:fldChar w:fldCharType="separate"/>
            </w:r>
            <w:r>
              <w:t>725</w:t>
            </w:r>
            <w:r>
              <w:fldChar w:fldCharType="end"/>
            </w:r>
          </w:hyperlink>
        </w:p>
        <w:p>
          <w:pPr>
            <w:pStyle w:val="12"/>
            <w:ind w:left="720"/>
            <w:tabs>
              <w:tab w:val="right" w:leader="dot" w:pos="9026"/>
            </w:tabs>
            <w:spacing w:before="120" w:after="60"/>
          </w:pPr>
          <w:hyperlink w:anchor="_Toc100310" w:history="1">
            <w:r>
              <w:rPr>
                <w:rStyle w:val="Hyperlink"/>
              </w:rPr>
              <w:t>26.5.2 The Monetary Principle</w:t>
            </w:r>
            <w:r>
              <w:tab/>
            </w:r>
            <w:r>
              <w:fldChar w:fldCharType="begin"/>
            </w:r>
            <w:r>
              <w:instrText xml:space="preserve"> PAGEREF _Toc100310 \h </w:instrText>
            </w:r>
            <w:r>
              <w:fldChar w:fldCharType="separate"/>
            </w:r>
            <w:r>
              <w:t>725</w:t>
            </w:r>
            <w:r>
              <w:fldChar w:fldCharType="end"/>
            </w:r>
          </w:hyperlink>
        </w:p>
        <w:p>
          <w:pPr>
            <w:pStyle w:val="11"/>
            <w:ind w:left="360"/>
            <w:tabs>
              <w:tab w:val="right" w:leader="dot" w:pos="9026"/>
            </w:tabs>
            <w:spacing w:before="120" w:after="60"/>
          </w:pPr>
          <w:hyperlink w:anchor="_Toc100311" w:history="1">
            <w:r>
              <w:rPr>
                <w:rStyle w:val="Hyperlink"/>
              </w:rPr>
              <w:t>26.6 Final Architecture Status — Locked and Not Locked</w:t>
            </w:r>
            <w:r>
              <w:tab/>
            </w:r>
            <w:r>
              <w:fldChar w:fldCharType="begin"/>
            </w:r>
            <w:r>
              <w:instrText xml:space="preserve"> PAGEREF _Toc100311 \h </w:instrText>
            </w:r>
            <w:r>
              <w:fldChar w:fldCharType="separate"/>
            </w:r>
            <w:r>
              <w:t>726</w:t>
            </w:r>
            <w:r>
              <w:fldChar w:fldCharType="end"/>
            </w:r>
          </w:hyperlink>
        </w:p>
        <w:p>
          <w:pPr>
            <w:pStyle w:val="12"/>
            <w:ind w:left="720"/>
            <w:tabs>
              <w:tab w:val="right" w:leader="dot" w:pos="9026"/>
            </w:tabs>
            <w:spacing w:before="120" w:after="60"/>
          </w:pPr>
          <w:hyperlink w:anchor="_Toc100312" w:history="1">
            <w:r>
              <w:rPr>
                <w:rStyle w:val="Hyperlink"/>
              </w:rPr>
              <w:t>26.6.1 Locked Concepts</w:t>
            </w:r>
            <w:r>
              <w:tab/>
            </w:r>
            <w:r>
              <w:fldChar w:fldCharType="begin"/>
            </w:r>
            <w:r>
              <w:instrText xml:space="preserve"> PAGEREF _Toc100312 \h </w:instrText>
            </w:r>
            <w:r>
              <w:fldChar w:fldCharType="separate"/>
            </w:r>
            <w:r>
              <w:t>726</w:t>
            </w:r>
            <w:r>
              <w:fldChar w:fldCharType="end"/>
            </w:r>
          </w:hyperlink>
        </w:p>
        <w:p>
          <w:pPr>
            <w:pStyle w:val="12"/>
            <w:ind w:left="720"/>
            <w:tabs>
              <w:tab w:val="right" w:leader="dot" w:pos="9026"/>
            </w:tabs>
            <w:spacing w:before="120" w:after="60"/>
          </w:pPr>
          <w:hyperlink w:anchor="_Toc100313" w:history="1">
            <w:r>
              <w:rPr>
                <w:rStyle w:val="Hyperlink"/>
              </w:rPr>
              <w:t>26.6.2 Not Locked — Must Be Quantitatively Validated</w:t>
            </w:r>
            <w:r>
              <w:tab/>
            </w:r>
            <w:r>
              <w:fldChar w:fldCharType="begin"/>
            </w:r>
            <w:r>
              <w:instrText xml:space="preserve"> PAGEREF _Toc100313 \h </w:instrText>
            </w:r>
            <w:r>
              <w:fldChar w:fldCharType="separate"/>
            </w:r>
            <w:r>
              <w:t>726</w:t>
            </w:r>
            <w:r>
              <w:fldChar w:fldCharType="end"/>
            </w:r>
          </w:hyperlink>
        </w:p>
        <w:p>
          <w:pPr>
            <w:pStyle w:val="12"/>
            <w:ind w:left="720"/>
            <w:tabs>
              <w:tab w:val="right" w:leader="dot" w:pos="9026"/>
            </w:tabs>
            <w:spacing w:before="120" w:after="60"/>
          </w:pPr>
          <w:hyperlink w:anchor="_Toc100314" w:history="1">
            <w:r>
              <w:rPr>
                <w:rStyle w:val="Hyperlink"/>
              </w:rPr>
              <w:t>26.6.3 The Second Mathematical Layer (COO Final Conclusion)</w:t>
            </w:r>
            <w:r>
              <w:tab/>
            </w:r>
            <w:r>
              <w:fldChar w:fldCharType="begin"/>
            </w:r>
            <w:r>
              <w:instrText xml:space="preserve"> PAGEREF _Toc100314 \h </w:instrText>
            </w:r>
            <w:r>
              <w:fldChar w:fldCharType="separate"/>
            </w:r>
            <w:r>
              <w:t>726</w:t>
            </w:r>
            <w:r>
              <w:fldChar w:fldCharType="end"/>
            </w:r>
          </w:hyperlink>
        </w:p>
        <w:p>
          <w:pPr>
            <w:pStyle w:val="11"/>
            <w:ind w:left="360"/>
            <w:tabs>
              <w:tab w:val="right" w:leader="dot" w:pos="9026"/>
            </w:tabs>
            <w:spacing w:before="120" w:after="60"/>
          </w:pPr>
          <w:hyperlink w:anchor="_Toc100315" w:history="1">
            <w:r>
              <w:rPr>
                <w:rStyle w:val="Hyperlink"/>
              </w:rPr>
              <w:t>26.7 The Final One-Sentence Definition</w:t>
            </w:r>
            <w:r>
              <w:tab/>
            </w:r>
            <w:r>
              <w:fldChar w:fldCharType="begin"/>
            </w:r>
            <w:r>
              <w:instrText xml:space="preserve"> PAGEREF _Toc100315 \h </w:instrText>
            </w:r>
            <w:r>
              <w:fldChar w:fldCharType="separate"/>
            </w:r>
            <w:r>
              <w:t>727</w:t>
            </w:r>
            <w:r>
              <w:fldChar w:fldCharType="end"/>
            </w:r>
          </w:hyperlink>
        </w:p>
        <w:p>
          <w:pPr>
            <w:pStyle w:val="11"/>
            <w:ind w:left="360"/>
            <w:tabs>
              <w:tab w:val="right" w:leader="dot" w:pos="9026"/>
            </w:tabs>
            <w:spacing w:before="120" w:after="60"/>
          </w:pPr>
          <w:hyperlink w:anchor="_Toc100316" w:history="1">
            <w:r>
              <w:rPr>
                <w:rStyle w:val="Hyperlink"/>
              </w:rPr>
              <w:t>26.8 Complete Specification Summary and Source of Truth</w:t>
            </w:r>
            <w:r>
              <w:tab/>
            </w:r>
            <w:r>
              <w:fldChar w:fldCharType="begin"/>
            </w:r>
            <w:r>
              <w:instrText xml:space="preserve"> PAGEREF _Toc100316 \h </w:instrText>
            </w:r>
            <w:r>
              <w:fldChar w:fldCharType="separate"/>
            </w:r>
            <w:r>
              <w:t>728</w:t>
            </w:r>
            <w:r>
              <w:fldChar w:fldCharType="end"/>
            </w:r>
          </w:hyperlink>
        </w:p>
        <w:p>
          <w:pPr>
            <w:pStyle w:val="12"/>
            <w:ind w:left="720"/>
            <w:tabs>
              <w:tab w:val="right" w:leader="dot" w:pos="9026"/>
            </w:tabs>
            <w:spacing w:before="120" w:after="60"/>
          </w:pPr>
          <w:hyperlink w:anchor="_Toc100317" w:history="1">
            <w:r>
              <w:rPr>
                <w:rStyle w:val="Hyperlink"/>
              </w:rPr>
              <w:t>26.8.1 Complete Specification Summary Table</w:t>
            </w:r>
            <w:r>
              <w:tab/>
            </w:r>
            <w:r>
              <w:fldChar w:fldCharType="begin"/>
            </w:r>
            <w:r>
              <w:instrText xml:space="preserve"> PAGEREF _Toc100317 \h </w:instrText>
            </w:r>
            <w:r>
              <w:fldChar w:fldCharType="separate"/>
            </w:r>
            <w:r>
              <w:t>728</w:t>
            </w:r>
            <w:r>
              <w:fldChar w:fldCharType="end"/>
            </w:r>
          </w:hyperlink>
        </w:p>
        <w:p>
          <w:pPr>
            <w:pStyle w:val="12"/>
            <w:ind w:left="720"/>
            <w:tabs>
              <w:tab w:val="right" w:leader="dot" w:pos="9026"/>
            </w:tabs>
            <w:spacing w:before="120" w:after="60"/>
          </w:pPr>
          <w:hyperlink w:anchor="_Toc100318" w:history="1">
            <w:r>
              <w:rPr>
                <w:rStyle w:val="Hyperlink"/>
              </w:rPr>
              <w:t>26.8.2 Final Honest Status Declaration</w:t>
            </w:r>
            <w:r>
              <w:tab/>
            </w:r>
            <w:r>
              <w:fldChar w:fldCharType="begin"/>
            </w:r>
            <w:r>
              <w:instrText xml:space="preserve"> PAGEREF _Toc100318 \h </w:instrText>
            </w:r>
            <w:r>
              <w:fldChar w:fldCharType="separate"/>
            </w:r>
            <w:r>
              <w:t>728</w:t>
            </w:r>
            <w:r>
              <w:fldChar w:fldCharType="end"/>
            </w:r>
          </w:hyperlink>
        </w:p>
        <w:p>
          <w:pPr>
            <w:pStyle w:val="12"/>
            <w:ind w:left="720"/>
            <w:tabs>
              <w:tab w:val="right" w:leader="dot" w:pos="9026"/>
            </w:tabs>
            <w:spacing w:before="120" w:after="60"/>
          </w:pPr>
          <w:hyperlink w:anchor="_Toc100319" w:history="1">
            <w:r>
              <w:rPr>
                <w:rStyle w:val="Hyperlink"/>
              </w:rPr>
              <w:t>26.8.3 The Single Source of Truth</w:t>
            </w:r>
            <w:r>
              <w:tab/>
            </w:r>
            <w:r>
              <w:fldChar w:fldCharType="begin"/>
            </w:r>
            <w:r>
              <w:instrText xml:space="preserve"> PAGEREF _Toc100319 \h </w:instrText>
            </w:r>
            <w:r>
              <w:fldChar w:fldCharType="separate"/>
            </w:r>
            <w:r>
              <w:t>729</w:t>
            </w:r>
            <w:r>
              <w:fldChar w:fldCharType="end"/>
            </w:r>
          </w:hyperlink>
        </w:p>
        <w:p>
          <w:pPr>
            <w:pStyle w:val="12"/>
            <w:ind w:left="720"/>
            <w:tabs>
              <w:tab w:val="right" w:leader="dot" w:pos="9026"/>
            </w:tabs>
            <w:spacing w:before="120" w:after="60"/>
          </w:pPr>
          <w:hyperlink w:anchor="_Toc100320" w:history="1">
            <w:r>
              <w:rPr>
                <w:rStyle w:val="Hyperlink"/>
              </w:rPr>
              <w:t>26.8.4 Final Project Information</w:t>
            </w:r>
            <w:r>
              <w:tab/>
            </w:r>
            <w:r>
              <w:fldChar w:fldCharType="begin"/>
            </w:r>
            <w:r>
              <w:instrText xml:space="preserve"> PAGEREF _Toc100320 \h </w:instrText>
            </w:r>
            <w:r>
              <w:fldChar w:fldCharType="separate"/>
            </w:r>
            <w:r>
              <w:t>729</w:t>
            </w:r>
            <w:r>
              <w:fldChar w:fldCharType="end"/>
            </w:r>
          </w:hyperlink>
        </w:p>
        <w:p>
          <w:pPr>
            <w:pStyle w:val="9"/>
            <w:tabs>
              <w:tab w:val="right" w:leader="dot" w:pos="9026"/>
            </w:tabs>
            <w:spacing w:before="120" w:after="60"/>
          </w:pPr>
          <w:hyperlink w:anchor="_Toc100321" w:history="1">
            <w:r>
              <w:rPr>
                <w:rStyle w:val="Hyperlink"/>
              </w:rPr>
              <w:t>Appendix A — Glossary of Symbols and Terms</w:t>
            </w:r>
            <w:r>
              <w:tab/>
            </w:r>
            <w:r>
              <w:fldChar w:fldCharType="begin"/>
            </w:r>
            <w:r>
              <w:instrText xml:space="preserve"> PAGEREF _Toc100321 \h </w:instrText>
            </w:r>
            <w:r>
              <w:fldChar w:fldCharType="separate"/>
            </w:r>
            <w:r>
              <w:t>730</w:t>
            </w:r>
            <w:r>
              <w:fldChar w:fldCharType="end"/>
            </w:r>
          </w:hyperlink>
        </w:p>
        <w:p>
          <w:pPr>
            <w:pStyle w:val="11"/>
            <w:ind w:left="360"/>
            <w:tabs>
              <w:tab w:val="right" w:leader="dot" w:pos="9026"/>
            </w:tabs>
            <w:spacing w:before="120" w:after="60"/>
          </w:pPr>
          <w:hyperlink w:anchor="_Toc100322" w:history="1">
            <w:r>
              <w:rPr>
                <w:rStyle w:val="Hyperlink"/>
              </w:rPr>
              <w:t>A.1 Symbols</w:t>
            </w:r>
            <w:r>
              <w:tab/>
            </w:r>
            <w:r>
              <w:fldChar w:fldCharType="begin"/>
            </w:r>
            <w:r>
              <w:instrText xml:space="preserve"> PAGEREF _Toc100322 \h </w:instrText>
            </w:r>
            <w:r>
              <w:fldChar w:fldCharType="separate"/>
            </w:r>
            <w:r>
              <w:t>730</w:t>
            </w:r>
            <w:r>
              <w:fldChar w:fldCharType="end"/>
            </w:r>
          </w:hyperlink>
        </w:p>
        <w:p>
          <w:pPr>
            <w:pStyle w:val="11"/>
            <w:ind w:left="360"/>
            <w:tabs>
              <w:tab w:val="right" w:leader="dot" w:pos="9026"/>
            </w:tabs>
            <w:spacing w:before="120" w:after="60"/>
          </w:pPr>
          <w:hyperlink w:anchor="_Toc100323" w:history="1">
            <w:r>
              <w:rPr>
                <w:rStyle w:val="Hyperlink"/>
              </w:rPr>
              <w:t>A.2 Terms</w:t>
            </w:r>
            <w:r>
              <w:tab/>
            </w:r>
            <w:r>
              <w:fldChar w:fldCharType="begin"/>
            </w:r>
            <w:r>
              <w:instrText xml:space="preserve"> PAGEREF _Toc100323 \h </w:instrText>
            </w:r>
            <w:r>
              <w:fldChar w:fldCharType="separate"/>
            </w:r>
            <w:r>
              <w:t>730</w:t>
            </w:r>
            <w:r>
              <w:fldChar w:fldCharType="end"/>
            </w:r>
          </w:hyperlink>
        </w:p>
        <w:p>
          <w:pPr>
            <w:pStyle w:val="9"/>
            <w:tabs>
              <w:tab w:val="right" w:leader="dot" w:pos="9026"/>
            </w:tabs>
            <w:spacing w:before="120" w:after="60"/>
          </w:pPr>
          <w:hyperlink w:anchor="_Toc100324" w:history="1">
            <w:r>
              <w:rPr>
                <w:rStyle w:val="Hyperlink"/>
              </w:rPr>
              <w:t>Appendix B — Deployment Checklist</w:t>
            </w:r>
            <w:r>
              <w:tab/>
            </w:r>
            <w:r>
              <w:fldChar w:fldCharType="begin"/>
            </w:r>
            <w:r>
              <w:instrText xml:space="preserve"> PAGEREF _Toc100324 \h </w:instrText>
            </w:r>
            <w:r>
              <w:fldChar w:fldCharType="separate"/>
            </w:r>
            <w:r>
              <w:t>730</w:t>
            </w:r>
            <w:r>
              <w:fldChar w:fldCharType="end"/>
            </w:r>
          </w:hyperlink>
        </w:p>
        <w:p>
          <w:pPr>
            <w:pStyle w:val="11"/>
            <w:ind w:left="360"/>
            <w:tabs>
              <w:tab w:val="right" w:leader="dot" w:pos="9026"/>
            </w:tabs>
            <w:spacing w:before="120" w:after="60"/>
          </w:pPr>
          <w:hyperlink w:anchor="_Toc100325" w:history="1">
            <w:r>
              <w:rPr>
                <w:rStyle w:val="Hyperlink"/>
              </w:rPr>
              <w:t>B.1 Phase 0 — Environment and Prerequisites</w:t>
            </w:r>
            <w:r>
              <w:tab/>
            </w:r>
            <w:r>
              <w:fldChar w:fldCharType="begin"/>
            </w:r>
            <w:r>
              <w:instrText xml:space="preserve"> PAGEREF _Toc100325 \h </w:instrText>
            </w:r>
            <w:r>
              <w:fldChar w:fldCharType="separate"/>
            </w:r>
            <w:r>
              <w:t>731</w:t>
            </w:r>
            <w:r>
              <w:fldChar w:fldCharType="end"/>
            </w:r>
          </w:hyperlink>
        </w:p>
        <w:p>
          <w:pPr>
            <w:pStyle w:val="11"/>
            <w:ind w:left="360"/>
            <w:tabs>
              <w:tab w:val="right" w:leader="dot" w:pos="9026"/>
            </w:tabs>
            <w:spacing w:before="120" w:after="60"/>
          </w:pPr>
          <w:hyperlink w:anchor="_Toc100326" w:history="1">
            <w:r>
              <w:rPr>
                <w:rStyle w:val="Hyperlink"/>
              </w:rPr>
              <w:t>B.2 Phase 1 — Roles and Addresses</w:t>
            </w:r>
            <w:r>
              <w:tab/>
            </w:r>
            <w:r>
              <w:fldChar w:fldCharType="begin"/>
            </w:r>
            <w:r>
              <w:instrText xml:space="preserve"> PAGEREF _Toc100326 \h </w:instrText>
            </w:r>
            <w:r>
              <w:fldChar w:fldCharType="separate"/>
            </w:r>
            <w:r>
              <w:t>732</w:t>
            </w:r>
            <w:r>
              <w:fldChar w:fldCharType="end"/>
            </w:r>
          </w:hyperlink>
        </w:p>
        <w:p>
          <w:pPr>
            <w:pStyle w:val="11"/>
            <w:ind w:left="360"/>
            <w:tabs>
              <w:tab w:val="right" w:leader="dot" w:pos="9026"/>
            </w:tabs>
            <w:spacing w:before="120" w:after="60"/>
          </w:pPr>
          <w:hyperlink w:anchor="_Toc100327" w:history="1">
            <w:r>
              <w:rPr>
                <w:rStyle w:val="Hyperlink"/>
              </w:rPr>
              <w:t>B.3 Phase 2 — Oracle Configuration</w:t>
            </w:r>
            <w:r>
              <w:tab/>
            </w:r>
            <w:r>
              <w:fldChar w:fldCharType="begin"/>
            </w:r>
            <w:r>
              <w:instrText xml:space="preserve"> PAGEREF _Toc100327 \h </w:instrText>
            </w:r>
            <w:r>
              <w:fldChar w:fldCharType="separate"/>
            </w:r>
            <w:r>
              <w:t>733</w:t>
            </w:r>
            <w:r>
              <w:fldChar w:fldCharType="end"/>
            </w:r>
          </w:hyperlink>
        </w:p>
        <w:p>
          <w:pPr>
            <w:pStyle w:val="11"/>
            <w:ind w:left="360"/>
            <w:tabs>
              <w:tab w:val="right" w:leader="dot" w:pos="9026"/>
            </w:tabs>
            <w:spacing w:before="120" w:after="60"/>
          </w:pPr>
          <w:hyperlink w:anchor="_Toc100328" w:history="1">
            <w:r>
              <w:rPr>
                <w:rStyle w:val="Hyperlink"/>
              </w:rPr>
              <w:t>B.4 Phase 3 — Contract Deployment and Genesis</w:t>
            </w:r>
            <w:r>
              <w:tab/>
            </w:r>
            <w:r>
              <w:fldChar w:fldCharType="begin"/>
            </w:r>
            <w:r>
              <w:instrText xml:space="preserve"> PAGEREF _Toc100328 \h </w:instrText>
            </w:r>
            <w:r>
              <w:fldChar w:fldCharType="separate"/>
            </w:r>
            <w:r>
              <w:t>734</w:t>
            </w:r>
            <w:r>
              <w:fldChar w:fldCharType="end"/>
            </w:r>
          </w:hyperlink>
        </w:p>
        <w:p>
          <w:pPr>
            <w:pStyle w:val="11"/>
            <w:ind w:left="360"/>
            <w:tabs>
              <w:tab w:val="right" w:leader="dot" w:pos="9026"/>
            </w:tabs>
            <w:spacing w:before="120" w:after="60"/>
          </w:pPr>
          <w:hyperlink w:anchor="_Toc100329" w:history="1">
            <w:r>
              <w:rPr>
                <w:rStyle w:val="Hyperlink"/>
              </w:rPr>
              <w:t>B.5 Phase 4 — Weight Registry Initialization</w:t>
            </w:r>
            <w:r>
              <w:tab/>
            </w:r>
            <w:r>
              <w:fldChar w:fldCharType="begin"/>
            </w:r>
            <w:r>
              <w:instrText xml:space="preserve"> PAGEREF _Toc100329 \h </w:instrText>
            </w:r>
            <w:r>
              <w:fldChar w:fldCharType="separate"/>
            </w:r>
            <w:r>
              <w:t>735</w:t>
            </w:r>
            <w:r>
              <w:fldChar w:fldCharType="end"/>
            </w:r>
          </w:hyperlink>
        </w:p>
        <w:p>
          <w:pPr>
            <w:pStyle w:val="11"/>
            <w:ind w:left="360"/>
            <w:tabs>
              <w:tab w:val="right" w:leader="dot" w:pos="9026"/>
            </w:tabs>
            <w:spacing w:before="120" w:after="60"/>
          </w:pPr>
          <w:hyperlink w:anchor="_Toc100330" w:history="1">
            <w:r>
              <w:rPr>
                <w:rStyle w:val="Hyperlink"/>
              </w:rPr>
              <w:t>B.6 Phase 5 — Post-Deployment Verification</w:t>
            </w:r>
            <w:r>
              <w:tab/>
            </w:r>
            <w:r>
              <w:fldChar w:fldCharType="begin"/>
            </w:r>
            <w:r>
              <w:instrText xml:space="preserve"> PAGEREF _Toc100330 \h </w:instrText>
            </w:r>
            <w:r>
              <w:fldChar w:fldCharType="separate"/>
            </w:r>
            <w:r>
              <w:t>736</w:t>
            </w:r>
            <w:r>
              <w:fldChar w:fldCharType="end"/>
            </w:r>
          </w:hyperlink>
        </w:p>
        <w:p>
          <w:pPr>
            <w:pStyle w:val="9"/>
            <w:tabs>
              <w:tab w:val="right" w:leader="dot" w:pos="9026"/>
            </w:tabs>
            <w:spacing w:before="120" w:after="60"/>
          </w:pPr>
          <w:hyperlink w:anchor="_Toc100331" w:history="1">
            <w:r>
              <w:rPr>
                <w:rStyle w:val="Hyperlink"/>
              </w:rPr>
              <w:t>Appendix C — Worked Examples</w:t>
            </w:r>
            <w:r>
              <w:tab/>
            </w:r>
            <w:r>
              <w:fldChar w:fldCharType="begin"/>
            </w:r>
            <w:r>
              <w:instrText xml:space="preserve"> PAGEREF _Toc100331 \h </w:instrText>
            </w:r>
            <w:r>
              <w:fldChar w:fldCharType="separate"/>
            </w:r>
            <w:r>
              <w:t>738</w:t>
            </w:r>
            <w:r>
              <w:fldChar w:fldCharType="end"/>
            </w:r>
          </w:hyperlink>
        </w:p>
        <w:p>
          <w:pPr>
            <w:pStyle w:val="11"/>
            <w:ind w:left="360"/>
            <w:tabs>
              <w:tab w:val="right" w:leader="dot" w:pos="9026"/>
            </w:tabs>
            <w:spacing w:before="120" w:after="60"/>
          </w:pPr>
          <w:hyperlink w:anchor="_Toc100332" w:history="1">
            <w:r>
              <w:rPr>
                <w:rStyle w:val="Hyperlink"/>
              </w:rPr>
              <w:t>C.1 Example 1 — Normal Operating Day (No-Trade Zone)</w:t>
            </w:r>
            <w:r>
              <w:tab/>
            </w:r>
            <w:r>
              <w:fldChar w:fldCharType="begin"/>
            </w:r>
            <w:r>
              <w:instrText xml:space="preserve"> PAGEREF _Toc100332 \h </w:instrText>
            </w:r>
            <w:r>
              <w:fldChar w:fldCharType="separate"/>
            </w:r>
            <w:r>
              <w:t>739</w:t>
            </w:r>
            <w:r>
              <w:fldChar w:fldCharType="end"/>
            </w:r>
          </w:hyperlink>
        </w:p>
        <w:p>
          <w:pPr>
            <w:pStyle w:val="11"/>
            <w:ind w:left="360"/>
            <w:tabs>
              <w:tab w:val="right" w:leader="dot" w:pos="9026"/>
            </w:tabs>
            <w:spacing w:before="120" w:after="60"/>
          </w:pPr>
          <w:hyperlink w:anchor="_Toc100333" w:history="1">
            <w:r>
              <w:rPr>
                <w:rStyle w:val="Hyperlink"/>
              </w:rPr>
              <w:t>C.2 Example 2 — Moderate Deviation (Partial Rebalancing)</w:t>
            </w:r>
            <w:r>
              <w:tab/>
            </w:r>
            <w:r>
              <w:fldChar w:fldCharType="begin"/>
            </w:r>
            <w:r>
              <w:instrText xml:space="preserve"> PAGEREF _Toc100333 \h </w:instrText>
            </w:r>
            <w:r>
              <w:fldChar w:fldCharType="separate"/>
            </w:r>
            <w:r>
              <w:t>739</w:t>
            </w:r>
            <w:r>
              <w:fldChar w:fldCharType="end"/>
            </w:r>
          </w:hyperlink>
        </w:p>
        <w:p>
          <w:pPr>
            <w:pStyle w:val="11"/>
            <w:ind w:left="360"/>
            <w:tabs>
              <w:tab w:val="right" w:leader="dot" w:pos="9026"/>
            </w:tabs>
            <w:spacing w:before="120" w:after="60"/>
          </w:pPr>
          <w:hyperlink w:anchor="_Toc100334" w:history="1">
            <w:r>
              <w:rPr>
                <w:rStyle w:val="Hyperlink"/>
              </w:rPr>
              <w:t>C.3 Example 3 — Natural-Flow Rebalancing</w:t>
            </w:r>
            <w:r>
              <w:tab/>
            </w:r>
            <w:r>
              <w:fldChar w:fldCharType="begin"/>
            </w:r>
            <w:r>
              <w:instrText xml:space="preserve"> PAGEREF _Toc100334 \h </w:instrText>
            </w:r>
            <w:r>
              <w:fldChar w:fldCharType="separate"/>
            </w:r>
            <w:r>
              <w:t>741</w:t>
            </w:r>
            <w:r>
              <w:fldChar w:fldCharType="end"/>
            </w:r>
          </w:hyperlink>
        </w:p>
        <w:p>
          <w:pPr>
            <w:pStyle w:val="11"/>
            <w:ind w:left="360"/>
            <w:tabs>
              <w:tab w:val="right" w:leader="dot" w:pos="9026"/>
            </w:tabs>
            <w:spacing w:before="120" w:after="60"/>
          </w:pPr>
          <w:hyperlink w:anchor="_Toc100335" w:history="1">
            <w:r>
              <w:rPr>
                <w:rStyle w:val="Hyperlink"/>
              </w:rPr>
              <w:t>C.4 Example 4 — Cost-Gate Rejection</w:t>
            </w:r>
            <w:r>
              <w:tab/>
            </w:r>
            <w:r>
              <w:fldChar w:fldCharType="begin"/>
            </w:r>
            <w:r>
              <w:instrText xml:space="preserve"> PAGEREF _Toc100335 \h </w:instrText>
            </w:r>
            <w:r>
              <w:fldChar w:fldCharType="separate"/>
            </w:r>
            <w:r>
              <w:t>741</w:t>
            </w:r>
            <w:r>
              <w:fldChar w:fldCharType="end"/>
            </w:r>
          </w:hyperlink>
        </w:p>
        <w:p>
          <w:pPr>
            <w:pStyle w:val="11"/>
            <w:ind w:left="360"/>
            <w:tabs>
              <w:tab w:val="right" w:leader="dot" w:pos="9026"/>
            </w:tabs>
            <w:spacing w:before="120" w:after="60"/>
          </w:pPr>
          <w:hyperlink w:anchor="_Toc100336" w:history="1">
            <w:r>
              <w:rPr>
                <w:rStyle w:val="Hyperlink"/>
              </w:rPr>
              <w:t>C.5 Example 5 — Gold Adaptive Shift</w:t>
            </w:r>
            <w:r>
              <w:tab/>
            </w:r>
            <w:r>
              <w:fldChar w:fldCharType="begin"/>
            </w:r>
            <w:r>
              <w:instrText xml:space="preserve"> PAGEREF _Toc100336 \h </w:instrText>
            </w:r>
            <w:r>
              <w:fldChar w:fldCharType="separate"/>
            </w:r>
            <w:r>
              <w:t>742</w:t>
            </w:r>
            <w:r>
              <w:fldChar w:fldCharType="end"/>
            </w:r>
          </w:hyperlink>
        </w:p>
        <w:p>
          <w:pPr>
            <w:pStyle w:val="9"/>
            <w:tabs>
              <w:tab w:val="right" w:leader="dot" w:pos="9026"/>
            </w:tabs>
            <w:spacing w:before="120" w:after="60"/>
          </w:pPr>
          <w:hyperlink w:anchor="_Toc100337" w:history="1">
            <w:r>
              <w:rPr>
                <w:rStyle w:val="Hyperlink"/>
              </w:rPr>
              <w:t>Appendix D — Testnet Deployment Specifics</w:t>
            </w:r>
            <w:r>
              <w:tab/>
            </w:r>
            <w:r>
              <w:fldChar w:fldCharType="begin"/>
            </w:r>
            <w:r>
              <w:instrText xml:space="preserve"> PAGEREF _Toc100337 \h </w:instrText>
            </w:r>
            <w:r>
              <w:fldChar w:fldCharType="separate"/>
            </w:r>
            <w:r>
              <w:t>743</w:t>
            </w:r>
            <w:r>
              <w:fldChar w:fldCharType="end"/>
            </w:r>
          </w:hyperlink>
        </w:p>
        <w:p>
          <w:pPr>
            <w:pStyle w:val="11"/>
            <w:ind w:left="360"/>
            <w:tabs>
              <w:tab w:val="right" w:leader="dot" w:pos="9026"/>
            </w:tabs>
            <w:spacing w:before="120" w:after="60"/>
          </w:pPr>
          <w:hyperlink w:anchor="_Toc100338" w:history="1">
            <w:r>
              <w:rPr>
                <w:rStyle w:val="Hyperlink"/>
              </w:rPr>
              <w:t>D.1 Target Chains</w:t>
            </w:r>
            <w:r>
              <w:tab/>
            </w:r>
            <w:r>
              <w:fldChar w:fldCharType="begin"/>
            </w:r>
            <w:r>
              <w:instrText xml:space="preserve"> PAGEREF _Toc100338 \h </w:instrText>
            </w:r>
            <w:r>
              <w:fldChar w:fldCharType="separate"/>
            </w:r>
            <w:r>
              <w:t>743</w:t>
            </w:r>
            <w:r>
              <w:fldChar w:fldCharType="end"/>
            </w:r>
          </w:hyperlink>
        </w:p>
        <w:p>
          <w:pPr>
            <w:pStyle w:val="11"/>
            <w:ind w:left="360"/>
            <w:tabs>
              <w:tab w:val="right" w:leader="dot" w:pos="9026"/>
            </w:tabs>
            <w:spacing w:before="120" w:after="60"/>
          </w:pPr>
          <w:hyperlink w:anchor="_Toc100339" w:history="1">
            <w:r>
              <w:rPr>
                <w:rStyle w:val="Hyperlink"/>
              </w:rPr>
              <w:t>D.2 Genesis Verification on Testnet (Manual Emission)</w:t>
            </w:r>
            <w:r>
              <w:tab/>
            </w:r>
            <w:r>
              <w:fldChar w:fldCharType="begin"/>
            </w:r>
            <w:r>
              <w:instrText xml:space="preserve"> PAGEREF _Toc100339 \h </w:instrText>
            </w:r>
            <w:r>
              <w:fldChar w:fldCharType="separate"/>
            </w:r>
            <w:r>
              <w:t>743</w:t>
            </w:r>
            <w:r>
              <w:fldChar w:fldCharType="end"/>
            </w:r>
          </w:hyperlink>
        </w:p>
        <w:p>
          <w:pPr>
            <w:pStyle w:val="11"/>
            <w:ind w:left="360"/>
            <w:tabs>
              <w:tab w:val="right" w:leader="dot" w:pos="9026"/>
            </w:tabs>
            <w:spacing w:before="120" w:after="60"/>
          </w:pPr>
          <w:hyperlink w:anchor="_Toc100340" w:history="1">
            <w:r>
              <w:rPr>
                <w:rStyle w:val="Hyperlink"/>
              </w:rPr>
              <w:t>D.3 Mock Oracles, Mock Assets and the Mock Aggregator</w:t>
            </w:r>
            <w:r>
              <w:tab/>
            </w:r>
            <w:r>
              <w:fldChar w:fldCharType="begin"/>
            </w:r>
            <w:r>
              <w:instrText xml:space="preserve"> PAGEREF _Toc100340 \h </w:instrText>
            </w:r>
            <w:r>
              <w:fldChar w:fldCharType="separate"/>
            </w:r>
            <w:r>
              <w:t>746</w:t>
            </w:r>
            <w:r>
              <w:fldChar w:fldCharType="end"/>
            </w:r>
          </w:hyperlink>
        </w:p>
        <w:p>
          <w:pPr>
            <w:pStyle w:val="11"/>
            <w:ind w:left="360"/>
            <w:tabs>
              <w:tab w:val="right" w:leader="dot" w:pos="9026"/>
            </w:tabs>
            <w:spacing w:before="120" w:after="60"/>
          </w:pPr>
          <w:hyperlink w:anchor="_Toc100341" w:history="1">
            <w:r>
              <w:rPr>
                <w:rStyle w:val="Hyperlink"/>
              </w:rPr>
              <w:t>D.4 Asset-Specific Oracle Address Table</w:t>
            </w:r>
            <w:r>
              <w:tab/>
            </w:r>
            <w:r>
              <w:fldChar w:fldCharType="begin"/>
            </w:r>
            <w:r>
              <w:instrText xml:space="preserve"> PAGEREF _Toc100341 \h </w:instrText>
            </w:r>
            <w:r>
              <w:fldChar w:fldCharType="separate"/>
            </w:r>
            <w:r>
              <w:t>746</w:t>
            </w:r>
            <w:r>
              <w:fldChar w:fldCharType="end"/>
            </w:r>
          </w:hyperlink>
        </w:p>
        <w:p>
          <w:pPr>
            <w:pStyle w:val="11"/>
            <w:ind w:left="360"/>
            <w:tabs>
              <w:tab w:val="right" w:leader="dot" w:pos="9026"/>
            </w:tabs>
            <w:spacing w:before="120" w:after="60"/>
          </w:pPr>
          <w:hyperlink w:anchor="_Toc100342" w:history="1">
            <w:r>
              <w:rPr>
                <w:rStyle w:val="Hyperlink"/>
              </w:rPr>
              <w:t>D.5 Testnet Honest-Status Declaration</w:t>
            </w:r>
            <w:r>
              <w:tab/>
            </w:r>
            <w:r>
              <w:fldChar w:fldCharType="begin"/>
            </w:r>
            <w:r>
              <w:instrText xml:space="preserve"> PAGEREF _Toc100342 \h </w:instrText>
            </w:r>
            <w:r>
              <w:fldChar w:fldCharType="separate"/>
            </w:r>
            <w:r>
              <w:t>748</w:t>
            </w:r>
            <w:r>
              <w:fldChar w:fldCharType="end"/>
            </w:r>
          </w:hyperlink>
        </w:p>
        <w:p>
          <w:pPr>
            <w:pStyle w:val="11"/>
            <w:ind w:left="360"/>
            <w:tabs>
              <w:tab w:val="right" w:leader="dot" w:pos="9026"/>
            </w:tabs>
            <w:spacing w:before="120" w:after="60"/>
          </w:pPr>
          <w:hyperlink w:anchor="_Toc100343" w:history="1">
            <w:r>
              <w:rPr>
                <w:rStyle w:val="Hyperlink"/>
              </w:rPr>
              <w:t>D.6 Testnet Verification Sequence</w:t>
            </w:r>
            <w:r>
              <w:tab/>
            </w:r>
            <w:r>
              <w:fldChar w:fldCharType="begin"/>
            </w:r>
            <w:r>
              <w:instrText xml:space="preserve"> PAGEREF _Toc100343 \h </w:instrText>
            </w:r>
            <w:r>
              <w:fldChar w:fldCharType="separate"/>
            </w:r>
            <w:r>
              <w:t>749</w:t>
            </w:r>
            <w:r>
              <w:fldChar w:fldCharType="end"/>
            </w:r>
          </w:hyperlink>
        </w:p>
        <w:p>
          <w:pPr>
            <w:pStyle w:val="9"/>
            <w:tabs>
              <w:tab w:val="right" w:leader="dot" w:pos="9026"/>
            </w:tabs>
            <w:spacing w:before="120" w:after="60"/>
          </w:pPr>
          <w:hyperlink w:anchor="_Toc100344" w:history="1">
            <w:r>
              <w:rPr>
                <w:rStyle w:val="Hyperlink"/>
              </w:rPr>
              <w:t>Appendix E — Source Lineage Cross-Reference</w:t>
            </w:r>
            <w:r>
              <w:tab/>
            </w:r>
            <w:r>
              <w:fldChar w:fldCharType="begin"/>
            </w:r>
            <w:r>
              <w:instrText xml:space="preserve"> PAGEREF _Toc100344 \h </w:instrText>
            </w:r>
            <w:r>
              <w:fldChar w:fldCharType="separate"/>
            </w:r>
            <w:r>
              <w:t>750</w:t>
            </w:r>
            <w:r>
              <w:fldChar w:fldCharType="end"/>
            </w:r>
          </w:hyperlink>
        </w:p>
        <w:p>
          <w:pPr>
            <w:pStyle w:val="11"/>
            <w:ind w:left="360"/>
            <w:tabs>
              <w:tab w:val="right" w:leader="dot" w:pos="9026"/>
            </w:tabs>
            <w:spacing w:before="120" w:after="60"/>
          </w:pPr>
          <w:hyperlink w:anchor="_Toc100345" w:history="1">
            <w:r>
              <w:rPr>
                <w:rStyle w:val="Hyperlink"/>
              </w:rPr>
              <w:t>E.1 Lineage Map</w:t>
            </w:r>
            <w:r>
              <w:tab/>
            </w:r>
            <w:r>
              <w:fldChar w:fldCharType="begin"/>
            </w:r>
            <w:r>
              <w:instrText xml:space="preserve"> PAGEREF _Toc100345 \h </w:instrText>
            </w:r>
            <w:r>
              <w:fldChar w:fldCharType="separate"/>
            </w:r>
            <w:r>
              <w:t>750</w:t>
            </w:r>
            <w:r>
              <w:fldChar w:fldCharType="end"/>
            </w:r>
          </w:hyperlink>
        </w:p>
        <w:p>
          <w:pPr>
            <w:pStyle w:val="11"/>
            <w:ind w:left="360"/>
            <w:tabs>
              <w:tab w:val="right" w:leader="dot" w:pos="9026"/>
            </w:tabs>
            <w:spacing w:before="120" w:after="60"/>
          </w:pPr>
          <w:hyperlink w:anchor="_Toc100346" w:history="1">
            <w:r>
              <w:rPr>
                <w:rStyle w:val="Hyperlink"/>
              </w:rPr>
              <w:t>E.2 Using the Lineage Map</w:t>
            </w:r>
            <w:r>
              <w:tab/>
            </w:r>
            <w:r>
              <w:fldChar w:fldCharType="begin"/>
            </w:r>
            <w:r>
              <w:instrText xml:space="preserve"> PAGEREF _Toc100346 \h </w:instrText>
            </w:r>
            <w:r>
              <w:fldChar w:fldCharType="separate"/>
            </w:r>
            <w:r>
              <w:t>751</w:t>
            </w:r>
            <w:r>
              <w:fldChar w:fldCharType="end"/>
            </w:r>
          </w:hyperlink>
        </w:p>
        <w:p>
          <w:r>
            <w:fldChar w:fldCharType="end"/>
          </w:r>
        </w:p>
      </w:sdtContent>
    </w:sdt>
    <w:p>
      <w:pPr>
        <w:spacing w:before="200"/>
      </w:pPr>
      <w:r>
        <w:rPr>
          <w:rFonts w:ascii="Calibri" w:eastAsia="SimSun" w:hAnsi="Calibri"/>
          <w:i/>
          <w:iCs/>
          <w:color w:val="888888"/>
          <w:sz w:val="18"/>
          <w:szCs w:val="18"/>
        </w:rPr>
        <w:t xml:space="preserve">Note: This Table of Contents is generated via field codes. To ensure page number accuracy after editing, please right-click the TOC and select "Update Field".</w:t>
      </w:r>
    </w:p>
    <w:p>
      <w:pPr>
        <w:sectPr>
          <w:headerReference w:type="default" r:id="rId7"/>
          <w:footerReference w:type="default" r:id="rId8"/>
          <w:type w:val="nextPage"/>
          <w:pgSz w:w="11906" w:h="16838" w:orient="portrait"/>
          <w:pgMar w:top="1134" w:right="1134" w:bottom="1134" w:left="1417" w:header="708" w:footer="708" w:gutter="0"/>
          <w:pgNumType w:start="1" w:fmt="upperRoman"/>
          <w:docGrid w:linePitch="360"/>
        </w:sectPr>
      </w:pPr>
    </w:p>
    <w:p>
      <w:pPr>
        <w:pStyle w:val="Heading1"/>
        <w:keepNext/>
        <w:pBdr>
          <w:bottom w:val="single" w:color="C9A84C" w:sz="12" w:space="6"/>
        </w:pBdr>
        <w:spacing w:after="220" w:before="480" w:line="380" w:lineRule="atLeast"/>
      </w:pPr>
      <w:bookmarkStart w:id="100000" w:name="_Toc100000"/>
      <w:r>
        <w:rPr>
          <w:rFonts w:ascii="Calibri" w:eastAsia="Microsoft YaHei" w:hAnsi="Calibri"/>
          <w:b/>
          <w:bCs/>
          <w:color w:val="1A1A1A"/>
          <w:sz w:val="32"/>
          <w:szCs w:val="32"/>
        </w:rPr>
        <w:t xml:space="preserve">1. Introduction and Document Control</w:t>
      </w:r>
      <w:bookmarkEnd w:id="100000"/>
    </w:p>
    <w:p>
      <w:pPr>
        <w:pStyle w:val="Heading2"/>
        <w:keepNext/>
        <w:spacing w:after="160" w:before="360" w:line="340" w:lineRule="atLeast"/>
      </w:pPr>
      <w:bookmarkStart w:id="100001" w:name="_Toc100001"/>
      <w:r>
        <w:rPr>
          <w:rFonts w:ascii="Calibri" w:eastAsia="Microsoft YaHei" w:hAnsi="Calibri"/>
          <w:b/>
          <w:bCs/>
          <w:color w:val="1A1A1A"/>
          <w:sz w:val="28"/>
          <w:szCs w:val="28"/>
        </w:rPr>
        <w:t xml:space="preserve">1.1 Purpose and Scope</w:t>
      </w:r>
      <w:bookmarkEnd w:id="100001"/>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This document — MTQ Σ — Master Monetary Architecture &amp; Quantitative Specification v1.0 — is the consolidated, single source of truth for the MTQ Σ (Mithqal Sigma) protocol. It merges three source documents into one master edition: the operational Source-of-Truth Blueprint v1.2 — Final Closed-Loop Monetary Architecture (Testnet Edition); the Consolidated Final Modification Specification — Baseline v1.0, which replaces the fixed-quantity basket with a transparent, adaptive, multi-model stability engine; and the COO Quantitative Review, which adds the second mathematical layer (index valuation and chain-linking, complete risk mathematics, adaptive ensemble mathematics, execution economics, liquidity mathematics, stress mathematics and audit mathematics). Every rule, invariant, formula, constant, smart-contract function, table and worked example from all three sources is carried forward in this edition; content is modified only where the Modification Specification or the COO Review explicitly supersedes the v1.2 design. Because the architecture is no longer a modification of a historical design but an original mathematical system, this edition is issued as the Master Monetary Architecture &amp; Quantitative Specification v1.0 [COO-27].</w:t>
      </w:r>
    </w:p>
    <w:p>
      <w:pPr>
        <w:spacing w:after="120" w:line="312"/>
        <w:jc w:val="both"/>
      </w:pPr>
      <w:r>
        <w:rPr>
          <w:rFonts w:ascii="Calibri" w:eastAsia="SimSun" w:hAnsi="Calibri"/>
          <w:b w:val="false"/>
          <w:bCs w:val="false"/>
          <w:color w:val="1A1A1A"/>
          <w:sz w:val="21"/>
          <w:szCs w:val="21"/>
        </w:rPr>
        <w:t xml:space="preserve">The scope of this blueprint covers the complete monetary stack: the definition of the reference basket and its candidate universe; the currency constituency engine; the MASE (Multi-model Adaptive Stability Engine) weighting methodology; constitutional constraints and guardrails; chain-linked index valuation; the MARP (Monetary Adaptive Rebalancing Protocol) execution layer; the reserve architecture, collateralization and liquidity coverage rules; the multi-source oracle system and canonical gold price; minting, redemption, genesis and treasury operations; the governance and risk state machine; the validation and research program; and the transparency, publication and audit-trail obligations. Testnet deployment specifics (mock oracles, mock assets, mock aggregator and live testnet addresses) are preserved in Appendix D without modification.</w:t>
      </w:r>
    </w:p>
    <w:p>
      <w:pPr>
        <w:spacing w:after="120" w:line="312"/>
        <w:jc w:val="both"/>
      </w:pPr>
      <w:r>
        <w:rPr>
          <w:rFonts w:ascii="Calibri" w:eastAsia="SimSun" w:hAnsi="Calibri"/>
          <w:b w:val="false"/>
          <w:bCs w:val="false"/>
          <w:color w:val="1A1A1A"/>
          <w:sz w:val="21"/>
          <w:szCs w:val="21"/>
        </w:rPr>
        <w:t xml:space="preserve">Out of scope are the marketing narrative, any performance projections, and any claim not derivable from the equations and logic in this document. Section 25 (Claims and Honest Status) is binding: no numerical weight, corridor or performance figure may be presented as final until it survives the full validation program defined in Chapter 23.</w:t>
      </w:r>
    </w:p>
    <w:p>
      <w:pPr>
        <w:pStyle w:val="Heading2"/>
        <w:keepNext/>
        <w:spacing w:after="160" w:before="360" w:line="340" w:lineRule="atLeast"/>
      </w:pPr>
      <w:bookmarkStart w:id="100002" w:name="_Toc100002"/>
      <w:r>
        <w:rPr>
          <w:rFonts w:ascii="Calibri" w:eastAsia="Microsoft YaHei" w:hAnsi="Calibri"/>
          <w:b/>
          <w:bCs/>
          <w:color w:val="1A1A1A"/>
          <w:sz w:val="28"/>
          <w:szCs w:val="28"/>
        </w:rPr>
        <w:t xml:space="preserve">1.2 Intended Audience</w:t>
      </w:r>
      <w:bookmarkEnd w:id="100002"/>
    </w:p>
    <w:p>
      <w:pPr>
        <w:spacing w:after="120" w:line="312"/>
        <w:jc w:val="both"/>
      </w:pPr>
      <w:r>
        <w:rPr>
          <w:rFonts w:ascii="Calibri" w:eastAsia="SimSun" w:hAnsi="Calibri"/>
          <w:b w:val="false"/>
          <w:bCs w:val="false"/>
          <w:color w:val="1A1A1A"/>
          <w:sz w:val="21"/>
          <w:szCs w:val="21"/>
        </w:rPr>
        <w:t xml:space="preserve">The blueprint is written for two audiences simultaneously, and the text is organized so that each audience can navigate it independently:</w:t>
      </w:r>
    </w:p>
    <w:p>
      <w:pPr>
        <w:pStyle w:val="ListParagraph"/>
        <w:numPr>
          <w:ilvl w:val="0"/>
          <w:numId w:val="2"/>
        </w:numPr>
        <w:spacing w:after="60" w:line="312"/>
        <w:jc w:val="left"/>
      </w:pPr>
      <w:r>
        <w:rPr>
          <w:rFonts w:ascii="Calibri" w:eastAsia="SimSun" w:hAnsi="Calibri"/>
          <w:b/>
          <w:bCs/>
          <w:color w:val="1A1A1A"/>
          <w:sz w:val="21"/>
          <w:szCs w:val="21"/>
        </w:rPr>
        <w:t xml:space="preserve">Developers and auditors</w:t>
      </w:r>
      <w:r>
        <w:rPr>
          <w:rFonts w:ascii="Calibri" w:eastAsia="SimSun" w:hAnsi="Calibri"/>
          <w:b w:val="false"/>
          <w:bCs w:val="false"/>
          <w:color w:val="1A1A1A"/>
          <w:sz w:val="21"/>
          <w:szCs w:val="21"/>
        </w:rPr>
        <w:t xml:space="preserve"> — smart-contract logic, storage variables, constants, revert conditions, event emissions, deployment checklists and verification commands (Chapters 2, 9, 11, 14–22 and Appendices B, D, E).</w:t>
      </w:r>
    </w:p>
    <w:p>
      <w:pPr>
        <w:pStyle w:val="ListParagraph"/>
        <w:numPr>
          <w:ilvl w:val="0"/>
          <w:numId w:val="2"/>
        </w:numPr>
        <w:spacing w:after="60" w:line="312"/>
        <w:jc w:val="left"/>
      </w:pPr>
      <w:r>
        <w:rPr>
          <w:rFonts w:ascii="Calibri" w:eastAsia="SimSun" w:hAnsi="Calibri"/>
          <w:b/>
          <w:bCs/>
          <w:color w:val="1A1A1A"/>
          <w:sz w:val="21"/>
          <w:szCs w:val="21"/>
        </w:rPr>
        <w:t xml:space="preserve">Monetary researchers and users</w:t>
      </w:r>
      <w:r>
        <w:rPr>
          <w:rFonts w:ascii="Calibri" w:eastAsia="SimSun" w:hAnsi="Calibri"/>
          <w:b w:val="false"/>
          <w:bCs w:val="false"/>
          <w:color w:val="1A1A1A"/>
          <w:sz w:val="21"/>
          <w:szCs w:val="21"/>
        </w:rPr>
        <w:t xml:space="preserve"> — the mechanics of purchasing-power representation, adaptive weighting, rebalancing economics and honest status declarations (Chapters 3–13, 23–26).</w:t>
      </w:r>
    </w:p>
    <w:p>
      <w:pPr>
        <w:spacing w:after="120" w:line="312"/>
        <w:jc w:val="both"/>
      </w:pPr>
      <w:r>
        <w:rPr>
          <w:rFonts w:ascii="Calibri" w:eastAsia="SimSun" w:hAnsi="Calibri"/>
          <w:b w:val="false"/>
          <w:bCs w:val="false"/>
          <w:color w:val="1A1A1A"/>
          <w:sz w:val="21"/>
          <w:szCs w:val="21"/>
        </w:rPr>
        <w:t xml:space="preserve">Governance bodies (Constitutional Council, DAO, Risk Council, Emergency Council) should treat Chapters 8, 22 and 25 as their primary references, because these chapters define exactly which parameters each layer may and may not change.</w:t>
      </w:r>
    </w:p>
    <w:p>
      <w:pPr>
        <w:pStyle w:val="Heading2"/>
        <w:keepNext/>
        <w:spacing w:after="160" w:before="360" w:line="340" w:lineRule="atLeast"/>
      </w:pPr>
      <w:bookmarkStart w:id="100003" w:name="_Toc100003"/>
      <w:r>
        <w:rPr>
          <w:rFonts w:ascii="Calibri" w:eastAsia="Microsoft YaHei" w:hAnsi="Calibri"/>
          <w:b/>
          <w:bCs/>
          <w:color w:val="1A1A1A"/>
          <w:sz w:val="28"/>
          <w:szCs w:val="28"/>
        </w:rPr>
        <w:t xml:space="preserve">1.3 Document Conventions</w:t>
      </w:r>
      <w:bookmarkEnd w:id="100003"/>
    </w:p>
    <w:p>
      <w:pPr>
        <w:pStyle w:val="ListParagraph"/>
        <w:numPr>
          <w:ilvl w:val="0"/>
          <w:numId w:val="2"/>
        </w:numPr>
        <w:spacing w:after="60" w:line="312"/>
        <w:jc w:val="left"/>
      </w:pPr>
      <w:r>
        <w:rPr>
          <w:rFonts w:ascii="Calibri" w:eastAsia="SimSun" w:hAnsi="Calibri"/>
          <w:b/>
          <w:bCs/>
          <w:color w:val="1A1A1A"/>
          <w:sz w:val="21"/>
          <w:szCs w:val="21"/>
        </w:rPr>
        <w:t xml:space="preserve">Weight notation.</w:t>
      </w:r>
      <w:r>
        <w:rPr>
          <w:rFonts w:ascii="Calibri" w:eastAsia="SimSun" w:hAnsi="Calibri"/>
          <w:b w:val="false"/>
          <w:bCs w:val="false"/>
          <w:color w:val="1A1A1A"/>
          <w:sz w:val="21"/>
          <w:szCs w:val="21"/>
        </w:rPr>
        <w:t xml:space="preserve"> W_t denotes the live weight vector at time t; W^{Prior} denotes the strategic prior; W^{Target}, W^{Smooth} and W^{Execution} denote the intermediate states defined in Section 2.3. Percentages expressed as decimals (e.g. 0.27 = 27%).</w:t>
      </w:r>
    </w:p>
    <w:p>
      <w:pPr>
        <w:pStyle w:val="ListParagraph"/>
        <w:numPr>
          <w:ilvl w:val="0"/>
          <w:numId w:val="2"/>
        </w:numPr>
        <w:spacing w:after="60" w:line="312"/>
        <w:jc w:val="left"/>
      </w:pPr>
      <w:r>
        <w:rPr>
          <w:rFonts w:ascii="Calibri" w:eastAsia="SimSun" w:hAnsi="Calibri"/>
          <w:b/>
          <w:bCs/>
          <w:color w:val="1A1A1A"/>
          <w:sz w:val="21"/>
          <w:szCs w:val="21"/>
        </w:rPr>
        <w:t xml:space="preserve">Governance tags.</w:t>
      </w:r>
      <w:r>
        <w:rPr>
          <w:rFonts w:ascii="Calibri" w:eastAsia="SimSun" w:hAnsi="Calibri"/>
          <w:b w:val="false"/>
          <w:bCs w:val="false"/>
          <w:color w:val="1A1A1A"/>
          <w:sz w:val="21"/>
          <w:szCs w:val="21"/>
        </w:rPr>
        <w:t xml:space="preserve"> Every tunable parameter carries a governance class: Constitutional (7/7 Multi-Sig + 90-day timelock), Monetary (DAO 51% + 48-hour timelock), Risk (Risk Council 4/7 + 24-hour timelock), or Emergency (Emergency Council 4/7, instant).</w:t>
      </w:r>
    </w:p>
    <w:p>
      <w:pPr>
        <w:pStyle w:val="ListParagraph"/>
        <w:numPr>
          <w:ilvl w:val="0"/>
          <w:numId w:val="2"/>
        </w:numPr>
        <w:spacing w:after="60" w:line="312"/>
        <w:jc w:val="left"/>
      </w:pPr>
      <w:r>
        <w:rPr>
          <w:rFonts w:ascii="Calibri" w:eastAsia="SimSun" w:hAnsi="Calibri"/>
          <w:b/>
          <w:bCs/>
          <w:color w:val="1A1A1A"/>
          <w:sz w:val="21"/>
          <w:szCs w:val="21"/>
        </w:rPr>
        <w:t xml:space="preserve">Status flags.</w:t>
      </w:r>
      <w:r>
        <w:rPr>
          <w:rFonts w:ascii="Calibri" w:eastAsia="SimSun" w:hAnsi="Calibri"/>
          <w:b w:val="false"/>
          <w:bCs w:val="false"/>
          <w:color w:val="1A1A1A"/>
          <w:sz w:val="21"/>
          <w:szCs w:val="21"/>
        </w:rPr>
        <w:t xml:space="preserve"> Statements marked LOCKED are architectural invariants of v2.0. Statements marked NOT LOCKED are pending the quantitative validation program (Chapter 23) and must not be quoted as final results.</w:t>
      </w:r>
    </w:p>
    <w:p>
      <w:pPr>
        <w:pStyle w:val="ListParagraph"/>
        <w:numPr>
          <w:ilvl w:val="0"/>
          <w:numId w:val="2"/>
        </w:numPr>
        <w:spacing w:after="60" w:line="312"/>
        <w:jc w:val="left"/>
      </w:pPr>
      <w:r>
        <w:rPr>
          <w:rFonts w:ascii="Calibri" w:eastAsia="SimSun" w:hAnsi="Calibri"/>
          <w:b/>
          <w:bCs/>
          <w:color w:val="1A1A1A"/>
          <w:sz w:val="21"/>
          <w:szCs w:val="21"/>
        </w:rPr>
        <w:t xml:space="preserve">Verification quotes.</w:t>
      </w:r>
      <w:r>
        <w:rPr>
          <w:rFonts w:ascii="Calibri" w:eastAsia="SimSun" w:hAnsi="Calibri"/>
          <w:b w:val="false"/>
          <w:bCs w:val="false"/>
          <w:color w:val="1A1A1A"/>
          <w:sz w:val="21"/>
          <w:szCs w:val="21"/>
        </w:rPr>
        <w:t xml:space="preserve"> Solidity code is normative for behavior; prose is normative for intent. Where a discrepancy exists, the discrepancy is flagged as a Fidelity Note and resolved under the governance process.</w:t>
      </w:r>
    </w:p>
    <w:p>
      <w:pPr>
        <w:pStyle w:val="ListParagraph"/>
        <w:numPr>
          <w:ilvl w:val="0"/>
          <w:numId w:val="2"/>
        </w:numPr>
        <w:spacing w:after="60" w:line="312"/>
        <w:jc w:val="left"/>
      </w:pPr>
      <w:r>
        <w:rPr>
          <w:rFonts w:ascii="Calibri" w:eastAsia="SimSun" w:hAnsi="Calibri"/>
          <w:b/>
          <w:bCs/>
          <w:color w:val="1A1A1A"/>
          <w:sz w:val="21"/>
          <w:szCs w:val="21"/>
        </w:rPr>
        <w:t xml:space="preserve">Cross-references.</w:t>
      </w:r>
      <w:r>
        <w:rPr>
          <w:rFonts w:ascii="Calibri" w:eastAsia="SimSun" w:hAnsi="Calibri"/>
          <w:b w:val="false"/>
          <w:bCs w:val="false"/>
          <w:color w:val="1A1A1A"/>
          <w:sz w:val="21"/>
          <w:szCs w:val="21"/>
        </w:rPr>
        <w:t xml:space="preserve"> Sections are referenced as §N.M; source lineage is referenced as [BP §x] (Blueprint v1.2) or [MS §x] (Modification Specification v1.0) so that any statement can be traced to its origin.</w:t>
      </w:r>
    </w:p>
    <w:p>
      <w:pPr>
        <w:pStyle w:val="Heading2"/>
        <w:keepNext/>
        <w:spacing w:after="160" w:before="360" w:line="340" w:lineRule="atLeast"/>
      </w:pPr>
      <w:bookmarkStart w:id="100004" w:name="_Toc100004"/>
      <w:r>
        <w:rPr>
          <w:rFonts w:ascii="Calibri" w:eastAsia="Microsoft YaHei" w:hAnsi="Calibri"/>
          <w:b/>
          <w:bCs/>
          <w:color w:val="1A1A1A"/>
          <w:sz w:val="28"/>
          <w:szCs w:val="28"/>
        </w:rPr>
        <w:t xml:space="preserve">1.4 Version History</w:t>
      </w:r>
      <w:bookmarkEnd w:id="100004"/>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Version</w:t>
            </w:r>
          </w:p>
        </w:tc>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Date</w:t>
            </w:r>
          </w:p>
        </w:tc>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Status</w:t>
            </w:r>
          </w:p>
        </w:tc>
        <w:tc>
          <w:tcPr>
            <w:tcW w:type="pct" w:w="6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Change Summary</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v1.0</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2026 (archived)</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Superseded</w:t>
            </w:r>
          </w:p>
        </w:tc>
        <w:tc>
          <w:tcPr>
            <w:tcW w:type="pct" w:w="6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Initial fixed-quantity GFB basket, fixed 30-day transitions, SGTX-G gold token concept, single-market gold price source.</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v1.1</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2026 (archived)</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Superseded</w:t>
            </w:r>
          </w:p>
        </w:tc>
        <w:tc>
          <w:tcPr>
            <w:tcW w:type="pct" w:w="6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Closed-loop accounting reconciliation; audit points incorporated.</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v1.2</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2026-09-04</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Superseded</w:t>
            </w:r>
          </w:p>
        </w:tc>
        <w:tc>
          <w:tcPr>
            <w:tcW w:type="pct" w:w="6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Final closed-loop testnet edition: three-layer constitutional separation, reserve NAV/RR/LCR, asset registry, macro engine (VIX/DXY z-scores), cost-aware rebalancing, dynamic buffer, three-source oracles, geopolitical eject, genesis/treasury, six-state risk machine, honest status declaration. All 76 audit points reconciled.</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v2.0</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2026-09-08</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Superseded (intermediate)</w:t>
            </w:r>
          </w:p>
        </w:tc>
        <w:tc>
          <w:tcPr>
            <w:tcW w:type="pct" w:w="6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Integrated Modification Specification Baseline v1.0: adaptive MASE weighting replaces fixed quantities; strategic prior (USD 27 / EUR 20 / JPY 9 / GBP 8 / CNY 5 / CHF 5 / Gold 26) becomes a soft anchor, not a definition; gold becomes a first-class component with an independent allocation model; constituency engine with hysteresis added; MARP execution layer with no-trade zones, urgency scoring, partial rebalancing and natural cash-flow preference; canonical multi-source gold price replaces any single-market source; validation and research program becomes a constitutional precondition; weight publication, decision logs and reproducibility obligations added.</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Master v1.0</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2026-09-08</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CURRENT — Candidate for public testing, not production-authorized</w:t>
            </w:r>
          </w:p>
        </w:tc>
        <w:tc>
          <w:tcPr>
            <w:tcW w:type="pct" w:w="6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 Master Monetary Architecture &amp; Quantitative Specification v1.0 [COO-27]: merges Blueprint v1.2 + Modification Specification Baseline v1.0 + the COO Quantitative Review (28 items). Adds the second mathematical layer: complete weight-state distinction enforced after every basket statement; currency-score normalization; multi-horizon risk and robust covariance notation; explicit ERC, VaR and maximum-diversification objectives; the full MASE constraint set; chain-linked index valuation with divisor continuity (the previously missing index equation); NAV/reference-value reconciliation; attribution engine; reserve liquidity-coverage mathematics; gold-oracle confidence mathematics; the full stress suite (gold, currency, correlation-collapse, reserve); leakage-controlled validation; parameter robustness testing; and data/model/oracle versioning with decision identifiers.</w:t>
            </w:r>
          </w:p>
        </w:tc>
      </w:tr>
    </w:tbl>
    <w:p>
      <w:pPr>
        <w:spacing w:after="120"/>
      </w:pPr>
    </w:p>
    <w:p>
      <w:pPr>
        <w:pStyle w:val="Heading2"/>
        <w:keepNext/>
        <w:spacing w:after="160" w:before="360" w:line="340" w:lineRule="atLeast"/>
      </w:pPr>
      <w:bookmarkStart w:id="100005" w:name="_Toc100005"/>
      <w:r>
        <w:rPr>
          <w:rFonts w:ascii="Calibri" w:eastAsia="Microsoft YaHei" w:hAnsi="Calibri"/>
          <w:b/>
          <w:bCs/>
          <w:color w:val="1A1A1A"/>
          <w:sz w:val="28"/>
          <w:szCs w:val="28"/>
        </w:rPr>
        <w:t xml:space="preserve">1.5 What Changed — Modification Summary</w:t>
      </w:r>
      <w:bookmarkEnd w:id="100005"/>
    </w:p>
    <w:p>
      <w:pPr>
        <w:spacing w:after="120" w:line="312"/>
        <w:jc w:val="both"/>
      </w:pPr>
      <w:r>
        <w:rPr>
          <w:rFonts w:ascii="Calibri" w:eastAsia="SimSun" w:hAnsi="Calibri"/>
          <w:b w:val="false"/>
          <w:bCs w:val="false"/>
          <w:color w:val="1A1A1A"/>
          <w:sz w:val="21"/>
          <w:szCs w:val="21"/>
        </w:rPr>
        <w:t xml:space="preserve">The Modification Specification and the COO Quantitative Review reorganize the architecture around one central principle: </w:t>
      </w:r>
      <w:r>
        <w:rPr>
          <w:rFonts w:ascii="Calibri" w:eastAsia="SimSun" w:hAnsi="Calibri"/>
          <w:b/>
          <w:bCs/>
          <w:color w:val="1A1A1A"/>
          <w:sz w:val="21"/>
          <w:szCs w:val="21"/>
        </w:rPr>
        <w:t xml:space="preserve">MTQ Σ promises a fixed methodology, not a fixed composition.</w:t>
      </w:r>
      <w:r>
        <w:rPr>
          <w:rFonts w:ascii="Calibri" w:eastAsia="SimSun" w:hAnsi="Calibri"/>
          <w:b w:val="false"/>
          <w:bCs w:val="false"/>
          <w:color w:val="1A1A1A"/>
          <w:sz w:val="21"/>
          <w:szCs w:val="21"/>
        </w:rPr>
        <w:t xml:space="preserve"> The following table maps every architectural modification applied by this edition; Appendix E provides the complete section-by-section cross-reference.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gridCol w:w="100"/>
      </w:tblGrid>
      <w:tr>
        <w:trPr>
          <w:cantSplit/>
          <w:tblHeader/>
        </w:trPr>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t>
            </w:r>
          </w:p>
        </w:tc>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Area</w:t>
            </w:r>
          </w:p>
        </w:tc>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Prior v1.2 (Superseded)</w:t>
            </w:r>
          </w:p>
        </w:tc>
        <w:tc>
          <w:tcPr>
            <w:tcW w:type="pct" w:w="5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This Edition (Master v1.0)</w:t>
            </w:r>
          </w:p>
        </w:tc>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Source</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M1</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Basket definition</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 notional quantities q_i (USD 0.3890, EUR 0.2780, GBP 0.1669, JPY 0.1111, CNY 0.0550); no gold in index.</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Adaptive weight vector W_t over a candidate universe; gold is a first-class component; weights recalculated daily by MASE.</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§1–4</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M2</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Percentages</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27/20/9/8/5/5/26 style numbers treated as composition targets.</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Reclassified as Strategic Prior — a soft stabilizing anchor with a deviation penalty; live weights differ in general.</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§2, §3, §25</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M3</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mechanics</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factor S_i·K_i modifying currency weights; gold weight adjusted ±3% by VIX/DXY z-scores around a 26.25% base.</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Old factor retained only as an input signal; gold receives an independent adaptive allocation W_{G,t}^{Target} with its own objective inputs.</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§4, §14</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M4</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Constituency</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 five-currency set (plus gold as collateral).</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Eligibility engine Q_i over an expandable universe with entry/exit hysteresis; GBP, CHF, CAD, AUD, SGD are all algorithmically decided.</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§5, §7, §45</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M5</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Weighting engine</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Adaptive Macro Engine (single gold-weight adjustment).</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ensemble of minimum-variance, ERC, max-diversification, CVaR, purchasing-power and regime models with adaptive ensemble weights.</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§17–30</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M6</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Constraints</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weight clamped 22–30%; fixed hard bands.</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admissibility envelopes per component (validation-stage), dynamic admissibility, weight-velocity limits and stress-adaptive smoothing.</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§31–34</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M7</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Trigger + cost-benefit trade execution with direction lock.</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MARP doctrine: calculate daily, trade only on justified urgency; no-trade zones, dynamic thresholds, partial corrections, natural cash-flow preference, six-level hierarchy.</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§35–45</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M8</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price source</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SGTX-G own-market price; PAXG/LBMA min for NAV.</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Canonical multi-source gold price with robust median aggregation, confidence scoring, degraded mode and independent-source quorum; no single AMM as canonical source.</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§53–56</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M9</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gold</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26% gold reference tied to reserve structure (core 20% + buffer).</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reserve and gold index allocations are mandatorily separate; reserve gold sized by obligations, liquidity, custody and redemption risk — not by index weight.</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§46, §49, §50</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M10</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Validation</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Backtest figures from prior architecture quoted (≈5.21% volatility, −4.1% MDD).</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Those figures are not evidence for MTQ Σ; a full new research program (backtest from 2010, walk-forward, purged CV, Monte Carlo, perturbation, stress suite) is a production precondition.</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§79–89</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M11</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Transparency</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 verification and metric events.</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Full weight publication with source data and methodology version, rebalancing decision logs, deterministic reproducibility and data/model/oracle versioning.</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§92–95</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M12</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SGTX-G</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1-gram physical gold token concept inherited from prior project.</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 inherited automatically; any MTQ-native gold instrument must be designed under MTQ Σ's own legal and monetary architecture; SGTX-G remains historical design input only.</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§57</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M13</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Mathematical completion layer</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Architecture described with formulas stated informally or omitted (index evolution, VaR definition, ERC objective, execution economics, liquidity coverage, stress and audit mathematics).</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Second mathematical layer added throughout: chain-linked index continuity and divisor adjustment (§9.2–9.3); NAV reference-value equation (§9.1); attribution mathematics (§9.4–9.5); VaR/CVaR formal definitions (§6.6); explicit ERC objective (§6.4); execution cost and net-benefit equations (§10.8); dynamic no-trade-band mathematics (§10.5); reserve liquidity coverage ratio (§13.4); gold-oracle confidence function (§17.6); full stress suite with reserve stress equation (§23.8–23.11); leakage controls and parameter robustness testing (§23.4, §23.6); versioned audit records (§24.2).</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COO Review items 1–26</w:t>
            </w:r>
          </w:p>
        </w:tc>
      </w:tr>
    </w:tbl>
    <w:p>
      <w:pPr>
        <w:spacing w:after="120"/>
      </w:pPr>
    </w:p>
    <w:p>
      <w:pPr>
        <w:pStyle w:val="Heading2"/>
        <w:keepNext/>
        <w:spacing w:after="160" w:before="360" w:line="340" w:lineRule="atLeast"/>
      </w:pPr>
      <w:bookmarkStart w:id="100006" w:name="_Toc100006"/>
      <w:r>
        <w:rPr>
          <w:rFonts w:ascii="Calibri" w:eastAsia="Microsoft YaHei" w:hAnsi="Calibri"/>
          <w:b/>
          <w:bCs/>
          <w:color w:val="1A1A1A"/>
          <w:sz w:val="28"/>
          <w:szCs w:val="28"/>
        </w:rPr>
        <w:t xml:space="preserve">1.6 Reading Guide</w:t>
      </w:r>
      <w:bookmarkEnd w:id="100006"/>
    </w:p>
    <w:p>
      <w:pPr>
        <w:spacing w:after="120" w:line="312"/>
        <w:jc w:val="both"/>
      </w:pPr>
      <w:r>
        <w:rPr>
          <w:rFonts w:ascii="Calibri" w:eastAsia="SimSun" w:hAnsi="Calibri"/>
          <w:b w:val="false"/>
          <w:bCs w:val="false"/>
          <w:color w:val="1A1A1A"/>
          <w:sz w:val="21"/>
          <w:szCs w:val="21"/>
        </w:rPr>
        <w:t xml:space="preserve">The document is organized in ten parts that follow the data flow of the system. Readers new to MTQ Σ should read in order:</w:t>
      </w:r>
    </w:p>
    <w:p>
      <w:pPr>
        <w:pStyle w:val="ListParagraph"/>
        <w:numPr>
          <w:ilvl w:val="0"/>
          <w:numId w:val="3"/>
        </w:numPr>
        <w:spacing w:after="60" w:line="312"/>
        <w:jc w:val="left"/>
      </w:pPr>
      <w:r>
        <w:rPr>
          <w:rFonts w:ascii="Calibri" w:eastAsia="SimSun" w:hAnsi="Calibri"/>
          <w:b w:val="false"/>
          <w:bCs w:val="false"/>
          <w:color w:val="1A1A1A"/>
          <w:sz w:val="21"/>
          <w:szCs w:val="21"/>
        </w:rPr>
        <w:t xml:space="preserve">Part I (Chapters 1–2) — vocabulary, constitutional separation and the four weight states. Everything else depends on these definitions.</w:t>
      </w:r>
    </w:p>
    <w:p>
      <w:pPr>
        <w:pStyle w:val="ListParagraph"/>
        <w:numPr>
          <w:ilvl w:val="0"/>
          <w:numId w:val="3"/>
        </w:numPr>
        <w:spacing w:after="60" w:line="312"/>
        <w:jc w:val="left"/>
      </w:pPr>
      <w:r>
        <w:rPr>
          <w:rFonts w:ascii="Calibri" w:eastAsia="SimSun" w:hAnsi="Calibri"/>
          <w:b w:val="false"/>
          <w:bCs w:val="false"/>
          <w:color w:val="1A1A1A"/>
          <w:sz w:val="21"/>
          <w:szCs w:val="21"/>
        </w:rPr>
        <w:t xml:space="preserve">Part II (Chapters 3–4) — what the basket is, which currencies are eligible, and how membership is decided.</w:t>
      </w:r>
    </w:p>
    <w:p>
      <w:pPr>
        <w:pStyle w:val="ListParagraph"/>
        <w:numPr>
          <w:ilvl w:val="0"/>
          <w:numId w:val="3"/>
        </w:numPr>
        <w:spacing w:after="60" w:line="312"/>
        <w:jc w:val="left"/>
      </w:pPr>
      <w:r>
        <w:rPr>
          <w:rFonts w:ascii="Calibri" w:eastAsia="SimSun" w:hAnsi="Calibri"/>
          <w:b w:val="false"/>
          <w:bCs w:val="false"/>
          <w:color w:val="1A1A1A"/>
          <w:sz w:val="21"/>
          <w:szCs w:val="21"/>
        </w:rPr>
        <w:t xml:space="preserve">Part III (Chapters 5–7) — how MASE computes weights from data.</w:t>
      </w:r>
    </w:p>
    <w:p>
      <w:pPr>
        <w:pStyle w:val="ListParagraph"/>
        <w:numPr>
          <w:ilvl w:val="0"/>
          <w:numId w:val="3"/>
        </w:numPr>
        <w:spacing w:after="60" w:line="312"/>
        <w:jc w:val="left"/>
      </w:pPr>
      <w:r>
        <w:rPr>
          <w:rFonts w:ascii="Calibri" w:eastAsia="SimSun" w:hAnsi="Calibri"/>
          <w:b w:val="false"/>
          <w:bCs w:val="false"/>
          <w:color w:val="1A1A1A"/>
          <w:sz w:val="21"/>
          <w:szCs w:val="21"/>
        </w:rPr>
        <w:t xml:space="preserve">Part IV (Chapters 8–9) — the guardrails and how the index is valued.</w:t>
      </w:r>
    </w:p>
    <w:p>
      <w:pPr>
        <w:pStyle w:val="ListParagraph"/>
        <w:numPr>
          <w:ilvl w:val="0"/>
          <w:numId w:val="3"/>
        </w:numPr>
        <w:spacing w:after="60" w:line="312"/>
        <w:jc w:val="left"/>
      </w:pPr>
      <w:r>
        <w:rPr>
          <w:rFonts w:ascii="Calibri" w:eastAsia="SimSun" w:hAnsi="Calibri"/>
          <w:b w:val="false"/>
          <w:bCs w:val="false"/>
          <w:color w:val="1A1A1A"/>
          <w:sz w:val="21"/>
          <w:szCs w:val="21"/>
        </w:rPr>
        <w:t xml:space="preserve">Part V (Chapters 10–12) — when and how the system actually trades.</w:t>
      </w:r>
    </w:p>
    <w:p>
      <w:pPr>
        <w:pStyle w:val="ListParagraph"/>
        <w:numPr>
          <w:ilvl w:val="0"/>
          <w:numId w:val="3"/>
        </w:numPr>
        <w:spacing w:after="60" w:line="312"/>
        <w:jc w:val="left"/>
      </w:pPr>
      <w:r>
        <w:rPr>
          <w:rFonts w:ascii="Calibri" w:eastAsia="SimSun" w:hAnsi="Calibri"/>
          <w:b w:val="false"/>
          <w:bCs w:val="false"/>
          <w:color w:val="1A1A1A"/>
          <w:sz w:val="21"/>
          <w:szCs w:val="21"/>
        </w:rPr>
        <w:t xml:space="preserve">Parts VI–VIII (Chapters 13–21) — reserve, oracles and user-facing operations.</w:t>
      </w:r>
    </w:p>
    <w:p>
      <w:pPr>
        <w:pStyle w:val="ListParagraph"/>
        <w:numPr>
          <w:ilvl w:val="0"/>
          <w:numId w:val="3"/>
        </w:numPr>
        <w:spacing w:after="60" w:line="312"/>
        <w:jc w:val="left"/>
      </w:pPr>
      <w:r>
        <w:rPr>
          <w:rFonts w:ascii="Calibri" w:eastAsia="SimSun" w:hAnsi="Calibri"/>
          <w:b w:val="false"/>
          <w:bCs w:val="false"/>
          <w:color w:val="1A1A1A"/>
          <w:sz w:val="21"/>
          <w:szCs w:val="21"/>
        </w:rPr>
        <w:t xml:space="preserve">Parts IX–X (Chapters 22–26) — governance, validation, transparency and final declarations.</w:t>
      </w:r>
    </w:p>
    <w:p>
      <w:pPr>
        <w:spacing w:after="120" w:line="312"/>
        <w:jc w:val="both"/>
      </w:pPr>
      <w:r>
        <w:rPr>
          <w:rFonts w:ascii="Calibri" w:eastAsia="SimSun" w:hAnsi="Calibri"/>
          <w:b w:val="false"/>
          <w:bCs w:val="false"/>
          <w:color w:val="1A1A1A"/>
          <w:sz w:val="21"/>
          <w:szCs w:val="21"/>
        </w:rPr>
        <w:t xml:space="preserve">Developers implementing smart contracts may start from Chapter 2.7, then jump to the contract sections of Chapters 9.8, 11.11, 14.6, 15.8, 16.5, 17.12, 18.5, 19.5, 20.5, 21.6 and 22.6, using Appendix B as the deployment checklist and Appendix D for testnet specifics.</w:t>
      </w:r>
    </w:p>
    <w:p>
      <w:pPr>
        <w:pStyle w:val="Heading2"/>
        <w:keepNext/>
        <w:spacing w:after="160" w:before="360" w:line="340" w:lineRule="atLeast"/>
      </w:pPr>
      <w:bookmarkStart w:id="100007" w:name="_Toc100007"/>
      <w:r>
        <w:rPr>
          <w:rFonts w:ascii="Calibri" w:eastAsia="Microsoft YaHei" w:hAnsi="Calibri"/>
          <w:b/>
          <w:bCs/>
          <w:color w:val="1A1A1A"/>
          <w:sz w:val="28"/>
          <w:szCs w:val="28"/>
        </w:rPr>
        <w:t xml:space="preserve">1.7 Status Declaration</w:t>
      </w:r>
      <w:bookmarkEnd w:id="100007"/>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MTQ Σ v2.0 is a CANDIDATE FOR PUBLIC TESTING. It is NOT production-authorized. All live weights, corridors, thresholds and model coefficients in this document are either constitutional envelopes or validation-stage research values. No numerical weighting percentage may be described as the final optimal weight until it survives the complete MTQ Σ research program defined in Chapter 23. This declaration is binding and is enforced on-chain by the honest-status functions in Section 25.7.</w:t>
      </w:r>
    </w:p>
    <w:p>
      <w:pPr>
        <w:pStyle w:val="Heading1"/>
        <w:keepNext/>
        <w:pBdr>
          <w:bottom w:val="single" w:color="C9A84C" w:sz="12" w:space="6"/>
        </w:pBdr>
        <w:spacing w:after="220" w:before="480" w:line="380" w:lineRule="atLeast"/>
      </w:pPr>
      <w:bookmarkStart w:id="100008" w:name="_Toc100008"/>
      <w:r>
        <w:rPr>
          <w:rFonts w:ascii="Calibri" w:eastAsia="Microsoft YaHei" w:hAnsi="Calibri"/>
          <w:b/>
          <w:bCs/>
          <w:color w:val="1A1A1A"/>
          <w:sz w:val="32"/>
          <w:szCs w:val="32"/>
        </w:rPr>
        <w:t xml:space="preserve">2. Core Definitions, Variables and Constitutional Separation</w:t>
      </w:r>
      <w:bookmarkEnd w:id="100008"/>
    </w:p>
    <w:p>
      <w:pPr>
        <w:pStyle w:val="Heading2"/>
        <w:keepNext/>
        <w:spacing w:after="160" w:before="360" w:line="340" w:lineRule="atLeast"/>
      </w:pPr>
      <w:bookmarkStart w:id="100009" w:name="_Toc100009"/>
      <w:r>
        <w:rPr>
          <w:rFonts w:ascii="Calibri" w:eastAsia="Microsoft YaHei" w:hAnsi="Calibri"/>
          <w:b/>
          <w:bCs/>
          <w:color w:val="1A1A1A"/>
          <w:sz w:val="28"/>
          <w:szCs w:val="28"/>
        </w:rPr>
        <w:t xml:space="preserve">2.1 The Constitutional Separation (Single Most Important Rule)</w:t>
      </w:r>
      <w:bookmarkEnd w:id="100009"/>
    </w:p>
    <w:p>
      <w:pPr>
        <w:spacing w:after="120" w:line="312"/>
        <w:jc w:val="both"/>
      </w:pPr>
      <w:r>
        <w:rPr>
          <w:rFonts w:ascii="Calibri" w:eastAsia="SimSun" w:hAnsi="Calibri"/>
          <w:b w:val="false"/>
          <w:bCs w:val="false"/>
          <w:color w:val="1A1A1A"/>
          <w:sz w:val="21"/>
          <w:szCs w:val="21"/>
        </w:rPr>
        <w:t xml:space="preserve">MTQ Σ strictly separates three concepts that are frequently conflated in other monetary architectures. The separation is constitutional: it cannot be waived by any governance layer.</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Layer</w:t>
            </w:r>
          </w:p>
        </w:tc>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Concept</w:t>
            </w:r>
          </w:p>
        </w:tc>
        <w:tc>
          <w:tcPr>
            <w:tcW w:type="pct" w:w="5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Definition</w:t>
            </w:r>
          </w:p>
        </w:tc>
        <w:tc>
          <w:tcPr>
            <w:tcW w:type="pct" w:w="1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Role</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Reference Basket (adaptive index)</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pure mathematical definition of global purchasing power, computed from transparent, auditable inputs and adaptive weights.</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Defines the unit of account.</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Monetary Unit (MTQ Σ token)</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token representing a claim to one unit of the reference basket.</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transferable instrument.</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Reserve Portfolio (collateral)</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Assets held to back that obligation.</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Provides the economic backing.</w:t>
            </w:r>
          </w:p>
        </w:tc>
      </w:tr>
    </w:tbl>
    <w:p>
      <w:pPr>
        <w:spacing w:after="120"/>
      </w:pP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The Index defines the value. The Reserve backs the token. The token is a liability, not an index itself.</w:t>
      </w:r>
    </w:p>
    <w:p>
      <w:pPr>
        <w:spacing w:after="120" w:line="312"/>
        <w:jc w:val="both"/>
      </w:pPr>
      <w:r>
        <w:rPr>
          <w:rFonts w:ascii="Calibri" w:eastAsia="SimSun" w:hAnsi="Calibri"/>
          <w:b w:val="false"/>
          <w:bCs w:val="false"/>
          <w:color w:val="1A1A1A"/>
          <w:sz w:val="21"/>
          <w:szCs w:val="21"/>
        </w:rPr>
        <w:t xml:space="preserve">This separation ensures that the monetary policy (the reference basket) is independent of the collateral composition (the reserve portfolio); that changes to reserve assets do not automatically change the definition of the unit; and that the protocol can evolve its collateral without changing its monetary reference. In v2.0 the separation gains a second dimension: the reference basket itself is adaptive, so the definition of the unit is a methodology rather than a fixed quantity table — which is precisely why the methodology must itself be constitutionally fixed (Invariant I3, Section 2.6).</w:t>
      </w:r>
    </w:p>
    <w:p>
      <w:pPr>
        <w:pStyle w:val="Heading2"/>
        <w:keepNext/>
        <w:spacing w:after="160" w:before="360" w:line="340" w:lineRule="atLeast"/>
      </w:pPr>
      <w:bookmarkStart w:id="100010" w:name="_Toc100010"/>
      <w:r>
        <w:rPr>
          <w:rFonts w:ascii="Calibri" w:eastAsia="Microsoft YaHei" w:hAnsi="Calibri"/>
          <w:b/>
          <w:bCs/>
          <w:color w:val="1A1A1A"/>
          <w:sz w:val="28"/>
          <w:szCs w:val="28"/>
        </w:rPr>
        <w:t xml:space="preserve">2.2 The Three Independent Mathematical Layers</w:t>
      </w:r>
      <w:bookmarkEnd w:id="100010"/>
    </w:p>
    <w:p>
      <w:pPr>
        <w:spacing w:after="120" w:line="312"/>
        <w:jc w:val="both"/>
      </w:pPr>
      <w:r>
        <w:rPr>
          <w:rFonts w:ascii="Calibri" w:eastAsia="SimSun" w:hAnsi="Calibri"/>
          <w:b w:val="false"/>
          <w:bCs w:val="false"/>
          <w:color w:val="1A1A1A"/>
          <w:sz w:val="21"/>
          <w:szCs w:val="21"/>
        </w:rPr>
        <w:t xml:space="preserve">The v2.0 architecture adds an internal separation of algorithmic powers, so that no single algorithm silently controls the whole system [MS §90]. Three layers answer three different questions and are validated, governed and audited independently:</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Layer</w:t>
            </w:r>
          </w:p>
        </w:tc>
        <w:tc>
          <w:tcPr>
            <w:tcW w:type="pct" w:w="2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Engine</w:t>
            </w:r>
          </w:p>
        </w:tc>
        <w:tc>
          <w:tcPr>
            <w:tcW w:type="pct" w:w="5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Question Answered</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Primary Chapters</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Layer 1</w:t>
            </w:r>
          </w:p>
        </w:tc>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Constituency Engine</w:t>
            </w:r>
          </w:p>
        </w:tc>
        <w:tc>
          <w:tcPr>
            <w:tcW w:type="pct" w:w="5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Who is eligible? (Which currencies and gold qualify for the active basket)</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4</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Layer 2</w:t>
            </w:r>
          </w:p>
        </w:tc>
        <w:tc>
          <w:tcPr>
            <w:tcW w:type="pct" w:w="2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 Multi-model Adaptive Stability Engine</w:t>
            </w:r>
          </w:p>
        </w:tc>
        <w:tc>
          <w:tcPr>
            <w:tcW w:type="pct" w:w="5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How much weight? (What target weight does each eligible component receive)</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Chapters 5–7</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Layer 3</w:t>
            </w:r>
          </w:p>
        </w:tc>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MARP / Reserve Engine</w:t>
            </w:r>
          </w:p>
        </w:tc>
        <w:tc>
          <w:tcPr>
            <w:tcW w:type="pct" w:w="5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When and how do we execute? (Which corrections are worth trading, and how is the reserve managed)</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Chapters 10–16</w:t>
            </w:r>
          </w:p>
        </w:tc>
      </w:tr>
    </w:tbl>
    <w:p>
      <w:pPr>
        <w:spacing w:after="120"/>
      </w:pPr>
    </w:p>
    <w:p>
      <w:pPr>
        <w:spacing w:after="120" w:line="312"/>
        <w:jc w:val="both"/>
      </w:pPr>
      <w:r>
        <w:rPr>
          <w:rFonts w:ascii="Calibri" w:eastAsia="SimSun" w:hAnsi="Calibri"/>
          <w:b w:val="false"/>
          <w:bCs w:val="false"/>
          <w:color w:val="1A1A1A"/>
          <w:sz w:val="21"/>
          <w:szCs w:val="21"/>
        </w:rPr>
        <w:t xml:space="preserve">Layer boundaries are enforced by governance: the Risk Council approves methodology and eligibility rules for each layer, but no governance body may manually set an individual weight (Section 22.4). Each layer publishes its own versioned outputs (Section 24.2), so an auditor can attribute any change in W_t to exactly one layer.</w:t>
      </w:r>
    </w:p>
    <w:p>
      <w:pPr>
        <w:pStyle w:val="Heading2"/>
        <w:keepNext/>
        <w:spacing w:after="160" w:before="360" w:line="340" w:lineRule="atLeast"/>
      </w:pPr>
      <w:bookmarkStart w:id="100011" w:name="_Toc100011"/>
      <w:r>
        <w:rPr>
          <w:rFonts w:ascii="Calibri" w:eastAsia="Microsoft YaHei" w:hAnsi="Calibri"/>
          <w:b/>
          <w:bCs/>
          <w:color w:val="1A1A1A"/>
          <w:sz w:val="28"/>
          <w:szCs w:val="28"/>
        </w:rPr>
        <w:t xml:space="preserve">2.3 The Four-State Weight Distinction</w:t>
      </w:r>
      <w:bookmarkEnd w:id="100011"/>
    </w:p>
    <w:p>
      <w:pPr>
        <w:spacing w:after="120" w:line="312"/>
        <w:jc w:val="both"/>
      </w:pPr>
      <w:r>
        <w:rPr>
          <w:rFonts w:ascii="Calibri" w:eastAsia="SimSun" w:hAnsi="Calibri"/>
          <w:b w:val="false"/>
          <w:bCs w:val="false"/>
          <w:color w:val="1A1A1A"/>
          <w:sz w:val="21"/>
          <w:szCs w:val="21"/>
        </w:rPr>
        <w:t xml:space="preserve">The single most common misreading of an adaptive basket is to conflate the prior with the live weight. v2.0 therefore elevates the distinction between four weight states to a definitional rule [MS §97]:</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State</w:t>
            </w:r>
          </w:p>
        </w:tc>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4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3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Produced By</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Prior</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W^{Prior}</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Long-term starting preference; a soft stabilizing anchor only.</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Research program; governance-approved methodology version.</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Target</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W^{Target}</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Current mathematical optimum before constraints are applied.</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ensemble (Chapter 7).</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Smoothed</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W^{Smooth}</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Risk-controlled transition toward the constrained target.</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Stress-adaptive smoothing (Section 8.4).</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W^{Execution}</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Actual trade decision after cost, liquidity and reserve testing.</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MARP (Chapters 10–11).</w:t>
            </w:r>
          </w:p>
        </w:tc>
      </w:tr>
    </w:tbl>
    <w:p>
      <w:pPr>
        <w:spacing w:after="120"/>
      </w:pP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StrategicPrior</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Smoothed</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Execution</w:t>
      </w:r>
    </w:p>
    <w:p>
      <w:pPr>
        <w:spacing w:after="120" w:line="312"/>
        <w:jc w:val="both"/>
      </w:pPr>
      <w:r>
        <w:rPr>
          <w:rFonts w:ascii="Calibri" w:eastAsia="SimSun" w:hAnsi="Calibri"/>
          <w:b w:val="false"/>
          <w:bCs w:val="false"/>
          <w:color w:val="1A1A1A"/>
          <w:sz w:val="21"/>
          <w:szCs w:val="21"/>
        </w:rPr>
        <w:t xml:space="preserve">These four states are not equivalent, and none of them is the published definition of the unit. The published live weight W_t^{Live} is the execution state that has actually been applied. This distinction eliminates the danger of accidentally recreating a fixed-weight basket: even if the target happens to equal the prior for many days, the system state remains adaptive because the path from data to decision is what is constitutional, not the destination.</w:t>
      </w:r>
    </w:p>
    <w:p>
      <w:pPr>
        <w:pStyle w:val="Heading2"/>
        <w:keepNext/>
        <w:spacing w:after="160" w:before="360" w:line="340" w:lineRule="atLeast"/>
      </w:pPr>
      <w:bookmarkStart w:id="100012" w:name="_Toc100012"/>
      <w:r>
        <w:rPr>
          <w:rFonts w:ascii="Calibri" w:eastAsia="Microsoft YaHei" w:hAnsi="Calibri"/>
          <w:b/>
          <w:bCs/>
          <w:color w:val="1A1A1A"/>
          <w:sz w:val="28"/>
          <w:szCs w:val="28"/>
        </w:rPr>
        <w:t xml:space="preserve">2.4 The Two-System Architecture: Reference Basket vs Reserve</w:t>
      </w:r>
      <w:bookmarkEnd w:id="100012"/>
    </w:p>
    <w:p>
      <w:pPr>
        <w:spacing w:after="120" w:line="312"/>
        <w:jc w:val="both"/>
      </w:pPr>
      <w:r>
        <w:rPr>
          <w:rFonts w:ascii="Calibri" w:eastAsia="SimSun" w:hAnsi="Calibri"/>
          <w:b w:val="false"/>
          <w:bCs w:val="false"/>
          <w:color w:val="1A1A1A"/>
          <w:sz w:val="21"/>
          <w:szCs w:val="21"/>
        </w:rPr>
        <w:t xml:space="preserve">Within the constitutional separation, MTQ Σ consists of two mathematically related but operationally separate systems [MS §1]. The Reference Basket defines what one unit of MTQ Σ represents; the Reserve Architecture determines which eligible assets are actually held to satisfy MTQ Σ obligations, liquidity and collateral requirements. Their compositions are deliberately decoupled:</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Index</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Reserve</w:t>
      </w:r>
    </w:p>
    <w:p>
      <w:pPr>
        <w:spacing w:after="120" w:line="312"/>
        <w:jc w:val="both"/>
      </w:pPr>
      <w:r>
        <w:rPr>
          <w:rFonts w:ascii="Calibri" w:eastAsia="SimSun" w:hAnsi="Calibri"/>
          <w:b w:val="false"/>
          <w:bCs w:val="false"/>
          <w:color w:val="1A1A1A"/>
          <w:sz w:val="21"/>
          <w:szCs w:val="21"/>
        </w:rPr>
        <w:t xml:space="preserve">in general. A 27% USD reference weight does not obligate the reserve to hold 27% USD-denominated assets; the reserve is sized by redemption risk, liquidity and collateral requirements (Chapter 13). The initial candidate universe of the reference basket is:</w:t>
      </w:r>
    </w:p>
    <w:p>
      <w:pPr>
        <w:spacing w:after="120" w:before="120" w:line="312"/>
        <w:jc w:val="center"/>
      </w:pPr>
      <w:r>
        <w:rPr>
          <w:rFonts w:ascii="Cambria" w:eastAsia="SimSun" w:hAnsi="Cambria"/>
          <w:i/>
          <w:iCs/>
          <w:color w:val="1A1A1A"/>
          <w:sz w:val="22"/>
          <w:szCs w:val="22"/>
        </w:rPr>
        <w:t xml:space="preserve">U =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USD, EUR, JPY, GBP, CNY, CHF, CAD, AUD, SGD,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GOLD</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initial core candidates are \{USD, EUR, JPY, GBP, CNY, CHF, GOLD\}, but membership is not permanently fixed — the Constituency Engine (Chapter 4) admits and retires components according to measurable eligibility criteria with hysteresis, never by discretionary decree.</w:t>
      </w:r>
    </w:p>
    <w:p>
      <w:pPr>
        <w:pStyle w:val="Heading2"/>
        <w:keepNext/>
        <w:spacing w:after="160" w:before="360" w:line="340" w:lineRule="atLeast"/>
      </w:pPr>
      <w:bookmarkStart w:id="100013" w:name="_Toc100013"/>
      <w:r>
        <w:rPr>
          <w:rFonts w:ascii="Calibri" w:eastAsia="Microsoft YaHei" w:hAnsi="Calibri"/>
          <w:b/>
          <w:bCs/>
          <w:color w:val="1A1A1A"/>
          <w:sz w:val="28"/>
          <w:szCs w:val="28"/>
        </w:rPr>
        <w:t xml:space="preserve">2.5 Core Variables and Constants</w:t>
      </w:r>
      <w:bookmarkEnd w:id="100013"/>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3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 / Definition</w:t>
            </w:r>
          </w:p>
        </w:tc>
        <w:tc>
          <w:tcPr>
            <w:tcW w:type="pct" w:w="3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Constraints</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unit of account for MTQ Σ</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 = 1.00 basket-unit</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Constant, never changes</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W_t</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Live weight vector of the reference basket</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Produced by the MASE/MARP pipeline (§26.1)</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Recalculated daily; changes only through constitutional rules</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W^{Prior}</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prior vector</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27%, EUR 20%, JPY 9%, GBP 8%, CNY 5%, CHF 5%, Gold 26%</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Soft anchor; deviation penalized, not enforced</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P_{i,t}</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Reference price of component i (vs USD) at time t</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Live oracle data (Chapter 17)</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Observable on-chain; multi-source validated</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I_t (NAV_t)</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value of the chain-linked reference index</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G_t · Σ_i W_{i,t} · (P_{i,t}/P_{i,0})</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Chain-linked; normalized to 1.00 at genesis</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P_{MTQ,t}</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price of 1 MTQ Σ</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I_t / I_base</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Normalized to 1.00 at base date</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V_{net,t}</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Net Asset Value of the reserve (USD)</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Σ_j Q_{j,t} · P_{j,t} · (1 − H_j)</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 applied (§14.1)</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S_t</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 MTQ Σ supply</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Dynamic</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S_t = Minted − Burned</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L_t</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 liability (USD)</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S_{circ,t} × P_{MTQ,t}</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Denominated in USD-equivalent</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Ratio</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V_{net,t} / L_t</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Target 1.10, Stress 1.05, Hard 1.00</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LCR_t</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Coverage Ratio</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LiquidAssets_t / StressRedemption_t</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Target ≥ 1.00</w:t>
            </w:r>
          </w:p>
        </w:tc>
      </w:tr>
    </w:tbl>
    <w:p>
      <w:pPr>
        <w:spacing w:after="120"/>
      </w:pPr>
    </w:p>
    <w:p>
      <w:pPr>
        <w:spacing w:after="120" w:line="312"/>
        <w:jc w:val="both"/>
      </w:pPr>
      <w:r>
        <w:rPr>
          <w:rFonts w:ascii="Calibri" w:eastAsia="SimSun" w:hAnsi="Calibri"/>
          <w:b w:val="false"/>
          <w:bCs w:val="false"/>
          <w:color w:val="1A1A1A"/>
          <w:sz w:val="21"/>
          <w:szCs w:val="21"/>
        </w:rPr>
        <w:t xml:space="preserve">Quantities q_i (fixed notional amounts per genesis weight) are retained only as genesis initialization data: at the base date the basket is seeded so that each component's USD-equivalent notional equals its strategic prior share, which makes I_0 = 1.0000 exactly. After genesis, the basket evolves by weights, not by fixed quantities (Chapter 9).</w:t>
      </w:r>
    </w:p>
    <w:p>
      <w:pPr>
        <w:pStyle w:val="Heading2"/>
        <w:keepNext/>
        <w:spacing w:after="160" w:before="360" w:line="340" w:lineRule="atLeast"/>
      </w:pPr>
      <w:bookmarkStart w:id="100014" w:name="_Toc100014"/>
      <w:r>
        <w:rPr>
          <w:rFonts w:ascii="Calibri" w:eastAsia="Microsoft YaHei" w:hAnsi="Calibri"/>
          <w:b/>
          <w:bCs/>
          <w:color w:val="1A1A1A"/>
          <w:sz w:val="28"/>
          <w:szCs w:val="28"/>
        </w:rPr>
        <w:t xml:space="preserve">2.6 Constitutional Invariants (Hard Rules)</w:t>
      </w:r>
      <w:bookmarkEnd w:id="100014"/>
    </w:p>
    <w:p>
      <w:pPr>
        <w:spacing w:after="120" w:line="312"/>
        <w:jc w:val="both"/>
      </w:pPr>
      <w:r>
        <w:rPr>
          <w:rFonts w:ascii="Calibri" w:eastAsia="SimSun" w:hAnsi="Calibri"/>
          <w:b w:val="false"/>
          <w:bCs w:val="false"/>
          <w:color w:val="1A1A1A"/>
          <w:sz w:val="21"/>
          <w:szCs w:val="21"/>
        </w:rPr>
        <w:t xml:space="preserve">The following invariants are constitutional — they cannot be changed without a 7/7 Constitutional Multi-Sig vote and a 90-day timelock. Invariant I3 is rewritten by the Modification Specification and is the keystone of v2.0.</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Invariant</w:t>
            </w:r>
          </w:p>
        </w:tc>
        <w:tc>
          <w:tcPr>
            <w:tcW w:type="pct" w:w="7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Enforced By</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I1</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 = 1.00 basket-unit is immutable.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§18.1</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I2</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 ≥ 1.00 at all times.</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§14.2, §22</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I3 (REVISED)</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reference basket is governed by a FIXED, PUBLISHED, AUDITABLE METHODOLOGY, not by fixed weights. Live weights are computed by MASE under constitutional constraints; the methodology changes only through constitutional governance.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 §7, §8, §9</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I4</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V_{net,t} is always calculated with asset-specific haircuts.</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§14.1</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I5</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is always priced against P_{MTQ,t} (the adaptive index), never against a fixed USD peg.</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§19.2</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I6</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 is always priced against NAV_t, never against a fixed USD peg.</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§19.3</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I7</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is governed by a layered hierarchy (Constitutional, Monetary, Risk, Emergency).</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§22.3</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I8</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single actor can unilaterally change monetary policy, risk parameters, or emergency controls; no governance body may set individual live weights by discretion.</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§22.3–22.4</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I9</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 oracle prices must pass timestamp, confidence, and deviation checks; the canonical gold price requires an independent-source quorum.</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§17.3–17.7</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I10</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must be honest about its status; validation-gate status is published on-chain.</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I11 (NEW)</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Daily calculation does not imply daily trading; trading requires an economically justified trigger under MARP rules.</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§10.1</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I12 (NEW)</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reference allocation and gold reserve allocation are separate; no reserve asset may be used for secondary-market price support.</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§13.3, §13.6</w:t>
            </w:r>
          </w:p>
        </w:tc>
      </w:tr>
    </w:tbl>
    <w:p>
      <w:pPr>
        <w:spacing w:after="120"/>
      </w:pPr>
    </w:p>
    <w:p>
      <w:pPr>
        <w:pStyle w:val="Heading2"/>
        <w:keepNext/>
        <w:spacing w:after="160" w:before="360" w:line="340" w:lineRule="atLeast"/>
      </w:pPr>
      <w:bookmarkStart w:id="100015" w:name="_Toc100015"/>
      <w:r>
        <w:rPr>
          <w:rFonts w:ascii="Calibri" w:eastAsia="Microsoft YaHei" w:hAnsi="Calibri"/>
          <w:b/>
          <w:bCs/>
          <w:color w:val="1A1A1A"/>
          <w:sz w:val="28"/>
          <w:szCs w:val="28"/>
        </w:rPr>
        <w:t xml:space="preserve">2.7 Smart Contract Implementation — Core Variables and Weight Registry</w:t>
      </w:r>
      <w:bookmarkEnd w:id="100015"/>
    </w:p>
    <w:p>
      <w:pPr>
        <w:spacing w:after="120" w:line="312"/>
        <w:jc w:val="both"/>
      </w:pPr>
      <w:r>
        <w:rPr>
          <w:rFonts w:ascii="Calibri" w:eastAsia="SimSun" w:hAnsi="Calibri"/>
          <w:b w:val="false"/>
          <w:bCs w:val="false"/>
          <w:color w:val="1A1A1A"/>
          <w:sz w:val="21"/>
          <w:szCs w:val="21"/>
        </w:rPr>
        <w:t xml:space="preserve">The v1.2 core contract hardcoded fixed quantities Q_USD … Q_CNY. Under v2.0 those constants become the genesis snapshot, and the live state moves to an Adaptive Weight Registry: an on-chain store of the current published weights, the methodology version that produced them, and the enforcement bounds. Weights are updated through a governed submission path (MASE outputs are computed off-chain from published data and verified on-chain against constitutional envelopes), keeping gas costs bounded while preserving auditability. The full MASE verification contract is specified in Section 7.7; the MARP execution contract in Section 11.11.</w:t>
      </w:r>
    </w:p>
    <w:p>
      <w:pPr>
        <w:keepNext/>
        <w:spacing w:after="80" w:before="280" w:line="312"/>
      </w:pPr>
      <w:r>
        <w:rPr>
          <w:rFonts w:ascii="Calibri" w:eastAsia="SimSun" w:hAnsi="Calibri"/>
          <w:b/>
          <w:bCs/>
          <w:color w:val="8A6D1F"/>
          <w:sz w:val="19"/>
          <w:szCs w:val="19"/>
        </w:rPr>
        <w:t xml:space="preserve">Listing 1 — Core variables, constitutional constants and the adaptive weight registry (replaces BP §1.5 constants block)</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MTQSigma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CORE VARIABLES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Constitutional Constants (Immutable)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PAR constant (1.00 basket-unit)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PAR = 1e18;               // 1.00 basket-unit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quantities (q_i) — SNAPSHOT ONLY, used to seed I_0 = 1.0000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Strategic prior: USD 27%, EUR 20%, JPY 9%, GBP 8%, CNY 5%, CHF 5%, GOLD 26%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Q_USD  = 0.27e18;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Q_EUR  = 0.20e18;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Q_JPY  = 0.09e18;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Q_GBP  = 0.08e18;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Q_CNY  = 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Q_CHF  = 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Q_GOLD = 0.26e18;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Base FX rates (set at genesis, immutable) — normalization fixings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BASE_EUR_USD = 1.0500e8;  // 8 decimals (Chainlink style)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BASE_GBP_USD = 1.2500e8;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BASE_JPY_USD = 0.0067e8;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BASE_CNY_USD = 0.1400e8;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BASE_CHF_USD = 1.1300e8;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Base gold fixing (USD per reference gold unit) — set at genesis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BASE_GOLD_USD = 2500.00e8;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Constitutional Floors (Immutable)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RR_HARD_FLOOR = 1.00e18;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RECOVERY_CONFIRMATION_PERIOD = 48 hours;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Monetary Parameters (DAO-Controlled)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rrTarget = 1.10e18;                // 110%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rrStressFloor = 1.05e18;           // 105%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mintFee = 0.001e18;                // 0.10%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redeemFeeNormal = 0.0015e18;       // 0.15%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Risk Parameters (Risk Council-Controlled)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redeemFeeStress = 0.005e18;        // 0.50%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redeemFeeDefensive = 0.010e18;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lcrTarget = 1.00e18;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State Variables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totalSupply;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circulatingSupply;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ReserveState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fiatValue;      // USD value of all stablecoins (gross)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goldValue;      // USD value of gold holdings (gross)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liquidValue;    // USD value of stablecoins only (net)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ReserveState public 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ADAPTIVE WEIGHT REGISTRY (v2.0 core 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Component identifiers (order fixed at genesis; GOLD is index 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bytes3[7] public COMPONENTS = ["USD","EUR","JPY","GBP","CNY","CHF","XAU"];</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WeightState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weights;        // live weights, 1e18 scale, sum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methodologyVersion;// keccak256 of the MASE methodology hash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dataVersion;       // keccak256 of the input-data snapshot hash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updatedAt;         // timestamp of last accepted update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WeightState public liveWeights;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Constitutional admissibility envelopes (validation-stage research values;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see §8.1 — NOT fixed weighting targets)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public LOWER_BOUND = [0.23e18, 0.17e18, 0.07e18, 0.06e18, 0.03e18, 0.03e18, 0.20e18];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public UPPER_BOUND = [0.32e18, 0.24e18, 0.12e18, 0.11e18, 0.07e18, 0.07e18, 0.32e18];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Maximum per-update weight velocity |w_{i,t} - w_{i,t-1}| (Risk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public MAX_VELOCITY = [0.005e18, 0.005e18, 0.003e18, 0.003e18, 0.002e18, 0.002e18, 0.005e18];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Governance Addresses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dao;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emergencyCouncil;          //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constitutionalCouncil;     // 7/7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GETTER FUNCTIONS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current MTQ Reference Price in 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getMTQPrice()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indexValue = getIndex();          // I_t scaled to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(indexValue * 1e18) /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total USD liability (circulating supply ×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getLiability()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circSupply = getCirculatingSupply();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 = getMTQPrice();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(circSupply * price)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Net Asset Value (NAV) in 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getNAV()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reserveState.fiatValue + reserveState.goldValue;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Reserve Ratio (RR) scaled to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getReserveRatio()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nav = getNAV();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liability = getLiability();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(nav * 1e18) / liability;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Liquidity Coverage Ratio (LCR) scaled to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getLCR()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liquidAssets = reserveState.liquidValue;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 = getMTQPrice();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circSupply = getCirculatingSupply();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stressDemand = (circSupply * price / 1e18) * 25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(liquidAssets * 1e18) / stressDemand;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circulating supply (excluding Genesis 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getCirculatingSupply()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totalSupply - balanceOf(genesisReserveAddress);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HONEST STATUS (TESTNET)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honest status of the protocol (testnet-specific).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 testnet, all oracles and assets are SIMULATED.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Production authorization is NOT granted.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getHonestStatus() public pure returns (string memory)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"MTQ Sigma v2.0-testnet — ADAPTIVE BLUEPRINT. DEPLOYED ON ARC / MONAD / SOLANA DEVNET. NOT PRODUCTION-AUTHORIZED. All oracles and assets are SIMULATED for testing purposes. Live weights are validation-stage values.";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(inherited from v1.2, resolved in v2.0): the genesis quantities now include CHF and GOLD, matching the seven-component strategic prior. INDEX_BASE_DENOMINATOR and getIndex() are defined in Chapter 9 (chain-linked index). The genesis reserve address is the mutable, governance-controlled variable introduced in BP §13.7.1.</w:t>
      </w:r>
    </w:p>
    <w:p>
      <w:pPr>
        <w:pStyle w:val="Heading2"/>
        <w:keepNext/>
        <w:spacing w:after="160" w:before="360" w:line="340" w:lineRule="atLeast"/>
      </w:pPr>
      <w:bookmarkStart w:id="100016" w:name="_Toc100016"/>
      <w:r>
        <w:rPr>
          <w:rFonts w:ascii="Calibri" w:eastAsia="Microsoft YaHei" w:hAnsi="Calibri"/>
          <w:b/>
          <w:bCs/>
          <w:color w:val="1A1A1A"/>
          <w:sz w:val="28"/>
          <w:szCs w:val="28"/>
        </w:rPr>
        <w:t xml:space="preserve">2.8 Sharia Compliance Roadmap (v1.2 → v2.0)</w:t>
      </w:r>
      <w:bookmarkEnd w:id="100016"/>
    </w:p>
    <w:p>
      <w:pPr>
        <w:spacing w:after="120" w:line="312"/>
        <w:jc w:val="both"/>
      </w:pPr>
      <w:r>
        <w:rPr>
          <w:rFonts w:ascii="Calibri" w:eastAsia="SimSun" w:hAnsi="Calibri"/>
          <w:b w:val="false"/>
          <w:bCs w:val="false"/>
          <w:color w:val="1A1A1A"/>
          <w:sz w:val="21"/>
          <w:szCs w:val="21"/>
        </w:rPr>
        <w:t xml:space="preserve">The MTQ Σ protocol is designed with Sharia principles in mind (no riba, no speculation, asset-backed, non-interest-bearing reserve instruments). However, formal certification is not yet obtained. The following steps are required before any Sharia-compliant claim can be made: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Phase</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Timeline</w:t>
            </w:r>
          </w:p>
        </w:tc>
        <w:tc>
          <w:tcPr>
            <w:tcW w:type="pct" w:w="7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Q4 2026</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Engage an independent Sharia advisory firm with AAOIFI-qualified scholars.</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Q1 2027</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Complete a full review of all reserve assets (USDC, EURC, PAXG, XAUT and any successor instruments admitted under Chapter 15) and their custody structures.</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Q2 2027</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Publish a fatwa confirming the protocol's compliance or identify necessary changes.</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Q3 2027</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Implement any required changes (e.g., replacing USDC with a Sharia-certified stablecoin).</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Q4 2027</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Update the honest status to reflect the certification.</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Until Phase 5 is complete, MTQ Σ is NOT certified as Sharia-compliant. The adaptive-weighting change does not alter this roadmap; it widens the review scope, because MASE inputs (COFER shares, BIS turnover, volatility, purchasing-power signals) are all non-interest market observables, while reserve instrument eligibility remains governed by Chapter 15.</w:t>
      </w:r>
    </w:p>
    <w:p>
      <w:pPr>
        <w:pStyle w:val="Heading2"/>
        <w:keepNext/>
        <w:spacing w:after="160" w:before="360" w:line="340" w:lineRule="atLeast"/>
      </w:pPr>
      <w:bookmarkStart w:id="100017" w:name="_Toc100017"/>
      <w:r>
        <w:rPr>
          <w:rFonts w:ascii="Calibri" w:eastAsia="Microsoft YaHei" w:hAnsi="Calibri"/>
          <w:b/>
          <w:bCs/>
          <w:color w:val="1A1A1A"/>
          <w:sz w:val="28"/>
          <w:szCs w:val="28"/>
        </w:rPr>
        <w:t xml:space="preserve">2.9 Summary of Developer-Facing Constants</w:t>
      </w:r>
      <w:bookmarkEnd w:id="100017"/>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4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Governance</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 basket-unit</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Target</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RR_target</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Stress Floor</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RR_stress</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Hard Floor</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RR_hard</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 Fee</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F_mint</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0.10%</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 (Normal)</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F_redeem</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0.15%</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Target</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LCR_target</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Recovery Confirmation Period</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48 hours</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 quantities q_i</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Q_*</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prior snapshot</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Admissibility envelopes</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LOWER/UPPER_BOUND</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See §8.1</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envelope; Risk Council may tighten</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 weight velocity</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MAX_VELOCITY</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See §8.3</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bl>
    <w:p>
      <w:pPr>
        <w:spacing w:after="120"/>
      </w:pPr>
    </w:p>
    <w:p>
      <w:pPr>
        <w:spacing w:after="120" w:line="312"/>
        <w:jc w:val="both"/>
      </w:pPr>
      <w:r>
        <w:rPr>
          <w:rFonts w:ascii="Calibri" w:eastAsia="SimSun" w:hAnsi="Calibri"/>
          <w:b w:val="false"/>
          <w:bCs w:val="false"/>
          <w:color w:val="1A1A1A"/>
          <w:sz w:val="21"/>
          <w:szCs w:val="21"/>
        </w:rPr>
        <w:t xml:space="preserve">This section is the foundation for all subsequent chapters. At deployment, set the dao, riskCouncil, emergencyCouncil and constitutionalCouncil addresses; ensure the genesis reserve address is set to a dedicated 4/7 Multi-Sig (Chapter 20); and initialize the weight registry with the strategic prior and genesis data-version hashes. The constitutional invariants in Section 2.6 are immutable and cannot be changed without a 7/7 Multi-Sig vote and a 90-day timelock.</w:t>
      </w:r>
    </w:p>
    <w:p>
      <w:pPr>
        <w:pStyle w:val="Heading1"/>
        <w:keepNext/>
        <w:pBdr>
          <w:bottom w:val="single" w:color="C9A84C" w:sz="12" w:space="6"/>
        </w:pBdr>
        <w:spacing w:after="220" w:before="480" w:line="380" w:lineRule="atLeast"/>
      </w:pPr>
      <w:bookmarkStart w:id="100018" w:name="_Toc100018"/>
      <w:r>
        <w:rPr>
          <w:rFonts w:ascii="Calibri" w:eastAsia="Microsoft YaHei" w:hAnsi="Calibri"/>
          <w:b/>
          <w:bCs/>
          <w:color w:val="1A1A1A"/>
          <w:sz w:val="32"/>
          <w:szCs w:val="32"/>
        </w:rPr>
        <w:t xml:space="preserve">3. The Adaptive Reference Basket</w:t>
      </w:r>
      <w:bookmarkEnd w:id="100018"/>
    </w:p>
    <w:p>
      <w:pPr>
        <w:pStyle w:val="Heading2"/>
        <w:keepNext/>
        <w:spacing w:after="160" w:before="360" w:line="340" w:lineRule="atLeast"/>
      </w:pPr>
      <w:bookmarkStart w:id="100019" w:name="_Toc100019"/>
      <w:r>
        <w:rPr>
          <w:rFonts w:ascii="Calibri" w:eastAsia="Microsoft YaHei" w:hAnsi="Calibri"/>
          <w:b/>
          <w:bCs/>
          <w:color w:val="1A1A1A"/>
          <w:sz w:val="28"/>
          <w:szCs w:val="28"/>
        </w:rPr>
        <w:t xml:space="preserve">3.1 The No-Fixed-Weighting Principle</w:t>
      </w:r>
      <w:bookmarkEnd w:id="100019"/>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MTQ Σ must not be defined as a fixed percentage table. The single most important architectural rule of v2.0 is that composition is an output of transparent mathematics, never an input [MS §2].</w:t>
      </w:r>
    </w:p>
    <w:p>
      <w:pPr>
        <w:spacing w:after="120" w:line="312"/>
        <w:jc w:val="both"/>
      </w:pPr>
      <w:r>
        <w:rPr>
          <w:rFonts w:ascii="Calibri" w:eastAsia="SimSun" w:hAnsi="Calibri"/>
          <w:b w:val="false"/>
          <w:bCs w:val="false"/>
          <w:color w:val="1A1A1A"/>
          <w:sz w:val="21"/>
          <w:szCs w:val="21"/>
        </w:rPr>
        <w:t xml:space="preserve">A statement such as the one below is categorically not a definition of MTQ Σ:</w:t>
      </w:r>
    </w:p>
    <w:p>
      <w:pPr>
        <w:spacing w:after="120" w:before="120" w:line="312"/>
        <w:jc w:val="center"/>
      </w:pPr>
      <w:r>
        <w:rPr>
          <w:rFonts w:ascii="Cambria" w:eastAsia="SimSun" w:hAnsi="Cambria"/>
          <w:i w:val="false"/>
          <w:iCs w:val="false"/>
          <w:color w:val="1A1A1A"/>
          <w:sz w:val="22"/>
          <w:szCs w:val="22"/>
        </w:rPr>
        <w:t xml:space="preserve">MTQ Σ</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USD=27</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EUR=20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JPY=9</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GBP=8</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CNY=5</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CHF=5</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Gold=26</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Those numbers are only W^{StrategicPrior} — starting priors used to stabilize the optimization process and to provide a transparent initial reference. They are soft anchors subject to a deviation penalty (Section 7.1), not targets to be hit. The live system computes:</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Live</w:t>
      </w:r>
      <w:r>
        <w:rPr>
          <w:rFonts w:ascii="Cambria" w:eastAsia="SimSun" w:hAnsi="Cambria"/>
          <w:i/>
          <w:iCs/>
          <w:color w:val="1A1A1A"/>
          <w:sz w:val="22"/>
          <w:szCs w:val="22"/>
        </w:rPr>
        <w:t xml:space="preserve"> = MASE(Data</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Prior</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Macro</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PP</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Cost</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and therefore, in general:</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Live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StrategicPrior</w:t>
      </w:r>
    </w:p>
    <w:p>
      <w:pPr>
        <w:spacing w:after="120" w:line="312"/>
        <w:jc w:val="both"/>
      </w:pPr>
      <w:r>
        <w:rPr>
          <w:rFonts w:ascii="Calibri" w:eastAsia="SimSun" w:hAnsi="Calibri"/>
          <w:b w:val="false"/>
          <w:bCs w:val="false"/>
          <w:color w:val="1A1A1A"/>
          <w:sz w:val="21"/>
          <w:szCs w:val="21"/>
        </w:rPr>
        <w:t xml:space="preserve">Three consequences follow. First, any communication that quotes a percentage as the composition of MTQ Σ is definitionally wrong; only the published W_t series (Section 24.3) describes composition. Second, the strategic prior table is versioned research data — if the research program revises the prior, the change flows through governance as a new methodology version, not as a silent redefinition. Third, stability of the unit is achieved by bounding how fast weights may move (Chapter 8) and by the smoothing and execution gates (Chapters 8 and 10), not by freezing the weights themselves.</w:t>
      </w:r>
    </w:p>
    <w:p>
      <w:pPr>
        <w:pStyle w:val="Heading2"/>
        <w:keepNext/>
        <w:spacing w:after="160" w:before="360" w:line="340" w:lineRule="atLeast"/>
      </w:pPr>
      <w:bookmarkStart w:id="100020" w:name="_Toc100020"/>
      <w:r>
        <w:rPr>
          <w:rFonts w:ascii="Calibri" w:eastAsia="Microsoft YaHei" w:hAnsi="Calibri"/>
          <w:b/>
          <w:bCs/>
          <w:color w:val="1A1A1A"/>
          <w:sz w:val="28"/>
          <w:szCs w:val="28"/>
        </w:rPr>
        <w:t xml:space="preserve">3.2 Initial Strategic Prior</w:t>
      </w:r>
      <w:bookmarkEnd w:id="100020"/>
    </w:p>
    <w:p>
      <w:pPr>
        <w:spacing w:after="120" w:line="312"/>
        <w:jc w:val="both"/>
      </w:pPr>
      <w:r>
        <w:rPr>
          <w:rFonts w:ascii="Calibri" w:eastAsia="SimSun" w:hAnsi="Calibri"/>
          <w:b w:val="false"/>
          <w:bCs w:val="false"/>
          <w:color w:val="1A1A1A"/>
          <w:sz w:val="21"/>
          <w:szCs w:val="21"/>
        </w:rPr>
        <w:t xml:space="preserve">The current research prior — the starting point for the optimizer and the genesis snapshot — is [MS §3]:</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3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Component</w:t>
            </w:r>
          </w:p>
        </w:tc>
        <w:tc>
          <w:tcPr>
            <w:tcW w:type="pct" w:w="6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Initial Strategic Prior</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w:t>
            </w:r>
          </w:p>
        </w:tc>
        <w:tc>
          <w:tcPr>
            <w:tcW w:type="pct" w:w="6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27%</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w:t>
            </w:r>
          </w:p>
        </w:tc>
        <w:tc>
          <w:tcPr>
            <w:tcW w:type="pct" w:w="6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w:t>
            </w:r>
          </w:p>
        </w:tc>
        <w:tc>
          <w:tcPr>
            <w:tcW w:type="pct" w:w="6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w:t>
            </w:r>
          </w:p>
        </w:tc>
        <w:tc>
          <w:tcPr>
            <w:tcW w:type="pct" w:w="6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w:t>
            </w:r>
          </w:p>
        </w:tc>
        <w:tc>
          <w:tcPr>
            <w:tcW w:type="pct" w:w="6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CHF</w:t>
            </w:r>
          </w:p>
        </w:tc>
        <w:tc>
          <w:tcPr>
            <w:tcW w:type="pct" w:w="6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w:t>
            </w:r>
          </w:p>
        </w:tc>
        <w:tc>
          <w:tcPr>
            <w:tcW w:type="pct" w:w="6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26%</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w:t>
            </w:r>
          </w:p>
        </w:tc>
        <w:tc>
          <w:tcPr>
            <w:tcW w:type="pct" w:w="6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r>
    </w:tbl>
    <w:p>
      <w:pPr>
        <w:spacing w:after="120"/>
      </w:pP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Strategic Prior — NOT Fixed Weight. The final quantitative system may produce materially different weights.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Prior</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Smooth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Execution</w:t>
      </w:r>
    </w:p>
    <w:p>
      <w:pPr>
        <w:spacing w:after="120" w:line="312"/>
        <w:jc w:val="both"/>
      </w:pPr>
      <w:r>
        <w:rPr>
          <w:rFonts w:ascii="Calibri" w:eastAsia="SimSun" w:hAnsi="Calibri"/>
          <w:b w:val="false"/>
          <w:bCs w:val="false"/>
          <w:color w:val="1A1A1A"/>
          <w:sz w:val="21"/>
          <w:szCs w:val="21"/>
        </w:rPr>
        <w:t xml:space="preserve">That inequality is deliberately repeated directly beneath the prior table, because it is the single most important correction in the entire architecture [COO Review, opening item]. The published starting basket above is W^{Prior} — a research input and a soft anchor. It is categorically not W_t, the live weight vector: the live system computes W_t^{Target} = MASE(Data_t) and then applies constraints, smoothing and execution testing before any weight becomes effective (the four states are defined in §2.3). One equation, placed exactly where the numbers are quoted, prevents the most damaging future misreading — the accidental recreation of a fixed-weight basket in the mind of a reader, a regulator or a marketing page.</w:t>
      </w:r>
    </w:p>
    <w:p>
      <w:pPr>
        <w:spacing w:after="120" w:line="312"/>
        <w:jc w:val="both"/>
      </w:pPr>
      <w:r>
        <w:rPr>
          <w:rFonts w:ascii="Calibri" w:eastAsia="SimSun" w:hAnsi="Calibri"/>
          <w:b w:val="false"/>
          <w:bCs w:val="false"/>
          <w:color w:val="1A1A1A"/>
          <w:sz w:val="21"/>
          <w:szCs w:val="21"/>
        </w:rPr>
        <w:t xml:space="preserve">The prior was derived from the intersection of reserve relevance, trade and payment usage, liquidity depth and diversification contribution across the candidate universe; the derivation data are published with the methodology version. The prior enters the MASE objective only through the StrategicDrift penalty term (Section 7.1), so it influences but never dictates. If validation (Chapter 23) shows that a different prior produces a more robust optimum, the prior itself is re-derived and re-published — the definition of the unit never wavers because the unit is the methodology.</w:t>
      </w:r>
    </w:p>
    <w:p>
      <w:pPr>
        <w:pStyle w:val="Heading2"/>
        <w:keepNext/>
        <w:spacing w:after="160" w:before="360" w:line="340" w:lineRule="atLeast"/>
      </w:pPr>
      <w:bookmarkStart w:id="100021" w:name="_Toc100021"/>
      <w:r>
        <w:rPr>
          <w:rFonts w:ascii="Calibri" w:eastAsia="Microsoft YaHei" w:hAnsi="Calibri"/>
          <w:b/>
          <w:bCs/>
          <w:color w:val="1A1A1A"/>
          <w:sz w:val="28"/>
          <w:szCs w:val="28"/>
        </w:rPr>
        <w:t xml:space="preserve">3.3 Gold as a First-Class Reference-Basket Component</w:t>
      </w:r>
      <w:bookmarkEnd w:id="100021"/>
    </w:p>
    <w:p>
      <w:pPr>
        <w:spacing w:after="120" w:line="312"/>
        <w:jc w:val="both"/>
      </w:pPr>
      <w:r>
        <w:rPr>
          <w:rFonts w:ascii="Calibri" w:eastAsia="SimSun" w:hAnsi="Calibri"/>
          <w:b w:val="false"/>
          <w:bCs w:val="false"/>
          <w:color w:val="1A1A1A"/>
          <w:sz w:val="21"/>
          <w:szCs w:val="21"/>
        </w:rPr>
        <w:t xml:space="preserve">Gold is a full member of the reference basket with its own adaptive allocation W_{Gold,t} [MS §4]. It is not a multiplier applied to currencies and not merely a reserve asset. The historical architecture used a gold factor of the form:</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i,raw</w:t>
      </w:r>
      <w:r>
        <w:rPr>
          <w:rFonts w:ascii="Cambria" w:eastAsia="SimSun" w:hAnsi="Cambria"/>
          <w:i/>
          <w:iCs/>
          <w:color w:val="1A1A1A"/>
          <w:sz w:val="22"/>
          <w:szCs w:val="22"/>
        </w:rPr>
        <w:t xml:space="preserve"> = S</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K</w:t>
      </w:r>
      <w:r>
        <w:rPr>
          <w:rFonts w:ascii="Cambria" w:eastAsia="SimSun" w:hAnsi="Cambria"/>
          <w:i/>
          <w:iCs/>
          <w:color w:val="1A1A1A"/>
          <w:sz w:val="22"/>
          <w:szCs w:val="22"/>
          <w:vertAlign w:val="subscript"/>
        </w:rPr>
        <w:t xml:space="preserve">i</w:t>
      </w:r>
    </w:p>
    <w:p>
      <w:pPr>
        <w:spacing w:after="120" w:line="312"/>
        <w:jc w:val="both"/>
      </w:pPr>
      <w:r>
        <w:rPr>
          <w:rFonts w:ascii="Calibri" w:eastAsia="SimSun" w:hAnsi="Calibri"/>
          <w:b w:val="false"/>
          <w:bCs w:val="false"/>
          <w:color w:val="1A1A1A"/>
          <w:sz w:val="21"/>
          <w:szCs w:val="21"/>
        </w:rPr>
        <w:t xml:space="preserve">where the gold factor modified individual currency weights. Under v2.0 that mechanism is retained only as one input signal to the new engine; gold itself now receives an independent adaptive allocation. Gold's target allocation is a function of its own characteristics [MS §14]:</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G,t</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 f(StrategicPrior</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RiskContribution</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Diversification</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Inflation</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Crisis</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PurchasingPower</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rather than a constant. Gold remains strategically valuable because its diversification behavior can become particularly useful under stress — gold correlations to fiat currencies tend to shift in crisis regimes — but those correlations are dynamic rather than permanently fixed, which is exactly why the allocation must be adaptive rather than constitutional. The gold weight bounds in Section 8.1 (20–32% envelope) are validation-stage admissibility ranges for this component, not weighting targets.</w:t>
      </w:r>
    </w:p>
    <w:p>
      <w:pPr>
        <w:pStyle w:val="Heading2"/>
        <w:keepNext/>
        <w:spacing w:after="160" w:before="360" w:line="340" w:lineRule="atLeast"/>
      </w:pPr>
      <w:bookmarkStart w:id="100022" w:name="_Toc100022"/>
      <w:r>
        <w:rPr>
          <w:rFonts w:ascii="Calibri" w:eastAsia="Microsoft YaHei" w:hAnsi="Calibri"/>
          <w:b/>
          <w:bCs/>
          <w:color w:val="1A1A1A"/>
          <w:sz w:val="28"/>
          <w:szCs w:val="28"/>
        </w:rPr>
        <w:t xml:space="preserve">3.4 Genesis Weight Initialization</w:t>
      </w:r>
      <w:bookmarkEnd w:id="100022"/>
    </w:p>
    <w:p>
      <w:pPr>
        <w:spacing w:after="120" w:line="312"/>
        <w:jc w:val="both"/>
      </w:pPr>
      <w:r>
        <w:rPr>
          <w:rFonts w:ascii="Calibri" w:eastAsia="SimSun" w:hAnsi="Calibri"/>
          <w:b w:val="false"/>
          <w:bCs w:val="false"/>
          <w:color w:val="1A1A1A"/>
          <w:sz w:val="21"/>
          <w:szCs w:val="21"/>
        </w:rPr>
        <w:t xml:space="preserve">At the genesis timestamp (January 1, 2026, 00:00 UTC in the v1.2 deployment; the testnet equivalents are listed in Appendix D), the basket is seeded with USD-equivalent notionals equal to the strategic prior, so that the index starts at exactly 1.0000. The genesis snapshot is immutable and serves two purposes: it fixes the base fixings used for chain-link normalization, and it provides the initial condition for the weight-velocity constraints.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Component</w:t>
            </w:r>
          </w:p>
        </w:tc>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 Implementation</w:t>
            </w:r>
          </w:p>
        </w:tc>
        <w:tc>
          <w:tcPr>
            <w:tcW w:type="pct" w:w="4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Genesis Notional (per 1 MTQ unit)</w:t>
            </w:r>
          </w:p>
        </w:tc>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Genesis Weight</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(Circle)</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0.2700</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27.00%</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 (Circle)</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0.2000 (at EUR/USD 1.0500)</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20.00%</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 (CNH-quoted)</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0.0900 (at JPY/USD 0.0067)</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9.00%</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0.0800 (at GBP/USD 1.2500)</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8.00%</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 (offshore CNH)</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0.0500 (at CNY/USD 0.1400)</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5.00%</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CHF</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0.0500 (at CHF/USD 1.1300)</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5.00%</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 / XAUT (registry-resolved)</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0.2600 (at USD 2,500 per reference unit)</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26.00%</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r>
    </w:tbl>
    <w:p>
      <w:pPr>
        <w:spacing w:after="120"/>
      </w:pPr>
    </w:p>
    <w:p>
      <w:pPr>
        <w:spacing w:after="120" w:line="312"/>
        <w:jc w:val="both"/>
      </w:pPr>
      <w:r>
        <w:rPr>
          <w:rFonts w:ascii="Calibri" w:eastAsia="SimSun" w:hAnsi="Calibri"/>
          <w:b w:val="false"/>
          <w:bCs w:val="false"/>
          <w:color w:val="1A1A1A"/>
          <w:sz w:val="21"/>
          <w:szCs w:val="21"/>
        </w:rPr>
        <w:t xml:space="preserve">Base date fixings are hard-coded reference values used only to normalize the index; they are never updated. CNY exposure uses the offshore Yuan (CNH) rate, which is freely tradeable; the on-chain asset representing CNY is resolved via the Asset Admission Registry (Chapter 15) — the index itself is currency-exposure defined, independent of the specific token issuer. CHF is quoted against USD with its own base fixing. The genesis verification event and off-chain verification function for the base denominator are specified in Section 9.6.</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Implementation rule: the genesis quantities are expressed in USD-equivalent units at the base date. For example, q_EUR = 0.2000 means the basket initially contained a fixed amount of EUR worth $0.2000 on the base date. After genesis, weights (not quantities) are the live state; drift in weights is corrected by MARP only when economically justified (Chapter 10).</w:t>
      </w:r>
    </w:p>
    <w:p>
      <w:pPr>
        <w:pStyle w:val="Heading2"/>
        <w:keepNext/>
        <w:spacing w:after="160" w:before="360" w:line="340" w:lineRule="atLeast"/>
      </w:pPr>
      <w:bookmarkStart w:id="100023" w:name="_Toc100023"/>
      <w:r>
        <w:rPr>
          <w:rFonts w:ascii="Calibri" w:eastAsia="Microsoft YaHei" w:hAnsi="Calibri"/>
          <w:b/>
          <w:bCs/>
          <w:color w:val="1A1A1A"/>
          <w:sz w:val="28"/>
          <w:szCs w:val="28"/>
        </w:rPr>
        <w:t xml:space="preserve">3.5 Basket Size and Unit Economics</w:t>
      </w:r>
      <w:bookmarkEnd w:id="100023"/>
    </w:p>
    <w:p>
      <w:pPr>
        <w:spacing w:after="120" w:line="312"/>
        <w:jc w:val="both"/>
      </w:pPr>
      <w:r>
        <w:rPr>
          <w:rFonts w:ascii="Calibri" w:eastAsia="SimSun" w:hAnsi="Calibri"/>
          <w:b w:val="false"/>
          <w:bCs w:val="false"/>
          <w:color w:val="1A1A1A"/>
          <w:sz w:val="21"/>
          <w:szCs w:val="21"/>
        </w:rPr>
        <w:t xml:space="preserve">One unit of MTQ Σ represents one unit of the reference index I_t, which is normalized to 1.00 at genesis. The denomination is a normalization choice, not a price promise: the denomination does not imply that MTQ Σ remains at a fixed market price, because the index — a weighted basket of currencies and gold — moves with its constituents. Users minting at index value 1.12 receive fewer tokens per USD than users minting at 0.92, which is the purchasing-power-equivalence behavior specified in Chapter 19.</w:t>
      </w:r>
    </w:p>
    <w:p>
      <w:pPr>
        <w:pStyle w:val="Heading1"/>
        <w:keepNext/>
        <w:pBdr>
          <w:bottom w:val="single" w:color="C9A84C" w:sz="12" w:space="6"/>
        </w:pBdr>
        <w:spacing w:after="220" w:before="480" w:line="380" w:lineRule="atLeast"/>
      </w:pPr>
      <w:bookmarkStart w:id="100024" w:name="_Toc100024"/>
      <w:r>
        <w:rPr>
          <w:rFonts w:ascii="Calibri" w:eastAsia="Microsoft YaHei" w:hAnsi="Calibri"/>
          <w:b/>
          <w:bCs/>
          <w:color w:val="1A1A1A"/>
          <w:sz w:val="32"/>
          <w:szCs w:val="32"/>
        </w:rPr>
        <w:t xml:space="preserve">4. The Currency Constituency Engine</w:t>
      </w:r>
      <w:bookmarkEnd w:id="100024"/>
    </w:p>
    <w:p>
      <w:pPr>
        <w:pStyle w:val="Heading2"/>
        <w:keepNext/>
        <w:spacing w:after="160" w:before="360" w:line="340" w:lineRule="atLeast"/>
      </w:pPr>
      <w:bookmarkStart w:id="100025" w:name="_Toc100025"/>
      <w:r>
        <w:rPr>
          <w:rFonts w:ascii="Calibri" w:eastAsia="Microsoft YaHei" w:hAnsi="Calibri"/>
          <w:b/>
          <w:bCs/>
          <w:color w:val="1A1A1A"/>
          <w:sz w:val="28"/>
          <w:szCs w:val="28"/>
        </w:rPr>
        <w:t xml:space="preserve">4.1 Purpose and Design</w:t>
      </w:r>
      <w:bookmarkEnd w:id="100025"/>
    </w:p>
    <w:p>
      <w:pPr>
        <w:spacing w:after="120" w:line="312"/>
        <w:jc w:val="both"/>
      </w:pPr>
      <w:r>
        <w:rPr>
          <w:rFonts w:ascii="Calibri" w:eastAsia="SimSun" w:hAnsi="Calibri"/>
          <w:b w:val="false"/>
          <w:bCs w:val="false"/>
          <w:color w:val="1A1A1A"/>
          <w:sz w:val="21"/>
          <w:szCs w:val="21"/>
        </w:rPr>
        <w:t xml:space="preserve">The Constituency Engine is Layer 1 of the three-layer architecture (Section 2.2). MTQ Σ maintains an eligible universe and independently decides which currencies qualify for the active basket [MS §5]. Membership is an algorithmic property with hysteresis, so the system can admit a rising currency (for example, a future reserve-eligible issuer) or retire a deteriorating one without discretionary intervention and without thrashing at the boundary. The engine is evaluated on the strategic review cadence (quarterly by default; see Section 10.10) and on structural-change events.</w:t>
      </w:r>
    </w:p>
    <w:p>
      <w:pPr>
        <w:pStyle w:val="Heading2"/>
        <w:keepNext/>
        <w:spacing w:after="160" w:before="360" w:line="340" w:lineRule="atLeast"/>
      </w:pPr>
      <w:bookmarkStart w:id="100026" w:name="_Toc100026"/>
      <w:r>
        <w:rPr>
          <w:rFonts w:ascii="Calibri" w:eastAsia="Microsoft YaHei" w:hAnsi="Calibri"/>
          <w:b/>
          <w:bCs/>
          <w:color w:val="1A1A1A"/>
          <w:sz w:val="28"/>
          <w:szCs w:val="28"/>
        </w:rPr>
        <w:t xml:space="preserve">4.2 Eligibility Scoring Model</w:t>
      </w:r>
      <w:bookmarkEnd w:id="100026"/>
    </w:p>
    <w:p>
      <w:pPr>
        <w:spacing w:after="120" w:line="312"/>
        <w:jc w:val="both"/>
      </w:pPr>
      <w:r>
        <w:rPr>
          <w:rFonts w:ascii="Calibri" w:eastAsia="SimSun" w:hAnsi="Calibri"/>
          <w:b w:val="false"/>
          <w:bCs w:val="false"/>
          <w:color w:val="1A1A1A"/>
          <w:sz w:val="21"/>
          <w:szCs w:val="21"/>
        </w:rPr>
        <w:t xml:space="preserve">For every candidate currency i, the engine computes a composite eligibility score Q_i from six positive and two negative components [MS §5]:</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Q</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iCs/>
          <w:color w:val="1A1A1A"/>
          <w:sz w:val="22"/>
          <w:szCs w:val="22"/>
          <w:vertAlign w:val="subscript"/>
        </w:rPr>
        <w:t xml:space="preserve">R</w:t>
      </w:r>
      <w:r>
        <w:rPr>
          <w:rFonts w:ascii="Cambria" w:eastAsia="SimSun" w:hAnsi="Cambria"/>
          <w:i/>
          <w:iCs/>
          <w:color w:val="1A1A1A"/>
          <w:sz w:val="22"/>
          <w:szCs w:val="22"/>
        </w:rPr>
        <w:t xml:space="preserve"> R</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T</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iCs/>
          <w:color w:val="1A1A1A"/>
          <w:sz w:val="22"/>
          <w:szCs w:val="22"/>
          <w:vertAlign w:val="subscript"/>
        </w:rPr>
        <w:t xml:space="preserve">L</w:t>
      </w:r>
      <w:r>
        <w:rPr>
          <w:rFonts w:ascii="Cambria" w:eastAsia="SimSun" w:hAnsi="Cambria"/>
          <w:i/>
          <w:iCs/>
          <w:color w:val="1A1A1A"/>
          <w:sz w:val="22"/>
          <w:szCs w:val="22"/>
        </w:rPr>
        <w:t xml:space="preserve"> L</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iCs/>
          <w:color w:val="1A1A1A"/>
          <w:sz w:val="22"/>
          <w:szCs w:val="22"/>
          <w:vertAlign w:val="subscript"/>
        </w:rPr>
        <w:t xml:space="preserve">S</w:t>
      </w:r>
      <w:r>
        <w:rPr>
          <w:rFonts w:ascii="Cambria" w:eastAsia="SimSun" w:hAnsi="Cambria"/>
          <w:i/>
          <w:iCs/>
          <w:color w:val="1A1A1A"/>
          <w:sz w:val="22"/>
          <w:szCs w:val="22"/>
        </w:rPr>
        <w:t xml:space="preserve"> S</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iCs/>
          <w:color w:val="1A1A1A"/>
          <w:sz w:val="22"/>
          <w:szCs w:val="22"/>
          <w:vertAlign w:val="subscript"/>
        </w:rPr>
        <w:t xml:space="preserve">D</w:t>
      </w:r>
      <w:r>
        <w:rPr>
          <w:rFonts w:ascii="Cambria" w:eastAsia="SimSun" w:hAnsi="Cambria"/>
          <w:i/>
          <w:iCs/>
          <w:color w:val="1A1A1A"/>
          <w:sz w:val="22"/>
          <w:szCs w:val="22"/>
        </w:rPr>
        <w:t xml:space="preserve"> D</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iCs/>
          <w:color w:val="1A1A1A"/>
          <w:sz w:val="22"/>
          <w:szCs w:val="22"/>
          <w:vertAlign w:val="subscript"/>
        </w:rPr>
        <w:t xml:space="preserve">C</w:t>
      </w:r>
      <w:r>
        <w:rPr>
          <w:rFonts w:ascii="Cambria" w:eastAsia="SimSun" w:hAnsi="Cambria"/>
          <w:i/>
          <w:iCs/>
          <w:color w:val="1A1A1A"/>
          <w:sz w:val="22"/>
          <w:szCs w:val="22"/>
        </w:rPr>
        <w:t xml:space="preserve"> C</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 G</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iCs/>
          <w:color w:val="1A1A1A"/>
          <w:sz w:val="22"/>
          <w:szCs w:val="22"/>
          <w:vertAlign w:val="subscript"/>
        </w:rPr>
        <w:t xml:space="preserve">X</w:t>
      </w:r>
      <w:r>
        <w:rPr>
          <w:rFonts w:ascii="Cambria" w:eastAsia="SimSun" w:hAnsi="Cambria"/>
          <w:i/>
          <w:iCs/>
          <w:color w:val="1A1A1A"/>
          <w:sz w:val="22"/>
          <w:szCs w:val="22"/>
        </w:rPr>
        <w:t xml:space="preserve"> X</w:t>
      </w:r>
      <w:r>
        <w:rPr>
          <w:rFonts w:ascii="Cambria" w:eastAsia="SimSun" w:hAnsi="Cambria"/>
          <w:i/>
          <w:iCs/>
          <w:color w:val="1A1A1A"/>
          <w:sz w:val="22"/>
          <w:szCs w:val="22"/>
          <w:vertAlign w:val="subscript"/>
        </w:rPr>
        <w:t xml:space="preserve">i</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Component</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5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Measured Property</w:t>
            </w:r>
          </w:p>
        </w:tc>
      </w:tr>
      <w:tr>
        <w:trPr>
          <w:cantSplit/>
        </w:trPr>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relevance</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R_i</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Share and persistence of currency i in global official reserves (IMF COFER).</w:t>
            </w:r>
          </w:p>
        </w:tc>
      </w:tr>
      <w:tr>
        <w:trPr>
          <w:cantSplit/>
        </w:trPr>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Trade / payment relevance</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T_i</w:t>
            </w:r>
          </w:p>
        </w:tc>
        <w:tc>
          <w:tcPr>
            <w:tcW w:type="pct" w:w="5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International trade invoicing, payment usage and cross-border settlement volume.</w:t>
            </w:r>
          </w:p>
        </w:tc>
      </w:tr>
      <w:tr>
        <w:trPr>
          <w:cantSplit/>
        </w:trPr>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Market liquidity</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L_i</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FX turnover, market depth, bid-ask spread quality, settlement availability.</w:t>
            </w:r>
          </w:p>
        </w:tc>
      </w:tr>
      <w:tr>
        <w:trPr>
          <w:cantSplit/>
        </w:trPr>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Stability characteristics</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S_i</w:t>
            </w:r>
          </w:p>
        </w:tc>
        <w:tc>
          <w:tcPr>
            <w:tcW w:type="pct" w:w="5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Multi-horizon volatility and purchasing-power stability (Section 5.1).</w:t>
            </w:r>
          </w:p>
        </w:tc>
      </w:tr>
      <w:tr>
        <w:trPr>
          <w:cantSplit/>
        </w:trPr>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Diversification contribution</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D_i</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Marginal risk reduction contributed to the basket portfolio.</w:t>
            </w:r>
          </w:p>
        </w:tc>
      </w:tr>
      <w:tr>
        <w:trPr>
          <w:cantSplit/>
        </w:trPr>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Convertibility / depth</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C_i</w:t>
            </w:r>
          </w:p>
        </w:tc>
        <w:tc>
          <w:tcPr>
            <w:tcW w:type="pct" w:w="5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Convertibility, market depth and transferability of the currency.</w:t>
            </w:r>
          </w:p>
        </w:tc>
      </w:tr>
      <w:tr>
        <w:trPr>
          <w:cantSplit/>
        </w:trPr>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Geopolitical concentration risk</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G_i</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Concentration of issuing jurisdiction in sanctions, freeze or conflict exposure.</w:t>
            </w:r>
          </w:p>
        </w:tc>
      </w:tr>
      <w:tr>
        <w:trPr>
          <w:cantSplit/>
        </w:trPr>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Capital-control / transferability risk</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X_i</w:t>
            </w:r>
          </w:p>
        </w:tc>
        <w:tc>
          <w:tcPr>
            <w:tcW w:type="pct" w:w="5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of capital controls or transferability restrictions.</w:t>
            </w:r>
          </w:p>
        </w:tc>
      </w:tr>
    </w:tbl>
    <w:p>
      <w:pPr>
        <w:spacing w:after="120"/>
      </w:pPr>
    </w:p>
    <w:p>
      <w:pPr>
        <w:spacing w:after="120" w:line="312"/>
        <w:jc w:val="both"/>
      </w:pPr>
      <w:r>
        <w:rPr>
          <w:rFonts w:ascii="Calibri" w:eastAsia="SimSun" w:hAnsi="Calibri"/>
          <w:b w:val="false"/>
          <w:bCs w:val="false"/>
          <w:color w:val="1A1A1A"/>
          <w:sz w:val="21"/>
          <w:szCs w:val="21"/>
        </w:rPr>
        <w:t xml:space="preserve">A currency becomes eligible for the active basket only if:</w:t>
      </w:r>
    </w:p>
    <w:p>
      <w:pPr>
        <w:spacing w:after="120" w:before="120" w:line="312"/>
        <w:jc w:val="center"/>
      </w:pPr>
      <w:r>
        <w:rPr>
          <w:rFonts w:ascii="Cambria" w:eastAsia="SimSun" w:hAnsi="Cambria"/>
          <w:i/>
          <w:iCs/>
          <w:color w:val="1A1A1A"/>
          <w:sz w:val="22"/>
          <w:szCs w:val="22"/>
        </w:rPr>
        <w:t xml:space="preserve">Q</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Q</w:t>
      </w:r>
      <w:r>
        <w:rPr>
          <w:rFonts w:ascii="Cambria" w:eastAsia="SimSun" w:hAnsi="Cambria"/>
          <w:i/>
          <w:iCs/>
          <w:color w:val="1A1A1A"/>
          <w:sz w:val="22"/>
          <w:szCs w:val="22"/>
          <w:vertAlign w:val="subscript"/>
        </w:rPr>
        <w:t xml:space="preserve">min</w:t>
      </w:r>
    </w:p>
    <w:p>
      <w:pPr>
        <w:pStyle w:val="Heading3"/>
        <w:keepNext/>
        <w:spacing w:after="120" w:before="300" w:line="312"/>
      </w:pPr>
      <w:bookmarkStart w:id="100027" w:name="_Toc100027"/>
      <w:r>
        <w:rPr>
          <w:rFonts w:ascii="Calibri" w:eastAsia="Microsoft YaHei" w:hAnsi="Calibri"/>
          <w:b/>
          <w:bCs/>
          <w:color w:val="333333"/>
          <w:sz w:val="24"/>
          <w:szCs w:val="24"/>
        </w:rPr>
        <w:t xml:space="preserve">4.2.1 Score Normalization</w:t>
      </w:r>
      <w:bookmarkEnd w:id="100027"/>
    </w:p>
    <w:p>
      <w:pPr>
        <w:spacing w:after="120" w:line="312"/>
        <w:jc w:val="both"/>
      </w:pPr>
      <w:r>
        <w:rPr>
          <w:rFonts w:ascii="Calibri" w:eastAsia="SimSun" w:hAnsi="Calibri"/>
          <w:b w:val="false"/>
          <w:bCs w:val="false"/>
          <w:color w:val="1A1A1A"/>
          <w:sz w:val="21"/>
          <w:szCs w:val="21"/>
        </w:rPr>
        <w:t xml:space="preserve">Because the raw components R_i … X_i are measured in different units on different scales (reserve shares in percent, turnover in trillions, volatility in annualized decimal), the composite Q_i must be normalized before threshold comparison; otherwise datasets with different units can silently distort the score [COO-1]. The default normalization is min–max across the candidate universe:</w:t>
      </w:r>
    </w:p>
    <w:p>
      <w:pPr>
        <w:spacing w:after="120" w:before="120" w:line="312"/>
        <w:jc w:val="center"/>
      </w:pPr>
      <w:r>
        <w:rPr>
          <w:rFonts w:ascii="Cambria" w:eastAsia="SimSun" w:hAnsi="Cambria"/>
          <w:i/>
          <w:iCs/>
          <w:color w:val="1A1A1A"/>
          <w:sz w:val="22"/>
          <w:szCs w:val="22"/>
        </w:rPr>
        <w:t xml:space="preserve">Q̃</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min</w:t>
      </w:r>
      <w:r>
        <w:rPr>
          <w:rFonts w:ascii="Cambria" w:eastAsia="SimSun" w:hAnsi="Cambria"/>
          <w:i/>
          <w:iCs/>
          <w:color w:val="1A1A1A"/>
          <w:sz w:val="22"/>
          <w:szCs w:val="22"/>
        </w:rPr>
        <w:t xml:space="preserve">)/(Q</w:t>
      </w:r>
      <w:r>
        <w:rPr>
          <w:rFonts w:ascii="Cambria" w:eastAsia="SimSun" w:hAnsi="Cambria"/>
          <w:i/>
          <w:iCs/>
          <w:color w:val="1A1A1A"/>
          <w:sz w:val="22"/>
          <w:szCs w:val="22"/>
          <w:vertAlign w:val="subscript"/>
        </w:rPr>
        <w:t xml:space="preserve">max</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min</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Q_{min} and Q_{max} are the minimum and maximum composite scores across the candidate universe in the current evaluation round. A percentile or rank transformation is an approved bounded alternative when the cross-sectional distribution is heavy-tailed or the universe is small enough that one outlier would dominate the min–max range — the same substitution rule used for the structural score of §4.5. Whichever transform is selected becomes part of the published methodology version, so eligibility decisions remain reproducible under §24.1.</w:t>
      </w:r>
    </w:p>
    <w:p>
      <w:pPr>
        <w:spacing w:after="120" w:line="312"/>
        <w:jc w:val="both"/>
      </w:pPr>
      <w:r>
        <w:rPr>
          <w:rFonts w:ascii="Calibri" w:eastAsia="SimSun" w:hAnsi="Calibri"/>
          <w:b w:val="false"/>
          <w:bCs w:val="false"/>
          <w:color w:val="1A1A1A"/>
          <w:sz w:val="21"/>
          <w:szCs w:val="21"/>
        </w:rPr>
        <w:t xml:space="preserve">The scoring coefficients a_k and the threshold Q_{min} are methodology parameters: they are fixed per published methodology version, and any change requires Risk Council approval with the parameter-registry process (Section 22.3). The coefficients themselves are subject to methodology validation (Section 23.6), and the entire scoring table is published with each weight publication (Section 24.3) so that eligibility decisions are reproducible.</w:t>
      </w:r>
    </w:p>
    <w:p>
      <w:pPr>
        <w:pStyle w:val="Heading2"/>
        <w:keepNext/>
        <w:spacing w:after="160" w:before="360" w:line="340" w:lineRule="atLeast"/>
      </w:pPr>
      <w:bookmarkStart w:id="100028" w:name="_Toc100028"/>
      <w:r>
        <w:rPr>
          <w:rFonts w:ascii="Calibri" w:eastAsia="Microsoft YaHei" w:hAnsi="Calibri"/>
          <w:b/>
          <w:bCs/>
          <w:color w:val="1A1A1A"/>
          <w:sz w:val="28"/>
          <w:szCs w:val="28"/>
        </w:rPr>
        <w:t xml:space="preserve">4.3 Institutional Data Sources</w:t>
      </w:r>
      <w:bookmarkEnd w:id="100028"/>
    </w:p>
    <w:p>
      <w:pPr>
        <w:spacing w:after="120" w:line="312"/>
        <w:jc w:val="both"/>
      </w:pPr>
      <w:r>
        <w:rPr>
          <w:rFonts w:ascii="Calibri" w:eastAsia="SimSun" w:hAnsi="Calibri"/>
          <w:b w:val="false"/>
          <w:bCs w:val="false"/>
          <w:color w:val="1A1A1A"/>
          <w:sz w:val="21"/>
          <w:szCs w:val="21"/>
        </w:rPr>
        <w:t xml:space="preserve">The structural engine uses multiple independent measurements rather than a single source, and treats all published figures as inputs, never as weights [MS §6].</w:t>
      </w:r>
    </w:p>
    <w:p>
      <w:pPr>
        <w:pStyle w:val="Heading3"/>
        <w:keepNext/>
        <w:spacing w:after="120" w:before="300" w:line="312"/>
      </w:pPr>
      <w:bookmarkStart w:id="100029" w:name="_Toc100029"/>
      <w:r>
        <w:rPr>
          <w:rFonts w:ascii="Calibri" w:eastAsia="Microsoft YaHei" w:hAnsi="Calibri"/>
          <w:b/>
          <w:bCs/>
          <w:color w:val="333333"/>
          <w:sz w:val="24"/>
          <w:szCs w:val="24"/>
        </w:rPr>
        <w:t xml:space="preserve">4.3.1 Reserve Relevance — IMF COFER</w:t>
      </w:r>
      <w:bookmarkEnd w:id="100029"/>
    </w:p>
    <w:p>
      <w:pPr>
        <w:spacing w:after="120" w:line="312"/>
        <w:jc w:val="both"/>
      </w:pPr>
      <w:r>
        <w:rPr>
          <w:rFonts w:ascii="Calibri" w:eastAsia="SimSun" w:hAnsi="Calibri"/>
          <w:b w:val="false"/>
          <w:bCs w:val="false"/>
          <w:color w:val="1A1A1A"/>
          <w:sz w:val="21"/>
          <w:szCs w:val="21"/>
        </w:rPr>
        <w:t xml:space="preserve">The Currency Composition of Official Foreign Exchange Reserves (COFER) dataset, published by the IMF, is the primary reserve-relevance input. COFER currently identifies USD, EUR, CNY, JPY, GBP, AUD, CAD and CHF as reported reserve currencies, while explicitly excluding monetary gold from the foreign-exchange-reserve classification. Two implications follow: gold's reserve role is measured by supplementary sources (central-bank gold statistics) rather than COFER, and any currency absent from COFER carries a structurally reduced R_i until reporting begins. COFER is updated quarterly, which sets the natural cadence for reserve-relevance refreshes.</w:t>
      </w:r>
    </w:p>
    <w:p>
      <w:pPr>
        <w:pStyle w:val="Heading3"/>
        <w:keepNext/>
        <w:spacing w:after="120" w:before="300" w:line="312"/>
      </w:pPr>
      <w:bookmarkStart w:id="100030" w:name="_Toc100030"/>
      <w:r>
        <w:rPr>
          <w:rFonts w:ascii="Calibri" w:eastAsia="Microsoft YaHei" w:hAnsi="Calibri"/>
          <w:b/>
          <w:bCs/>
          <w:color w:val="333333"/>
          <w:sz w:val="24"/>
          <w:szCs w:val="24"/>
        </w:rPr>
        <w:t xml:space="preserve">4.3.2 FX Liquidity and Market Relevance — BIS Triennial Survey</w:t>
      </w:r>
      <w:bookmarkEnd w:id="100030"/>
    </w:p>
    <w:p>
      <w:pPr>
        <w:spacing w:after="120" w:line="312"/>
        <w:jc w:val="both"/>
      </w:pPr>
      <w:r>
        <w:rPr>
          <w:rFonts w:ascii="Calibri" w:eastAsia="SimSun" w:hAnsi="Calibri"/>
          <w:b w:val="false"/>
          <w:bCs w:val="false"/>
          <w:color w:val="1A1A1A"/>
          <w:sz w:val="21"/>
          <w:szCs w:val="21"/>
        </w:rPr>
        <w:t xml:space="preserve">The BIS Triennial Central Bank Survey provides the turnover shares used for the liquidity and trade components. The 2025 survey reports USD at 89.2% of one side of FX transactions, EUR 28.9%, JPY 16.8%, GBP 10.2%, CNY 8.5% and CHF 6.4%; CHF became the sixth-most-traded currency while sterling's share declined. These figures are inputs to L_i and T_i — they are not weights. Because the survey is triennial, interim estimates are interpolated from higher-frequency turnover oracles where available, and methodology versions record which interpolation was used.</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Data-source governance: eligible data providers are approved by governance (Section 22.4). If an institutional source changes its methodology (for example, a COFER reporting change), the change is handled as a structural input revision with a new data version (Section 24.2) — never as a silent recalibration.</w:t>
      </w:r>
    </w:p>
    <w:p>
      <w:pPr>
        <w:pStyle w:val="Heading2"/>
        <w:keepNext/>
        <w:spacing w:after="160" w:before="360" w:line="340" w:lineRule="atLeast"/>
      </w:pPr>
      <w:bookmarkStart w:id="100031" w:name="_Toc100031"/>
      <w:r>
        <w:rPr>
          <w:rFonts w:ascii="Calibri" w:eastAsia="Microsoft YaHei" w:hAnsi="Calibri"/>
          <w:b/>
          <w:bCs/>
          <w:color w:val="1A1A1A"/>
          <w:sz w:val="28"/>
          <w:szCs w:val="28"/>
        </w:rPr>
        <w:t xml:space="preserve">4.4 Initial Universe and Currency Decisions</w:t>
      </w:r>
      <w:bookmarkEnd w:id="100031"/>
    </w:p>
    <w:p>
      <w:pPr>
        <w:spacing w:after="120" w:line="312"/>
        <w:jc w:val="both"/>
      </w:pPr>
      <w:r>
        <w:rPr>
          <w:rFonts w:ascii="Calibri" w:eastAsia="SimSun" w:hAnsi="Calibri"/>
          <w:b w:val="false"/>
          <w:bCs w:val="false"/>
          <w:color w:val="1A1A1A"/>
          <w:sz w:val="21"/>
          <w:szCs w:val="21"/>
        </w:rPr>
        <w:t xml:space="preserve">The initial serious universe is USD, EUR, JPY, CNY, GBP, CHF, with CAD, AUD, SGD and other liquid currencies as monitored candidates [MS §7]. Two explicit non-decisions are constitutional: GBP is not automatically removed, and CHF is not automatically guaranteed admission. The mathematical process must be able to produce any of the following outcomes, and the architecture must not pre-bias any of them: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Case</w:t>
            </w:r>
          </w:p>
        </w:tc>
        <w:tc>
          <w:tcPr>
            <w:tcW w:type="pct" w:w="4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Outcome</w:t>
            </w:r>
          </w:p>
        </w:tc>
        <w:tc>
          <w:tcPr>
            <w:tcW w:type="pct" w:w="5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w:t>
            </w:r>
          </w:p>
        </w:tc>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Q_{GBP} &gt; Q_{CHF}</w:t>
            </w:r>
          </w:p>
        </w:tc>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Sterling outranks the franc on the composite score.</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w:t>
            </w:r>
          </w:p>
        </w:tc>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Q_{CHF} &gt; Q_{GBP}</w:t>
            </w:r>
          </w:p>
        </w:tc>
        <w:tc>
          <w:tcPr>
            <w:tcW w:type="pct" w:w="5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franc outranks sterling on the composite score.</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w:t>
            </w:r>
          </w:p>
        </w:tc>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Both GBP and CHF exceed Q_{min}</w:t>
            </w:r>
          </w:p>
        </w:tc>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Both currencies earn inclusion.</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w:t>
            </w:r>
          </w:p>
        </w:tc>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monitored candidate (CAD/AUD/SGD/…) exceeds Q_{min}</w:t>
            </w:r>
          </w:p>
        </w:tc>
        <w:tc>
          <w:tcPr>
            <w:tcW w:type="pct" w:w="5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new currency qualifies for admission via the transition rules of Section 4.6.</w:t>
            </w:r>
          </w:p>
        </w:tc>
      </w:tr>
    </w:tbl>
    <w:p>
      <w:pPr>
        <w:spacing w:after="120"/>
      </w:pPr>
    </w:p>
    <w:p>
      <w:pPr>
        <w:spacing w:after="120" w:line="312"/>
        <w:jc w:val="both"/>
      </w:pPr>
      <w:r>
        <w:rPr>
          <w:rFonts w:ascii="Calibri" w:eastAsia="SimSun" w:hAnsi="Calibri"/>
          <w:b w:val="false"/>
          <w:bCs w:val="false"/>
          <w:color w:val="1A1A1A"/>
          <w:sz w:val="21"/>
          <w:szCs w:val="21"/>
        </w:rPr>
        <w:t xml:space="preserve">The same neutrality applies to the incumbent six: eligibility is re-tested on every review, and a currency whose Q_i falls below the exit threshold enters the retirement path (Section 4.6) with the same gradual transitions and the same anti-oscillation hysteresis as any other component.</w:t>
      </w:r>
    </w:p>
    <w:p>
      <w:pPr>
        <w:pStyle w:val="Heading2"/>
        <w:keepNext/>
        <w:spacing w:after="160" w:before="360" w:line="340" w:lineRule="atLeast"/>
      </w:pPr>
      <w:bookmarkStart w:id="100032" w:name="_Toc100032"/>
      <w:r>
        <w:rPr>
          <w:rFonts w:ascii="Calibri" w:eastAsia="Microsoft YaHei" w:hAnsi="Calibri"/>
          <w:b/>
          <w:bCs/>
          <w:color w:val="1A1A1A"/>
          <w:sz w:val="28"/>
          <w:szCs w:val="28"/>
        </w:rPr>
        <w:t xml:space="preserve">4.5 Structural Score Construction</w:t>
      </w:r>
      <w:bookmarkEnd w:id="100032"/>
    </w:p>
    <w:p>
      <w:pPr>
        <w:spacing w:after="120" w:line="312"/>
        <w:jc w:val="both"/>
      </w:pPr>
      <w:r>
        <w:rPr>
          <w:rFonts w:ascii="Calibri" w:eastAsia="SimSun" w:hAnsi="Calibri"/>
          <w:b w:val="false"/>
          <w:bCs w:val="false"/>
          <w:color w:val="1A1A1A"/>
          <w:sz w:val="21"/>
          <w:szCs w:val="21"/>
        </w:rPr>
        <w:t xml:space="preserve">Every input is normalized before aggregation [MS §8]. The default transform is the z-score:</w:t>
      </w:r>
    </w:p>
    <w:p>
      <w:pPr>
        <w:spacing w:after="120" w:before="120" w:line="312"/>
        <w:jc w:val="center"/>
      </w:pPr>
      <w:r>
        <w:rPr>
          <w:rFonts w:ascii="Cambria" w:eastAsia="SimSun" w:hAnsi="Cambria"/>
          <w:i/>
          <w:iCs/>
          <w:color w:val="1A1A1A"/>
          <w:sz w:val="22"/>
          <w:szCs w:val="22"/>
        </w:rPr>
        <w:t xml:space="preserve">z</w:t>
      </w:r>
      <w:r>
        <w:rPr>
          <w:rFonts w:ascii="Cambria" w:eastAsia="SimSun" w:hAnsi="Cambria"/>
          <w:i/>
          <w:iCs/>
          <w:color w:val="1A1A1A"/>
          <w:sz w:val="22"/>
          <w:szCs w:val="22"/>
          <w:vertAlign w:val="subscript"/>
        </w:rPr>
        <w:t xml:space="preserve">i,k</w:t>
      </w:r>
      <w:r>
        <w:rPr>
          <w:rFonts w:ascii="Cambria" w:eastAsia="SimSun" w:hAnsi="Cambria"/>
          <w:i/>
          <w:iCs/>
          <w:color w:val="1A1A1A"/>
          <w:sz w:val="22"/>
          <w:szCs w:val="22"/>
        </w:rPr>
        <w:t xml:space="preserve"> = (x</w:t>
      </w:r>
      <w:r>
        <w:rPr>
          <w:rFonts w:ascii="Cambria" w:eastAsia="SimSun" w:hAnsi="Cambria"/>
          <w:i/>
          <w:iCs/>
          <w:color w:val="1A1A1A"/>
          <w:sz w:val="22"/>
          <w:szCs w:val="22"/>
          <w:vertAlign w:val="subscript"/>
        </w:rPr>
        <w:t xml:space="preserve">i,k</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μ</w:t>
      </w:r>
      <w:r>
        <w:rPr>
          <w:rFonts w:ascii="Cambria" w:eastAsia="SimSun" w:hAnsi="Cambria"/>
          <w:i/>
          <w:iCs/>
          <w:color w:val="1A1A1A"/>
          <w:sz w:val="22"/>
          <w:szCs w:val="22"/>
          <w:vertAlign w:val="subscript"/>
        </w:rPr>
        <w:t xml:space="preserve">k</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k</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x_{i,k} is the raw value of input k for currency i, and μ_k, σ_k are the cross-sectional mean and standard deviation of that input across the candidate universe. A bounded percentile or rank transform is substituted when distributional stability is preferred — for example, when an input is heavy-tailed or when the universe is small enough that a single outlier would dominate the z-score. The composite structural score is then:</w:t>
      </w:r>
    </w:p>
    <w:p>
      <w:pPr>
        <w:spacing w:after="120" w:before="120" w:line="312"/>
        <w:jc w:val="center"/>
      </w:pPr>
      <w:r>
        <w:rPr>
          <w:rFonts w:ascii="Cambria" w:eastAsia="SimSun" w:hAnsi="Cambria"/>
          <w:i/>
          <w:iCs/>
          <w:color w:val="1A1A1A"/>
          <w:sz w:val="22"/>
          <w:szCs w:val="22"/>
        </w:rPr>
        <w:t xml:space="preserve">S</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vertAlign w:val="superscript"/>
        </w:rPr>
        <w:t xml:space="preserve">Structural</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k</w:t>
      </w:r>
      <w:r>
        <w:rPr>
          <w:rFonts w:ascii="Cambria" w:eastAsia="SimSun" w:hAnsi="Cambria"/>
          <w:i/>
          <w:iCs/>
          <w:color w:val="1A1A1A"/>
          <w:sz w:val="22"/>
          <w:szCs w:val="22"/>
        </w:rPr>
        <w:t xml:space="preserve"> a</w:t>
      </w:r>
      <w:r>
        <w:rPr>
          <w:rFonts w:ascii="Cambria" w:eastAsia="SimSun" w:hAnsi="Cambria"/>
          <w:i/>
          <w:iCs/>
          <w:color w:val="1A1A1A"/>
          <w:sz w:val="22"/>
          <w:szCs w:val="22"/>
          <w:vertAlign w:val="subscript"/>
        </w:rPr>
        <w:t xml:space="preserve">k</w:t>
      </w:r>
      <w:r>
        <w:rPr>
          <w:rFonts w:ascii="Cambria" w:eastAsia="SimSun" w:hAnsi="Cambria"/>
          <w:i/>
          <w:iCs/>
          <w:color w:val="1A1A1A"/>
          <w:sz w:val="22"/>
          <w:szCs w:val="22"/>
        </w:rPr>
        <w:t xml:space="preserve"> z</w:t>
      </w:r>
      <w:r>
        <w:rPr>
          <w:rFonts w:ascii="Cambria" w:eastAsia="SimSun" w:hAnsi="Cambria"/>
          <w:i/>
          <w:iCs/>
          <w:color w:val="1A1A1A"/>
          <w:sz w:val="22"/>
          <w:szCs w:val="22"/>
          <w:vertAlign w:val="subscript"/>
        </w:rPr>
        <w:t xml:space="preserve">i,k</w:t>
      </w:r>
    </w:p>
    <w:p>
      <w:pPr>
        <w:spacing w:after="120" w:line="312"/>
        <w:jc w:val="both"/>
      </w:pPr>
      <w:r>
        <w:rPr>
          <w:rFonts w:ascii="Calibri" w:eastAsia="SimSun" w:hAnsi="Calibri"/>
          <w:b w:val="false"/>
          <w:bCs w:val="false"/>
          <w:color w:val="1A1A1A"/>
          <w:sz w:val="21"/>
          <w:szCs w:val="21"/>
        </w:rPr>
        <w:t xml:space="preserve">The aggregation weights a_k are themselves subject to methodology validation: the sensitivity of the final basket to each a_k is tested by parameter perturbation (Section 23.6), and unstable coefficients are re-derived or the input is re-transformed. This closes the loop: the constituency engine is as auditable as the weighting engine, because every intermediate score is published with the weights.</w:t>
      </w:r>
    </w:p>
    <w:p>
      <w:pPr>
        <w:pStyle w:val="Heading2"/>
        <w:keepNext/>
        <w:spacing w:after="160" w:before="360" w:line="340" w:lineRule="atLeast"/>
      </w:pPr>
      <w:bookmarkStart w:id="100033" w:name="_Toc100033"/>
      <w:r>
        <w:rPr>
          <w:rFonts w:ascii="Calibri" w:eastAsia="Microsoft YaHei" w:hAnsi="Calibri"/>
          <w:b/>
          <w:bCs/>
          <w:color w:val="1A1A1A"/>
          <w:sz w:val="28"/>
          <w:szCs w:val="28"/>
        </w:rPr>
        <w:t xml:space="preserve">4.6 Constituency Transitions</w:t>
      </w:r>
      <w:bookmarkEnd w:id="100033"/>
    </w:p>
    <w:p>
      <w:pPr>
        <w:spacing w:after="120" w:line="312"/>
        <w:jc w:val="both"/>
      </w:pPr>
      <w:r>
        <w:rPr>
          <w:rFonts w:ascii="Calibri" w:eastAsia="SimSun" w:hAnsi="Calibri"/>
          <w:b w:val="false"/>
          <w:bCs w:val="false"/>
          <w:color w:val="1A1A1A"/>
          <w:sz w:val="21"/>
          <w:szCs w:val="21"/>
        </w:rPr>
        <w:t xml:space="preserve">A currency is never added or removed instantaneously [MS §44]. For an entering currency j, the weight ramps according to:</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j,t</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j,target</w:t>
      </w:r>
    </w:p>
    <w:p>
      <w:pPr>
        <w:spacing w:after="120" w:line="312"/>
        <w:jc w:val="both"/>
      </w:pPr>
      <w:r>
        <w:rPr>
          <w:rFonts w:ascii="Calibri" w:eastAsia="SimSun" w:hAnsi="Calibri"/>
          <w:b w:val="false"/>
          <w:bCs w:val="false"/>
          <w:color w:val="1A1A1A"/>
          <w:sz w:val="21"/>
          <w:szCs w:val="21"/>
        </w:rPr>
        <w:t xml:space="preserve">where r_t increases gradually over a transition window. A linear ramp r_t = t/T is the default; the window length T is adjusted for the entering component's liquidity and prevailing market conditions, replacing the old fixed 30-day rule. The window may not be shortened below a constitutional minimum, and the ramp feeds through the same MARP execution gates as any other weight change — a transition is a sequence of justified partial corrections, not a block trade.</w:t>
      </w:r>
    </w:p>
    <w:p>
      <w:pPr>
        <w:pStyle w:val="Heading2"/>
        <w:keepNext/>
        <w:spacing w:after="160" w:before="360" w:line="340" w:lineRule="atLeast"/>
      </w:pPr>
      <w:bookmarkStart w:id="100034" w:name="_Toc100034"/>
      <w:r>
        <w:rPr>
          <w:rFonts w:ascii="Calibri" w:eastAsia="Microsoft YaHei" w:hAnsi="Calibri"/>
          <w:b/>
          <w:bCs/>
          <w:color w:val="1A1A1A"/>
          <w:sz w:val="28"/>
          <w:szCs w:val="28"/>
        </w:rPr>
        <w:t xml:space="preserve">4.7 Hysteresis (Anti-Oscillation)</w:t>
      </w:r>
      <w:bookmarkEnd w:id="100034"/>
    </w:p>
    <w:p>
      <w:pPr>
        <w:spacing w:after="120" w:line="312"/>
        <w:jc w:val="both"/>
      </w:pPr>
      <w:r>
        <w:rPr>
          <w:rFonts w:ascii="Calibri" w:eastAsia="SimSun" w:hAnsi="Calibri"/>
          <w:b w:val="false"/>
          <w:bCs w:val="false"/>
          <w:color w:val="1A1A1A"/>
          <w:sz w:val="21"/>
          <w:szCs w:val="21"/>
        </w:rPr>
        <w:t xml:space="preserve">To prevent repeated entry/exit oscillation, eligibility uses two thresholds with a dead band [MS §45]:</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Q</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&gt; Q</w:t>
      </w:r>
      <w:r>
        <w:rPr>
          <w:rFonts w:ascii="Cambria" w:eastAsia="SimSun" w:hAnsi="Cambria"/>
          <w:i/>
          <w:iCs/>
          <w:color w:val="1A1A1A"/>
          <w:sz w:val="22"/>
          <w:szCs w:val="22"/>
          <w:vertAlign w:val="subscript"/>
        </w:rPr>
        <w:t xml:space="preserve">entry</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(entry)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Q</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&lt; Q</w:t>
      </w:r>
      <w:r>
        <w:rPr>
          <w:rFonts w:ascii="Cambria" w:eastAsia="SimSun" w:hAnsi="Cambria"/>
          <w:i/>
          <w:iCs/>
          <w:color w:val="1A1A1A"/>
          <w:sz w:val="22"/>
          <w:szCs w:val="22"/>
          <w:vertAlign w:val="subscript"/>
        </w:rPr>
        <w:t xml:space="preserve">exit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(exit)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Q</w:t>
      </w:r>
      <w:r>
        <w:rPr>
          <w:rFonts w:ascii="Cambria" w:eastAsia="SimSun" w:hAnsi="Cambria"/>
          <w:i/>
          <w:iCs/>
          <w:color w:val="1A1A1A"/>
          <w:sz w:val="22"/>
          <w:szCs w:val="22"/>
          <w:vertAlign w:val="subscript"/>
        </w:rPr>
        <w:t xml:space="preserve">entry</w:t>
      </w:r>
      <w:r>
        <w:rPr>
          <w:rFonts w:ascii="Cambria" w:eastAsia="SimSun" w:hAnsi="Cambria"/>
          <w:i/>
          <w:iCs/>
          <w:color w:val="1A1A1A"/>
          <w:sz w:val="22"/>
          <w:szCs w:val="22"/>
        </w:rPr>
        <w:t xml:space="preserve"> &gt; Q</w:t>
      </w:r>
      <w:r>
        <w:rPr>
          <w:rFonts w:ascii="Cambria" w:eastAsia="SimSun" w:hAnsi="Cambria"/>
          <w:i/>
          <w:iCs/>
          <w:color w:val="1A1A1A"/>
          <w:sz w:val="22"/>
          <w:szCs w:val="22"/>
          <w:vertAlign w:val="subscript"/>
        </w:rPr>
        <w:t xml:space="preserve">exit</w:t>
      </w:r>
    </w:p>
    <w:p>
      <w:pPr>
        <w:spacing w:after="120" w:line="312"/>
        <w:jc w:val="both"/>
      </w:pPr>
      <w:r>
        <w:rPr>
          <w:rFonts w:ascii="Calibri" w:eastAsia="SimSun" w:hAnsi="Calibri"/>
          <w:b w:val="false"/>
          <w:bCs w:val="false"/>
          <w:color w:val="1A1A1A"/>
          <w:sz w:val="21"/>
          <w:szCs w:val="21"/>
        </w:rPr>
        <w:t xml:space="preserve">A currency that has just entered must see its score fall below the lower exit threshold before retirement can begin; a currency that has exited must exceed the higher entry threshold before re-admission. The dead band width is a Risk-Council parameter bounded by a constitutional minimum, and both thresholds are published. Hysteresis composes with the rebalancing direction lock (Section 11.5) and the smoothing rule (Section 8.4) to give the basket three independent anti-oscillation defenses, each operating at a different timescale.</w:t>
      </w:r>
    </w:p>
    <w:p>
      <w:pPr>
        <w:pStyle w:val="Heading2"/>
        <w:keepNext/>
        <w:spacing w:after="160" w:before="360" w:line="340" w:lineRule="atLeast"/>
      </w:pPr>
      <w:bookmarkStart w:id="100035" w:name="_Toc100035"/>
      <w:r>
        <w:rPr>
          <w:rFonts w:ascii="Calibri" w:eastAsia="Microsoft YaHei" w:hAnsi="Calibri"/>
          <w:b/>
          <w:bCs/>
          <w:color w:val="1A1A1A"/>
          <w:sz w:val="28"/>
          <w:szCs w:val="28"/>
        </w:rPr>
        <w:t xml:space="preserve">4.8 SGTX-G Is Not Inherited Automatically</w:t>
      </w:r>
      <w:bookmarkEnd w:id="100035"/>
    </w:p>
    <w:p>
      <w:pPr>
        <w:spacing w:after="120" w:line="312"/>
        <w:jc w:val="both"/>
      </w:pPr>
      <w:r>
        <w:rPr>
          <w:rFonts w:ascii="Calibri" w:eastAsia="SimSun" w:hAnsi="Calibri"/>
          <w:b w:val="false"/>
          <w:bCs w:val="false"/>
          <w:color w:val="1A1A1A"/>
          <w:sz w:val="21"/>
          <w:szCs w:val="21"/>
        </w:rPr>
        <w:t xml:space="preserve">Because the project is MTQ Σ, any physical-gold token must be designed under MTQ Σ's own legal and monetary architecture [MS §57]. The earlier SGTX-G concept — defined in prior design material as a 1-gram physical-gold representation — can be used as historical design input, but MTQ Σ is not tied to that token design. Concretely: gold exposure in the reference basket is to the gold price reference unit (Section 17.4), not to any specific token; reserve implementation of gold chooses among eligible instruments (PAXG, XAUT, physical bullion, or a future MTQ-native instrument) under the eligibility framework of Chapter 15. This decoupling is what allows the canonical gold price to be source-independent (Chapter 17).</w:t>
      </w:r>
    </w:p>
    <w:p>
      <w:pPr>
        <w:pStyle w:val="Heading1"/>
        <w:keepNext/>
        <w:pBdr>
          <w:bottom w:val="single" w:color="C9A84C" w:sz="12" w:space="6"/>
        </w:pBdr>
        <w:spacing w:after="220" w:before="480" w:line="380" w:lineRule="atLeast"/>
      </w:pPr>
      <w:bookmarkStart w:id="100036" w:name="_Toc100036"/>
      <w:r>
        <w:rPr>
          <w:rFonts w:ascii="Calibri" w:eastAsia="Microsoft YaHei" w:hAnsi="Calibri"/>
          <w:b/>
          <w:bCs/>
          <w:color w:val="1A1A1A"/>
          <w:sz w:val="32"/>
          <w:szCs w:val="32"/>
        </w:rPr>
        <w:t xml:space="preserve">5. MASE Input Signals and Regime Detection</w:t>
      </w:r>
      <w:bookmarkEnd w:id="100036"/>
    </w:p>
    <w:p>
      <w:pPr>
        <w:pStyle w:val="Heading2"/>
        <w:keepNext/>
        <w:spacing w:after="160" w:before="360" w:line="340" w:lineRule="atLeast"/>
      </w:pPr>
      <w:bookmarkStart w:id="100037" w:name="_Toc100037"/>
      <w:r>
        <w:rPr>
          <w:rFonts w:ascii="Calibri" w:eastAsia="Microsoft YaHei" w:hAnsi="Calibri"/>
          <w:b/>
          <w:bCs/>
          <w:color w:val="1A1A1A"/>
          <w:sz w:val="28"/>
          <w:szCs w:val="28"/>
        </w:rPr>
        <w:t xml:space="preserve">5.1 Multi-Horizon Volatility</w:t>
      </w:r>
      <w:bookmarkEnd w:id="100037"/>
    </w:p>
    <w:p>
      <w:pPr>
        <w:spacing w:after="120" w:line="312"/>
        <w:jc w:val="both"/>
      </w:pPr>
      <w:r>
        <w:rPr>
          <w:rFonts w:ascii="Calibri" w:eastAsia="SimSun" w:hAnsi="Calibri"/>
          <w:b w:val="false"/>
          <w:bCs w:val="false"/>
          <w:color w:val="1A1A1A"/>
          <w:sz w:val="21"/>
          <w:szCs w:val="21"/>
        </w:rPr>
        <w:t xml:space="preserve">Stability is measured over multiple horizons so that the engine is neither whipsawed by short bursts nor blind to slow regime shifts [MS §12, COO-4]. For each component i (currencies and gold), the engine computes a blended multi-horizon volatility:</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vertAlign w:val="superscript"/>
        </w:rPr>
        <w:t xml:space="preserve">MH</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ω</w:t>
      </w:r>
      <w:r>
        <w:rPr>
          <w:rFonts w:ascii="Cambria" w:eastAsia="SimSun" w:hAnsi="Cambria"/>
          <w:i/>
          <w:iCs/>
          <w:color w:val="1A1A1A"/>
          <w:sz w:val="22"/>
          <w:szCs w:val="22"/>
          <w:vertAlign w:val="subscript"/>
        </w:rPr>
        <w:t xml:space="preserve">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i,h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h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30d,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90d,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252d,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756d</w:t>
      </w:r>
      <w:r>
        <w:rPr>
          <w:rFonts w:ascii="Cambria" w:eastAsia="SimSun" w:hAnsi="Cambria"/>
          <w:i w:val="false"/>
          <w:iCs w:val="false"/>
          <w:color w:val="1A1A1A"/>
          <w:sz w:val="22"/>
          <w:szCs w:val="22"/>
        </w:rPr>
        <w:t xml:space="preserve">}</w:t>
      </w:r>
    </w:p>
    <w:p>
      <w:pPr>
        <w:spacing w:after="120" w:before="120" w:line="312"/>
        <w:jc w:val="center"/>
      </w:pP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ω</w:t>
      </w:r>
      <w:r>
        <w:rPr>
          <w:rFonts w:ascii="Cambria" w:eastAsia="SimSun" w:hAnsi="Cambria"/>
          <w:i/>
          <w:iCs/>
          <w:color w:val="1A1A1A"/>
          <w:sz w:val="22"/>
          <w:szCs w:val="22"/>
          <w:vertAlign w:val="subscript"/>
        </w:rPr>
        <w:t xml:space="preserve">h</w:t>
      </w:r>
      <w:r>
        <w:rPr>
          <w:rFonts w:ascii="Cambria" w:eastAsia="SimSun" w:hAnsi="Cambria"/>
          <w:i/>
          <w:iCs/>
          <w:color w:val="1A1A1A"/>
          <w:sz w:val="22"/>
          <w:szCs w:val="22"/>
        </w:rPr>
        <w:t xml:space="preserve"> = 1</w:t>
      </w:r>
    </w:p>
    <w:p>
      <w:pPr>
        <w:spacing w:after="120" w:line="312"/>
        <w:jc w:val="both"/>
      </w:pPr>
      <w:r>
        <w:rPr>
          <w:rFonts w:ascii="Calibri" w:eastAsia="SimSun" w:hAnsi="Calibri"/>
          <w:b w:val="false"/>
          <w:bCs w:val="false"/>
          <w:color w:val="1A1A1A"/>
          <w:sz w:val="21"/>
          <w:szCs w:val="21"/>
        </w:rPr>
        <w:t xml:space="preserve">where σ_{i,h} is the annualized volatility of component i estimated over trailing window h ∈ {30, 90, 252, 756} days, and the horizon weights ω_h sum to one by construction. The exact horizon coefficients are validation parameters: they are candidates in the perturbation study (Section 23.6), and the selected vector is published with the methodology version. In production the windows are computed from the same validated price series that feed the oracle layer, and the estimates enter the minimum-variance and risk-parity candidate models (Chapter 6). The multi-horizon blend is what makes every downstream risk figure regime-aware rather than single-window myopic.</w:t>
      </w:r>
    </w:p>
    <w:p>
      <w:pPr>
        <w:pStyle w:val="Heading2"/>
        <w:keepNext/>
        <w:spacing w:after="160" w:before="360" w:line="340" w:lineRule="atLeast"/>
      </w:pPr>
      <w:bookmarkStart w:id="100038" w:name="_Toc100038"/>
      <w:r>
        <w:rPr>
          <w:rFonts w:ascii="Calibri" w:eastAsia="Microsoft YaHei" w:hAnsi="Calibri"/>
          <w:b/>
          <w:bCs/>
          <w:color w:val="1A1A1A"/>
          <w:sz w:val="28"/>
          <w:szCs w:val="28"/>
        </w:rPr>
        <w:t xml:space="preserve">5.2 Gold-Relative Purchasing-Power Signal</w:t>
      </w:r>
      <w:bookmarkEnd w:id="100038"/>
    </w:p>
    <w:p>
      <w:pPr>
        <w:spacing w:after="120" w:line="312"/>
        <w:jc w:val="both"/>
      </w:pPr>
      <w:r>
        <w:rPr>
          <w:rFonts w:ascii="Calibri" w:eastAsia="SimSun" w:hAnsi="Calibri"/>
          <w:b w:val="false"/>
          <w:bCs w:val="false"/>
          <w:color w:val="1A1A1A"/>
          <w:sz w:val="21"/>
          <w:szCs w:val="21"/>
        </w:rPr>
        <w:t xml:space="preserve">For each currency i, define the gold price of the currency [MS §13]:</w:t>
      </w:r>
    </w:p>
    <w:p>
      <w:pPr>
        <w:spacing w:after="120" w:before="120" w:line="312"/>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price of one unit of gold expressed in currency </w:t>
      </w:r>
      <w:r>
        <w:rPr>
          <w:rFonts w:ascii="Cambria" w:eastAsia="SimSun" w:hAnsi="Cambria"/>
          <w:i/>
          <w:iCs/>
          <w:color w:val="1A1A1A"/>
          <w:sz w:val="22"/>
          <w:szCs w:val="22"/>
        </w:rPr>
        <w:t xml:space="preserve"> i</w:t>
      </w:r>
    </w:p>
    <w:p>
      <w:pPr>
        <w:spacing w:after="120" w:line="312"/>
        <w:jc w:val="both"/>
      </w:pPr>
      <w:r>
        <w:rPr>
          <w:rFonts w:ascii="Calibri" w:eastAsia="SimSun" w:hAnsi="Calibri"/>
          <w:b w:val="false"/>
          <w:bCs w:val="false"/>
          <w:color w:val="1A1A1A"/>
          <w:sz w:val="21"/>
          <w:szCs w:val="21"/>
        </w:rPr>
        <w:t xml:space="preserve">A currency's gold purchasing-power return is then:</w:t>
      </w:r>
    </w:p>
    <w:p>
      <w:pPr>
        <w:spacing w:after="120" w:before="120" w:line="312"/>
        <w:jc w:val="center"/>
      </w:pPr>
      <w:r>
        <w:rPr>
          <w:rFonts w:ascii="Cambria" w:eastAsia="SimSun" w:hAnsi="Cambria"/>
          <w:i/>
          <w:iCs/>
          <w:color w:val="1A1A1A"/>
          <w:sz w:val="22"/>
          <w:szCs w:val="22"/>
        </w:rPr>
        <w:t xml:space="preserve">GPR</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(P</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- 1</w:t>
      </w:r>
    </w:p>
    <w:p>
      <w:pPr>
        <w:spacing w:after="120" w:line="312"/>
        <w:jc w:val="both"/>
      </w:pPr>
      <w:r>
        <w:rPr>
          <w:rFonts w:ascii="Calibri" w:eastAsia="SimSun" w:hAnsi="Calibri"/>
          <w:b w:val="false"/>
          <w:bCs w:val="false"/>
          <w:color w:val="1A1A1A"/>
          <w:sz w:val="21"/>
          <w:szCs w:val="21"/>
        </w:rPr>
        <w:t xml:space="preserve">(or equivalently according to the chosen direction convention — the convention is fixed per methodology version to avoid sign errors). The signal is measured over multiple horizons:</w:t>
      </w:r>
    </w:p>
    <w:p>
      <w:pPr>
        <w:spacing w:after="120" w:before="120" w:line="312"/>
        <w:jc w:val="center"/>
      </w:pPr>
      <w:r>
        <w:rPr>
          <w:rFonts w:ascii="Cambria" w:eastAsia="SimSun" w:hAnsi="Cambria"/>
          <w:i/>
          <w:iCs/>
          <w:color w:val="1A1A1A"/>
          <w:sz w:val="22"/>
          <w:szCs w:val="22"/>
        </w:rPr>
        <w:t xml:space="preserve">GSignal</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f(GPR</w:t>
      </w:r>
      <w:r>
        <w:rPr>
          <w:rFonts w:ascii="Cambria" w:eastAsia="SimSun" w:hAnsi="Cambria"/>
          <w:i/>
          <w:iCs/>
          <w:color w:val="1A1A1A"/>
          <w:sz w:val="22"/>
          <w:szCs w:val="22"/>
          <w:vertAlign w:val="subscript"/>
        </w:rPr>
        <w:t xml:space="preserve">30</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GPR</w:t>
      </w:r>
      <w:r>
        <w:rPr>
          <w:rFonts w:ascii="Cambria" w:eastAsia="SimSun" w:hAnsi="Cambria"/>
          <w:i/>
          <w:iCs/>
          <w:color w:val="1A1A1A"/>
          <w:sz w:val="22"/>
          <w:szCs w:val="22"/>
          <w:vertAlign w:val="subscript"/>
        </w:rPr>
        <w:t xml:space="preserve">90</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GPR</w:t>
      </w:r>
      <w:r>
        <w:rPr>
          <w:rFonts w:ascii="Cambria" w:eastAsia="SimSun" w:hAnsi="Cambria"/>
          <w:i/>
          <w:iCs/>
          <w:color w:val="1A1A1A"/>
          <w:sz w:val="22"/>
          <w:szCs w:val="22"/>
          <w:vertAlign w:val="subscript"/>
        </w:rPr>
        <w:t xml:space="preserve">252</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GPR</w:t>
      </w:r>
      <w:r>
        <w:rPr>
          <w:rFonts w:ascii="Cambria" w:eastAsia="SimSun" w:hAnsi="Cambria"/>
          <w:i/>
          <w:iCs/>
          <w:color w:val="1A1A1A"/>
          <w:sz w:val="22"/>
          <w:szCs w:val="22"/>
          <w:vertAlign w:val="subscript"/>
        </w:rPr>
        <w:t xml:space="preserve">756</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This signal replaces the old gold factor as the primary decision mechanism for purchasing-power deterioration: a currency that persistently loses gold purchasing power is de-weighted through the purchasing-power objective (Section 6.8) rather than through a hard multiplier. Gold itself is exempt from self-comparison; its purchasing-power role is captured by the inflation and crisis inputs of its own model (Section 3.3).</w:t>
      </w:r>
    </w:p>
    <w:p>
      <w:pPr>
        <w:pStyle w:val="Heading2"/>
        <w:keepNext/>
        <w:spacing w:after="160" w:before="360" w:line="340" w:lineRule="atLeast"/>
      </w:pPr>
      <w:bookmarkStart w:id="100039" w:name="_Toc100039"/>
      <w:r>
        <w:rPr>
          <w:rFonts w:ascii="Calibri" w:eastAsia="Microsoft YaHei" w:hAnsi="Calibri"/>
          <w:b/>
          <w:bCs/>
          <w:color w:val="1A1A1A"/>
          <w:sz w:val="28"/>
          <w:szCs w:val="28"/>
        </w:rPr>
        <w:t xml:space="preserve">5.3 Signal Standardization (Z-Scores)</w:t>
      </w:r>
      <w:bookmarkEnd w:id="100039"/>
    </w:p>
    <w:p>
      <w:pPr>
        <w:spacing w:after="120" w:line="312"/>
        <w:jc w:val="both"/>
      </w:pPr>
      <w:r>
        <w:rPr>
          <w:rFonts w:ascii="Calibri" w:eastAsia="SimSun" w:hAnsi="Calibri"/>
          <w:b w:val="false"/>
          <w:bCs w:val="false"/>
          <w:color w:val="1A1A1A"/>
          <w:sz w:val="21"/>
          <w:szCs w:val="21"/>
        </w:rPr>
        <w:t xml:space="preserve">Market-level regime inputs are standardized into z-scores using rolling statistics, inheriting the validated v1.2 machinery of the Adaptive Macro Engine as MASE inputs. The two primary macro signals are: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Signal</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2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Source</w:t>
            </w:r>
          </w:p>
        </w:tc>
        <w:tc>
          <w:tcPr>
            <w:tcW w:type="pct" w:w="5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Interpretation</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VIX</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VIX_t</w:t>
            </w:r>
          </w:p>
        </w:tc>
        <w:tc>
          <w:tcPr>
            <w:tcW w:type="pct" w:w="2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 Pyth (§17)</w:t>
            </w:r>
          </w:p>
        </w:tc>
        <w:tc>
          <w:tcPr>
            <w:tcW w:type="pct" w:w="5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CBOE volatility index; higher values indicate market stress.</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DXY</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DXY_t</w:t>
            </w:r>
          </w:p>
        </w:tc>
        <w:tc>
          <w:tcPr>
            <w:tcW w:type="pct" w:w="2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 Pyth (§17)</w:t>
            </w:r>
          </w:p>
        </w:tc>
        <w:tc>
          <w:tcPr>
            <w:tcW w:type="pct" w:w="5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 Dollar index; higher values indicate dollar strength.</w:t>
            </w:r>
          </w:p>
        </w:tc>
      </w:tr>
    </w:tbl>
    <w:p>
      <w:pPr>
        <w:spacing w:after="120"/>
      </w:pPr>
    </w:p>
    <w:p>
      <w:pPr>
        <w:spacing w:after="120" w:line="312"/>
        <w:jc w:val="both"/>
      </w:pPr>
      <w:r>
        <w:rPr>
          <w:rFonts w:ascii="Calibri" w:eastAsia="SimSun" w:hAnsi="Calibri"/>
          <w:b w:val="false"/>
          <w:bCs w:val="false"/>
          <w:color w:val="1A1A1A"/>
          <w:sz w:val="21"/>
          <w:szCs w:val="21"/>
        </w:rPr>
        <w:t xml:space="preserve">Both signals are updated on the oracle cadence (60-second validation windows) and standardized against rolling 90-day statistics, a window chosen to capture medium-term regimes while smoothing daily noise:</w:t>
      </w:r>
    </w:p>
    <w:p>
      <w:pPr>
        <w:spacing w:after="120" w:before="120" w:line="312"/>
        <w:jc w:val="center"/>
      </w:pPr>
      <w:r>
        <w:rPr>
          <w:rFonts w:ascii="Cambria" w:eastAsia="SimSun" w:hAnsi="Cambria"/>
          <w:i w:val="false"/>
          <w:iCs w:val="false"/>
          <w:color w:val="1A1A1A"/>
          <w:sz w:val="22"/>
          <w:szCs w:val="22"/>
        </w:rPr>
        <w:t xml:space="preserve">μ</w:t>
      </w:r>
      <w:r>
        <w:rPr>
          <w:rFonts w:ascii="Cambria" w:eastAsia="SimSun" w:hAnsi="Cambria"/>
          <w:i/>
          <w:iCs/>
          <w:color w:val="1A1A1A"/>
          <w:sz w:val="22"/>
          <w:szCs w:val="22"/>
          <w:vertAlign w:val="subscript"/>
        </w:rPr>
        <w:t xml:space="preserve">VIX,t</w:t>
      </w:r>
      <w:r>
        <w:rPr>
          <w:rFonts w:ascii="Cambria" w:eastAsia="SimSun" w:hAnsi="Cambria"/>
          <w:i/>
          <w:iCs/>
          <w:color w:val="1A1A1A"/>
          <w:sz w:val="22"/>
          <w:szCs w:val="22"/>
        </w:rPr>
        <w:t xml:space="preserve"> = 1/(90)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i=0</w:t>
      </w:r>
      <w:r>
        <w:rPr>
          <w:rFonts w:ascii="Cambria" w:eastAsia="SimSun" w:hAnsi="Cambria"/>
          <w:i/>
          <w:iCs/>
          <w:color w:val="1A1A1A"/>
          <w:sz w:val="22"/>
          <w:szCs w:val="22"/>
          <w:vertAlign w:val="superscript"/>
        </w:rPr>
        <w:t xml:space="preserve">89</w:t>
      </w:r>
      <w:r>
        <w:rPr>
          <w:rFonts w:ascii="Cambria" w:eastAsia="SimSun" w:hAnsi="Cambria"/>
          <w:i/>
          <w:iCs/>
          <w:color w:val="1A1A1A"/>
          <w:sz w:val="22"/>
          <w:szCs w:val="22"/>
        </w:rPr>
        <w:t xml:space="preserve"> VIX</w:t>
      </w:r>
      <w:r>
        <w:rPr>
          <w:rFonts w:ascii="Cambria" w:eastAsia="SimSun" w:hAnsi="Cambria"/>
          <w:i/>
          <w:iCs/>
          <w:color w:val="1A1A1A"/>
          <w:sz w:val="22"/>
          <w:szCs w:val="22"/>
          <w:vertAlign w:val="subscript"/>
        </w:rPr>
        <w:t xml:space="preserve">t-i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VIX,t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1/(90)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i=0</w:t>
      </w:r>
      <w:r>
        <w:rPr>
          <w:rFonts w:ascii="Cambria" w:eastAsia="SimSun" w:hAnsi="Cambria"/>
          <w:i/>
          <w:iCs/>
          <w:color w:val="1A1A1A"/>
          <w:sz w:val="22"/>
          <w:szCs w:val="22"/>
          <w:vertAlign w:val="superscript"/>
        </w:rPr>
        <w:t xml:space="preserve">89</w:t>
      </w:r>
      <w:r>
        <w:rPr>
          <w:rFonts w:ascii="Cambria" w:eastAsia="SimSun" w:hAnsi="Cambria"/>
          <w:i/>
          <w:iCs/>
          <w:color w:val="1A1A1A"/>
          <w:sz w:val="22"/>
          <w:szCs w:val="22"/>
        </w:rPr>
        <w:t xml:space="preserve"> (VIX</w:t>
      </w:r>
      <w:r>
        <w:rPr>
          <w:rFonts w:ascii="Cambria" w:eastAsia="SimSun" w:hAnsi="Cambria"/>
          <w:i/>
          <w:iCs/>
          <w:color w:val="1A1A1A"/>
          <w:sz w:val="22"/>
          <w:szCs w:val="22"/>
          <w:vertAlign w:val="subscript"/>
        </w:rPr>
        <w:t xml:space="preserve">t-i</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μ</w:t>
      </w:r>
      <w:r>
        <w:rPr>
          <w:rFonts w:ascii="Cambria" w:eastAsia="SimSun" w:hAnsi="Cambria"/>
          <w:i/>
          <w:iCs/>
          <w:color w:val="1A1A1A"/>
          <w:sz w:val="22"/>
          <w:szCs w:val="22"/>
          <w:vertAlign w:val="subscript"/>
        </w:rPr>
        <w:t xml:space="preserve">VIX,t</w:t>
      </w:r>
      <w:r>
        <w:rPr>
          <w:rFonts w:ascii="Cambria" w:eastAsia="SimSun" w:hAnsi="Cambria"/>
          <w:i/>
          <w:iCs/>
          <w:color w:val="1A1A1A"/>
          <w:sz w:val="22"/>
          <w:szCs w:val="22"/>
        </w:rPr>
        <w:t xml:space="preserve">)</w:t>
      </w:r>
      <w:r>
        <w:rPr>
          <w:rFonts w:ascii="Cambria" w:eastAsia="SimSun" w:hAnsi="Cambria"/>
          <w:i/>
          <w:iCs/>
          <w:color w:val="1A1A1A"/>
          <w:sz w:val="22"/>
          <w:szCs w:val="22"/>
          <w:vertAlign w:val="superscript"/>
        </w:rPr>
        <w:t xml:space="preserve">2</w:t>
      </w:r>
      <w:r>
        <w:rPr>
          <w:rFonts w:ascii="Cambria" w:eastAsia="SimSun" w:hAnsi="Cambria"/>
          <w:i w:val="false"/>
          <w:iCs w:val="false"/>
          <w:color w:val="1A1A1A"/>
          <w:sz w:val="22"/>
          <w:szCs w:val="22"/>
        </w:rPr>
        <w:t xml:space="preserve">)</w:t>
      </w:r>
    </w:p>
    <w:p>
      <w:pPr>
        <w:spacing w:after="120" w:before="120" w:line="312"/>
        <w:jc w:val="center"/>
      </w:pPr>
      <w:r>
        <w:rPr>
          <w:rFonts w:ascii="Cambria" w:eastAsia="SimSun" w:hAnsi="Cambria"/>
          <w:i/>
          <w:iCs/>
          <w:color w:val="1A1A1A"/>
          <w:sz w:val="22"/>
          <w:szCs w:val="22"/>
        </w:rPr>
        <w:t xml:space="preserve">z</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VIX</w:t>
      </w:r>
      <w:r>
        <w:rPr>
          <w:rFonts w:ascii="Cambria" w:eastAsia="SimSun" w:hAnsi="Cambria"/>
          <w:i/>
          <w:iCs/>
          <w:color w:val="1A1A1A"/>
          <w:sz w:val="22"/>
          <w:szCs w:val="22"/>
        </w:rPr>
        <w:t xml:space="preserve"> = (VIX</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μ</w:t>
      </w:r>
      <w:r>
        <w:rPr>
          <w:rFonts w:ascii="Cambria" w:eastAsia="SimSun" w:hAnsi="Cambria"/>
          <w:i/>
          <w:iCs/>
          <w:color w:val="1A1A1A"/>
          <w:sz w:val="22"/>
          <w:szCs w:val="22"/>
          <w:vertAlign w:val="subscript"/>
        </w:rPr>
        <w:t xml:space="preserve">VIX,t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VIX,t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ε</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z</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DXY</w:t>
      </w:r>
      <w:r>
        <w:rPr>
          <w:rFonts w:ascii="Cambria" w:eastAsia="SimSun" w:hAnsi="Cambria"/>
          <w:i/>
          <w:iCs/>
          <w:color w:val="1A1A1A"/>
          <w:sz w:val="22"/>
          <w:szCs w:val="22"/>
        </w:rPr>
        <w:t xml:space="preserve"> = (DXY</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μ</w:t>
      </w:r>
      <w:r>
        <w:rPr>
          <w:rFonts w:ascii="Cambria" w:eastAsia="SimSun" w:hAnsi="Cambria"/>
          <w:i/>
          <w:iCs/>
          <w:color w:val="1A1A1A"/>
          <w:sz w:val="22"/>
          <w:szCs w:val="22"/>
          <w:vertAlign w:val="subscript"/>
        </w:rPr>
        <w:t xml:space="preserve">DXY,t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DXY,t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ε</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ε = 10^{-9} prevents division by zero. Interpretation: z = 0 means the signal sits at its 90-day average; z = +2 means two standard deviations above (extreme stress or strong dollar); z = −2 means two below (calm or weak dollar). Input validation and edge-case handling follow the v1.2 safety rules, retained verbatim: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Scenario</w:t>
            </w:r>
          </w:p>
        </w:tc>
        <w:tc>
          <w:tcPr>
            <w:tcW w:type="pct" w:w="7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feed stale</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Use last known value; flag WATCH; if stale &gt; 5 minutes, pause rebalancing.</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Historical window not full</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Use available data; z-score is approximate until 90 days of data is collected.</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Extreme VIX (&gt; 80)</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Clamp the z-score to the maximum observed in the rolling window (prevents extreme outliers from causing massive shifts).</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DXY feed unavailable</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Set z^{DXY} = 0 (neutral) until the feed recovers.</w:t>
            </w:r>
          </w:p>
        </w:tc>
      </w:tr>
    </w:tbl>
    <w:p>
      <w:pPr>
        <w:spacing w:after="120"/>
      </w:pPr>
    </w:p>
    <w:p>
      <w:pPr>
        <w:spacing w:after="120" w:line="312"/>
        <w:jc w:val="both"/>
      </w:pPr>
      <w:r>
        <w:rPr>
          <w:rFonts w:ascii="Calibri" w:eastAsia="SimSun" w:hAnsi="Calibri"/>
          <w:b w:val="false"/>
          <w:bCs w:val="false"/>
          <w:color w:val="1A1A1A"/>
          <w:sz w:val="21"/>
          <w:szCs w:val="21"/>
        </w:rPr>
        <w:t xml:space="preserve">In v1.2 these z-scores directly shifted the gold weight (θ_t = clip(α·z^{VIX} + β·z^{DXY}, ±θ_max) around a 26.25% base, with coefficients α = 0.15, β = 0.10, θ_max = 0.03). Under v2.0 that mechanism is demoted to an input signal [MS §4]: the same z-scores feed the regime model (Section 5.4) and the crisis score (Section 5.5), which in turn modulate the MASE objective weights. The legacy coefficients are preserved as initialization values for the regime classifier and are re-validated in the research program.</w:t>
      </w:r>
    </w:p>
    <w:p>
      <w:pPr>
        <w:pStyle w:val="Heading2"/>
        <w:keepNext/>
        <w:spacing w:after="160" w:before="360" w:line="340" w:lineRule="atLeast"/>
      </w:pPr>
      <w:bookmarkStart w:id="100040" w:name="_Toc100040"/>
      <w:r>
        <w:rPr>
          <w:rFonts w:ascii="Calibri" w:eastAsia="Microsoft YaHei" w:hAnsi="Calibri"/>
          <w:b/>
          <w:bCs/>
          <w:color w:val="1A1A1A"/>
          <w:sz w:val="28"/>
          <w:szCs w:val="28"/>
        </w:rPr>
        <w:t xml:space="preserve">5.4 The Regime Model</w:t>
      </w:r>
      <w:bookmarkEnd w:id="100040"/>
    </w:p>
    <w:p>
      <w:pPr>
        <w:spacing w:after="120" w:line="312"/>
        <w:jc w:val="both"/>
      </w:pPr>
      <w:r>
        <w:rPr>
          <w:rFonts w:ascii="Calibri" w:eastAsia="SimSun" w:hAnsi="Calibri"/>
          <w:b w:val="false"/>
          <w:bCs w:val="false"/>
          <w:color w:val="1A1A1A"/>
          <w:sz w:val="21"/>
          <w:szCs w:val="21"/>
        </w:rPr>
        <w:t xml:space="preserve">MASE classifies the market state into one of six regimes [MS §23]:</w:t>
      </w:r>
    </w:p>
    <w:p>
      <w:pPr>
        <w:spacing w:after="120" w:before="120" w:line="312"/>
        <w:jc w:val="center"/>
      </w:pPr>
      <w:r>
        <w:rPr>
          <w:rFonts w:ascii="Cambria" w:eastAsia="SimSun" w:hAnsi="Cambria"/>
          <w:i/>
          <w:iCs/>
          <w:color w:val="1A1A1A"/>
          <w:sz w:val="22"/>
          <w:szCs w:val="22"/>
        </w:rPr>
        <w:t xml:space="preserve">Z</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Normal,</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Inflation,</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Deflation,</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Stress,</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Geopolitical</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regime probability vector is:</w:t>
      </w:r>
    </w:p>
    <w:p>
      <w:pPr>
        <w:spacing w:after="120" w:before="120" w:line="312"/>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[P(N), P(I), P(D), P(S), P(L), P(G)]</w:t>
      </w:r>
    </w:p>
    <w:p>
      <w:pPr>
        <w:spacing w:after="120" w:line="312"/>
        <w:jc w:val="both"/>
      </w:pPr>
      <w:r>
        <w:rPr>
          <w:rFonts w:ascii="Calibri" w:eastAsia="SimSun" w:hAnsi="Calibri"/>
          <w:b w:val="false"/>
          <w:bCs w:val="false"/>
          <w:color w:val="1A1A1A"/>
          <w:sz w:val="21"/>
          <w:szCs w:val="21"/>
        </w:rPr>
        <w:t xml:space="preserve">Regime probabilities are estimated from the standardized inputs — z^{VIX}, z^{DXY}, cross-asset correlation levels, liquidity stress measures, inflation surprises and geopolitical indicators — by a governed classifier whose parameters are validation-stage values. The regime-specific allocation is a probability-weighted mixture:</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Regime</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r</w:t>
      </w:r>
      <w:r>
        <w:rPr>
          <w:rFonts w:ascii="Cambria" w:eastAsia="SimSun" w:hAnsi="Cambria"/>
          <w:i/>
          <w:iCs/>
          <w:color w:val="1A1A1A"/>
          <w:sz w:val="22"/>
          <w:szCs w:val="22"/>
        </w:rPr>
        <w:t xml:space="preserve"> P(r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X</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(r)</w:t>
      </w:r>
    </w:p>
    <w:p>
      <w:pPr>
        <w:spacing w:after="120" w:line="312"/>
        <w:jc w:val="both"/>
      </w:pPr>
      <w:r>
        <w:rPr>
          <w:rFonts w:ascii="Calibri" w:eastAsia="SimSun" w:hAnsi="Calibri"/>
          <w:b w:val="false"/>
          <w:bCs w:val="false"/>
          <w:color w:val="1A1A1A"/>
          <w:sz w:val="21"/>
          <w:szCs w:val="21"/>
        </w:rPr>
        <w:t xml:space="preserve">where W^{(r)} is the optimized weight vector for regime r. Two constitutional rules bound the regime engine. First, the regime engine cannot violate the constitutional constraints: W_t^{Regime} is projected onto the admissible set (Section 8.1) before it can influence the ensemble. Second, regime evidence must be reproducible: the classifier inputs and outputs are published with each weight publication, so a regime-driven shift is always explainable after the fact.</w:t>
      </w:r>
    </w:p>
    <w:p>
      <w:pPr>
        <w:pStyle w:val="Heading2"/>
        <w:keepNext/>
        <w:spacing w:after="160" w:before="360" w:line="340" w:lineRule="atLeast"/>
      </w:pPr>
      <w:bookmarkStart w:id="100041" w:name="_Toc100041"/>
      <w:r>
        <w:rPr>
          <w:rFonts w:ascii="Calibri" w:eastAsia="Microsoft YaHei" w:hAnsi="Calibri"/>
          <w:b/>
          <w:bCs/>
          <w:color w:val="1A1A1A"/>
          <w:sz w:val="28"/>
          <w:szCs w:val="28"/>
        </w:rPr>
        <w:t xml:space="preserve">5.5 The Crisis-Risk Score</w:t>
      </w:r>
      <w:bookmarkEnd w:id="100041"/>
    </w:p>
    <w:p>
      <w:pPr>
        <w:spacing w:after="120" w:line="312"/>
        <w:jc w:val="both"/>
      </w:pPr>
      <w:r>
        <w:rPr>
          <w:rFonts w:ascii="Calibri" w:eastAsia="SimSun" w:hAnsi="Calibri"/>
          <w:b w:val="false"/>
          <w:bCs w:val="false"/>
          <w:color w:val="1A1A1A"/>
          <w:sz w:val="21"/>
          <w:szCs w:val="21"/>
        </w:rPr>
        <w:t xml:space="preserve">A dedicated crisis score aggregates stress evidence [MS §24]:</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CrisisScore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f(FXVol,</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CrossAssetCorrelation,</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LiquidityStress,</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InflationShock,</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CreditStress,</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MarketDrawdown,</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GeopoliticalIndicators)</w:t>
      </w:r>
    </w:p>
    <w:p>
      <w:pPr>
        <w:spacing w:after="120" w:line="312"/>
        <w:jc w:val="both"/>
      </w:pPr>
      <w:r>
        <w:rPr>
          <w:rFonts w:ascii="Calibri" w:eastAsia="SimSun" w:hAnsi="Calibri"/>
          <w:b w:val="false"/>
          <w:bCs w:val="false"/>
          <w:color w:val="1A1A1A"/>
          <w:sz w:val="21"/>
          <w:szCs w:val="21"/>
        </w:rPr>
        <w:t xml:space="preserve">As crisis risk increases, the tail-risk weight in the MASE objective scales up:</w:t>
      </w:r>
    </w:p>
    <w:p>
      <w:pPr>
        <w:spacing w:after="120" w:before="120" w:line="312"/>
        <w:jc w:val="center"/>
      </w:pP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CVaR,t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CVaR,0</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k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CrisisScore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which increases the importance of tail protection exactly when it matters. The scaling constant k and the baseline λ_{CVaR,0} are Risk-Council parameters within constitutional envelopes. The same CrisisScore_t drives the crisis mode of the execution layer (Section 13.7): when it exceeds its threshold, no-trade thresholds widen, execution sizes shrink, liquidity requirements rise, reserve preservation is prioritized, and oracle confirmation requirements increase. The crisis score is a risk-control function, not a token-price-support function.</w:t>
      </w:r>
    </w:p>
    <w:p>
      <w:pPr>
        <w:pStyle w:val="Heading1"/>
        <w:keepNext/>
        <w:pBdr>
          <w:bottom w:val="single" w:color="C9A84C" w:sz="12" w:space="6"/>
        </w:pBdr>
        <w:spacing w:after="220" w:before="480" w:line="380" w:lineRule="atLeast"/>
      </w:pPr>
      <w:bookmarkStart w:id="100042" w:name="_Toc100042"/>
      <w:r>
        <w:rPr>
          <w:rFonts w:ascii="Calibri" w:eastAsia="Microsoft YaHei" w:hAnsi="Calibri"/>
          <w:b/>
          <w:bCs/>
          <w:color w:val="1A1A1A"/>
          <w:sz w:val="32"/>
          <w:szCs w:val="32"/>
        </w:rPr>
        <w:t xml:space="preserve">6. Risk Estimation and Candidate Optimization Models</w:t>
      </w:r>
      <w:bookmarkEnd w:id="100042"/>
    </w:p>
    <w:p>
      <w:pPr>
        <w:pStyle w:val="Heading2"/>
        <w:keepNext/>
        <w:spacing w:after="160" w:before="360" w:line="340" w:lineRule="atLeast"/>
      </w:pPr>
      <w:bookmarkStart w:id="100043" w:name="_Toc100043"/>
      <w:r>
        <w:rPr>
          <w:rFonts w:ascii="Calibri" w:eastAsia="Microsoft YaHei" w:hAnsi="Calibri"/>
          <w:b/>
          <w:bCs/>
          <w:color w:val="1A1A1A"/>
          <w:sz w:val="28"/>
          <w:szCs w:val="28"/>
        </w:rPr>
        <w:t xml:space="preserve">6.1 The Correlation Matrix</w:t>
      </w:r>
      <w:bookmarkEnd w:id="100043"/>
    </w:p>
    <w:p>
      <w:pPr>
        <w:spacing w:after="120" w:line="312"/>
        <w:jc w:val="both"/>
      </w:pPr>
      <w:r>
        <w:rPr>
          <w:rFonts w:ascii="Calibri" w:eastAsia="SimSun" w:hAnsi="Calibri"/>
          <w:b w:val="false"/>
          <w:bCs w:val="false"/>
          <w:color w:val="1A1A1A"/>
          <w:sz w:val="21"/>
          <w:szCs w:val="21"/>
        </w:rPr>
        <w:t xml:space="preserve">All risk-based candidate models require a covariance matrix of component returns [MS §15]:</w:t>
      </w:r>
    </w:p>
    <w:p>
      <w:pPr>
        <w:spacing w:after="120" w:before="120" w:line="312"/>
        <w:jc w:val="center"/>
      </w:pP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Cov(R</w:t>
      </w:r>
      <w:r>
        <w:rPr>
          <w:rFonts w:ascii="Cambria" w:eastAsia="SimSun" w:hAnsi="Cambria"/>
          <w:i/>
          <w:iCs/>
          <w:color w:val="1A1A1A"/>
          <w:sz w:val="22"/>
          <w:szCs w:val="22"/>
          <w:vertAlign w:val="subscript"/>
        </w:rPr>
        <w:t xml:space="preserve">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R</w:t>
      </w:r>
      <w:r>
        <w:rPr>
          <w:rFonts w:ascii="Cambria" w:eastAsia="SimSun" w:hAnsi="Cambria"/>
          <w:i/>
          <w:iCs/>
          <w:color w:val="1A1A1A"/>
          <w:sz w:val="22"/>
          <w:szCs w:val="22"/>
          <w:vertAlign w:val="subscript"/>
        </w:rPr>
        <w:t xml:space="preserve">n</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estimated from returns over several horizons. Because raw sample covariance is notoriously unstable in the FX/gold universe — correlations shift precisely when they matter most — the engine never consumes the raw estimate directly; it consumes the robust shrunk estimator of Section 6.2. Return series are built from the same validated multi-source prices used for index valuation, on the native horizons of each candidate model, with full data versioning (Section 24.2).</w:t>
      </w:r>
    </w:p>
    <w:p>
      <w:pPr>
        <w:pStyle w:val="Heading2"/>
        <w:keepNext/>
        <w:spacing w:after="160" w:before="360" w:line="340" w:lineRule="atLeast"/>
      </w:pPr>
      <w:bookmarkStart w:id="100044" w:name="_Toc100044"/>
      <w:r>
        <w:rPr>
          <w:rFonts w:ascii="Calibri" w:eastAsia="Microsoft YaHei" w:hAnsi="Calibri"/>
          <w:b/>
          <w:bCs/>
          <w:color w:val="1A1A1A"/>
          <w:sz w:val="28"/>
          <w:szCs w:val="28"/>
        </w:rPr>
        <w:t xml:space="preserve">6.2 Covariance Shrinkage</w:t>
      </w:r>
      <w:bookmarkEnd w:id="100044"/>
    </w:p>
    <w:p>
      <w:pPr>
        <w:spacing w:after="120" w:line="312"/>
        <w:jc w:val="both"/>
      </w:pPr>
      <w:r>
        <w:rPr>
          <w:rFonts w:ascii="Calibri" w:eastAsia="SimSun" w:hAnsi="Calibri"/>
          <w:b w:val="false"/>
          <w:bCs w:val="false"/>
          <w:color w:val="1A1A1A"/>
          <w:sz w:val="21"/>
          <w:szCs w:val="21"/>
        </w:rPr>
        <w:t xml:space="preserve">Let Σ̂ be the estimated covariance matrix and F a stable factor/reference matrix [MS §16]. The robust estimator is: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robust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rPr>
        <w:t xml:space="preserve"> F + (1 -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w:t>
      </w:r>
    </w:p>
    <w:p>
      <w:pPr>
        <w:spacing w:after="120" w:line="312"/>
        <w:jc w:val="both"/>
      </w:pPr>
      <w:r>
        <w:rPr>
          <w:rFonts w:ascii="Calibri" w:eastAsia="SimSun" w:hAnsi="Calibri"/>
          <w:b w:val="false"/>
          <w:bCs w:val="false"/>
          <w:color w:val="1A1A1A"/>
          <w:sz w:val="21"/>
          <w:szCs w:val="21"/>
        </w:rPr>
        <w:t xml:space="preserve">where λ is estimated or calibrated through out-of-sample validation. The reference matrix F is typically a structured target (for example, a constant-correlation or factor-model matrix) chosen for its stability; shrinkage toward F trades unbiasedness for variance reduction, which materially improves the out-of-sample behavior of every downstream optimizer. The estimator is explicitly multi-horizon [COO-3]: Σ is defined as Cov(R_1, …, R_n) over the return horizons of Section 5.1, and the published methodology version records which per-horizon estimates were combined and how. The selected λ per methodology version is published and perturbation-tested (Section 23.6); a model whose performance collapses under small λ changes is rejected as non-robust regardless of its in-sample score.</w:t>
      </w:r>
    </w:p>
    <w:p>
      <w:pPr>
        <w:pStyle w:val="Heading2"/>
        <w:keepNext/>
        <w:spacing w:after="160" w:before="360" w:line="340" w:lineRule="atLeast"/>
      </w:pPr>
      <w:bookmarkStart w:id="100045" w:name="_Toc100045"/>
      <w:r>
        <w:rPr>
          <w:rFonts w:ascii="Calibri" w:eastAsia="Microsoft YaHei" w:hAnsi="Calibri"/>
          <w:b/>
          <w:bCs/>
          <w:color w:val="1A1A1A"/>
          <w:sz w:val="28"/>
          <w:szCs w:val="28"/>
        </w:rPr>
        <w:t xml:space="preserve">6.3 Candidate Model 1 — Minimum Variance</w:t>
      </w:r>
      <w:bookmarkEnd w:id="100045"/>
    </w:p>
    <w:p>
      <w:pPr>
        <w:spacing w:after="120" w:line="312"/>
        <w:jc w:val="both"/>
      </w:pPr>
      <w:r>
        <w:rPr>
          <w:rFonts w:ascii="Calibri" w:eastAsia="SimSun" w:hAnsi="Calibri"/>
          <w:b w:val="false"/>
          <w:bCs w:val="false"/>
          <w:color w:val="1A1A1A"/>
          <w:sz w:val="21"/>
          <w:szCs w:val="21"/>
        </w:rPr>
        <w:t xml:space="preserve">The first candidate solves the classic stability problem [MS §17, COO-5], explicitly against the time-stamped robust covariance estimate:</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min</w:t>
      </w:r>
      <w:r>
        <w:rPr>
          <w:rFonts w:ascii="Cambria" w:eastAsia="SimSun" w:hAnsi="Cambria"/>
          <w:i/>
          <w:iCs/>
          <w:color w:val="1A1A1A"/>
          <w:sz w:val="22"/>
          <w:szCs w:val="22"/>
          <w:vertAlign w:val="subscript"/>
        </w:rPr>
        <w:t xml:space="preserve">w</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val="false"/>
          <w:iCs w:val="false"/>
          <w:color w:val="1A1A1A"/>
          <w:sz w:val="22"/>
          <w:szCs w:val="22"/>
          <w:vertAlign w:val="superscript"/>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robust,t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p>
    <w:p>
      <w:pPr>
        <w:spacing w:after="120" w:line="312"/>
        <w:jc w:val="both"/>
      </w:pPr>
      <w:r>
        <w:rPr>
          <w:rFonts w:ascii="Calibri" w:eastAsia="SimSun" w:hAnsi="Calibri"/>
          <w:b w:val="false"/>
          <w:bCs w:val="false"/>
          <w:color w:val="1A1A1A"/>
          <w:sz w:val="21"/>
          <w:szCs w:val="21"/>
        </w:rPr>
        <w:t xml:space="preserve">subject to all MTQ Σ constraints (full investment, non-negativity, admissibility envelopes, velocity limits). Minimum variance tends to concentrate in low-volatility components, which is why it is only one voice in the ensemble: its value is regime-conditional — strongest in calm markets, weakest when correlations converge under stress. It is one candidate model, not the complete MTQ Σ engine.</w:t>
      </w:r>
    </w:p>
    <w:p>
      <w:pPr>
        <w:pStyle w:val="Heading2"/>
        <w:keepNext/>
        <w:spacing w:after="160" w:before="360" w:line="340" w:lineRule="atLeast"/>
      </w:pPr>
      <w:bookmarkStart w:id="100046" w:name="_Toc100046"/>
      <w:r>
        <w:rPr>
          <w:rFonts w:ascii="Calibri" w:eastAsia="Microsoft YaHei" w:hAnsi="Calibri"/>
          <w:b/>
          <w:bCs/>
          <w:color w:val="1A1A1A"/>
          <w:sz w:val="28"/>
          <w:szCs w:val="28"/>
        </w:rPr>
        <w:t xml:space="preserve">6.4 Candidate Model 2 — Equal Risk Contribution (Risk Parity)</w:t>
      </w:r>
      <w:bookmarkEnd w:id="100046"/>
    </w:p>
    <w:p>
      <w:pPr>
        <w:spacing w:after="120" w:line="312"/>
        <w:jc w:val="both"/>
      </w:pPr>
      <w:r>
        <w:rPr>
          <w:rFonts w:ascii="Calibri" w:eastAsia="SimSun" w:hAnsi="Calibri"/>
          <w:b w:val="false"/>
          <w:bCs w:val="false"/>
          <w:color w:val="1A1A1A"/>
          <w:sz w:val="21"/>
          <w:szCs w:val="21"/>
        </w:rPr>
        <w:t xml:space="preserve">For component i, the risk contribution is [MS §18]:</w:t>
      </w:r>
    </w:p>
    <w:p>
      <w:pPr>
        <w:spacing w:after="120" w:before="120" w:line="312"/>
        <w:jc w:val="center"/>
      </w:pPr>
      <w:r>
        <w:rPr>
          <w:rFonts w:ascii="Cambria" w:eastAsia="SimSun" w:hAnsi="Cambria"/>
          <w:i/>
          <w:iCs/>
          <w:color w:val="1A1A1A"/>
          <w:sz w:val="22"/>
          <w:szCs w:val="22"/>
        </w:rPr>
        <w:t xml:space="preserve">RC</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p</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w:t>
      </w:r>
      <w:r>
        <w:rPr>
          <w:rFonts w:ascii="Cambria" w:eastAsia="SimSun" w:hAnsi="Cambria"/>
          <w:i w:val="false"/>
          <w:iCs w:val="false"/>
          <w:color w:val="1A1A1A"/>
          <w:sz w:val="22"/>
          <w:szCs w:val="22"/>
          <w:vertAlign w:val="superscript"/>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rPr>
        <w:t xml:space="preserve"> w</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RC</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(RC</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RC</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An ERC candidate seeks approximately equal risk contributions:</w:t>
      </w:r>
    </w:p>
    <w:p>
      <w:pPr>
        <w:spacing w:after="120" w:before="120" w:line="312"/>
        <w:jc w:val="center"/>
      </w:pPr>
      <w:r>
        <w:rPr>
          <w:rFonts w:ascii="Cambria" w:eastAsia="SimSun" w:hAnsi="Cambria"/>
          <w:i/>
          <w:iCs/>
          <w:color w:val="1A1A1A"/>
          <w:sz w:val="22"/>
          <w:szCs w:val="22"/>
        </w:rPr>
        <w:t xml:space="preserve">RC</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RC</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for all included components</w:t>
      </w:r>
    </w:p>
    <w:p>
      <w:pPr>
        <w:spacing w:after="120" w:line="312"/>
        <w:jc w:val="both"/>
      </w:pPr>
      <w:r>
        <w:rPr>
          <w:rFonts w:ascii="Calibri" w:eastAsia="SimSun" w:hAnsi="Calibri"/>
          <w:b w:val="false"/>
          <w:bCs w:val="false"/>
          <w:color w:val="1A1A1A"/>
          <w:sz w:val="21"/>
          <w:szCs w:val="21"/>
        </w:rPr>
        <w:t xml:space="preserve">The equivalent explicit minimization form — and the form the optimizer actually solves [COO-6] — drives every component's percentage risk contribution toward the equal-share 1/n target:</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min</w:t>
      </w:r>
      <w:r>
        <w:rPr>
          <w:rFonts w:ascii="Cambria" w:eastAsia="SimSun" w:hAnsi="Cambria"/>
          <w:i/>
          <w:iCs/>
          <w:color w:val="1A1A1A"/>
          <w:sz w:val="22"/>
          <w:szCs w:val="22"/>
          <w:vertAlign w:val="subscript"/>
        </w:rPr>
        <w:t xml:space="preserve">w</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RC</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- 1/n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perscript"/>
        </w:rPr>
        <w:t xml:space="preserve">2</w:t>
      </w:r>
    </w:p>
    <w:p>
      <w:pPr>
        <w:spacing w:after="120" w:line="312"/>
        <w:jc w:val="both"/>
      </w:pPr>
      <w:r>
        <w:rPr>
          <w:rFonts w:ascii="Calibri" w:eastAsia="SimSun" w:hAnsi="Calibri"/>
          <w:b w:val="false"/>
          <w:bCs w:val="false"/>
          <w:color w:val="1A1A1A"/>
          <w:sz w:val="21"/>
          <w:szCs w:val="21"/>
        </w:rPr>
        <w:t xml:space="preserve">Risk parity balances the basket across volatility regimes and is less sensitive to covariance estimation error than minimum variance, because errors redistribute risk rather than concentrate weights. Its known weakness — leverage-free implementations can drift toward over-weighting the most volatile asset when correlations are negative — is bounded by the admissibility envelopes and the ensemble averaging.</w:t>
      </w:r>
    </w:p>
    <w:p>
      <w:pPr>
        <w:pStyle w:val="Heading2"/>
        <w:keepNext/>
        <w:spacing w:after="160" w:before="360" w:line="340" w:lineRule="atLeast"/>
      </w:pPr>
      <w:bookmarkStart w:id="100047" w:name="_Toc100047"/>
      <w:r>
        <w:rPr>
          <w:rFonts w:ascii="Calibri" w:eastAsia="Microsoft YaHei" w:hAnsi="Calibri"/>
          <w:b/>
          <w:bCs/>
          <w:color w:val="1A1A1A"/>
          <w:sz w:val="28"/>
          <w:szCs w:val="28"/>
        </w:rPr>
        <w:t xml:space="preserve">6.5 Candidate Model 3 — Maximum Diversification</w:t>
      </w:r>
      <w:bookmarkEnd w:id="100047"/>
    </w:p>
    <w:p>
      <w:pPr>
        <w:spacing w:after="120" w:line="312"/>
        <w:jc w:val="both"/>
      </w:pPr>
      <w:r>
        <w:rPr>
          <w:rFonts w:ascii="Calibri" w:eastAsia="SimSun" w:hAnsi="Calibri"/>
          <w:b w:val="false"/>
          <w:bCs w:val="false"/>
          <w:color w:val="1A1A1A"/>
          <w:sz w:val="21"/>
          <w:szCs w:val="21"/>
        </w:rPr>
        <w:t xml:space="preserve">The diversification-ratio objective rewards genuine diversification rather than nominal breadth [MS §19]:</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max</w:t>
      </w:r>
      <w:r>
        <w:rPr>
          <w:rFonts w:ascii="Cambria" w:eastAsia="SimSun" w:hAnsi="Cambria"/>
          <w:i/>
          <w:iCs/>
          <w:color w:val="1A1A1A"/>
          <w:sz w:val="22"/>
          <w:szCs w:val="22"/>
          <w:vertAlign w:val="subscript"/>
        </w:rPr>
        <w:t xml:space="preserve">w</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w:t>
      </w:r>
      <w:r>
        <w:rPr>
          <w:rFonts w:ascii="Cambria" w:eastAsia="SimSun" w:hAnsi="Cambria"/>
          <w:i w:val="false"/>
          <w:iCs w:val="false"/>
          <w:color w:val="1A1A1A"/>
          <w:sz w:val="22"/>
          <w:szCs w:val="22"/>
          <w:vertAlign w:val="superscript"/>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rPr>
        <w:t xml:space="preserve"> w</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numerator is the weighted average standalone volatility; the denominator is portfolio volatility. A ratio well above one indicates the portfolio earns structural risk reduction from imperfect correlations. This candidate is the primary defense against the correlation-converges-to-one failure mode, because when all pairwise correlations approach one, its objective collapses toward equal weighting rather than toward a concentrated corner solution — behavior that is explicitly stress-tested in Section 23.9.</w:t>
      </w:r>
    </w:p>
    <w:p>
      <w:pPr>
        <w:pStyle w:val="Heading2"/>
        <w:keepNext/>
        <w:spacing w:after="160" w:before="360" w:line="340" w:lineRule="atLeast"/>
      </w:pPr>
      <w:bookmarkStart w:id="100048" w:name="_Toc100048"/>
      <w:r>
        <w:rPr>
          <w:rFonts w:ascii="Calibri" w:eastAsia="Microsoft YaHei" w:hAnsi="Calibri"/>
          <w:b/>
          <w:bCs/>
          <w:color w:val="1A1A1A"/>
          <w:sz w:val="28"/>
          <w:szCs w:val="28"/>
        </w:rPr>
        <w:t xml:space="preserve">6.6 Candidate Model 4 — Tail Risk (CVaR)</w:t>
      </w:r>
      <w:bookmarkEnd w:id="100048"/>
    </w:p>
    <w:p>
      <w:pPr>
        <w:spacing w:after="120" w:line="312"/>
        <w:jc w:val="both"/>
      </w:pPr>
      <w:r>
        <w:rPr>
          <w:rFonts w:ascii="Calibri" w:eastAsia="SimSun" w:hAnsi="Calibri"/>
          <w:b w:val="false"/>
          <w:bCs w:val="false"/>
          <w:color w:val="1A1A1A"/>
          <w:sz w:val="21"/>
          <w:szCs w:val="21"/>
        </w:rPr>
        <w:t xml:space="preserve">Define the loss L over the evaluation horizon. Value-at-Risk at confidence α is [COO-8]:</w:t>
      </w:r>
    </w:p>
    <w:p>
      <w:pPr>
        <w:spacing w:after="120" w:before="120" w:line="312"/>
        <w:jc w:val="center"/>
      </w:pPr>
      <w:r>
        <w:rPr>
          <w:rFonts w:ascii="Cambria" w:eastAsia="SimSun" w:hAnsi="Cambria"/>
          <w:i/>
          <w:iCs/>
          <w:color w:val="1A1A1A"/>
          <w:sz w:val="22"/>
          <w:szCs w:val="22"/>
        </w:rPr>
        <w:t xml:space="preserve">VaR</w:t>
      </w:r>
      <w:r>
        <w:rPr>
          <w:rFonts w:ascii="Cambria" w:eastAsia="SimSun" w:hAnsi="Cambria"/>
          <w:i w:val="false"/>
          <w:iCs w:val="false"/>
          <w:color w:val="1A1A1A"/>
          <w:sz w:val="22"/>
          <w:szCs w:val="22"/>
          <w:vertAlign w:val="subscript"/>
        </w:rPr>
        <w:t xml:space="preserve">α</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inf{ </w:t>
      </w:r>
      <w:r>
        <w:rPr>
          <w:rFonts w:ascii="Cambria" w:eastAsia="SimSun" w:hAnsi="Cambria"/>
          <w:i/>
          <w:iCs/>
          <w:color w:val="1A1A1A"/>
          <w:sz w:val="22"/>
          <w:szCs w:val="22"/>
        </w:rPr>
        <w:t xml:space="preserve"> l : P(L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α</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p>
    <w:p>
      <w:pPr>
        <w:spacing w:after="120" w:line="312"/>
        <w:jc w:val="both"/>
      </w:pPr>
      <w:r>
        <w:rPr>
          <w:rFonts w:ascii="Calibri" w:eastAsia="SimSun" w:hAnsi="Calibri"/>
          <w:b w:val="false"/>
          <w:bCs w:val="false"/>
          <w:color w:val="1A1A1A"/>
          <w:sz w:val="21"/>
          <w:szCs w:val="21"/>
        </w:rPr>
        <w:t xml:space="preserve">and Conditional Value-at-Risk (expected shortfall) is the expected loss conditional on breaching that quantile, under the chosen loss convention (the convention — profit-or-loss sign and horizon — is fixed per methodology version to avoid ambiguity):</w:t>
      </w:r>
    </w:p>
    <w:p>
      <w:pPr>
        <w:spacing w:after="120" w:before="120" w:line="312"/>
        <w:jc w:val="center"/>
      </w:pPr>
      <w:r>
        <w:rPr>
          <w:rFonts w:ascii="Cambria" w:eastAsia="SimSun" w:hAnsi="Cambria"/>
          <w:i/>
          <w:iCs/>
          <w:color w:val="1A1A1A"/>
          <w:sz w:val="22"/>
          <w:szCs w:val="22"/>
        </w:rPr>
        <w:t xml:space="preserve">CVaR</w:t>
      </w:r>
      <w:r>
        <w:rPr>
          <w:rFonts w:ascii="Cambria" w:eastAsia="SimSun" w:hAnsi="Cambria"/>
          <w:i w:val="false"/>
          <w:iCs w:val="false"/>
          <w:color w:val="1A1A1A"/>
          <w:sz w:val="22"/>
          <w:szCs w:val="22"/>
          <w:vertAlign w:val="subscript"/>
        </w:rPr>
        <w:t xml:space="preserve">α</w:t>
      </w:r>
      <w:r>
        <w:rPr>
          <w:rFonts w:ascii="Cambria" w:eastAsia="SimSun" w:hAnsi="Cambria"/>
          <w:i/>
          <w:iCs/>
          <w:color w:val="1A1A1A"/>
          <w:sz w:val="22"/>
          <w:szCs w:val="22"/>
        </w:rPr>
        <w:t xml:space="preserve"> = E[L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VaR</w:t>
      </w:r>
      <w:r>
        <w:rPr>
          <w:rFonts w:ascii="Cambria" w:eastAsia="SimSun" w:hAnsi="Cambria"/>
          <w:i w:val="false"/>
          <w:iCs w:val="false"/>
          <w:color w:val="1A1A1A"/>
          <w:sz w:val="22"/>
          <w:szCs w:val="22"/>
          <w:vertAlign w:val="subscript"/>
        </w:rPr>
        <w:t xml:space="preserve">α</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engine minimizes CVaR at the 95% level while testing the 99% level for severe scenarios: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min</w:t>
      </w:r>
      <w:r>
        <w:rPr>
          <w:rFonts w:ascii="Cambria" w:eastAsia="SimSun" w:hAnsi="Cambria"/>
          <w:i/>
          <w:iCs/>
          <w:color w:val="1A1A1A"/>
          <w:sz w:val="22"/>
          <w:szCs w:val="22"/>
          <w:vertAlign w:val="subscript"/>
        </w:rPr>
        <w:t xml:space="preserve">w</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CVaR</w:t>
      </w:r>
      <w:r>
        <w:rPr>
          <w:rFonts w:ascii="Cambria" w:eastAsia="SimSun" w:hAnsi="Cambria"/>
          <w:i/>
          <w:iCs/>
          <w:color w:val="1A1A1A"/>
          <w:sz w:val="22"/>
          <w:szCs w:val="22"/>
          <w:vertAlign w:val="subscript"/>
        </w:rPr>
        <w:t xml:space="preserve">95</w:t>
      </w:r>
      <w:r>
        <w:rPr>
          <w:rFonts w:ascii="Cambria" w:eastAsia="SimSun" w:hAnsi="Cambria"/>
          <w:i/>
          <w:iCs/>
          <w:color w:val="1A1A1A"/>
          <w:sz w:val="22"/>
          <w:szCs w:val="22"/>
        </w:rPr>
        <w:t xml:space="preserve">(w)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subject to constraints, with </w:t>
      </w:r>
      <w:r>
        <w:rPr>
          <w:rFonts w:ascii="Cambria" w:eastAsia="SimSun" w:hAnsi="Cambria"/>
          <w:i/>
          <w:iCs/>
          <w:color w:val="1A1A1A"/>
          <w:sz w:val="22"/>
          <w:szCs w:val="22"/>
        </w:rPr>
        <w:t xml:space="preserve"> CVaR</w:t>
      </w:r>
      <w:r>
        <w:rPr>
          <w:rFonts w:ascii="Cambria" w:eastAsia="SimSun" w:hAnsi="Cambria"/>
          <w:i/>
          <w:iCs/>
          <w:color w:val="1A1A1A"/>
          <w:sz w:val="22"/>
          <w:szCs w:val="22"/>
          <w:vertAlign w:val="subscript"/>
        </w:rPr>
        <w:t xml:space="preserve">99</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monitored</w:t>
      </w:r>
    </w:p>
    <w:p>
      <w:pPr>
        <w:spacing w:after="120" w:line="312"/>
        <w:jc w:val="both"/>
      </w:pPr>
      <w:r>
        <w:rPr>
          <w:rFonts w:ascii="Calibri" w:eastAsia="SimSun" w:hAnsi="Calibri"/>
          <w:b w:val="false"/>
          <w:bCs w:val="false"/>
          <w:color w:val="1A1A1A"/>
          <w:sz w:val="21"/>
          <w:szCs w:val="21"/>
        </w:rPr>
        <w:t xml:space="preserve">CVaR (expected shortfall) is coherent and convex, which makes it optimization-friendly, and it directly encodes the architectural priority: protecting purchasing power in the worst tail, not on average. The regime-dependent multiplier λ_{CVaR,t} (Section 5.5) scales this candidate's influence in the composite objective.</w:t>
      </w:r>
    </w:p>
    <w:p>
      <w:pPr>
        <w:pStyle w:val="Heading2"/>
        <w:keepNext/>
        <w:spacing w:after="160" w:before="360" w:line="340" w:lineRule="atLeast"/>
      </w:pPr>
      <w:bookmarkStart w:id="100049" w:name="_Toc100049"/>
      <w:r>
        <w:rPr>
          <w:rFonts w:ascii="Calibri" w:eastAsia="Microsoft YaHei" w:hAnsi="Calibri"/>
          <w:b/>
          <w:bCs/>
          <w:color w:val="1A1A1A"/>
          <w:sz w:val="28"/>
          <w:szCs w:val="28"/>
        </w:rPr>
        <w:t xml:space="preserve">6.7 Drawdown Control</w:t>
      </w:r>
      <w:bookmarkEnd w:id="100049"/>
    </w:p>
    <w:p>
      <w:pPr>
        <w:spacing w:after="120" w:line="312"/>
        <w:jc w:val="both"/>
      </w:pPr>
      <w:r>
        <w:rPr>
          <w:rFonts w:ascii="Calibri" w:eastAsia="SimSun" w:hAnsi="Calibri"/>
          <w:b w:val="false"/>
          <w:bCs w:val="false"/>
          <w:color w:val="1A1A1A"/>
          <w:sz w:val="21"/>
          <w:szCs w:val="21"/>
        </w:rPr>
        <w:t xml:space="preserve">For portfolio value V_t with running peak M_t [MS §21]:</w:t>
      </w:r>
    </w:p>
    <w:p>
      <w:pPr>
        <w:spacing w:after="120" w:before="120" w:line="312"/>
        <w:jc w:val="center"/>
      </w:pPr>
      <w:r>
        <w:rPr>
          <w:rFonts w:ascii="Cambria" w:eastAsia="SimSun" w:hAnsi="Cambria"/>
          <w:i/>
          <w:iCs/>
          <w:color w:val="1A1A1A"/>
          <w:sz w:val="22"/>
          <w:szCs w:val="22"/>
        </w:rPr>
        <w:t xml:space="preserve">M</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max</w:t>
      </w:r>
      <w:r>
        <w:rPr>
          <w:rFonts w:ascii="Cambria" w:eastAsia="SimSun" w:hAnsi="Cambria"/>
          <w:i w:val="false"/>
          <w:iCs w:val="false"/>
          <w:color w:val="1A1A1A"/>
          <w:sz w:val="22"/>
          <w:szCs w:val="22"/>
          <w:vertAlign w:val="subscript"/>
        </w:rPr>
        <w:t xml:space="preserve">τ</w:t>
      </w:r>
      <w:r>
        <w:rPr>
          <w:rFonts w:ascii="Cambria" w:eastAsia="SimSun" w:hAnsi="Cambria"/>
          <w:i/>
          <w:iCs/>
          <w:color w:val="1A1A1A"/>
          <w:sz w:val="22"/>
          <w:szCs w:val="22"/>
          <w:vertAlign w:val="subscript"/>
        </w:rPr>
        <w:t xml:space="preserve"> </w:t>
      </w:r>
      <w:r>
        <w:rPr>
          <w:rFonts w:ascii="Cambria" w:eastAsia="SimSun" w:hAnsi="Cambria"/>
          <w:i w:val="false"/>
          <w:iCs w:val="false"/>
          <w:color w:val="1A1A1A"/>
          <w:sz w:val="22"/>
          <w:szCs w:val="22"/>
          <w:vertAlign w:val="subscript"/>
        </w:rPr>
        <w:t xml:space="preserve">≤</w:t>
      </w:r>
      <w:r>
        <w:rPr>
          <w:rFonts w:ascii="Cambria" w:eastAsia="SimSun" w:hAnsi="Cambria"/>
          <w:i/>
          <w:iCs/>
          <w:color w:val="1A1A1A"/>
          <w:sz w:val="22"/>
          <w:szCs w:val="22"/>
          <w:vertAlign w:val="subscript"/>
        </w:rPr>
        <w:t xml:space="preserve"> t</w:t>
      </w:r>
      <w:r>
        <w:rPr>
          <w:rFonts w:ascii="Cambria" w:eastAsia="SimSun" w:hAnsi="Cambria"/>
          <w:i/>
          <w:iCs/>
          <w:color w:val="1A1A1A"/>
          <w:sz w:val="22"/>
          <w:szCs w:val="22"/>
        </w:rPr>
        <w:t xml:space="preserve"> V</w:t>
      </w:r>
      <w:r>
        <w:rPr>
          <w:rFonts w:ascii="Cambria" w:eastAsia="SimSun" w:hAnsi="Cambria"/>
          <w:i w:val="false"/>
          <w:iCs w:val="false"/>
          <w:color w:val="1A1A1A"/>
          <w:sz w:val="22"/>
          <w:szCs w:val="22"/>
          <w:vertAlign w:val="subscript"/>
        </w:rPr>
        <w:t xml:space="preserve">τ</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DD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)/(M</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- 1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MDD = </w:t>
      </w:r>
      <w:r>
        <w:rPr>
          <w:rFonts w:ascii="Cambria" w:eastAsia="SimSun" w:hAnsi="Cambria"/>
          <w:i w:val="false"/>
          <w:iCs w:val="false"/>
          <w:color w:val="1A1A1A"/>
          <w:sz w:val="22"/>
          <w:szCs w:val="22"/>
        </w:rPr>
        <w:t xml:space="preserve">min</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DD</w:t>
      </w:r>
      <w:r>
        <w:rPr>
          <w:rFonts w:ascii="Cambria" w:eastAsia="SimSun" w:hAnsi="Cambria"/>
          <w:i/>
          <w:iCs/>
          <w:color w:val="1A1A1A"/>
          <w:sz w:val="22"/>
          <w:szCs w:val="22"/>
          <w:vertAlign w:val="subscript"/>
        </w:rPr>
        <w:t xml:space="preserve">t</w:t>
      </w:r>
    </w:p>
    <w:p>
      <w:pPr>
        <w:spacing w:after="120" w:line="312"/>
        <w:jc w:val="both"/>
      </w:pPr>
      <w:r>
        <w:rPr>
          <w:rFonts w:ascii="Calibri" w:eastAsia="SimSun" w:hAnsi="Calibri"/>
          <w:b w:val="false"/>
          <w:bCs w:val="false"/>
          <w:color w:val="1A1A1A"/>
          <w:sz w:val="21"/>
          <w:szCs w:val="21"/>
        </w:rPr>
        <w:t xml:space="preserve">MASE applies a drawdown penalty or constraint: candidate solutions are scored on their simulated historical and Monte-Carlo drawdown profiles, and solutions breaching the constitutional MDD envelope are inadmissible. Drawdown control connects the engine to the user-facing promise — purchasing-power protection is experienced as drawdown, not as variance — which is why the model-selection criterion (Section 23.7) weights maximum drawdown explicitly.</w:t>
      </w:r>
    </w:p>
    <w:p>
      <w:pPr>
        <w:pStyle w:val="Heading2"/>
        <w:keepNext/>
        <w:spacing w:after="160" w:before="360" w:line="340" w:lineRule="atLeast"/>
      </w:pPr>
      <w:bookmarkStart w:id="100050" w:name="_Toc100050"/>
      <w:r>
        <w:rPr>
          <w:rFonts w:ascii="Calibri" w:eastAsia="Microsoft YaHei" w:hAnsi="Calibri"/>
          <w:b/>
          <w:bCs/>
          <w:color w:val="1A1A1A"/>
          <w:sz w:val="28"/>
          <w:szCs w:val="28"/>
        </w:rPr>
        <w:t xml:space="preserve">6.8 The Purchasing-Power Objective</w:t>
      </w:r>
      <w:bookmarkEnd w:id="100050"/>
    </w:p>
    <w:p>
      <w:pPr>
        <w:spacing w:after="120" w:line="312"/>
        <w:jc w:val="both"/>
      </w:pPr>
      <w:r>
        <w:rPr>
          <w:rFonts w:ascii="Calibri" w:eastAsia="SimSun" w:hAnsi="Calibri"/>
          <w:b w:val="false"/>
          <w:bCs w:val="false"/>
          <w:color w:val="1A1A1A"/>
          <w:sz w:val="21"/>
          <w:szCs w:val="21"/>
        </w:rPr>
        <w:t xml:space="preserve">The distinctive MTQ Σ objective is purchasing-power stability [MS §22]. The engine constructs a Global Purchasing Power index:</w:t>
      </w:r>
    </w:p>
    <w:p>
      <w:pPr>
        <w:spacing w:after="120" w:before="120" w:line="312"/>
        <w:jc w:val="center"/>
      </w:pPr>
      <w:r>
        <w:rPr>
          <w:rFonts w:ascii="Cambria" w:eastAsia="SimSun" w:hAnsi="Cambria"/>
          <w:i/>
          <w:iCs/>
          <w:color w:val="1A1A1A"/>
          <w:sz w:val="22"/>
          <w:szCs w:val="22"/>
        </w:rPr>
        <w:t xml:space="preserve">GPP</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f(GlobalCPI,</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Food,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Energy,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TradeGoods,</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OtherRelevantConsumptionWeights)</w:t>
      </w:r>
    </w:p>
    <w:p>
      <w:pPr>
        <w:spacing w:after="120" w:line="312"/>
        <w:jc w:val="both"/>
      </w:pPr>
      <w:r>
        <w:rPr>
          <w:rFonts w:ascii="Calibri" w:eastAsia="SimSun" w:hAnsi="Calibri"/>
          <w:b w:val="false"/>
          <w:bCs w:val="false"/>
          <w:color w:val="1A1A1A"/>
          <w:sz w:val="21"/>
          <w:szCs w:val="21"/>
        </w:rPr>
        <w:t xml:space="preserve">and defines the MTQ Σ purchasing-power tracking error:</w:t>
      </w:r>
    </w:p>
    <w:p>
      <w:pPr>
        <w:spacing w:after="120" w:before="120" w:line="312"/>
        <w:jc w:val="center"/>
      </w:pPr>
      <w:r>
        <w:rPr>
          <w:rFonts w:ascii="Cambria" w:eastAsia="SimSun" w:hAnsi="Cambria"/>
          <w:i/>
          <w:iCs/>
          <w:color w:val="1A1A1A"/>
          <w:sz w:val="22"/>
          <w:szCs w:val="22"/>
        </w:rPr>
        <w:t xml:space="preserve">PPError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GPP,t</w:t>
      </w:r>
    </w:p>
    <w:p>
      <w:pPr>
        <w:spacing w:after="120" w:line="312"/>
        <w:jc w:val="both"/>
      </w:pPr>
      <w:r>
        <w:rPr>
          <w:rFonts w:ascii="Calibri" w:eastAsia="SimSun" w:hAnsi="Calibri"/>
          <w:b w:val="false"/>
          <w:bCs w:val="false"/>
          <w:color w:val="1A1A1A"/>
          <w:sz w:val="21"/>
          <w:szCs w:val="21"/>
        </w:rPr>
        <w:t xml:space="preserve">The objective minimizes: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E[(PPError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iCs/>
          <w:color w:val="1A1A1A"/>
          <w:sz w:val="22"/>
          <w:szCs w:val="22"/>
          <w:vertAlign w:val="superscript"/>
        </w:rPr>
        <w:t xml:space="preserve">2</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and/or</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MAE(PPError)</w:t>
      </w:r>
    </w:p>
    <w:p>
      <w:pPr>
        <w:spacing w:after="120" w:line="312"/>
        <w:jc w:val="both"/>
      </w:pPr>
      <w:r>
        <w:rPr>
          <w:rFonts w:ascii="Calibri" w:eastAsia="SimSun" w:hAnsi="Calibri"/>
          <w:b w:val="false"/>
          <w:bCs w:val="false"/>
          <w:color w:val="1A1A1A"/>
          <w:sz w:val="21"/>
          <w:szCs w:val="21"/>
        </w:rPr>
        <w:t xml:space="preserve">with the choice between squared error and absolute error determined by validation results (squared error penalizes large misses; absolute error is more robust to outliers in the CPI basket). The GPP construction weights are methodology parameters; they are published, versioned, and perturbation-tested. This objective is what makes the reference basket a purchasing-power unit rather than a currency index: components are rewarded for jointly tracking a consumption-weighted global price level.</w:t>
      </w:r>
    </w:p>
    <w:p>
      <w:pPr>
        <w:pStyle w:val="Heading1"/>
        <w:keepNext/>
        <w:pBdr>
          <w:bottom w:val="single" w:color="C9A84C" w:sz="12" w:space="6"/>
        </w:pBdr>
        <w:spacing w:after="220" w:before="480" w:line="380" w:lineRule="atLeast"/>
      </w:pPr>
      <w:bookmarkStart w:id="100051" w:name="_Toc100051"/>
      <w:r>
        <w:rPr>
          <w:rFonts w:ascii="Calibri" w:eastAsia="Microsoft YaHei" w:hAnsi="Calibri"/>
          <w:b/>
          <w:bCs/>
          <w:color w:val="1A1A1A"/>
          <w:sz w:val="32"/>
          <w:szCs w:val="32"/>
        </w:rPr>
        <w:t xml:space="preserve">7. The Composite MASE Objective and Ensemble Architecture</w:t>
      </w:r>
      <w:bookmarkEnd w:id="100051"/>
    </w:p>
    <w:p>
      <w:pPr>
        <w:pStyle w:val="Heading2"/>
        <w:keepNext/>
        <w:spacing w:after="160" w:before="360" w:line="340" w:lineRule="atLeast"/>
      </w:pPr>
      <w:bookmarkStart w:id="100052" w:name="_Toc100052"/>
      <w:r>
        <w:rPr>
          <w:rFonts w:ascii="Calibri" w:eastAsia="Microsoft YaHei" w:hAnsi="Calibri"/>
          <w:b/>
          <w:bCs/>
          <w:color w:val="1A1A1A"/>
          <w:sz w:val="28"/>
          <w:szCs w:val="28"/>
        </w:rPr>
        <w:t xml:space="preserve">7.1 Strategic-Prior Penalty (Soft Anchor)</w:t>
      </w:r>
      <w:bookmarkEnd w:id="100052"/>
    </w:p>
    <w:p>
      <w:pPr>
        <w:spacing w:after="120" w:line="312"/>
        <w:jc w:val="both"/>
      </w:pPr>
      <w:r>
        <w:rPr>
          <w:rFonts w:ascii="Calibri" w:eastAsia="SimSun" w:hAnsi="Calibri"/>
          <w:b w:val="false"/>
          <w:bCs w:val="false"/>
          <w:color w:val="1A1A1A"/>
          <w:sz w:val="21"/>
          <w:szCs w:val="21"/>
        </w:rPr>
        <w:t xml:space="preserve">The live weights are not forced to equal the strategic prior; excessive deviation is penalized [MS §25]. The default quadratic form is:</w:t>
      </w:r>
    </w:p>
    <w:p>
      <w:pPr>
        <w:spacing w:after="120" w:before="120" w:line="312"/>
        <w:jc w:val="center"/>
      </w:pPr>
      <w:r>
        <w:rPr>
          <w:rFonts w:ascii="Cambria" w:eastAsia="SimSun" w:hAnsi="Cambria"/>
          <w:i/>
          <w:iCs/>
          <w:color w:val="1A1A1A"/>
          <w:sz w:val="22"/>
          <w:szCs w:val="22"/>
        </w:rPr>
        <w:t xml:space="preserve">StrategicDrift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vertAlign w:val="superscript"/>
        </w:rPr>
        <w:t xml:space="preserve">Prior</w:t>
      </w:r>
      <w:r>
        <w:rPr>
          <w:rFonts w:ascii="Cambria" w:eastAsia="SimSun" w:hAnsi="Cambria"/>
          <w:i/>
          <w:iCs/>
          <w:color w:val="1A1A1A"/>
          <w:sz w:val="22"/>
          <w:szCs w:val="22"/>
        </w:rPr>
        <w:t xml:space="preserve">)</w:t>
      </w:r>
      <w:r>
        <w:rPr>
          <w:rFonts w:ascii="Cambria" w:eastAsia="SimSun" w:hAnsi="Cambria"/>
          <w:i/>
          <w:iCs/>
          <w:color w:val="1A1A1A"/>
          <w:sz w:val="22"/>
          <w:szCs w:val="22"/>
          <w:vertAlign w:val="superscript"/>
        </w:rPr>
        <w:t xml:space="preserve">2</w:t>
      </w:r>
    </w:p>
    <w:p>
      <w:pPr>
        <w:spacing w:after="120" w:line="312"/>
        <w:jc w:val="both"/>
      </w:pPr>
      <w:r>
        <w:rPr>
          <w:rFonts w:ascii="Calibri" w:eastAsia="SimSun" w:hAnsi="Calibri"/>
          <w:b w:val="false"/>
          <w:bCs w:val="false"/>
          <w:color w:val="1A1A1A"/>
          <w:sz w:val="21"/>
          <w:szCs w:val="21"/>
        </w:rPr>
        <w:t xml:space="preserve">with an absolute-distance alternative:</w:t>
      </w:r>
    </w:p>
    <w:p>
      <w:pPr>
        <w:spacing w:after="120" w:before="120" w:line="312"/>
        <w:jc w:val="center"/>
      </w:pPr>
      <w:r>
        <w:rPr>
          <w:rFonts w:ascii="Cambria" w:eastAsia="SimSun" w:hAnsi="Cambria"/>
          <w:i/>
          <w:iCs/>
          <w:color w:val="1A1A1A"/>
          <w:sz w:val="22"/>
          <w:szCs w:val="22"/>
        </w:rPr>
        <w:t xml:space="preserve">StrategicDrift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vertAlign w:val="superscript"/>
        </w:rPr>
        <w:t xml:space="preserve">Prior</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prior therefore acts as a soft stabilizing anchor, not a fixed allocation: small, well-justified deviations are cheap, while large unexplained drift is expensive. The penalty coefficient λ_6 trades adaptivity against recognizability — high enough that the basket does not drift arbitrarily from its researched structure, low enough that a genuine regime change can re-shape the basket within the validation horizon. Both forms and the coefficient are validated parameters.</w:t>
      </w:r>
    </w:p>
    <w:p>
      <w:pPr>
        <w:pStyle w:val="Heading2"/>
        <w:keepNext/>
        <w:spacing w:after="160" w:before="360" w:line="340" w:lineRule="atLeast"/>
      </w:pPr>
      <w:bookmarkStart w:id="100053" w:name="_Toc100053"/>
      <w:r>
        <w:rPr>
          <w:rFonts w:ascii="Calibri" w:eastAsia="Microsoft YaHei" w:hAnsi="Calibri"/>
          <w:b/>
          <w:bCs/>
          <w:color w:val="1A1A1A"/>
          <w:sz w:val="28"/>
          <w:szCs w:val="28"/>
        </w:rPr>
        <w:t xml:space="preserve">7.2 Diversification (Concentration) Penalty</w:t>
      </w:r>
      <w:bookmarkEnd w:id="100053"/>
    </w:p>
    <w:p>
      <w:pPr>
        <w:spacing w:after="120" w:line="312"/>
        <w:jc w:val="both"/>
      </w:pPr>
      <w:r>
        <w:rPr>
          <w:rFonts w:ascii="Calibri" w:eastAsia="SimSun" w:hAnsi="Calibri"/>
          <w:b w:val="false"/>
          <w:bCs w:val="false"/>
          <w:color w:val="1A1A1A"/>
          <w:sz w:val="21"/>
          <w:szCs w:val="21"/>
        </w:rPr>
        <w:t xml:space="preserve">Concentration is measured with the Herfindahl–Hirschman index of the weights [MS §26]:</w:t>
      </w:r>
    </w:p>
    <w:p>
      <w:pPr>
        <w:spacing w:after="120" w:before="120" w:line="312"/>
        <w:jc w:val="center"/>
      </w:pPr>
      <w:r>
        <w:rPr>
          <w:rFonts w:ascii="Cambria" w:eastAsia="SimSun" w:hAnsi="Cambria"/>
          <w:i/>
          <w:iCs/>
          <w:color w:val="1A1A1A"/>
          <w:sz w:val="22"/>
          <w:szCs w:val="22"/>
        </w:rPr>
        <w:t xml:space="preserve">HHI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vertAlign w:val="superscript"/>
        </w:rPr>
        <w:t xml:space="preserve">2</w:t>
      </w:r>
    </w:p>
    <w:p>
      <w:pPr>
        <w:spacing w:after="120" w:line="312"/>
        <w:jc w:val="both"/>
      </w:pPr>
      <w:r>
        <w:rPr>
          <w:rFonts w:ascii="Calibri" w:eastAsia="SimSun" w:hAnsi="Calibri"/>
          <w:b w:val="false"/>
          <w:bCs w:val="false"/>
          <w:color w:val="1A1A1A"/>
          <w:sz w:val="21"/>
          <w:szCs w:val="21"/>
        </w:rPr>
        <w:t xml:space="preserve">and the optimizer penalizes excessive concentration:</w:t>
      </w:r>
    </w:p>
    <w:p>
      <w:pPr>
        <w:spacing w:after="120" w:before="120" w:line="312"/>
        <w:jc w:val="center"/>
      </w:pPr>
      <w:r>
        <w:rPr>
          <w:rFonts w:ascii="Cambria" w:eastAsia="SimSun" w:hAnsi="Cambria"/>
          <w:i/>
          <w:iCs/>
          <w:color w:val="1A1A1A"/>
          <w:sz w:val="22"/>
          <w:szCs w:val="22"/>
        </w:rPr>
        <w:t xml:space="preserve">Penalty</w:t>
      </w:r>
      <w:r>
        <w:rPr>
          <w:rFonts w:ascii="Cambria" w:eastAsia="SimSun" w:hAnsi="Cambria"/>
          <w:i/>
          <w:iCs/>
          <w:color w:val="1A1A1A"/>
          <w:sz w:val="22"/>
          <w:szCs w:val="22"/>
          <w:vertAlign w:val="subscript"/>
        </w:rPr>
        <w:t xml:space="preserve">conc</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C</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HHI</w:t>
      </w:r>
    </w:p>
    <w:p>
      <w:pPr>
        <w:spacing w:after="120" w:line="312"/>
        <w:jc w:val="both"/>
      </w:pPr>
      <w:r>
        <w:rPr>
          <w:rFonts w:ascii="Calibri" w:eastAsia="SimSun" w:hAnsi="Calibri"/>
          <w:b w:val="false"/>
          <w:bCs w:val="false"/>
          <w:color w:val="1A1A1A"/>
          <w:sz w:val="21"/>
          <w:szCs w:val="21"/>
        </w:rPr>
        <w:t xml:space="preserve">The HHI penalty is deliberately redundant with the admissibility envelopes (Section 8.1): envelopes bound each component, while the HHI term prices the joint concentration of the whole vector. Redundancy is intentional — concentration risk is the classic failure mode of optimized baskets, and the architecture defends against it at both the constraint and the objective level.</w:t>
      </w:r>
    </w:p>
    <w:p>
      <w:pPr>
        <w:pStyle w:val="Heading2"/>
        <w:keepNext/>
        <w:spacing w:after="160" w:before="360" w:line="340" w:lineRule="atLeast"/>
      </w:pPr>
      <w:bookmarkStart w:id="100054" w:name="_Toc100054"/>
      <w:r>
        <w:rPr>
          <w:rFonts w:ascii="Calibri" w:eastAsia="Microsoft YaHei" w:hAnsi="Calibri"/>
          <w:b/>
          <w:bCs/>
          <w:color w:val="1A1A1A"/>
          <w:sz w:val="28"/>
          <w:szCs w:val="28"/>
        </w:rPr>
        <w:t xml:space="preserve">7.3 Turnover Penalty</w:t>
      </w:r>
      <w:bookmarkEnd w:id="100054"/>
    </w:p>
    <w:p>
      <w:pPr>
        <w:spacing w:after="120" w:line="312"/>
        <w:jc w:val="both"/>
      </w:pPr>
      <w:r>
        <w:rPr>
          <w:rFonts w:ascii="Calibri" w:eastAsia="SimSun" w:hAnsi="Calibri"/>
          <w:b w:val="false"/>
          <w:bCs w:val="false"/>
          <w:color w:val="1A1A1A"/>
          <w:sz w:val="21"/>
          <w:szCs w:val="21"/>
        </w:rPr>
        <w:t xml:space="preserve">The reallocation cost signal is [MS §27]:</w:t>
      </w:r>
    </w:p>
    <w:p>
      <w:pPr>
        <w:spacing w:after="120" w:before="120" w:line="312"/>
        <w:jc w:val="center"/>
      </w:pPr>
      <w:r>
        <w:rPr>
          <w:rFonts w:ascii="Cambria" w:eastAsia="SimSun" w:hAnsi="Cambria"/>
          <w:i/>
          <w:iCs/>
          <w:color w:val="1A1A1A"/>
          <w:sz w:val="22"/>
          <w:szCs w:val="22"/>
        </w:rPr>
        <w:t xml:space="preserve">Turnover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and the optimizer includes:</w:t>
      </w:r>
    </w:p>
    <w:p>
      <w:pPr>
        <w:spacing w:after="120" w:before="120" w:line="312"/>
        <w:jc w:val="center"/>
      </w:pPr>
      <w:r>
        <w:rPr>
          <w:rFonts w:ascii="Cambria" w:eastAsia="SimSun" w:hAnsi="Cambria"/>
          <w:i/>
          <w:iCs/>
          <w:color w:val="1A1A1A"/>
          <w:sz w:val="22"/>
          <w:szCs w:val="22"/>
        </w:rPr>
        <w:t xml:space="preserve">Penalty</w:t>
      </w:r>
      <w:r>
        <w:rPr>
          <w:rFonts w:ascii="Cambria" w:eastAsia="SimSun" w:hAnsi="Cambria"/>
          <w:i/>
          <w:iCs/>
          <w:color w:val="1A1A1A"/>
          <w:sz w:val="22"/>
          <w:szCs w:val="22"/>
          <w:vertAlign w:val="subscript"/>
        </w:rPr>
        <w:t xml:space="preserve">turn</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This makes the model economically aware of excessive movement: every basis point of weight change eventually maps to execution cost, spread and slippage, and the turnover penalty internalizes that cost at optimization time rather than discovering it at trade time. The penalty composes with the MARP execution gates — the optimizer proposes less movement, and the executor independently verifies that whatever movement remains is worth its cost (Section 10.8).</w:t>
      </w:r>
    </w:p>
    <w:p>
      <w:pPr>
        <w:pStyle w:val="Heading2"/>
        <w:keepNext/>
        <w:spacing w:after="160" w:before="360" w:line="340" w:lineRule="atLeast"/>
      </w:pPr>
      <w:bookmarkStart w:id="100055" w:name="_Toc100055"/>
      <w:r>
        <w:rPr>
          <w:rFonts w:ascii="Calibri" w:eastAsia="Microsoft YaHei" w:hAnsi="Calibri"/>
          <w:b/>
          <w:bCs/>
          <w:color w:val="1A1A1A"/>
          <w:sz w:val="28"/>
          <w:szCs w:val="28"/>
        </w:rPr>
        <w:t xml:space="preserve">7.4 The Full MASE Objective</w:t>
      </w:r>
      <w:bookmarkEnd w:id="100055"/>
    </w:p>
    <w:p>
      <w:pPr>
        <w:spacing w:after="120" w:line="312"/>
        <w:jc w:val="both"/>
      </w:pPr>
      <w:r>
        <w:rPr>
          <w:rFonts w:ascii="Calibri" w:eastAsia="SimSun" w:hAnsi="Calibri"/>
          <w:b w:val="false"/>
          <w:bCs w:val="false"/>
          <w:color w:val="1A1A1A"/>
          <w:sz w:val="21"/>
          <w:szCs w:val="21"/>
        </w:rPr>
        <w:t xml:space="preserve">The central optimization of the weighting layer is [MS §28]:</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min</w:t>
      </w:r>
      <w:r>
        <w:rPr>
          <w:rFonts w:ascii="Cambria" w:eastAsia="SimSun" w:hAnsi="Cambria"/>
          <w:i/>
          <w:iCs/>
          <w:color w:val="1A1A1A"/>
          <w:sz w:val="22"/>
          <w:szCs w:val="22"/>
          <w:vertAlign w:val="subscript"/>
        </w:rPr>
        <w:t xml:space="preserve">w</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1</w:t>
      </w:r>
      <w:r>
        <w:rPr>
          <w:rFonts w:ascii="Cambria" w:eastAsia="SimSun" w:hAnsi="Cambria"/>
          <w:i/>
          <w:iCs/>
          <w:color w:val="1A1A1A"/>
          <w:sz w:val="22"/>
          <w:szCs w:val="22"/>
        </w:rPr>
        <w:t xml:space="preserve"> Risk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2</w:t>
      </w:r>
      <w:r>
        <w:rPr>
          <w:rFonts w:ascii="Cambria" w:eastAsia="SimSun" w:hAnsi="Cambria"/>
          <w:i/>
          <w:iCs/>
          <w:color w:val="1A1A1A"/>
          <w:sz w:val="22"/>
          <w:szCs w:val="22"/>
        </w:rPr>
        <w:t xml:space="preserve"> CVaR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3</w:t>
      </w:r>
      <w:r>
        <w:rPr>
          <w:rFonts w:ascii="Cambria" w:eastAsia="SimSun" w:hAnsi="Cambria"/>
          <w:i/>
          <w:iCs/>
          <w:color w:val="1A1A1A"/>
          <w:sz w:val="22"/>
          <w:szCs w:val="22"/>
        </w:rPr>
        <w:t xml:space="preserve"> PPError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4</w:t>
      </w:r>
      <w:r>
        <w:rPr>
          <w:rFonts w:ascii="Cambria" w:eastAsia="SimSun" w:hAnsi="Cambria"/>
          <w:i/>
          <w:iCs/>
          <w:color w:val="1A1A1A"/>
          <w:sz w:val="22"/>
          <w:szCs w:val="22"/>
        </w:rPr>
        <w:t xml:space="preserve"> CorrRisk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5</w:t>
      </w:r>
      <w:r>
        <w:rPr>
          <w:rFonts w:ascii="Cambria" w:eastAsia="SimSun" w:hAnsi="Cambria"/>
          <w:i/>
          <w:iCs/>
          <w:color w:val="1A1A1A"/>
          <w:sz w:val="22"/>
          <w:szCs w:val="22"/>
        </w:rPr>
        <w:t xml:space="preserve"> Turnover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6</w:t>
      </w:r>
      <w:r>
        <w:rPr>
          <w:rFonts w:ascii="Cambria" w:eastAsia="SimSun" w:hAnsi="Cambria"/>
          <w:i/>
          <w:iCs/>
          <w:color w:val="1A1A1A"/>
          <w:sz w:val="22"/>
          <w:szCs w:val="22"/>
        </w:rPr>
        <w:t xml:space="preserve"> StrategicDrift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7</w:t>
      </w:r>
      <w:r>
        <w:rPr>
          <w:rFonts w:ascii="Cambria" w:eastAsia="SimSun" w:hAnsi="Cambria"/>
          <w:i/>
          <w:iCs/>
          <w:color w:val="1A1A1A"/>
          <w:sz w:val="22"/>
          <w:szCs w:val="22"/>
        </w:rPr>
        <w:t xml:space="preserve"> Concentration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8</w:t>
      </w:r>
      <w:r>
        <w:rPr>
          <w:rFonts w:ascii="Cambria" w:eastAsia="SimSun" w:hAnsi="Cambria"/>
          <w:i/>
          <w:iCs/>
          <w:color w:val="1A1A1A"/>
          <w:sz w:val="22"/>
          <w:szCs w:val="22"/>
        </w:rPr>
        <w:t xml:space="preserve"> LiquidityRisk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subject to the complete MTQ Σ constraint set [COO-12]:</w:t>
      </w:r>
    </w:p>
    <w:p>
      <w:pPr>
        <w:spacing w:after="120" w:before="120" w:line="312"/>
        <w:jc w:val="center"/>
      </w:pP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1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0</w:t>
      </w:r>
    </w:p>
    <w:p>
      <w:pPr>
        <w:spacing w:after="120" w:before="120" w:line="312"/>
        <w:jc w:val="center"/>
      </w:pPr>
      <w:r>
        <w:rPr>
          <w:rFonts w:ascii="Cambria" w:eastAsia="SimSun" w:hAnsi="Cambria"/>
          <w:i/>
          <w:iCs/>
          <w:color w:val="1A1A1A"/>
          <w:sz w:val="22"/>
          <w:szCs w:val="22"/>
        </w:rPr>
        <w:t xml:space="preserve">L</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U</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i,t</w:t>
      </w:r>
    </w:p>
    <w:p>
      <w:pPr>
        <w:spacing w:after="120" w:before="120" w:line="312"/>
        <w:jc w:val="center"/>
      </w:pPr>
      <w:r>
        <w:rPr>
          <w:rFonts w:ascii="Cambria" w:eastAsia="SimSun" w:hAnsi="Cambria"/>
          <w:i/>
          <w:iCs/>
          <w:color w:val="1A1A1A"/>
          <w:sz w:val="22"/>
          <w:szCs w:val="22"/>
        </w:rPr>
        <w:t xml:space="preserve">Coverage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100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LiquidityCoverage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LCR</w:t>
      </w:r>
      <w:r>
        <w:rPr>
          <w:rFonts w:ascii="Cambria" w:eastAsia="SimSun" w:hAnsi="Cambria"/>
          <w:i/>
          <w:iCs/>
          <w:color w:val="1A1A1A"/>
          <w:sz w:val="22"/>
          <w:szCs w:val="22"/>
          <w:vertAlign w:val="subscript"/>
        </w:rPr>
        <w:t xml:space="preserve">min</w:t>
      </w:r>
    </w:p>
    <w:p>
      <w:pPr>
        <w:spacing w:after="120" w:line="312"/>
        <w:jc w:val="both"/>
      </w:pPr>
      <w:r>
        <w:rPr>
          <w:rFonts w:ascii="Calibri" w:eastAsia="SimSun" w:hAnsi="Calibri"/>
          <w:b w:val="false"/>
          <w:bCs w:val="false"/>
          <w:color w:val="1A1A1A"/>
          <w:sz w:val="21"/>
          <w:szCs w:val="21"/>
        </w:rPr>
        <w:t xml:space="preserve">together with the eligibility constraints of the constituency engine (Chapter 4) and the stress-adaptive smoothing rule (Section 8.4). Each constraint in this set is individually defined, typed and mapped to its enforcement mechanism in Section 8.5, which is the consolidated reference table for the whole constraint system. The objective is intentionally multi-term: no single criterion defines stability, and the λ vector encodes the governed trade-off among variance, tail risk, purchasing power, correlation fragility, trading cost, structural recognizability, concentration and liquidity. The λ values are Risk-Council parameters within constitutional envelopes, are published with every methodology version, and are perturbation-tested; λ_{CVaR,t} is additionally regime-scaled (Section 5.5).</w:t>
      </w:r>
    </w:p>
    <w:p>
      <w:pPr>
        <w:pStyle w:val="Heading2"/>
        <w:keepNext/>
        <w:spacing w:after="160" w:before="360" w:line="340" w:lineRule="atLeast"/>
      </w:pPr>
      <w:bookmarkStart w:id="100056" w:name="_Toc100056"/>
      <w:r>
        <w:rPr>
          <w:rFonts w:ascii="Calibri" w:eastAsia="Microsoft YaHei" w:hAnsi="Calibri"/>
          <w:b/>
          <w:bCs/>
          <w:color w:val="1A1A1A"/>
          <w:sz w:val="28"/>
          <w:szCs w:val="28"/>
        </w:rPr>
        <w:t xml:space="preserve">7.5 The Ensemble Architecture</w:t>
      </w:r>
      <w:bookmarkEnd w:id="100056"/>
    </w:p>
    <w:p>
      <w:pPr>
        <w:spacing w:after="120" w:line="312"/>
        <w:jc w:val="both"/>
      </w:pPr>
      <w:r>
        <w:rPr>
          <w:rFonts w:ascii="Calibri" w:eastAsia="SimSun" w:hAnsi="Calibri"/>
          <w:b w:val="false"/>
          <w:bCs w:val="false"/>
          <w:color w:val="1A1A1A"/>
          <w:sz w:val="21"/>
          <w:szCs w:val="21"/>
        </w:rPr>
        <w:t xml:space="preserve">Instead of trusting one optimizer, MASE generates several candidate solutions [MS §29]:</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Stability</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Diversification</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TailRisk</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PurchasingPower</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Institutional</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Regime</w:t>
      </w:r>
    </w:p>
    <w:p>
      <w:pPr>
        <w:spacing w:after="120" w:line="312"/>
        <w:jc w:val="both"/>
      </w:pPr>
      <w:r>
        <w:rPr>
          <w:rFonts w:ascii="Calibri" w:eastAsia="SimSun" w:hAnsi="Calibri"/>
          <w:b w:val="false"/>
          <w:bCs w:val="false"/>
          <w:color w:val="1A1A1A"/>
          <w:sz w:val="21"/>
          <w:szCs w:val="21"/>
        </w:rPr>
        <w:t xml:space="preserve">corresponding to the minimum-variance / risk-parity family, the maximum-diversification family, the CVaR family, the purchasing-power family, the institutionally-informed (reserve/trade/liquidity-score) family, and the regime-conditional family. The ensemble generates:</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Ensemble</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m</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α</w:t>
      </w:r>
      <w:r>
        <w:rPr>
          <w:rFonts w:ascii="Cambria" w:eastAsia="SimSun" w:hAnsi="Cambria"/>
          <w:i/>
          <w:iCs/>
          <w:color w:val="1A1A1A"/>
          <w:sz w:val="22"/>
          <w:szCs w:val="22"/>
          <w:vertAlign w:val="subscript"/>
        </w:rPr>
        <w:t xml:space="preserve">m</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(m)</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m</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α</w:t>
      </w:r>
      <w:r>
        <w:rPr>
          <w:rFonts w:ascii="Cambria" w:eastAsia="SimSun" w:hAnsi="Cambria"/>
          <w:i/>
          <w:iCs/>
          <w:color w:val="1A1A1A"/>
          <w:sz w:val="22"/>
          <w:szCs w:val="22"/>
          <w:vertAlign w:val="subscript"/>
        </w:rPr>
        <w:t xml:space="preserve">m</w:t>
      </w:r>
      <w:r>
        <w:rPr>
          <w:rFonts w:ascii="Cambria" w:eastAsia="SimSun" w:hAnsi="Cambria"/>
          <w:i/>
          <w:iCs/>
          <w:color w:val="1A1A1A"/>
          <w:sz w:val="22"/>
          <w:szCs w:val="22"/>
        </w:rPr>
        <w:t xml:space="preserve"> = 1</w:t>
      </w:r>
    </w:p>
    <w:p>
      <w:pPr>
        <w:spacing w:after="120" w:line="312"/>
        <w:jc w:val="both"/>
      </w:pPr>
      <w:r>
        <w:rPr>
          <w:rFonts w:ascii="Calibri" w:eastAsia="SimSun" w:hAnsi="Calibri"/>
          <w:b w:val="false"/>
          <w:bCs w:val="false"/>
          <w:color w:val="1A1A1A"/>
          <w:sz w:val="21"/>
          <w:szCs w:val="21"/>
        </w:rPr>
        <w:t xml:space="preserve">A previously discussed illustrative split (45/35/20) is explicitly NOT fixed and must not be quoted as a system parameter. Ensemble averaging is the primary robustness device of the whole engine: individual optimizers fail in different regimes, and the mixture degrades gracefully because the failure of one member is diluted by the others. Every member's admissibility is enforced before averaging — the ensemble average of inadmissible solutions is not automatically admissible, so the projection of Section 8.1 runs after the mixture.</w:t>
      </w:r>
    </w:p>
    <w:p>
      <w:pPr>
        <w:pStyle w:val="Heading2"/>
        <w:keepNext/>
        <w:spacing w:after="160" w:before="360" w:line="340" w:lineRule="atLeast"/>
      </w:pPr>
      <w:bookmarkStart w:id="100057" w:name="_Toc100057"/>
      <w:r>
        <w:rPr>
          <w:rFonts w:ascii="Calibri" w:eastAsia="Microsoft YaHei" w:hAnsi="Calibri"/>
          <w:b/>
          <w:bCs/>
          <w:color w:val="1A1A1A"/>
          <w:sz w:val="28"/>
          <w:szCs w:val="28"/>
        </w:rPr>
        <w:t xml:space="preserve">7.6 Adaptive Model Weights</w:t>
      </w:r>
      <w:bookmarkEnd w:id="100057"/>
    </w:p>
    <w:p>
      <w:pPr>
        <w:spacing w:after="120" w:line="312"/>
        <w:jc w:val="both"/>
      </w:pPr>
      <w:r>
        <w:rPr>
          <w:rFonts w:ascii="Calibri" w:eastAsia="SimSun" w:hAnsi="Calibri"/>
          <w:b w:val="false"/>
          <w:bCs w:val="false"/>
          <w:color w:val="1A1A1A"/>
          <w:sz w:val="21"/>
          <w:szCs w:val="21"/>
        </w:rPr>
        <w:t xml:space="preserve">Instead of fixed ensemble coefficients, the α_m are performance-stability scored [MS §30, COO-13]. For model m at time t:</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Score</w:t>
      </w:r>
      <w:r>
        <w:rPr>
          <w:rFonts w:ascii="Cambria" w:eastAsia="SimSun" w:hAnsi="Cambria"/>
          <w:i/>
          <w:iCs/>
          <w:color w:val="1A1A1A"/>
          <w:sz w:val="22"/>
          <w:szCs w:val="22"/>
          <w:vertAlign w:val="subscript"/>
        </w:rPr>
        <w:t xml:space="preserve">m,t</w:t>
      </w:r>
      <w:r>
        <w:rPr>
          <w:rFonts w:ascii="Cambria" w:eastAsia="SimSun" w:hAnsi="Cambria"/>
          <w:i/>
          <w:iCs/>
          <w:color w:val="1A1A1A"/>
          <w:sz w:val="22"/>
          <w:szCs w:val="22"/>
        </w:rPr>
        <w:t xml:space="preserve"> = f(OOSRisk,</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CVaR,</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PPError,</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Turnover,</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Robustness)</w:t>
      </w:r>
    </w:p>
    <w:p>
      <w:pPr>
        <w:spacing w:after="120" w:line="312"/>
        <w:jc w:val="both"/>
      </w:pPr>
      <w:r>
        <w:rPr>
          <w:rFonts w:ascii="Calibri" w:eastAsia="SimSun" w:hAnsi="Calibri"/>
          <w:b w:val="false"/>
          <w:bCs w:val="false"/>
          <w:color w:val="1A1A1A"/>
          <w:sz w:val="21"/>
          <w:szCs w:val="21"/>
        </w:rPr>
        <w:t xml:space="preserve">and the coefficients follow a softmax with temperature η (score orientation chosen so that better models receive greater weight):</w:t>
      </w:r>
    </w:p>
    <w:p>
      <w:pPr>
        <w:spacing w:after="120" w:before="120" w:line="312"/>
        <w:jc w:val="center"/>
      </w:pPr>
      <w:r>
        <w:rPr>
          <w:rFonts w:ascii="Cambria" w:eastAsia="SimSun" w:hAnsi="Cambria"/>
          <w:i w:val="false"/>
          <w:iCs w:val="false"/>
          <w:color w:val="1A1A1A"/>
          <w:sz w:val="22"/>
          <w:szCs w:val="22"/>
        </w:rPr>
        <w:t xml:space="preserve">α</w:t>
      </w:r>
      <w:r>
        <w:rPr>
          <w:rFonts w:ascii="Cambria" w:eastAsia="SimSun" w:hAnsi="Cambria"/>
          <w:i/>
          <w:iCs/>
          <w:color w:val="1A1A1A"/>
          <w:sz w:val="22"/>
          <w:szCs w:val="22"/>
          <w:vertAlign w:val="subscript"/>
        </w:rPr>
        <w:t xml:space="preserve">m,t</w:t>
      </w:r>
      <w:r>
        <w:rPr>
          <w:rFonts w:ascii="Cambria" w:eastAsia="SimSun" w:hAnsi="Cambria"/>
          <w:i/>
          <w:iCs/>
          <w:color w:val="1A1A1A"/>
          <w:sz w:val="22"/>
          <w:szCs w:val="22"/>
        </w:rPr>
        <w:t xml:space="preserve"> = (e</w:t>
      </w:r>
      <w:r>
        <w:rPr>
          <w:rFonts w:ascii="Cambria" w:eastAsia="SimSun" w:hAnsi="Cambria"/>
          <w:i/>
          <w:iCs/>
          <w:color w:val="1A1A1A"/>
          <w:sz w:val="22"/>
          <w:szCs w:val="22"/>
          <w:vertAlign w:val="superscript"/>
        </w:rPr>
        <w:t xml:space="preserve">-</w:t>
      </w:r>
      <w:r>
        <w:rPr>
          <w:rFonts w:ascii="Cambria" w:eastAsia="SimSun" w:hAnsi="Cambria"/>
          <w:i w:val="false"/>
          <w:iCs w:val="false"/>
          <w:color w:val="1A1A1A"/>
          <w:sz w:val="22"/>
          <w:szCs w:val="22"/>
          <w:vertAlign w:val="superscript"/>
        </w:rPr>
        <w:t xml:space="preserve">η</w:t>
      </w:r>
      <w:r>
        <w:rPr>
          <w:rFonts w:ascii="Cambria" w:eastAsia="SimSun" w:hAnsi="Cambria"/>
          <w:i/>
          <w:iCs/>
          <w:color w:val="1A1A1A"/>
          <w:sz w:val="22"/>
          <w:szCs w:val="22"/>
          <w:vertAlign w:val="superscript"/>
        </w:rPr>
        <w:t xml:space="preserve"> </w:t>
      </w:r>
      <w:r>
        <w:rPr>
          <w:rFonts w:ascii="Cambria" w:eastAsia="SimSun" w:hAnsi="Cambria"/>
          <w:i w:val="false"/>
          <w:iCs w:val="false"/>
          <w:color w:val="1A1A1A"/>
          <w:sz w:val="22"/>
          <w:szCs w:val="22"/>
          <w:vertAlign w:val="superscript"/>
        </w:rPr>
        <w:t xml:space="preserve"> </w:t>
      </w:r>
      <w:r>
        <w:rPr>
          <w:rFonts w:ascii="Cambria" w:eastAsia="SimSun" w:hAnsi="Cambria"/>
          <w:i/>
          <w:iCs/>
          <w:color w:val="1A1A1A"/>
          <w:sz w:val="22"/>
          <w:szCs w:val="22"/>
          <w:vertAlign w:val="superscript"/>
        </w:rPr>
        <w:t xml:space="preserve"> Score</w:t>
      </w:r>
      <w:r>
        <w:rPr>
          <w:rFonts w:ascii="Cambria" w:eastAsia="SimSun" w:hAnsi="Cambria"/>
          <w:i/>
          <w:iCs/>
          <w:color w:val="1A1A1A"/>
          <w:sz w:val="22"/>
          <w:szCs w:val="22"/>
          <w:vertAlign w:val="subscript"/>
        </w:rPr>
        <w:t xml:space="preserve">m,t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k</w:t>
      </w:r>
      <w:r>
        <w:rPr>
          <w:rFonts w:ascii="Cambria" w:eastAsia="SimSun" w:hAnsi="Cambria"/>
          <w:i/>
          <w:iCs/>
          <w:color w:val="1A1A1A"/>
          <w:sz w:val="22"/>
          <w:szCs w:val="22"/>
        </w:rPr>
        <w:t xml:space="preserve"> e</w:t>
      </w:r>
      <w:r>
        <w:rPr>
          <w:rFonts w:ascii="Cambria" w:eastAsia="SimSun" w:hAnsi="Cambria"/>
          <w:i/>
          <w:iCs/>
          <w:color w:val="1A1A1A"/>
          <w:sz w:val="22"/>
          <w:szCs w:val="22"/>
          <w:vertAlign w:val="superscript"/>
        </w:rPr>
        <w:t xml:space="preserve">-</w:t>
      </w:r>
      <w:r>
        <w:rPr>
          <w:rFonts w:ascii="Cambria" w:eastAsia="SimSun" w:hAnsi="Cambria"/>
          <w:i w:val="false"/>
          <w:iCs w:val="false"/>
          <w:color w:val="1A1A1A"/>
          <w:sz w:val="22"/>
          <w:szCs w:val="22"/>
          <w:vertAlign w:val="superscript"/>
        </w:rPr>
        <w:t xml:space="preserve">η</w:t>
      </w:r>
      <w:r>
        <w:rPr>
          <w:rFonts w:ascii="Cambria" w:eastAsia="SimSun" w:hAnsi="Cambria"/>
          <w:i/>
          <w:iCs/>
          <w:color w:val="1A1A1A"/>
          <w:sz w:val="22"/>
          <w:szCs w:val="22"/>
          <w:vertAlign w:val="superscript"/>
        </w:rPr>
        <w:t xml:space="preserve"> </w:t>
      </w:r>
      <w:r>
        <w:rPr>
          <w:rFonts w:ascii="Cambria" w:eastAsia="SimSun" w:hAnsi="Cambria"/>
          <w:i w:val="false"/>
          <w:iCs w:val="false"/>
          <w:color w:val="1A1A1A"/>
          <w:sz w:val="22"/>
          <w:szCs w:val="22"/>
          <w:vertAlign w:val="superscript"/>
        </w:rPr>
        <w:t xml:space="preserve"> </w:t>
      </w:r>
      <w:r>
        <w:rPr>
          <w:rFonts w:ascii="Cambria" w:eastAsia="SimSun" w:hAnsi="Cambria"/>
          <w:i/>
          <w:iCs/>
          <w:color w:val="1A1A1A"/>
          <w:sz w:val="22"/>
          <w:szCs w:val="22"/>
          <w:vertAlign w:val="superscript"/>
        </w:rPr>
        <w:t xml:space="preserve"> Score</w:t>
      </w:r>
      <w:r>
        <w:rPr>
          <w:rFonts w:ascii="Cambria" w:eastAsia="SimSun" w:hAnsi="Cambria"/>
          <w:i/>
          <w:iCs/>
          <w:color w:val="1A1A1A"/>
          <w:sz w:val="22"/>
          <w:szCs w:val="22"/>
          <w:vertAlign w:val="subscript"/>
        </w:rPr>
        <w:t xml:space="preserve">k,t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so that the live ensemble is the adaptive mixture:</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Ensemble</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m</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α</w:t>
      </w:r>
      <w:r>
        <w:rPr>
          <w:rFonts w:ascii="Cambria" w:eastAsia="SimSun" w:hAnsi="Cambria"/>
          <w:i/>
          <w:iCs/>
          <w:color w:val="1A1A1A"/>
          <w:sz w:val="22"/>
          <w:szCs w:val="22"/>
          <w:vertAlign w:val="subscript"/>
        </w:rPr>
        <w:t xml:space="preserve">m,t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(m)</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m</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α</w:t>
      </w:r>
      <w:r>
        <w:rPr>
          <w:rFonts w:ascii="Cambria" w:eastAsia="SimSun" w:hAnsi="Cambria"/>
          <w:i/>
          <w:iCs/>
          <w:color w:val="1A1A1A"/>
          <w:sz w:val="22"/>
          <w:szCs w:val="22"/>
          <w:vertAlign w:val="subscript"/>
        </w:rPr>
        <w:t xml:space="preserve">m,t</w:t>
      </w:r>
      <w:r>
        <w:rPr>
          <w:rFonts w:ascii="Cambria" w:eastAsia="SimSun" w:hAnsi="Cambria"/>
          <w:i/>
          <w:iCs/>
          <w:color w:val="1A1A1A"/>
          <w:sz w:val="22"/>
          <w:szCs w:val="22"/>
        </w:rPr>
        <w:t xml:space="preserve"> = 1</w:t>
      </w:r>
    </w:p>
    <w:p>
      <w:pPr>
        <w:spacing w:after="120" w:line="312"/>
        <w:jc w:val="both"/>
      </w:pPr>
      <w:r>
        <w:rPr>
          <w:rFonts w:ascii="Calibri" w:eastAsia="SimSun" w:hAnsi="Calibri"/>
          <w:b w:val="false"/>
          <w:bCs w:val="false"/>
          <w:color w:val="1A1A1A"/>
          <w:sz w:val="21"/>
          <w:szCs w:val="21"/>
        </w:rPr>
        <w:t xml:space="preserve">This allows the best-performing robust models to receive greater influence without allowing a single model to dominate abruptly. The score is based on </w:t>
      </w:r>
      <w:r>
        <w:rPr>
          <w:rFonts w:ascii="Calibri" w:eastAsia="SimSun" w:hAnsi="Calibri"/>
          <w:b/>
          <w:bCs/>
          <w:color w:val="1A1A1A"/>
          <w:sz w:val="21"/>
          <w:szCs w:val="21"/>
        </w:rPr>
        <w:t xml:space="preserve">out-of-sample robustness</w:t>
      </w:r>
      <w:r>
        <w:rPr>
          <w:rFonts w:ascii="Calibri" w:eastAsia="SimSun" w:hAnsi="Calibri"/>
          <w:b w:val="false"/>
          <w:bCs w:val="false"/>
          <w:color w:val="1A1A1A"/>
          <w:sz w:val="21"/>
          <w:szCs w:val="21"/>
        </w:rPr>
        <w:t xml:space="preserve">, not merely historical return, and uses out-of-sample statistics only — the same leakage-controlled validation discipline as the research program (Section 23.4) — so the ensemble cannot reward in-sample overfitting. The temperature η bounds how fast influence can shift, adding a fourth anti-oscillation defense at the model-selection timescale.</w:t>
      </w:r>
    </w:p>
    <w:p>
      <w:pPr>
        <w:pStyle w:val="Heading2"/>
        <w:keepNext/>
        <w:spacing w:after="160" w:before="360" w:line="340" w:lineRule="atLeast"/>
      </w:pPr>
      <w:bookmarkStart w:id="100058" w:name="_Toc100058"/>
      <w:r>
        <w:rPr>
          <w:rFonts w:ascii="Calibri" w:eastAsia="Microsoft YaHei" w:hAnsi="Calibri"/>
          <w:b/>
          <w:bCs/>
          <w:color w:val="1A1A1A"/>
          <w:sz w:val="28"/>
          <w:szCs w:val="28"/>
        </w:rPr>
        <w:t xml:space="preserve">7.7 Smart Contract Implementation — MASE Weight Verification and Registry</w:t>
      </w:r>
      <w:bookmarkEnd w:id="100058"/>
    </w:p>
    <w:p>
      <w:pPr>
        <w:spacing w:after="120" w:line="312"/>
        <w:jc w:val="both"/>
      </w:pPr>
      <w:r>
        <w:rPr>
          <w:rFonts w:ascii="Calibri" w:eastAsia="SimSun" w:hAnsi="Calibri"/>
          <w:b w:val="false"/>
          <w:bCs w:val="false"/>
          <w:color w:val="1A1A1A"/>
          <w:sz w:val="21"/>
          <w:szCs w:val="21"/>
        </w:rPr>
        <w:t xml:space="preserve">MASE is computed off-chain from published data (COFER, BIS, oracle histories, CPI inputs) because the optimization is iterative and data-heavy; the smart-contract layer verifies and enforces. The contract below defines the submission path for new weight vectors: a Risk-Council-approved submitter posts a candidate snapshot with its data and methodology hashes; the contract enforces the constitutional envelopes, the sum-to-one, the velocity limits and the smoothing rule; accepted updates become the live registry state. This design keeps the on-chain footprint small while making every published weight vector checkable against the constitution by anyone.</w:t>
      </w:r>
    </w:p>
    <w:p>
      <w:pPr>
        <w:keepNext/>
        <w:spacing w:after="80" w:before="280" w:line="312"/>
      </w:pPr>
      <w:r>
        <w:rPr>
          <w:rFonts w:ascii="Calibri" w:eastAsia="SimSun" w:hAnsi="Calibri"/>
          <w:b/>
          <w:bCs/>
          <w:color w:val="8A6D1F"/>
          <w:sz w:val="19"/>
          <w:szCs w:val="19"/>
        </w:rPr>
        <w:t xml:space="preserve">Listing 2 — MASE weight verification and adaptive registry (supersedes BP §6.7 macro-engine storage)</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MASEWeightRegistry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Roles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 (approves submitters)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constitutionalCouncil; // 7/7 Multi-Sig (envelope changes, 90d timelock)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Component set (fixed order; GOLD = index 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bytes3[7] public COMPONENTS = ["USD","EUR","JPY","GBP","CNY","CHF","XAU"];</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Constitutional envelopes (validation-stage; §8.1)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public LOWER_BOUND = [0.23e18, 0.17e18, 0.07e18, 0.06e18, 0.03e18, 0.03e18, 0.20e18];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public UPPER_BOUND = [0.32e18, 0.24e18, 0.12e18, 0.11e18, 0.07e18, 0.07e18, 0.32e18];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Risk-Council velocity limits (per accepted update, §8.3)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public MAX_VELOCITY = [0.005e18, 0.005e18, 0.003e18, 0.003e18, 0.002e18, 0.002e18, 0.005e18];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Stress-adaptive smoothing (§8.4): 0.50 normal, 0.75 stress (1e18 scale)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smoothingRhoNormal = 0.50e18;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smoothingRhoStress = 0.75e18;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Live 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WeightState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weights;         // current live weights (smoothed), sum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targetWeights;   // last accepted MASE target (pre-smoothing)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methodologyVersion;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updatedAt;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WeightState public live;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submitter;        // keeper/operator posting MASE outputs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public envelopeFrozen;      // constitutional freeze flag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Events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WeightsAccepted(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newWeights,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targetWeights,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methodologyVersion,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WeightsRejected(string reason, uint256[7] submitted,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EnvelopeChanged(uint256[7] lower, uint256[7] upper,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onlyRiskCouncil() { require(msg.sender == riskCouncil, "Only Risk Council");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onlyConstitutionalCouncil() { require(msg.sender == constitutionalCouncil, "Only Constitutional Council");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onlySubmitter() { require(msg.sender == submitter, "Only submitter");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Submit a MASE target vector for verification and registry update.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Enforces: sum=1; envelopes; per-update velocity; stress-adaptive smoothing.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submitTargetWeights(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calldata target,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methodologyVersion,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external onlySubmitter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Sum-to-one and non-negativity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sum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require(target[i] &gt; 0, "Zero weight");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sum += target[i];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require(sum == 1e18, "Weights must sum to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Constitutional admissibility envelopes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require(target[i] &gt;= LOWER_BOUND[i], "Below lower bound");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require(target[i] &lt;= UPPER_BOUND[i], "Above upper bound");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Weight-velocity constraint vs previous live 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diff = target[i] &gt; live.weights[i]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target[i] - live.weights[i]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live.weights[i] - target[i];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require(diff &lt;= MAX_VELOCITY[i], "Velocity exceeded");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Stress-adaptive smoothing: rho rises when crisis score is elevated.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W_smooth = rho * W_prev + (1 - rho) * W_target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rho = isStress() ? smoothingRhoStress : smoothingRhoNormal;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memory smoothed;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smoothed[i] = (rho * live.weights[i] + (1e18 - rho) * target[i])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Commit registry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live.weights = smoothed;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live.targetWeights = target;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live.methodologyVersion = methodologyVersion;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live.dataVersion = 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live.updatedAt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WeightsAccepted(smoothed, target, methodologyVersion, dataVersion,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Stress flag consumed by the smoothing rule. Sourced from the crisis-score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oracle path (§5.5); conservative default is stress = true when unavailable.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isStress() internal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Production: read CrisisScore oracle; threshold per Risk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ICrisisOracle(crisisOracle).score() &gt; crisisThreshold;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crisisOracle;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crisisThreshold = 0.70e18;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Constitutional change to envelopes (7/7 + 90d timelock enforced off-chain).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setEnvelopes(uint256[7] calldata lower, uint256[7] calldata upper)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onlyConstitutionalCouncil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require(!envelopeFrozen, "Envelopes frozen");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LOWER_BOUND = lower;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UPPER_BOUND = upper;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EnvelopeChanged(lower, upper,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View accessor used by the index (§9.8) and MARP (§11.11).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getLiveWeights() external view returns (uint256[7] memory, bytes32, bytes32)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(live.weights, live.methodologyVersion, live.dataVersion);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ICrisisOracle { function score() external view returns (uint256); }</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The registry intentionally does NOT re-solve the optimization on-chain: reproducibility (Section 24.1) is achieved by publishing data and methodology versions such that any auditor can re-run MASE off-chain and obtain the identical target; the contract verifies constitutionality of the posted result. Rejected submissions emit WeightsRejected with a machine-readable reason, feeding the transparency layer of Chapter 24.</w:t>
      </w:r>
    </w:p>
    <w:p>
      <w:pPr>
        <w:pStyle w:val="Heading1"/>
        <w:keepNext/>
        <w:pBdr>
          <w:bottom w:val="single" w:color="C9A84C" w:sz="12" w:space="6"/>
        </w:pBdr>
        <w:spacing w:after="220" w:before="480" w:line="380" w:lineRule="atLeast"/>
      </w:pPr>
      <w:bookmarkStart w:id="100059" w:name="_Toc100059"/>
      <w:r>
        <w:rPr>
          <w:rFonts w:ascii="Calibri" w:eastAsia="Microsoft YaHei" w:hAnsi="Calibri"/>
          <w:b/>
          <w:bCs/>
          <w:color w:val="1A1A1A"/>
          <w:sz w:val="32"/>
          <w:szCs w:val="32"/>
        </w:rPr>
        <w:t xml:space="preserve">8. Constitutional Constraints and Guardrails</w:t>
      </w:r>
      <w:bookmarkEnd w:id="100059"/>
    </w:p>
    <w:p>
      <w:pPr>
        <w:pStyle w:val="Heading2"/>
        <w:keepNext/>
        <w:spacing w:after="160" w:before="360" w:line="340" w:lineRule="atLeast"/>
      </w:pPr>
      <w:bookmarkStart w:id="100060" w:name="_Toc100060"/>
      <w:r>
        <w:rPr>
          <w:rFonts w:ascii="Calibri" w:eastAsia="Microsoft YaHei" w:hAnsi="Calibri"/>
          <w:b/>
          <w:bCs/>
          <w:color w:val="1A1A1A"/>
          <w:sz w:val="28"/>
          <w:szCs w:val="28"/>
        </w:rPr>
        <w:t xml:space="preserve">8.1 Hard Bounds (Constitutional Admissibility Envelopes)</w:t>
      </w:r>
      <w:bookmarkEnd w:id="100060"/>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Adaptivity without boundaries would be discretion. Chapter 7 gave MASE an objective and an ensemble; this chapter gives it a constitution. The engine may compute any weight vector it can justify — but only inside hard, published, governance-protected bounds that no optimizer output, no regime classifier and no emergency council may cross [MS §31].</w:t>
      </w:r>
    </w:p>
    <w:p>
      <w:pPr>
        <w:spacing w:after="120" w:line="312"/>
        <w:jc w:val="both"/>
      </w:pPr>
      <w:r>
        <w:rPr>
          <w:rFonts w:ascii="Calibri" w:eastAsia="SimSun" w:hAnsi="Calibri"/>
          <w:b w:val="false"/>
          <w:bCs w:val="false"/>
          <w:color w:val="1A1A1A"/>
          <w:sz w:val="21"/>
          <w:szCs w:val="21"/>
        </w:rPr>
        <w:t xml:space="preserve">The system must retain broad constitutional guardrails [MS §31]. Even though the defining principle of v2.0 is that no weight is fixed (Section 3.1), every component of the reference basket is enclosed in an admissibility envelope: a lower bound and an upper bound between which its live weight must remain at all times. The envelopes are the outer wall of the admissible set; they are the reason the phrase 'the optimizer decides' never becomes 'the optimizer may do anything'. The initial research guardrails are [MS §31]:</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Component</w:t>
            </w:r>
          </w:p>
        </w:tc>
        <w:tc>
          <w:tcPr>
            <w:tcW w:type="pct" w:w="6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Initial Research Guardrail</w:t>
            </w:r>
          </w:p>
        </w:tc>
      </w:tr>
      <w:tr>
        <w:trPr>
          <w:cantSplit/>
        </w:trPr>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w:t>
            </w:r>
          </w:p>
        </w:tc>
        <w:tc>
          <w:tcPr>
            <w:tcW w:type="pct" w:w="6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23–32%</w:t>
            </w:r>
          </w:p>
        </w:tc>
      </w:tr>
      <w:tr>
        <w:trPr>
          <w:cantSplit/>
        </w:trPr>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w:t>
            </w:r>
          </w:p>
        </w:tc>
        <w:tc>
          <w:tcPr>
            <w:tcW w:type="pct" w:w="6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17–24%</w:t>
            </w:r>
          </w:p>
        </w:tc>
      </w:tr>
      <w:tr>
        <w:trPr>
          <w:cantSplit/>
        </w:trPr>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w:t>
            </w:r>
          </w:p>
        </w:tc>
        <w:tc>
          <w:tcPr>
            <w:tcW w:type="pct" w:w="6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7–12%</w:t>
            </w:r>
          </w:p>
        </w:tc>
      </w:tr>
      <w:tr>
        <w:trPr>
          <w:cantSplit/>
        </w:trPr>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w:t>
            </w:r>
          </w:p>
        </w:tc>
        <w:tc>
          <w:tcPr>
            <w:tcW w:type="pct" w:w="6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6–11%</w:t>
            </w:r>
          </w:p>
        </w:tc>
      </w:tr>
      <w:tr>
        <w:trPr>
          <w:cantSplit/>
        </w:trPr>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w:t>
            </w:r>
          </w:p>
        </w:tc>
        <w:tc>
          <w:tcPr>
            <w:tcW w:type="pct" w:w="6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3–7%</w:t>
            </w:r>
          </w:p>
        </w:tc>
      </w:tr>
      <w:tr>
        <w:trPr>
          <w:cantSplit/>
        </w:trPr>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CHF</w:t>
            </w:r>
          </w:p>
        </w:tc>
        <w:tc>
          <w:tcPr>
            <w:tcW w:type="pct" w:w="6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3–7%</w:t>
            </w:r>
          </w:p>
        </w:tc>
      </w:tr>
      <w:tr>
        <w:trPr>
          <w:cantSplit/>
        </w:trPr>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w:t>
            </w:r>
          </w:p>
        </w:tc>
        <w:tc>
          <w:tcPr>
            <w:tcW w:type="pct" w:w="6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20–32%</w:t>
            </w:r>
          </w:p>
        </w:tc>
      </w:tr>
    </w:tbl>
    <w:p>
      <w:pPr>
        <w:spacing w:after="120"/>
      </w:pPr>
    </w:p>
    <w:p>
      <w:pPr>
        <w:spacing w:after="120" w:line="312"/>
        <w:jc w:val="both"/>
      </w:pPr>
      <w:r>
        <w:rPr>
          <w:rFonts w:ascii="Calibri" w:eastAsia="SimSun" w:hAnsi="Calibri"/>
          <w:b w:val="false"/>
          <w:bCs w:val="false"/>
          <w:color w:val="1A1A1A"/>
          <w:sz w:val="21"/>
          <w:szCs w:val="21"/>
        </w:rPr>
        <w:t xml:space="preserve">These must be treated as validation-stage admissibility ranges, not fixed weighting targets [MS §31]. The distinction is categorical. A target is a value the system steers toward; an admissibility range is a region inside which the system may steer at all. The MASE objective contains no term that rewards proximity to the middle of an envelope, and the strategic prior (Section 3.2) — which is a soft anchor penalized in the objective (Section 7.1) — sits inside these ranges without being defined by them. The guardrails can themselves become functions of constituency, risk and system maturity after validation (Section 8.2), but they may never be removed: the projection of ensemble solutions onto this admissible set (Section 7.5) is the constitutional act that makes the whole adaptive architecture safe to delegate to mathematics.</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Validation-stage admissibility ranges, not fixed weighting targets. They can themselves become functions of constituency, risk and system maturity after validation. [MS §31]</w:t>
      </w:r>
    </w:p>
    <w:p>
      <w:pPr>
        <w:spacing w:after="120" w:line="312"/>
        <w:jc w:val="both"/>
      </w:pPr>
      <w:r>
        <w:rPr>
          <w:rFonts w:ascii="Calibri" w:eastAsia="SimSun" w:hAnsi="Calibri"/>
          <w:b w:val="false"/>
          <w:bCs w:val="false"/>
          <w:color w:val="1A1A1A"/>
          <w:sz w:val="21"/>
          <w:szCs w:val="21"/>
        </w:rPr>
        <w:t xml:space="preserve">The identical numeric values are already deployed in the built contracts: the LOWER_BOUND and UPPER_BOUND arrays of Listing 1 (Section 2.7) and Listing 2 (Section 7.7) carry exactly [0.23, 0.17, 0.07, 0.06, 0.03, 0.03, 0.20] and [0.32, 0.24, 0.12, 0.11, 0.07, 0.07, 0.32] on the 1e18 scale. On-chain enforcement is therefore not a future promise: any submitted weight vector outside the envelopes is rejected with a machine-readable reason (Section 7.7). Changing the envelopes is a constitutional act — 7-of-7 Constitutional Multi-Sig with a 90-day timelock (setEnvelopes in Listing 2) — while tightening bounds inside the constitutional wall is a Risk-Council parameter change (Section 22.3).</w:t>
      </w:r>
    </w:p>
    <w:p>
      <w:pPr>
        <w:spacing w:after="120" w:line="312"/>
        <w:jc w:val="both"/>
      </w:pPr>
      <w:r>
        <w:rPr>
          <w:rFonts w:ascii="Calibri" w:eastAsia="SimSun" w:hAnsi="Calibri"/>
          <w:b w:val="false"/>
          <w:bCs w:val="false"/>
          <w:color w:val="1A1A1A"/>
          <w:sz w:val="21"/>
          <w:szCs w:val="21"/>
        </w:rPr>
        <w:t xml:space="preserve">The envelope system is deliberately generous. The lower bounds sum to 79% and the upper bounds to 125%, so the intersection with full investment (Σ w_i = 1) is a polytope with a large interior rather than a knife-edge set; the operative tightening comes from the velocity constraint (Section 8.3) and the smoothing rule (Section 8.4), which bound how fast the system may travel inside the cage, not how wide the cage is. During validation (Chapter 23), the envelopes are perturbation-tested (Section 23.6) and stress-tested (Section 23.9): a candidate envelope set whose feasible region collapses under stressed covariance estimates is rejected, because an infeasible constitution is not a constitution.</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Terminology guard: the envelopes are admissibility bounds — not the strategic prior (Section 3.2), not the target weights (Section 7.4), and not a statement of composition. Quoting 'USD is 23–32% of MTQ Σ' is exactly as wrong as quoting 'USD is 27%': only the published weight series (Section 24.3) describes composition.</w:t>
      </w:r>
    </w:p>
    <w:p>
      <w:pPr>
        <w:pStyle w:val="Heading2"/>
        <w:keepNext/>
        <w:spacing w:after="160" w:before="360" w:line="340" w:lineRule="atLeast"/>
      </w:pPr>
      <w:bookmarkStart w:id="100061" w:name="_Toc100061"/>
      <w:r>
        <w:rPr>
          <w:rFonts w:ascii="Calibri" w:eastAsia="Microsoft YaHei" w:hAnsi="Calibri"/>
          <w:b/>
          <w:bCs/>
          <w:color w:val="1A1A1A"/>
          <w:sz w:val="28"/>
          <w:szCs w:val="28"/>
        </w:rPr>
        <w:t xml:space="preserve">8.2 Dynamic Admissibility</w:t>
      </w:r>
      <w:bookmarkEnd w:id="100061"/>
    </w:p>
    <w:p>
      <w:pPr>
        <w:spacing w:after="120" w:line="312"/>
        <w:jc w:val="both"/>
      </w:pPr>
      <w:r>
        <w:rPr>
          <w:rFonts w:ascii="Calibri" w:eastAsia="SimSun" w:hAnsi="Calibri"/>
          <w:b w:val="false"/>
          <w:bCs w:val="false"/>
          <w:color w:val="1A1A1A"/>
          <w:sz w:val="21"/>
          <w:szCs w:val="21"/>
        </w:rPr>
        <w:t xml:space="preserve">Static bands cannot distinguish a component whose fundamentals are improving from one that is deteriorating, and they cannot reflect how much weight the execution layer can actually carry at current liquidity. A more advanced form therefore makes the bounds themselves state-dependent [MS §32]:</w:t>
      </w:r>
    </w:p>
    <w:p>
      <w:pPr>
        <w:spacing w:after="120" w:before="120" w:line="312"/>
        <w:jc w:val="center"/>
      </w:pPr>
      <w:r>
        <w:rPr>
          <w:rFonts w:ascii="Cambria" w:eastAsia="SimSun" w:hAnsi="Cambria"/>
          <w:i/>
          <w:iCs/>
          <w:color w:val="1A1A1A"/>
          <w:sz w:val="22"/>
          <w:szCs w:val="22"/>
        </w:rPr>
        <w:t xml:space="preserve">L</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f(L</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Q</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iCs/>
          <w:color w:val="1A1A1A"/>
          <w:sz w:val="22"/>
          <w:szCs w:val="22"/>
        </w:rPr>
        <w:t xml:space="preserve">U</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f(U</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Q</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Each argument has a precise meaning in the wider architecture. L_{base} and U_{base} are the initial research guardrails of Section 8.1. Q_i is the constituency eligibility score of Chapter 4: a currency whose composite score deteriorates — reserve share eroding, liquidity thinning, transferability risk rising — sees its admissible band shift downward, so retirement pressure builds inside the constraint system before any exit decision is taken (Section 4.6). Risk_i is the component's risk contribution under the robust covariance of Section 6.2: a component whose marginal contribution to basket risk rises has its upper bound pulled down, independent of its score. Liquidity_i measures execution capacity (Chapters 10–11): a weight the market cannot absorb at reasonable cost is not an admissible weight, which is why liquidity enters the bound directly and not only through the turnover penalty (Section 7.3).</w:t>
      </w:r>
    </w:p>
    <w:p>
      <w:pPr>
        <w:spacing w:after="120" w:line="312"/>
        <w:jc w:val="both"/>
      </w:pPr>
      <w:r>
        <w:rPr>
          <w:rFonts w:ascii="Calibri" w:eastAsia="SimSun" w:hAnsi="Calibri"/>
          <w:b w:val="false"/>
          <w:bCs w:val="false"/>
          <w:color w:val="1A1A1A"/>
          <w:sz w:val="21"/>
          <w:szCs w:val="21"/>
        </w:rPr>
        <w:t xml:space="preserve">Dynamic admissibility is not unconstrained adaptivity. The dynamic bounds are subject to a maximum constitutional envelope [MS §32]:</w:t>
      </w:r>
    </w:p>
    <w:p>
      <w:pPr>
        <w:spacing w:after="120" w:before="120" w:line="312"/>
        <w:jc w:val="center"/>
      </w:pPr>
      <w:r>
        <w:rPr>
          <w:rFonts w:ascii="Cambria" w:eastAsia="SimSun" w:hAnsi="Cambria"/>
          <w:i/>
          <w:iCs/>
          <w:color w:val="1A1A1A"/>
          <w:sz w:val="22"/>
          <w:szCs w:val="22"/>
        </w:rPr>
        <w:t xml:space="preserve">L</w:t>
      </w:r>
      <w:r>
        <w:rPr>
          <w:rFonts w:ascii="Cambria" w:eastAsia="SimSun" w:hAnsi="Cambria"/>
          <w:i/>
          <w:iCs/>
          <w:color w:val="1A1A1A"/>
          <w:sz w:val="22"/>
          <w:szCs w:val="22"/>
          <w:vertAlign w:val="superscript"/>
        </w:rPr>
        <w:t xml:space="preserve">const</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U</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U</w:t>
      </w:r>
      <w:r>
        <w:rPr>
          <w:rFonts w:ascii="Cambria" w:eastAsia="SimSun" w:hAnsi="Cambria"/>
          <w:i/>
          <w:iCs/>
          <w:color w:val="1A1A1A"/>
          <w:sz w:val="22"/>
          <w:szCs w:val="22"/>
          <w:vertAlign w:val="superscript"/>
        </w:rPr>
        <w:t xml:space="preserve">const</w:t>
      </w:r>
      <w:r>
        <w:rPr>
          <w:rFonts w:ascii="Cambria" w:eastAsia="SimSun" w:hAnsi="Cambria"/>
          <w:i/>
          <w:iCs/>
          <w:color w:val="1A1A1A"/>
          <w:sz w:val="22"/>
          <w:szCs w:val="22"/>
          <w:vertAlign w:val="subscript"/>
        </w:rPr>
        <w:t xml:space="preserve">i</w:t>
      </w:r>
    </w:p>
    <w:p>
      <w:pPr>
        <w:spacing w:after="120" w:line="312"/>
        <w:jc w:val="both"/>
      </w:pPr>
      <w:r>
        <w:rPr>
          <w:rFonts w:ascii="Calibri" w:eastAsia="SimSun" w:hAnsi="Calibri"/>
          <w:b w:val="false"/>
          <w:bCs w:val="false"/>
          <w:color w:val="1A1A1A"/>
          <w:sz w:val="21"/>
          <w:szCs w:val="21"/>
        </w:rPr>
        <w:t xml:space="preserve">so even the admissible range can adapt, but only within a safe outer boundary [MS §32]. The constitutional arrays deployed in Listing 1 and Listing 2 hold the outer wall; the dynamic inner bands are methodology-version parameters, published with every weight publication (Section 24.3) and reproducible from published data (Section 24.1). The submission gate of Section 7.7 therefore enforces two layers with different legal force: the constitutional wall is hard, on-chain, and changeable only by 7-of-7 with timelock, while the dynamic bands are hard at the methodological level — a submitted vector violating the current bands fails verification (the bands can be passed to the verification call as versioned calldata, keeping gas costs bounded) — but re-derivable per version.</w:t>
      </w:r>
    </w:p>
    <w:p>
      <w:pPr>
        <w:spacing w:after="120" w:line="312"/>
        <w:jc w:val="both"/>
      </w:pPr>
      <w:r>
        <w:rPr>
          <w:rFonts w:ascii="Calibri" w:eastAsia="SimSun" w:hAnsi="Calibri"/>
          <w:b w:val="false"/>
          <w:bCs w:val="false"/>
          <w:color w:val="1A1A1A"/>
          <w:sz w:val="21"/>
          <w:szCs w:val="21"/>
        </w:rPr>
        <w:t xml:space="preserve">Activation discipline mirrors the rest of the architecture: the v1.0 deployment ships the static outer envelope only, because dynamic bounds are only as trustworthy as the Q_i, Risk_i and Liquidity_i estimates feeding them. Dynamic admissibility activates after the validation program (Chapter 23) demonstrates that the bound functions are stable under perturbation (Section 23.6) — the same discipline applied to covariance shrinkage (Section 6.2) and to ensemble coefficients (Section 7.6).</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[MS §32]: the Modification Specification defines the dynamic-bound functional form symbolically — f of base bound, quality score, risk and liquidity. The concrete f (monotone in Q_i and Liquidity_i, inverse in Risk_i, bounded by the constitutional envelope) is a quantitative-implementation deliverable of the research program (Chapter 23) and is published with each methodology version.</w:t>
      </w:r>
    </w:p>
    <w:p>
      <w:pPr>
        <w:pStyle w:val="Heading2"/>
        <w:keepNext/>
        <w:spacing w:after="160" w:before="360" w:line="340" w:lineRule="atLeast"/>
      </w:pPr>
      <w:bookmarkStart w:id="100062" w:name="_Toc100062"/>
      <w:r>
        <w:rPr>
          <w:rFonts w:ascii="Calibri" w:eastAsia="Microsoft YaHei" w:hAnsi="Calibri"/>
          <w:b/>
          <w:bCs/>
          <w:color w:val="1A1A1A"/>
          <w:sz w:val="28"/>
          <w:szCs w:val="28"/>
        </w:rPr>
        <w:t xml:space="preserve">8.3 The Weight-Velocity Constraint</w:t>
      </w:r>
      <w:bookmarkEnd w:id="100062"/>
    </w:p>
    <w:p>
      <w:pPr>
        <w:spacing w:after="120" w:line="312"/>
        <w:jc w:val="both"/>
      </w:pPr>
      <w:r>
        <w:rPr>
          <w:rFonts w:ascii="Calibri" w:eastAsia="SimSun" w:hAnsi="Calibri"/>
          <w:b w:val="false"/>
          <w:bCs w:val="false"/>
          <w:color w:val="1A1A1A"/>
          <w:sz w:val="21"/>
          <w:szCs w:val="21"/>
        </w:rPr>
        <w:t xml:space="preserve">The second line of defense operates on the rate of change rather than the level. Even a weight vector that is perfectly admissible level-wise can be dangerous if it arrives too fast: sudden reallocations amplify execution costs, signal instability to users, and interact badly with stressed markets. The constraint is simple and absolute — prevent sudden changes [MS §33]:</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i</w:t>
      </w:r>
    </w:p>
    <w:p>
      <w:pPr>
        <w:spacing w:after="120" w:line="312"/>
        <w:jc w:val="both"/>
      </w:pPr>
      <w:r>
        <w:rPr>
          <w:rFonts w:ascii="Calibri" w:eastAsia="SimSun" w:hAnsi="Calibri"/>
          <w:b w:val="false"/>
          <w:bCs w:val="false"/>
          <w:color w:val="1A1A1A"/>
          <w:sz w:val="21"/>
          <w:szCs w:val="21"/>
        </w:rPr>
        <w:t xml:space="preserve">The bound is per component, so the total movement Σ_i |w_{i,t} - w_{i,t-1}| is bounded by Σ_i Δ_i even though no separate portfolio-level cap is needed (the sum-to-one constraint already forces offsetting moves). The allowed change may itself depend on conditions [MS §33]:</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Driver [MS §33]</w:t>
            </w:r>
          </w:p>
        </w:tc>
        <w:tc>
          <w:tcPr>
            <w:tcW w:type="pct" w:w="2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Effect on Δ_{i,t}</w:t>
            </w:r>
          </w:p>
        </w:tc>
        <w:tc>
          <w:tcPr>
            <w:tcW w:type="pct" w:w="6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Mechanism</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w:t>
            </w:r>
          </w:p>
        </w:tc>
        <w:tc>
          <w:tcPr>
            <w:tcW w:type="pct" w:w="2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Δ shrinks for components with shallow execution capacity.</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Velocity inherits the same liquidity data as the MARP no-trade bands (Chapters 10–11).</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w:t>
            </w:r>
          </w:p>
        </w:tc>
        <w:tc>
          <w:tcPr>
            <w:tcW w:type="pct" w:w="2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Δ shrinks in crisis regimes.</w:t>
            </w:r>
          </w:p>
        </w:tc>
        <w:tc>
          <w:tcPr>
            <w:tcW w:type="pct" w:w="6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crisis score (Section 5.5) raises the smoothing parameter (Section 8.4) and tightens velocity together — nonessential movement slows on both dimensions at once.</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Transaction costs</w:t>
            </w:r>
          </w:p>
        </w:tc>
        <w:tc>
          <w:tcPr>
            <w:tcW w:type="pct" w:w="2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Δ shrinks when spreads, slippage and impact widen.</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optimizer already internalizes expected costs through the turnover penalty (Section 7.3); the velocity cap makes the bound hard rather than priced.</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Structural change</w:t>
            </w:r>
          </w:p>
        </w:tc>
        <w:tc>
          <w:tcPr>
            <w:tcW w:type="pct" w:w="2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Δ may temporarily widen for a specific component.</w:t>
            </w:r>
          </w:p>
        </w:tc>
        <w:tc>
          <w:tcPr>
            <w:tcW w:type="pct" w:w="6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Constituency transitions (Section 4.6) ramp entering and exiting components along scheduled transition windows — widened by rule, never by discretion.</w:t>
            </w:r>
          </w:p>
        </w:tc>
      </w:tr>
    </w:tbl>
    <w:p>
      <w:pPr>
        <w:spacing w:after="120"/>
      </w:pP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g(Liquidity</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Stress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Cost</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StructuralEvent</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deployed per-update velocity limits are the MAX_VELOCITY arrays of Listing 1 (Section 2.7) and Listing 2 (Section 7.7): USD and EUR 0.50%, JPY and GBP 0.30%, CNY and CHF 0.20%, and gold 0.50% per accepted update. These are Risk-Council parameters (4-of-7), deliberately distinct in governance weight from the constitutional envelopes: velocity is an execution-risk control and may be tightened quickly under stress, whereas the envelopes define the shape of the unit and move only through the constitutional path. The constraint applies to the published weight series — the smoothed live weights — and the genesis snapshot (Section 3.4) supplies the initial condition w_{i,0} from which the first velocity measurement is taken.</w:t>
      </w:r>
    </w:p>
    <w:p>
      <w:pPr>
        <w:spacing w:after="120" w:line="312"/>
        <w:jc w:val="both"/>
      </w:pPr>
      <w:r>
        <w:rPr>
          <w:rFonts w:ascii="Calibri" w:eastAsia="SimSun" w:hAnsi="Calibri"/>
          <w:b w:val="false"/>
          <w:bCs w:val="false"/>
          <w:color w:val="1A1A1A"/>
          <w:sz w:val="21"/>
          <w:szCs w:val="21"/>
        </w:rPr>
        <w:t xml:space="preserve">Velocity composes with the other anti-oscillation defenses rather than duplicating them. Hysteresis (Section 4.7) prevents membership oscillation; the rebalancing direction lock (Section 11.5) prevents thrash inside MARP; the smoothing rule (Section 8.4) paces adoption of every new target; the ensemble temperature (Section 7.6) bounds how fast model influence can shift. The velocity cap is the finest-grained defense of the set: it operates at the publication timescale, bounding what may appear in the published series between two accepted updates (Section 24.3). Note also the boundary of its scope: velocity constrains the calculation output, while trading frequency is governed separately by the MARP justification rules — daily calculation does not imply daily trading (invariant I11, Section 10.1).</w:t>
      </w:r>
    </w:p>
    <w:p>
      <w:pPr>
        <w:pStyle w:val="Heading2"/>
        <w:keepNext/>
        <w:spacing w:after="160" w:before="360" w:line="340" w:lineRule="atLeast"/>
      </w:pPr>
      <w:bookmarkStart w:id="100063" w:name="_Toc100063"/>
      <w:r>
        <w:rPr>
          <w:rFonts w:ascii="Calibri" w:eastAsia="Microsoft YaHei" w:hAnsi="Calibri"/>
          <w:b/>
          <w:bCs/>
          <w:color w:val="1A1A1A"/>
          <w:sz w:val="28"/>
          <w:szCs w:val="28"/>
        </w:rPr>
        <w:t xml:space="preserve">8.4 Stress-Adaptive Smoothing</w:t>
      </w:r>
      <w:bookmarkEnd w:id="100063"/>
    </w:p>
    <w:p>
      <w:pPr>
        <w:spacing w:after="120" w:line="312"/>
        <w:jc w:val="both"/>
      </w:pPr>
      <w:r>
        <w:rPr>
          <w:rFonts w:ascii="Calibri" w:eastAsia="SimSun" w:hAnsi="Calibri"/>
          <w:b w:val="false"/>
          <w:bCs w:val="false"/>
          <w:color w:val="1A1A1A"/>
          <w:sz w:val="21"/>
          <w:szCs w:val="21"/>
        </w:rPr>
        <w:t xml:space="preserve">After MASE calculates a target weight vector W_t^{Target} [MS §34], the target does not become the live basket instantly. The third line of defense is an explicit smoothing operator applied between the target state and the live state, in the four-state weight distinction W^{Prior} / W^{Target} / W^{Smooth} / W^{Execution} (Section 2.3):</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Smooth</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ρ</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t-1</w:t>
      </w:r>
      <w:r>
        <w:rPr>
          <w:rFonts w:ascii="Cambria" w:eastAsia="SimSun" w:hAnsi="Cambria"/>
          <w:i/>
          <w:iCs/>
          <w:color w:val="1A1A1A"/>
          <w:sz w:val="22"/>
          <w:szCs w:val="22"/>
        </w:rPr>
        <w:t xml:space="preserve"> + (1 - </w:t>
      </w:r>
      <w:r>
        <w:rPr>
          <w:rFonts w:ascii="Cambria" w:eastAsia="SimSun" w:hAnsi="Cambria"/>
          <w:i w:val="false"/>
          <w:iCs w:val="false"/>
          <w:color w:val="1A1A1A"/>
          <w:sz w:val="22"/>
          <w:szCs w:val="22"/>
        </w:rPr>
        <w:t xml:space="preserve">ρ</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Target</w:t>
      </w:r>
    </w:p>
    <w:p>
      <w:pPr>
        <w:spacing w:after="120" w:before="120" w:line="312"/>
        <w:jc w:val="center"/>
      </w:pPr>
      <w:r>
        <w:rPr>
          <w:rFonts w:ascii="Cambria" w:eastAsia="SimSun" w:hAnsi="Cambria"/>
          <w:i/>
          <w:iCs/>
          <w:color w:val="1A1A1A"/>
          <w:sz w:val="22"/>
          <w:szCs w:val="22"/>
        </w:rPr>
        <w:t xml:space="preserve">0 &lt; </w:t>
      </w:r>
      <w:r>
        <w:rPr>
          <w:rFonts w:ascii="Cambria" w:eastAsia="SimSun" w:hAnsi="Cambria"/>
          <w:i w:val="false"/>
          <w:iCs w:val="false"/>
          <w:color w:val="1A1A1A"/>
          <w:sz w:val="22"/>
          <w:szCs w:val="22"/>
        </w:rPr>
        <w:t xml:space="preserve">ρ</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&lt; 1</w:t>
      </w:r>
    </w:p>
    <w:p>
      <w:pPr>
        <w:spacing w:after="120" w:line="312"/>
        <w:jc w:val="both"/>
      </w:pPr>
      <w:r>
        <w:rPr>
          <w:rFonts w:ascii="Calibri" w:eastAsia="SimSun" w:hAnsi="Calibri"/>
          <w:b w:val="false"/>
          <w:bCs w:val="false"/>
          <w:color w:val="1A1A1A"/>
          <w:sz w:val="21"/>
          <w:szCs w:val="21"/>
        </w:rPr>
        <w:t xml:space="preserve">The interpretation is exponential blending: ρ_t is the persistence parameter. ρ_t = 0 would mean instant adoption of every target; ρ_t approaching 1 means near-frozen weights. The live vector is a convex combination of yesterday's live vector and today's engine output, so every published weight change is at most (1 - ρ_t) times the distance from the live state to the target — smoothing is therefore also a velocity reducer, and the velocity constraint of Section 8.3 applied to the smoothed series is automatically easier to satisfy than the same constraint applied to raw targets. The smoothed vector is what the registry publishes as live (Section 7.7) and what MARP tracks toward (Chapters 10–11); the target vector is published alongside it (Section 24.3), so observers can always distinguish what the engine wants from what the basket holds.</w:t>
      </w:r>
    </w:p>
    <w:p>
      <w:pPr>
        <w:spacing w:after="120" w:line="312"/>
        <w:jc w:val="both"/>
      </w:pPr>
      <w:r>
        <w:rPr>
          <w:rFonts w:ascii="Calibri" w:eastAsia="SimSun" w:hAnsi="Calibri"/>
          <w:b w:val="false"/>
          <w:bCs w:val="false"/>
          <w:color w:val="1A1A1A"/>
          <w:sz w:val="21"/>
          <w:szCs w:val="21"/>
        </w:rPr>
        <w:t xml:space="preserve">The constitutional rule is direction-dependent: ρ_t may become larger during unstable market conditions [MS §34]:</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More stress → slower nonessential changes. [MS §34]</w:t>
      </w:r>
    </w:p>
    <w:p>
      <w:pPr>
        <w:spacing w:after="120" w:line="312"/>
        <w:jc w:val="both"/>
      </w:pPr>
      <w:r>
        <w:rPr>
          <w:rFonts w:ascii="Calibri" w:eastAsia="SimSun" w:hAnsi="Calibri"/>
          <w:b w:val="false"/>
          <w:bCs w:val="false"/>
          <w:color w:val="1A1A1A"/>
          <w:sz w:val="21"/>
          <w:szCs w:val="21"/>
        </w:rPr>
        <w:t xml:space="preserve">The deployed values are smoothingRhoNormal = 0.50 and smoothingRhoStress = 0.75 (1e18 scale, Listing 2, Section 7.7), with the stress flag sourced from the crisis-score oracle path of Section 5.5 (threshold 0.70; conservative default to stress when the score is unavailable). The economic logic: in stressed markets both the input signals (volatility and correlation estimates, Sections 5.1 and 6.2) and the execution conditions (spreads and depth, Chapters 10–11) are degraded; slowing routine adaptation avoids chasing noise and avoids trading into illiquid markets. The word nonessential is load-bearing: smoothing paces drift toward targets, not safety-critical response. Risk-reducing corrections under crisis conditions are handled by the MARP crisis mode (Section 13.7) and the defensive posture machinery, which operate on the execution layer and are not slowed by ρ_t.</w:t>
      </w:r>
    </w:p>
    <w:p>
      <w:pPr>
        <w:spacing w:after="120" w:line="312"/>
        <w:jc w:val="both"/>
      </w:pPr>
      <w:r>
        <w:rPr>
          <w:rFonts w:ascii="Calibri" w:eastAsia="SimSun" w:hAnsi="Calibri"/>
          <w:b w:val="false"/>
          <w:bCs w:val="false"/>
          <w:color w:val="1A1A1A"/>
          <w:sz w:val="21"/>
          <w:szCs w:val="21"/>
        </w:rPr>
        <w:t xml:space="preserve">Smoothing does not change the target — it paces adoption. This separation is deliberate: the target series W^{Target} is the reproducible output of the published methodology (Section 24.1), the smoothed series W^{Smooth} is the constitutional live state, and the execution series W^{Execution} is what actually trades (Chapters 10–11). Because all three are published, the cost of smoothing is always visible: the tracking difference between W^{Smooth} and W^{Target} is an attribution item, not a hidden drag (Section 9.5).</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Implementation note: Listing 2 (Section 7.7) applies the smoothing rule inside submitTargetWeights — the accepted registry state is W^{Smooth} = ρ·W_{prev} + (1 - ρ)·W_{Target} with ρ selected by the stress flag, and the target vector is stored alongside for publication and audit.</w:t>
      </w:r>
    </w:p>
    <w:p>
      <w:pPr>
        <w:pStyle w:val="Heading2"/>
        <w:keepNext/>
        <w:spacing w:after="160" w:before="360" w:line="340" w:lineRule="atLeast"/>
      </w:pPr>
      <w:bookmarkStart w:id="100064" w:name="_Toc100064"/>
      <w:r>
        <w:rPr>
          <w:rFonts w:ascii="Calibri" w:eastAsia="Microsoft YaHei" w:hAnsi="Calibri"/>
          <w:b/>
          <w:bCs/>
          <w:color w:val="1A1A1A"/>
          <w:sz w:val="28"/>
          <w:szCs w:val="28"/>
        </w:rPr>
        <w:t xml:space="preserve">8.5 The Complete Constraint Set (Consolidated)</w:t>
      </w:r>
      <w:bookmarkEnd w:id="100064"/>
    </w:p>
    <w:p>
      <w:pPr>
        <w:spacing w:after="120" w:line="312"/>
        <w:jc w:val="both"/>
      </w:pPr>
      <w:r>
        <w:rPr>
          <w:rFonts w:ascii="Calibri" w:eastAsia="SimSun" w:hAnsi="Calibri"/>
          <w:b w:val="false"/>
          <w:bCs w:val="false"/>
          <w:color w:val="1A1A1A"/>
          <w:sz w:val="21"/>
          <w:szCs w:val="21"/>
        </w:rPr>
        <w:t xml:space="preserve">The consolidated MASE program is now stated in full [COO-12]. The objective of Section 7.4 is minimized subject to the following constraint system — this is the complete mathematical constitution of the weighting layer, and every published weight vector must be feasible with respect to all of it:</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1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0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L</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U</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Coverage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100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LiquidityCoverage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LCR</w:t>
      </w:r>
      <w:r>
        <w:rPr>
          <w:rFonts w:ascii="Cambria" w:eastAsia="SimSun" w:hAnsi="Cambria"/>
          <w:i/>
          <w:iCs/>
          <w:color w:val="1A1A1A"/>
          <w:sz w:val="22"/>
          <w:szCs w:val="22"/>
          <w:vertAlign w:val="subscript"/>
        </w:rPr>
        <w:t xml:space="preserve">min</w:t>
      </w:r>
    </w:p>
    <w:p>
      <w:pPr>
        <w:spacing w:after="120" w:line="312"/>
        <w:jc w:val="both"/>
      </w:pPr>
      <w:r>
        <w:rPr>
          <w:rFonts w:ascii="Calibri" w:eastAsia="SimSun" w:hAnsi="Calibri"/>
          <w:b w:val="false"/>
          <w:bCs w:val="false"/>
          <w:color w:val="1A1A1A"/>
          <w:sz w:val="21"/>
          <w:szCs w:val="21"/>
        </w:rPr>
        <w:t xml:space="preserve">The first four constraints govern the weight program itself and are verified on-chain at submission time by the registry gate of Section 7.7 (Listing 2): sum-to-one and positivity are checked element-wise, the admissibility envelopes are checked against the constitutional arrays, and the velocity limit is checked against the previous live weights. The last two couple the weight program to the reserve layer: Coverage_t ≥ 100% is the full-backing requirement — the reserve-ratio hard floor RR_t ≥ 1.00 of invariant I2 — and LiquidityCoverage_t ≥ LCR_{min} is the liquidity coverage requirement. Both live in the reserve architecture: the coverage floor is enforced at Section 14.2 and the liquidity regime operates in Chapter 13. They are monitored continuously, not only at weight-submission time, and a target vector whose execution would breach them is not executable — MARP (Chapters 10–11) refuses trades that violate reserve or liquidity rules, so an infeasible-in-practice solution never leaves the computation.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Constraint</w:t>
            </w:r>
          </w:p>
        </w:tc>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Type</w:t>
            </w:r>
          </w:p>
        </w:tc>
        <w:tc>
          <w:tcPr>
            <w:tcW w:type="pct" w:w="3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3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Enforcement</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∑_i w_i = 1</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Full investment: weights are shares of exactly one unit basket.</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8.5; on-chain gate §7.7 (Listing 2)</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w_i ≥ 0</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Long-only: no short positions, no leverage in the reference basket.</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8.5; on-chain gate §7.7 (Listing 2)</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L_{i,t} ≤ w_{i,t} ≤ U_{i,t}</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Admissibility envelopes (static Section 8.1, dynamic Section 8.2).</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§2.7 and §7.7 (Listings 1–2); 7/7 + timelock to change</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|w_{i,t} - w_{i,t-1}| ≤ Δ_{i,t}</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Weight velocity: bounded rate of change per component.</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§7.7; MARP execution gates, Chapters 10–11</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Coverage_t ≥ 100\%</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Full reserve backing of every unit (RR hard floor, invariant I2).</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13; hard floor §14.2</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LiquidityCoverage_t ≥ LCR_{min}</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coverage of stress redemption demand.</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13 (LCR regime)</w:t>
            </w:r>
          </w:p>
        </w:tc>
      </w:tr>
    </w:tbl>
    <w:p>
      <w:pPr>
        <w:spacing w:after="120"/>
      </w:pPr>
    </w:p>
    <w:p>
      <w:pPr>
        <w:spacing w:after="120" w:line="312"/>
        <w:jc w:val="both"/>
      </w:pPr>
      <w:r>
        <w:rPr>
          <w:rFonts w:ascii="Calibri" w:eastAsia="SimSun" w:hAnsi="Calibri"/>
          <w:b w:val="false"/>
          <w:bCs w:val="false"/>
          <w:color w:val="1A1A1A"/>
          <w:sz w:val="21"/>
          <w:szCs w:val="21"/>
        </w:rPr>
        <w:t xml:space="preserve">This table is the consolidated reference for the whole constraint system: wherever later chapters enforce, test or publish constraints, they cite back to this set. The typing matters. Constitutional constraints define the shape of the unit and change only through 7-of-7 governance with timelock; risk constraints bound how the system may move and are Risk-Council parameters; monetary constraints tie the weighting layer to the promise that every unit is fully backed and liquid (Chapters 13–14). The optimizer of Section 7.4 is free anywhere inside this polytope — and nowhere else.</w:t>
      </w:r>
    </w:p>
    <w:p>
      <w:pPr>
        <w:spacing w:after="120" w:line="312"/>
        <w:jc w:val="both"/>
      </w:pPr>
      <w:r>
        <w:rPr>
          <w:rFonts w:ascii="Calibri" w:eastAsia="SimSun" w:hAnsi="Calibri"/>
          <w:b w:val="false"/>
          <w:bCs w:val="false"/>
          <w:color w:val="1A1A1A"/>
          <w:sz w:val="21"/>
          <w:szCs w:val="21"/>
        </w:rPr>
        <w:t xml:space="preserve">Feasibility and robustness of the constraint set are themselves validation objects (Chapter 23). The static envelopes admit a non-empty interior (lower bounds sum to 79%, upper bounds to 125%); the perturbation study (Section 23.6) tests that the feasible set survives stressed inputs and that no single constraint becomes accidentally binding under realistic data; the stress program (Section 23.9) tests the joint system — envelopes, velocity, coverage and liquidity coverage together — under crisis scenarios. A constraint set that is only satisfiable in calm markets is a failure, and the validation program exists to find that out before production authorization (Chapter 25).</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Lineage [COO-12]: the review's completion of the MASE program — 'Your current equation is good, but I would make it complete' — added the admissibility, velocity, coverage and liquidity constraints to the bare sum-to-one/non-negativity pair, exactly as consolidated above. Chapter 9 completes the other half of the review's demand: the index-level mathematics that turns constrained weights into a published reference value.</w:t>
      </w:r>
    </w:p>
    <w:p>
      <w:pPr>
        <w:pStyle w:val="Heading1"/>
        <w:keepNext/>
        <w:pBdr>
          <w:bottom w:val="single" w:color="C9A84C" w:sz="12" w:space="6"/>
        </w:pBdr>
        <w:spacing w:after="220" w:before="480" w:line="380" w:lineRule="atLeast"/>
      </w:pPr>
      <w:bookmarkStart w:id="100065" w:name="_Toc100065"/>
      <w:r>
        <w:rPr>
          <w:rFonts w:ascii="Calibri" w:eastAsia="Microsoft YaHei" w:hAnsi="Calibri"/>
          <w:b/>
          <w:bCs/>
          <w:color w:val="1A1A1A"/>
          <w:sz w:val="32"/>
          <w:szCs w:val="32"/>
        </w:rPr>
        <w:t xml:space="preserve">9. Chain-Linked Index Valuation and Attribution</w:t>
      </w:r>
      <w:bookmarkEnd w:id="100065"/>
    </w:p>
    <w:p>
      <w:pPr>
        <w:pStyle w:val="Heading2"/>
        <w:keepNext/>
        <w:spacing w:after="160" w:before="360" w:line="340" w:lineRule="atLeast"/>
      </w:pPr>
      <w:bookmarkStart w:id="100066" w:name="_Toc100066"/>
      <w:r>
        <w:rPr>
          <w:rFonts w:ascii="Calibri" w:eastAsia="Microsoft YaHei" w:hAnsi="Calibri"/>
          <w:b/>
          <w:bCs/>
          <w:color w:val="1A1A1A"/>
          <w:sz w:val="28"/>
          <w:szCs w:val="28"/>
        </w:rPr>
        <w:t xml:space="preserve">9.1 Reference Basket Valuation</w:t>
      </w:r>
      <w:bookmarkEnd w:id="100066"/>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Weights are only half of the definition of MTQ Σ; the other half is the equation that turns weights and prices into a published reference value. This chapter specifies that equation — and the chain-link machinery that keeps it honest when weights change [MS §73–§78, COO-16–COO-18].</w:t>
      </w:r>
    </w:p>
    <w:p>
      <w:pPr>
        <w:spacing w:after="120" w:line="312"/>
        <w:jc w:val="both"/>
      </w:pPr>
      <w:r>
        <w:rPr>
          <w:rFonts w:ascii="Calibri" w:eastAsia="SimSun" w:hAnsi="Calibri"/>
          <w:b w:val="false"/>
          <w:bCs w:val="false"/>
          <w:color w:val="1A1A1A"/>
          <w:sz w:val="21"/>
          <w:szCs w:val="21"/>
        </w:rPr>
        <w:t xml:space="preserve">Let W_{i,t} be the current weight of component i and P_{i,t} the reference price of asset i at time t [MS §73] — the canonical multi-source prices of Chapter 17, USD-quoted, with the gold price taken from the canonical gold feed of Section 17.4. The reference unit value can be represented as [MS §73]:</w:t>
      </w:r>
    </w:p>
    <w:p>
      <w:pPr>
        <w:spacing w:after="120" w:before="120" w:line="312"/>
        <w:jc w:val="center"/>
      </w:pPr>
      <w:r>
        <w:rPr>
          <w:rFonts w:ascii="Cambria" w:eastAsia="SimSun" w:hAnsi="Cambria"/>
          <w:i/>
          <w:iCs/>
          <w:color w:val="1A1A1A"/>
          <w:sz w:val="22"/>
          <w:szCs w:val="22"/>
        </w:rPr>
        <w:t xml:space="preserve">NAV</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G</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i,0</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G_t is a transparent normalization factor [MS §73] and P_{i,0} are the immutable base-date fixings of the genesis snapshot (Section 3.4). The initial reference level can be set to a chosen institutional unit [MS §73]:</w:t>
      </w:r>
    </w:p>
    <w:p>
      <w:pPr>
        <w:spacing w:after="120" w:before="120" w:line="312"/>
        <w:jc w:val="center"/>
      </w:pPr>
      <w:r>
        <w:rPr>
          <w:rFonts w:ascii="Cambria" w:eastAsia="SimSun" w:hAnsi="Cambria"/>
          <w:i/>
          <w:iCs/>
          <w:color w:val="1A1A1A"/>
          <w:sz w:val="22"/>
          <w:szCs w:val="22"/>
        </w:rPr>
        <w:t xml:space="preserve">NAV</w:t>
      </w:r>
      <w:r>
        <w:rPr>
          <w:rFonts w:ascii="Cambria" w:eastAsia="SimSun" w:hAnsi="Cambria"/>
          <w:i/>
          <w:iCs/>
          <w:color w:val="1A1A1A"/>
          <w:sz w:val="22"/>
          <w:szCs w:val="22"/>
          <w:vertAlign w:val="subscript"/>
        </w:rPr>
        <w:t xml:space="preserve">0</w:t>
      </w:r>
      <w:r>
        <w:rPr>
          <w:rFonts w:ascii="Cambria" w:eastAsia="SimSun" w:hAnsi="Cambria"/>
          <w:i/>
          <w:iCs/>
          <w:color w:val="1A1A1A"/>
          <w:sz w:val="22"/>
          <w:szCs w:val="22"/>
        </w:rPr>
        <w:t xml:space="preserve"> = 1</w:t>
      </w:r>
    </w:p>
    <w:p>
      <w:pPr>
        <w:spacing w:after="120" w:line="312"/>
        <w:jc w:val="both"/>
      </w:pPr>
      <w:r>
        <w:rPr>
          <w:rFonts w:ascii="Calibri" w:eastAsia="SimSun" w:hAnsi="Calibri"/>
          <w:b w:val="false"/>
          <w:bCs w:val="false"/>
          <w:color w:val="1A1A1A"/>
          <w:sz w:val="21"/>
          <w:szCs w:val="21"/>
        </w:rPr>
        <w:t xml:space="preserve">so that one unit of the reference index is worth 1.0000 at genesis; 'or another defined reference unit' [MS §73] is a publication constant, chosen once and never silently changed — a re-denomination would be a methodology-version event with full governance (Section 24.2), not a recalibration. This value is the I_t (NAV_t) variable of the core variable table (Section 2.5); the monetary price and liability machinery that consumes it — P_{MTQ,t} = I_t / I_{base} — is specified in Chapter 18.</w:t>
      </w:r>
    </w:p>
    <w:p>
      <w:pPr>
        <w:spacing w:after="120" w:line="312"/>
        <w:jc w:val="both"/>
      </w:pPr>
      <w:r>
        <w:rPr>
          <w:rFonts w:ascii="Calibri" w:eastAsia="SimSun" w:hAnsi="Calibri"/>
          <w:b w:val="false"/>
          <w:bCs w:val="false"/>
          <w:color w:val="1A1A1A"/>
          <w:sz w:val="21"/>
          <w:szCs w:val="21"/>
        </w:rPr>
        <w:t xml:space="preserve">The denomination should not be confused with a promise that MTQ Σ remains at a fixed market price [MS §73]. NAV_0 = 1 is a normalization choice, exactly like an index being set to 100 at its base date: it fixes where the series starts, not where it goes. The reference index is a weighted basket of currencies and gold, and it moves with its constituents; users minting at index value 1.12 receive fewer tokens per USD than users minting at 0.92 (Sections 3.5 and 19.2). Any communication that presents the denomination as a peg is a category error of the same kind as presenting the strategic prior as the composition (Section 3.1).</w:t>
      </w:r>
    </w:p>
    <w:p>
      <w:pPr>
        <w:spacing w:after="120" w:line="312"/>
        <w:jc w:val="both"/>
      </w:pPr>
      <w:r>
        <w:rPr>
          <w:rFonts w:ascii="Calibri" w:eastAsia="SimSun" w:hAnsi="Calibri"/>
          <w:b w:val="false"/>
          <w:bCs w:val="false"/>
          <w:color w:val="1A1A1A"/>
          <w:sz w:val="21"/>
          <w:szCs w:val="21"/>
        </w:rPr>
        <w:t xml:space="preserve">One obligation is stated now and discharged across Sections 9.2 and 9.3: the aggregate form above — a weighted sum of price relatives with a normalization divisor — must be formally reconciled with the chain-link methodology during quantitative implementation [COO-17]. The reconciliation is not cosmetic: the aggregate form and the chain-linked recursion are different mathematical objects that must be made to produce one published I_t, and the divisor mechanism G_t is precisely where that reconciliation lives.</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this equation adapts the v1.2 normalized index formula [BP §2.2] — a ratio of fixed-quantity basket values — to the adaptive design: fixed quantities q_i are replaced by live weights W_{i,t}, and the base-date denominator is replaced by the base fixings P_{i,0} plus the divisor G_t. The full BP lineage and the adapted construction are carried in Section 9.7.</w:t>
      </w:r>
    </w:p>
    <w:p>
      <w:pPr>
        <w:pStyle w:val="Heading2"/>
        <w:keepNext/>
        <w:spacing w:after="160" w:before="360" w:line="340" w:lineRule="atLeast"/>
      </w:pPr>
      <w:bookmarkStart w:id="100067" w:name="_Toc100067"/>
      <w:r>
        <w:rPr>
          <w:rFonts w:ascii="Calibri" w:eastAsia="Microsoft YaHei" w:hAnsi="Calibri"/>
          <w:b/>
          <w:bCs/>
          <w:color w:val="1A1A1A"/>
          <w:sz w:val="28"/>
          <w:szCs w:val="28"/>
        </w:rPr>
        <w:t xml:space="preserve">9.2 The Chain-Linked Index Calculation</w:t>
      </w:r>
      <w:bookmarkEnd w:id="100067"/>
    </w:p>
    <w:p>
      <w:pPr>
        <w:spacing w:after="120" w:line="312"/>
        <w:jc w:val="both"/>
      </w:pPr>
      <w:r>
        <w:rPr>
          <w:rFonts w:ascii="Calibri" w:eastAsia="SimSun" w:hAnsi="Calibri"/>
          <w:b w:val="false"/>
          <w:bCs w:val="false"/>
          <w:color w:val="1A1A1A"/>
          <w:sz w:val="21"/>
          <w:szCs w:val="21"/>
        </w:rPr>
        <w:t xml:space="preserve">Because weights change, MTQ Σ should use a chain-link methodology rather than allowing arbitrary weight changes to create artificial returns [MS §74]. The problem is structural: any index defined directly as a weighted price aggregate would jump whenever the weights are re-set — a purely compositional event that has nothing to do with economic performance. A system whose 'return' contains rebalancing jumps is not a measurement instrument; it is an accounting artifact. The specification therefore defines the index by recursion. At rebalance time t [MS §74]:</w:t>
      </w:r>
    </w:p>
    <w:p>
      <w:pPr>
        <w:spacing w:after="120" w:before="120" w:line="312"/>
        <w:jc w:val="center"/>
      </w:pPr>
      <w:r>
        <w:rPr>
          <w:rFonts w:ascii="Cambria" w:eastAsia="SimSun" w:hAnsi="Cambria"/>
          <w:i/>
          <w:iCs/>
          <w:color w:val="1A1A1A"/>
          <w:sz w:val="22"/>
          <w:szCs w:val="22"/>
        </w:rPr>
        <w:t xml:space="preserve">I</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I</w:t>
      </w:r>
      <w:r>
        <w:rPr>
          <w:rFonts w:ascii="Cambria" w:eastAsia="SimSun" w:hAnsi="Cambria"/>
          <w:i/>
          <w:iCs/>
          <w:color w:val="1A1A1A"/>
          <w:sz w:val="22"/>
          <w:szCs w:val="22"/>
          <w:vertAlign w:val="subscript"/>
        </w:rPr>
        <w:t xml:space="preserve">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COO review reconstructs the same recursion with the weights in force at the start of the period [COO-16] — the form in which the period return is a weighted average of price relatives: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I</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I</w:t>
      </w:r>
      <w:r>
        <w:rPr>
          <w:rFonts w:ascii="Cambria" w:eastAsia="SimSun" w:hAnsi="Cambria"/>
          <w:i/>
          <w:iCs/>
          <w:color w:val="1A1A1A"/>
          <w:sz w:val="22"/>
          <w:szCs w:val="22"/>
          <w:vertAlign w:val="subscript"/>
        </w:rPr>
        <w:t xml:space="preserve">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COO-16 calls this 'the biggest missing equation' of the original specification, and the label is accurate. First, it is the equation that defines how the reference value itself evolves: the weighting methodology of Chapters 5–7 is meaningless without a level equation to apply it to. Second, it structurally prevents weight changes from creating artificial returns: the return over any period is computed with the weights in force at the start of that period, so a weight change enters only future periods' returns and can never masquerade as a gain or a loss — precisely the property a reference unit needs. Third, it makes the contribution mathematics of Section 9.4 exact: each component's contribution is its start-of-period weight times its price relative, and the contributions sum to the index return by construction. Fourth, it is the computational core of the on-chain implementation (Listing 3, Section 9.8).</w:t>
      </w:r>
    </w:p>
    <w:p>
      <w:pPr>
        <w:spacing w:after="120" w:line="312"/>
        <w:jc w:val="both"/>
      </w:pPr>
      <w:r>
        <w:rPr>
          <w:rFonts w:ascii="Calibri" w:eastAsia="SimSun" w:hAnsi="Calibri"/>
          <w:b w:val="false"/>
          <w:bCs w:val="false"/>
          <w:color w:val="1A1A1A"/>
          <w:sz w:val="21"/>
          <w:szCs w:val="21"/>
        </w:rPr>
        <w:t xml:space="preserve">The two written forms — W_{i,t} in the specification [MS §74], W_{i,t-1} in the review reconstruction [COO-16] — are the same equation under two conventions, and the operative convention is fixed per methodology version exactly like the signal-direction convention of Section 5.2: period returns are computed with the weights in force at the start of the period. Within a period that contains an accepted weight update, the weights in force are the pre-update weights; the update itself is neutralized by the divisor of Section 9.3 and begins governing returns from the next period. Listing 3 implements exactly this convention. Beyond the convention, the specification requires appropriate divisor/normalization methodology [MS §74]: between accepted updates the recursion runs with a fixed weight vector and the index is a pure weighted price-relative aggregate; at an accepted update, the chain-link adjustment of Section 9.3 preserves continuity. The index advances on the daily calculation cadence (Section 10.1) — daily calculation does not imply daily trading (invariant I11) — and every increment of the published series is independently recomputable from published data (Sections 24.1 and 24.3).</w:t>
      </w:r>
    </w:p>
    <w:p>
      <w:pPr>
        <w:pStyle w:val="Heading2"/>
        <w:keepNext/>
        <w:spacing w:after="160" w:before="360" w:line="340" w:lineRule="atLeast"/>
      </w:pPr>
      <w:bookmarkStart w:id="100068" w:name="_Toc100068"/>
      <w:r>
        <w:rPr>
          <w:rFonts w:ascii="Calibri" w:eastAsia="Microsoft YaHei" w:hAnsi="Calibri"/>
          <w:b/>
          <w:bCs/>
          <w:color w:val="1A1A1A"/>
          <w:sz w:val="28"/>
          <w:szCs w:val="28"/>
        </w:rPr>
        <w:t xml:space="preserve">9.3 The Chain-Link Adjustment at Rebalance</w:t>
      </w:r>
      <w:bookmarkEnd w:id="100068"/>
    </w:p>
    <w:p>
      <w:pPr>
        <w:spacing w:after="120" w:line="312"/>
        <w:jc w:val="both"/>
      </w:pPr>
      <w:r>
        <w:rPr>
          <w:rFonts w:ascii="Calibri" w:eastAsia="SimSun" w:hAnsi="Calibri"/>
          <w:b w:val="false"/>
          <w:bCs w:val="false"/>
          <w:color w:val="1A1A1A"/>
          <w:sz w:val="21"/>
          <w:szCs w:val="21"/>
        </w:rPr>
        <w:t xml:space="preserve">At a rebalance, the basket changes composition. Let the pre-rebalance basket value be B_t^- and the post-rebalance basket value be B_t^+ [MS §75]. Set a chain-link factor [MS §75]:</w:t>
      </w:r>
    </w:p>
    <w:p>
      <w:pPr>
        <w:spacing w:after="120" w:before="120" w:line="312"/>
        <w:jc w:val="center"/>
      </w:pPr>
      <w:r>
        <w:rPr>
          <w:rFonts w:ascii="Cambria" w:eastAsia="SimSun" w:hAnsi="Cambria"/>
          <w:i/>
          <w:iCs/>
          <w:color w:val="1A1A1A"/>
          <w:sz w:val="22"/>
          <w:szCs w:val="22"/>
        </w:rPr>
        <w:t xml:space="preserve">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(B</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w:t>
      </w:r>
      <w:r>
        <w:rPr>
          <w:rFonts w:ascii="Cambria" w:eastAsia="SimSun" w:hAnsi="Cambria"/>
          <w:i/>
          <w:iCs/>
          <w:color w:val="1A1A1A"/>
          <w:sz w:val="22"/>
          <w:szCs w:val="22"/>
        </w:rPr>
        <w:t xml:space="preserve">)/(B</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and preserve continuity [MS §75]:</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I</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w:t>
      </w:r>
      <w:r>
        <w:rPr>
          <w:rFonts w:ascii="Cambria" w:eastAsia="SimSun" w:hAnsi="Cambria"/>
          <w:i/>
          <w:iCs/>
          <w:color w:val="1A1A1A"/>
          <w:sz w:val="22"/>
          <w:szCs w:val="22"/>
        </w:rPr>
        <w:t xml:space="preserve"> = 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B</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w:t>
      </w:r>
      <w:r>
        <w:rPr>
          <w:rFonts w:ascii="Cambria" w:eastAsia="SimSun" w:hAnsi="Cambria"/>
          <w:i/>
          <w:iCs/>
          <w:color w:val="1A1A1A"/>
          <w:sz w:val="22"/>
          <w:szCs w:val="22"/>
        </w:rPr>
        <w:t xml:space="preserve"> = B</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w:t>
      </w:r>
    </w:p>
    <w:p>
      <w:pPr>
        <w:spacing w:after="120" w:line="312"/>
        <w:jc w:val="both"/>
      </w:pPr>
      <w:r>
        <w:rPr>
          <w:rFonts w:ascii="Calibri" w:eastAsia="SimSun" w:hAnsi="Calibri"/>
          <w:b w:val="false"/>
          <w:bCs w:val="false"/>
          <w:color w:val="1A1A1A"/>
          <w:sz w:val="21"/>
          <w:szCs w:val="21"/>
        </w:rPr>
        <w:t xml:space="preserve">The clarifying point is what the divisor does: it rescales the index basis so that the rebalance itself produces no index jump. Immediately before the weight change, the index level equals B_t^-; immediately after, the new-basis computation B_t^+ is multiplied by D_t, and the product equals B_t^- by construction. Whatever numerical difference exists between valuing the current prices with the old composition and with the new composition is absorbed into the divisor rather than appearing as a return. 'This is crucial for a continuously evolving index' [MS §75]: an evolving index that did not chain-link would report phantom gains on every rebalance, and an auditor comparing published returns to constituent price moves would find unexplainable residuals — exactly the failure mode COO-16 was written to close.</w:t>
      </w:r>
    </w:p>
    <w:p>
      <w:pPr>
        <w:spacing w:after="120" w:line="312"/>
        <w:jc w:val="both"/>
      </w:pPr>
      <w:r>
        <w:rPr>
          <w:rFonts w:ascii="Calibri" w:eastAsia="SimSun" w:hAnsi="Calibri"/>
          <w:b w:val="false"/>
          <w:bCs w:val="false"/>
          <w:color w:val="1A1A1A"/>
          <w:sz w:val="21"/>
          <w:szCs w:val="21"/>
        </w:rPr>
        <w:t xml:space="preserve">Both B_t^- and B_t^+ are valued at the same, post-move prices, so D_t isolates the pure compositional change. In the recursion of Section 9.2 the neutrality is already structural — the weight change enters only future period returns — and D_t is the equivalent adjustment expressed in the value-aggregate form of Section 9.1. This is where the formal reconciliation obligation lands [COO-17]: the aggregate form NAV_t = G_t Σ_i W_{i,t} (P_{i,t}/P_{i,0}) and the chain-linked recursion must be made to produce one published I_t during quantitative implementation, and G_t is the natural home of the accumulated chain-link history — the cumulative product of the D_t factors, plus any re-normalization such as a constituency addition that changes the component set. The precise valuation basis of B_t^- and B_t^+ — raw USD values of the two compositions, or base-relative aggregates against the genesis fixings — is one of the conventions quantitative implementation must pin, because both bases deliver the same continuity guarantee but different numerical divisors; the pinned choice is published with the methodology version and tested in the validation program (Chapter 23).</w:t>
      </w:r>
    </w:p>
    <w:p>
      <w:pPr>
        <w:spacing w:after="120" w:line="312"/>
        <w:jc w:val="both"/>
      </w:pPr>
      <w:r>
        <w:rPr>
          <w:rFonts w:ascii="Calibri" w:eastAsia="SimSun" w:hAnsi="Calibri"/>
          <w:b w:val="false"/>
          <w:bCs w:val="false"/>
          <w:color w:val="1A1A1A"/>
          <w:sz w:val="21"/>
          <w:szCs w:val="21"/>
        </w:rPr>
        <w:t xml:space="preserve">Every applied D_t is published: Listing 3 (Section 9.8) emits a ChainLinkAdjusted event carrying D_t, B_t^- and B_t^+ at each weight change, and the divisor series is part of the publication obligations (Section 24.3). One further honesty rule: the reference index measures the frictionless reference basket. Real rebalances executed by MARP incur execution costs (Chapters 10–11); those costs are never folded into the index level — they appear as the cost effect in the attribution of Section 9.5, so the gap between the reference unit and realized portfolio performance is always visible rather than hidden inside the divisor.</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Reconciliation note [COO-17]: 'This needs to be formally reconciled with the chain-link methodology during quantitative implementation.' The deliverables are: (i) the pinned functional form of G_t; (ii) the pinned valuation basis of B_t^- and B_t^+; and (iii) reconciliation tests demonstrating that the aggregate form and the recursion produce the identical published series, included in the validation program (Chapter 23). Until pinned, both forms are carried side by side, exactly as the source documents leave them.</w:t>
      </w:r>
    </w:p>
    <w:p>
      <w:pPr>
        <w:pStyle w:val="Heading2"/>
        <w:keepNext/>
        <w:spacing w:after="160" w:before="360" w:line="340" w:lineRule="atLeast"/>
      </w:pPr>
      <w:bookmarkStart w:id="100069" w:name="_Toc100069"/>
      <w:r>
        <w:rPr>
          <w:rFonts w:ascii="Calibri" w:eastAsia="Microsoft YaHei" w:hAnsi="Calibri"/>
          <w:b/>
          <w:bCs/>
          <w:color w:val="1A1A1A"/>
          <w:sz w:val="28"/>
          <w:szCs w:val="28"/>
        </w:rPr>
        <w:t xml:space="preserve">9.4 Contribution Mathematics — Gold and Currency</w:t>
      </w:r>
      <w:bookmarkEnd w:id="100069"/>
    </w:p>
    <w:p>
      <w:pPr>
        <w:spacing w:after="120" w:line="312"/>
        <w:jc w:val="both"/>
      </w:pPr>
      <w:r>
        <w:rPr>
          <w:rFonts w:ascii="Calibri" w:eastAsia="SimSun" w:hAnsi="Calibri"/>
          <w:b w:val="false"/>
          <w:bCs w:val="false"/>
          <w:color w:val="1A1A1A"/>
          <w:sz w:val="21"/>
          <w:szCs w:val="21"/>
        </w:rPr>
        <w:t xml:space="preserve">Contribution mathematics answers the most basic question about any period: which component moved the index, and by how much? Gold's contribution to MTQ Σ return is [MS §76]:</w:t>
      </w:r>
    </w:p>
    <w:p>
      <w:pPr>
        <w:spacing w:after="120" w:before="120" w:line="312"/>
        <w:jc w:val="center"/>
      </w:pPr>
      <w:r>
        <w:rPr>
          <w:rFonts w:ascii="Cambria" w:eastAsia="SimSun" w:hAnsi="Cambria"/>
          <w:i/>
          <w:iCs/>
          <w:color w:val="1A1A1A"/>
          <w:sz w:val="22"/>
          <w:szCs w:val="22"/>
        </w:rPr>
        <w:t xml:space="preserve">Contribution</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G,t-1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G,t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G,t-1</w:t>
      </w:r>
      <w:r>
        <w:rPr>
          <w:rFonts w:ascii="Cambria" w:eastAsia="SimSun" w:hAnsi="Cambria"/>
          <w:i/>
          <w:iCs/>
          <w:color w:val="1A1A1A"/>
          <w:sz w:val="22"/>
          <w:szCs w:val="22"/>
        </w:rPr>
        <w:t xml:space="preserve">) - 1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Analogously for every currency component [MS §76]:</w:t>
      </w:r>
    </w:p>
    <w:p>
      <w:pPr>
        <w:spacing w:after="120" w:before="120" w:line="312"/>
        <w:jc w:val="center"/>
      </w:pPr>
      <w:r>
        <w:rPr>
          <w:rFonts w:ascii="Cambria" w:eastAsia="SimSun" w:hAnsi="Cambria"/>
          <w:i/>
          <w:iCs/>
          <w:color w:val="1A1A1A"/>
          <w:sz w:val="22"/>
          <w:szCs w:val="22"/>
        </w:rPr>
        <w:t xml:space="preserve">Contribution</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- 1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start-of-period weight W_{i,t-1} is the same convention as the recursion of Section 9.2 — this is what makes the decomposition exact rather than approximate. As a concrete illustration: if gold's weight in force at the start of a period is 26% and the canonical gold price (Section 17.4) rises 3% over the period, gold's contribution is 0.26 × 0.03 = +0.78%, and no other term is needed to explain that portion of the index return. The period return of the reference index is the sum of contributions [MS §77]:</w:t>
      </w:r>
    </w:p>
    <w:p>
      <w:pPr>
        <w:spacing w:after="120" w:before="120" w:line="312"/>
        <w:jc w:val="center"/>
      </w:pPr>
      <w:r>
        <w:rPr>
          <w:rFonts w:ascii="Cambria" w:eastAsia="SimSun" w:hAnsi="Cambria"/>
          <w:i/>
          <w:iCs/>
          <w:color w:val="1A1A1A"/>
          <w:sz w:val="22"/>
          <w:szCs w:val="22"/>
        </w:rPr>
        <w:t xml:space="preserve">R</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Contribution</w:t>
      </w:r>
      <w:r>
        <w:rPr>
          <w:rFonts w:ascii="Cambria" w:eastAsia="SimSun" w:hAnsi="Cambria"/>
          <w:i/>
          <w:iCs/>
          <w:color w:val="1A1A1A"/>
          <w:sz w:val="22"/>
          <w:szCs w:val="22"/>
          <w:vertAlign w:val="subscript"/>
        </w:rPr>
        <w:t xml:space="preserve">i</w:t>
      </w:r>
    </w:p>
    <w:p>
      <w:pPr>
        <w:spacing w:after="120" w:line="312"/>
        <w:jc w:val="both"/>
      </w:pPr>
      <w:r>
        <w:rPr>
          <w:rFonts w:ascii="Calibri" w:eastAsia="SimSun" w:hAnsi="Calibri"/>
          <w:b w:val="false"/>
          <w:bCs w:val="false"/>
          <w:color w:val="1A1A1A"/>
          <w:sz w:val="21"/>
          <w:szCs w:val="21"/>
        </w:rPr>
        <w:t xml:space="preserve">subject to the chain-link/rebalance methodology [MS §77]. The qualifier is not decorative: in a period containing a rebalance, the divisor D_t of Section 9.3 guarantees that the compositional change contributes exactly zero, so the sum of contributions equals the published index return to the tick. This is the additivity property the attribution engine of Section 9.5 depends on: R_{MTQ,t} can be published as a sum of seven numbers, one per component, with nothing left over.</w:t>
      </w:r>
    </w:p>
    <w:p>
      <w:pPr>
        <w:spacing w:after="120" w:line="312"/>
        <w:jc w:val="both"/>
      </w:pPr>
      <w:r>
        <w:rPr>
          <w:rFonts w:ascii="Calibri" w:eastAsia="SimSun" w:hAnsi="Calibri"/>
          <w:b w:val="false"/>
          <w:bCs w:val="false"/>
          <w:color w:val="1A1A1A"/>
          <w:sz w:val="21"/>
          <w:szCs w:val="21"/>
        </w:rPr>
        <w:t xml:space="preserve">Two honest observations belong in the record. First, prices are USD-quoted (Chapter 17), so the USD component's price relative P_{USD,t}/P_{USD,t-1} is identically 1: in USD-valuation terms the USD sleeve contributes no price return — its role in the index is allocation and diversification, and its presence shows up in the allocation and rebalancing effects of Section 9.5, not in the movement effect. Second, the gold contribution uses the canonical gold price of Section 17.4 — the multi-source quorum price, not any single venue's quote — so the contribution decomposition inherits the oracle system's independence guarantees (Section 17.3). Per-component contributions are published every period alongside the weights (Section 24.3).</w:t>
      </w:r>
    </w:p>
    <w:p>
      <w:pPr>
        <w:pStyle w:val="Heading2"/>
        <w:keepNext/>
        <w:spacing w:after="160" w:before="360" w:line="340" w:lineRule="atLeast"/>
      </w:pPr>
      <w:bookmarkStart w:id="100070" w:name="_Toc100070"/>
      <w:r>
        <w:rPr>
          <w:rFonts w:ascii="Calibri" w:eastAsia="Microsoft YaHei" w:hAnsi="Calibri"/>
          <w:b/>
          <w:bCs/>
          <w:color w:val="1A1A1A"/>
          <w:sz w:val="28"/>
          <w:szCs w:val="28"/>
        </w:rPr>
        <w:t xml:space="preserve">9.5 The Attribution Engine</w:t>
      </w:r>
      <w:bookmarkEnd w:id="100070"/>
    </w:p>
    <w:p>
      <w:pPr>
        <w:spacing w:after="120" w:line="312"/>
        <w:jc w:val="both"/>
      </w:pPr>
      <w:r>
        <w:rPr>
          <w:rFonts w:ascii="Calibri" w:eastAsia="SimSun" w:hAnsi="Calibri"/>
          <w:b w:val="false"/>
          <w:bCs w:val="false"/>
          <w:color w:val="1A1A1A"/>
          <w:sz w:val="21"/>
          <w:szCs w:val="21"/>
        </w:rPr>
        <w:t xml:space="preserve">Every period, the protocol publishes the full decomposition of the reference index return [MS §78]:</w:t>
      </w:r>
    </w:p>
    <w:p>
      <w:pPr>
        <w:spacing w:after="120" w:before="120" w:line="312"/>
        <w:jc w:val="center"/>
      </w:pPr>
      <w:r>
        <w:rPr>
          <w:rFonts w:ascii="Cambria" w:eastAsia="SimSun" w:hAnsi="Cambria"/>
          <w:i/>
          <w:iCs/>
          <w:color w:val="1A1A1A"/>
          <w:sz w:val="22"/>
          <w:szCs w:val="22"/>
        </w:rPr>
        <w:t xml:space="preserve">R</w:t>
      </w:r>
      <w:r>
        <w:rPr>
          <w:rFonts w:ascii="Cambria" w:eastAsia="SimSun" w:hAnsi="Cambria"/>
          <w:i/>
          <w:iCs/>
          <w:color w:val="1A1A1A"/>
          <w:sz w:val="22"/>
          <w:szCs w:val="22"/>
          <w:vertAlign w:val="subscript"/>
        </w:rPr>
        <w:t xml:space="preserve">MTQ</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USD</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EUR</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JPY</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GBP</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CNY</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CHF</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Gold</w:t>
      </w:r>
    </w:p>
    <w:p>
      <w:pPr>
        <w:spacing w:after="120" w:line="312"/>
        <w:jc w:val="both"/>
      </w:pPr>
      <w:r>
        <w:rPr>
          <w:rFonts w:ascii="Calibri" w:eastAsia="SimSun" w:hAnsi="Calibri"/>
          <w:b w:val="false"/>
          <w:bCs w:val="false"/>
          <w:color w:val="1A1A1A"/>
          <w:sz w:val="21"/>
          <w:szCs w:val="21"/>
        </w:rPr>
        <w:t xml:space="preserve">where each R_i is the contribution of Section 9.4, plus four effects that separate what the market did from what the system did [MS §78]:</w:t>
      </w:r>
    </w:p>
    <w:p>
      <w:pPr>
        <w:spacing w:after="120" w:line="312"/>
        <w:jc w:val="both"/>
      </w:pPr>
      <w:r>
        <w:rPr>
          <w:rFonts w:ascii="Calibri" w:eastAsia="SimSun" w:hAnsi="Calibri"/>
          <w:b/>
          <w:bCs/>
          <w:color w:val="1A1A1A"/>
          <w:sz w:val="21"/>
          <w:szCs w:val="21"/>
        </w:rPr>
        <w:t xml:space="preserve">Allocation effect.</w:t>
      </w:r>
      <w:r>
        <w:rPr>
          <w:rFonts w:ascii="Calibri" w:eastAsia="SimSun" w:hAnsi="Calibri"/>
          <w:b w:val="false"/>
          <w:bCs w:val="false"/>
          <w:color w:val="1A1A1A"/>
          <w:sz w:val="21"/>
          <w:szCs w:val="21"/>
        </w:rPr>
        <w:t xml:space="preserve"> The value added or subtracted by the choice of weights, measured against a defined baseline — typically the strategic prior (Section 3.2) or the previous published basket. A positive allocation effect means the engine's deviations from the baseline were subsequently rewarded: components that were over-weighted outperformed, and components that were under-weighted underperformed. It is the primary evidence for whether adaptivity is earning its complexity, and it is the quantity the out-of-sample scoring discipline (Sections 7.6 and 23.4) is designed to keep honest.</w:t>
      </w:r>
    </w:p>
    <w:p>
      <w:pPr>
        <w:spacing w:after="120" w:line="312"/>
        <w:jc w:val="both"/>
      </w:pPr>
      <w:r>
        <w:rPr>
          <w:rFonts w:ascii="Calibri" w:eastAsia="SimSun" w:hAnsi="Calibri"/>
          <w:b/>
          <w:bCs/>
          <w:color w:val="1A1A1A"/>
          <w:sz w:val="21"/>
          <w:szCs w:val="21"/>
        </w:rPr>
        <w:t xml:space="preserve">Movement effect.</w:t>
      </w:r>
      <w:r>
        <w:rPr>
          <w:rFonts w:ascii="Calibri" w:eastAsia="SimSun" w:hAnsi="Calibri"/>
          <w:b w:val="false"/>
          <w:bCs w:val="false"/>
          <w:color w:val="1A1A1A"/>
          <w:sz w:val="21"/>
          <w:szCs w:val="21"/>
        </w:rPr>
        <w:t xml:space="preserve"> The pure price movement of the constituents with weights held at their start-of-period values — the market's contribution, independent of any decision the system made. It equals the sum of the component contributions (Section 9.4) and answers the question of what the world did to the basket in the period. Separating movement from allocation shows how much of a period's outcome is environment and how much is methodology.</w:t>
      </w:r>
    </w:p>
    <w:p>
      <w:pPr>
        <w:spacing w:after="120" w:line="312"/>
        <w:jc w:val="both"/>
      </w:pPr>
      <w:r>
        <w:rPr>
          <w:rFonts w:ascii="Calibri" w:eastAsia="SimSun" w:hAnsi="Calibri"/>
          <w:b/>
          <w:bCs/>
          <w:color w:val="1A1A1A"/>
          <w:sz w:val="21"/>
          <w:szCs w:val="21"/>
        </w:rPr>
        <w:t xml:space="preserve">Rebalancing effect.</w:t>
      </w:r>
      <w:r>
        <w:rPr>
          <w:rFonts w:ascii="Calibri" w:eastAsia="SimSun" w:hAnsi="Calibri"/>
          <w:b w:val="false"/>
          <w:bCs w:val="false"/>
          <w:color w:val="1A1A1A"/>
          <w:sz w:val="21"/>
          <w:szCs w:val="21"/>
        </w:rPr>
        <w:t xml:space="preserve"> The consequence of the weight changes themselves: the divergence between valuing current prices with the old composition and with the new one — neutralized in the index level by the divisor D_t (Section 9.3) — together with any rebalancing premium or drag realized by MARP when it actually executes (Chapters 10–11). It isolates the cost-and-benefit of the system's own turnover, distinct from price movement. Because D_t forces the compositional jump to zero, a nonzero rebalancing effect in the published attribution reflects realized execution behavior, not index arithmetic.</w:t>
      </w:r>
    </w:p>
    <w:p>
      <w:pPr>
        <w:spacing w:after="120" w:line="312"/>
        <w:jc w:val="both"/>
      </w:pPr>
      <w:r>
        <w:rPr>
          <w:rFonts w:ascii="Calibri" w:eastAsia="SimSun" w:hAnsi="Calibri"/>
          <w:b/>
          <w:bCs/>
          <w:color w:val="1A1A1A"/>
          <w:sz w:val="21"/>
          <w:szCs w:val="21"/>
        </w:rPr>
        <w:t xml:space="preserve">Cost effect.</w:t>
      </w:r>
      <w:r>
        <w:rPr>
          <w:rFonts w:ascii="Calibri" w:eastAsia="SimSun" w:hAnsi="Calibri"/>
          <w:b w:val="false"/>
          <w:bCs w:val="false"/>
          <w:color w:val="1A1A1A"/>
          <w:sz w:val="21"/>
          <w:szCs w:val="21"/>
        </w:rPr>
        <w:t xml:space="preserve"> The friction of operating the system: spreads, slippage, fees, market impact and operational costs of the trades that rebalances required — the Cost_i decomposition of the MARP net-benefit test (Spread + Slippage + Fees + Impact + Operational, Section 10.8). Publishing it keeps the difference between the frictionless reference index and realized performance visible at all times. A persistent cost effect exceeding the allocation effect is the system's own signal that adaptivity is being over-traded — the same discipline the turnover penalty internalizes at optimization time (Section 7.3).</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The system should be completely explainable. [MS §78]</w:t>
      </w:r>
    </w:p>
    <w:p>
      <w:pPr>
        <w:spacing w:after="120" w:line="312"/>
        <w:jc w:val="both"/>
      </w:pPr>
      <w:r>
        <w:rPr>
          <w:rFonts w:ascii="Calibri" w:eastAsia="SimSun" w:hAnsi="Calibri"/>
          <w:b w:val="false"/>
          <w:bCs w:val="false"/>
          <w:color w:val="1A1A1A"/>
          <w:sz w:val="21"/>
          <w:szCs w:val="21"/>
        </w:rPr>
        <w:t xml:space="preserve">The COO review states the purpose plainly [COO-18]: the decomposition 'allows everyone to see: was MTQ Σ movement caused by USD, EUR, gold, or the weighting algorithm?'. That question — market or methodology — is the question every auditor, user and regulator asks first about an adaptive unit, and the attribution engine answers it with arithmetic instead of narrative. Attribution is published every period together with the weights, contributions and divisors (Section 24.3); the attribution ledger is part of the permanent audit trail (Section 9.6, Chapter 24) and is reproducible from published data (Section 24.1).</w:t>
      </w:r>
    </w:p>
    <w:p>
      <w:pPr>
        <w:pStyle w:val="Heading2"/>
        <w:keepNext/>
        <w:spacing w:after="160" w:before="360" w:line="340" w:lineRule="atLeast"/>
      </w:pPr>
      <w:bookmarkStart w:id="100071" w:name="_Toc100071"/>
      <w:r>
        <w:rPr>
          <w:rFonts w:ascii="Calibri" w:eastAsia="Microsoft YaHei" w:hAnsi="Calibri"/>
          <w:b/>
          <w:bCs/>
          <w:color w:val="1A1A1A"/>
          <w:sz w:val="28"/>
          <w:szCs w:val="28"/>
        </w:rPr>
        <w:t xml:space="preserve">9.6 Genesis Verification and Audit Trail</w:t>
      </w:r>
      <w:bookmarkEnd w:id="100071"/>
    </w:p>
    <w:p>
      <w:pPr>
        <w:spacing w:after="120" w:line="312"/>
        <w:jc w:val="both"/>
      </w:pPr>
      <w:r>
        <w:rPr>
          <w:rFonts w:ascii="Calibri" w:eastAsia="SimSun" w:hAnsi="Calibri"/>
          <w:b w:val="false"/>
          <w:bCs w:val="false"/>
          <w:color w:val="1A1A1A"/>
          <w:sz w:val="21"/>
          <w:szCs w:val="21"/>
        </w:rPr>
        <w:t xml:space="preserve">The base denominator of the index — the value that makes I_0 = 1.0000 — is the single most audited constant in the system: if it were wrong or mutable, every published level after it would be meaningless. The v1.2 genesis verification machinery is carried forward essentially unchanged [BP §2.6]: to ensure the denominator is auditable and independently verifiable, the contract emits a genesis event once, during the genesis transaction, and provides a verification function that any external observer can call. The genesis snapshot itself — quantities and fixings — is specified in Section 3.4; this section specifies the verification layer on top of it.</w:t>
      </w:r>
    </w:p>
    <w:p>
      <w:pPr>
        <w:pStyle w:val="Heading3"/>
        <w:keepNext/>
        <w:spacing w:after="120" w:before="300" w:line="312"/>
      </w:pPr>
      <w:bookmarkStart w:id="100072" w:name="_Toc100072"/>
      <w:r>
        <w:rPr>
          <w:rFonts w:ascii="Calibri" w:eastAsia="Microsoft YaHei" w:hAnsi="Calibri"/>
          <w:b/>
          <w:bCs/>
          <w:color w:val="333333"/>
          <w:sz w:val="24"/>
          <w:szCs w:val="24"/>
        </w:rPr>
        <w:t xml:space="preserve">9.6.1 The Genesis Verification Event [BP §2.6.1]</w:t>
      </w:r>
      <w:bookmarkEnd w:id="100072"/>
    </w:p>
    <w:p>
      <w:pPr>
        <w:spacing w:after="120" w:line="312"/>
        <w:jc w:val="both"/>
      </w:pPr>
      <w:r>
        <w:rPr>
          <w:rFonts w:ascii="Calibri" w:eastAsia="SimSun" w:hAnsi="Calibri"/>
          <w:b w:val="false"/>
          <w:bCs w:val="false"/>
          <w:color w:val="1A1A1A"/>
          <w:sz w:val="21"/>
          <w:szCs w:val="21"/>
        </w:rPr>
        <w:t xml:space="preserve">The event is emitted at the end of the genesis() function, immediately after the base denominator is assigned [BP §2.6.1]. The v1.2 form, reproduced as specified:</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v1.2 lineage [BP §2.6.1] — names retained for traceability.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event GenesisVerification(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gfbBaseDenominator,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eurUsdBase,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gbpUsdBase,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jpyUsdBase,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cnyUsdBase,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spacing w:after="120" w:line="312"/>
        <w:jc w:val="both"/>
      </w:pPr>
      <w:r>
        <w:rPr>
          <w:rFonts w:ascii="Calibri" w:eastAsia="SimSun" w:hAnsi="Calibri"/>
          <w:b w:val="false"/>
          <w:bCs w:val="false"/>
          <w:color w:val="1A1A1A"/>
          <w:sz w:val="21"/>
          <w:szCs w:val="21"/>
        </w:rPr>
        <w:t xml:space="preserve">Purpose [BP §2.6.1]: the event allows off-chain observers — auditors, indexers, explorers — to reconstruct the denominator and verify that it matches the hard-coded base fixings. Under v2.0 the event is extended to the seven-component basket and renamed GenesisVerified: the fields become indexBaseDenominator, eurUsdBase, gbpUsdBase, jpyUsdBase, cnyUsdBase, chfUsdBase, goldUsdBase and timestamp (Listing 3, Section 9.8). The extension is mechanical — CHF and gold were added to the basket by the Modification Specification (Sections 3.3 and 3.4), so their base fixings join the event; the mechanism, the one-time emission and the reconstruction purpose are unchanged.</w:t>
      </w:r>
    </w:p>
    <w:p>
      <w:pPr>
        <w:pStyle w:val="Heading3"/>
        <w:keepNext/>
        <w:spacing w:after="120" w:before="300" w:line="312"/>
      </w:pPr>
      <w:bookmarkStart w:id="100073" w:name="_Toc100073"/>
      <w:r>
        <w:rPr>
          <w:rFonts w:ascii="Calibri" w:eastAsia="Microsoft YaHei" w:hAnsi="Calibri"/>
          <w:b/>
          <w:bCs/>
          <w:color w:val="333333"/>
          <w:sz w:val="24"/>
          <w:szCs w:val="24"/>
        </w:rPr>
        <w:t xml:space="preserve">9.6.2 Off-Chain Verification Function [BP §2.6.2]</w:t>
      </w:r>
      <w:bookmarkEnd w:id="100073"/>
    </w:p>
    <w:p>
      <w:pPr>
        <w:spacing w:after="120" w:line="312"/>
        <w:jc w:val="both"/>
      </w:pPr>
      <w:r>
        <w:rPr>
          <w:rFonts w:ascii="Calibri" w:eastAsia="SimSun" w:hAnsi="Calibri"/>
          <w:b w:val="false"/>
          <w:bCs w:val="false"/>
          <w:color w:val="1A1A1A"/>
          <w:sz w:val="21"/>
          <w:szCs w:val="21"/>
        </w:rPr>
        <w:t xml:space="preserve">The v1.2 verification function, reproduced as specified (the dimensional conventions are the v1.2 ones; the v2.0 adaptation recomputes under the USD-equivalent notional convention of Section 3.4):</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v1.2 lineage [BP §2.6.2] — verifyGFBBase().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Allows anyone to verify that the stored GFB_BASE_DENOMINATOR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matches the base-date FX fixings defined in §2.3.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 true if the stored denominator equals the recomputed 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function verifyGFBBase() external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recomputed = Q_USD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Q_EUR * BASE_EUR_USD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Q_GBP * BASE_GBP_USD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Q_JPY * BASE_JPY_USD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Q_CNY * BASE_CNY_USD;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recomputed == GFB_BASE_DENOMINATOR;</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spacing w:after="120" w:line="312"/>
        <w:jc w:val="both"/>
      </w:pPr>
      <w:r>
        <w:rPr>
          <w:rFonts w:ascii="Calibri" w:eastAsia="SimSun" w:hAnsi="Calibri"/>
          <w:b w:val="false"/>
          <w:bCs w:val="false"/>
          <w:color w:val="1A1A1A"/>
          <w:sz w:val="21"/>
          <w:szCs w:val="21"/>
        </w:rPr>
        <w:t xml:space="preserve">Usage [BP §2.6.2]: anyone can call this function to confirm the denominator is correct; a false return means the genesis transaction was tampered with or the hard-coded base values are inconsistent. The v2.0 adaptation — verifyGenesis() in Listing 3 — recomputes the base basket value from the genesis constants and additionally checks the calibration invariant of Section 3.4: the USD-equivalent genesis notionals sum to exactly 1.0000 per MTQ unit, which is what makes I_0 = 1.0000 exact. The deeper audit is off-chain, exactly as the blueprint intends: auditors take the GenesisVerified event fields, cross-check them against the published base-fixing table (Section 3.4) and the deployment record (Appendix D), and recompute the calibration independently. A mismatch between the event fields and the contract constants indicates a tampered or mis-deployed genesis transaction.</w:t>
      </w:r>
    </w:p>
    <w:p>
      <w:pPr>
        <w:pStyle w:val="Heading3"/>
        <w:keepNext/>
        <w:spacing w:after="120" w:before="300" w:line="312"/>
      </w:pPr>
      <w:bookmarkStart w:id="100074" w:name="_Toc100074"/>
      <w:r>
        <w:rPr>
          <w:rFonts w:ascii="Calibri" w:eastAsia="Microsoft YaHei" w:hAnsi="Calibri"/>
          <w:b/>
          <w:bCs/>
          <w:color w:val="333333"/>
          <w:sz w:val="24"/>
          <w:szCs w:val="24"/>
        </w:rPr>
        <w:t xml:space="preserve">9.6.3 Testnet Implementation Note [BP §2.6.3]</w:t>
      </w:r>
      <w:bookmarkEnd w:id="100074"/>
    </w:p>
    <w:p>
      <w:pPr>
        <w:spacing w:after="120" w:line="312"/>
        <w:jc w:val="both"/>
      </w:pPr>
      <w:r>
        <w:rPr>
          <w:rFonts w:ascii="Calibri" w:eastAsia="SimSun" w:hAnsi="Calibri"/>
          <w:b w:val="false"/>
          <w:bCs w:val="false"/>
          <w:color w:val="1A1A1A"/>
          <w:sz w:val="21"/>
          <w:szCs w:val="21"/>
        </w:rPr>
        <w:t xml:space="preserve">On testnets (Arc, Monad, Solana Devnet), the deployer must emit the verification event manually after the genesis transaction by calling the internal _emitGenesisVerification() helper, so that the event is present in the testnet logs for audit testing [BP §2.6.3]. Listing 3 integrates the helper into genesis() directly, so a single call seeds the index and produces the event; the testnet deployment scripts, mock oracles and per-chain checklists are specified in Appendix D and are outside this chapter's scope.</w:t>
      </w:r>
    </w:p>
    <w:p>
      <w:pPr>
        <w:pStyle w:val="Heading3"/>
        <w:keepNext/>
        <w:spacing w:after="120" w:before="300" w:line="312"/>
      </w:pPr>
      <w:bookmarkStart w:id="100075" w:name="_Toc100075"/>
      <w:r>
        <w:rPr>
          <w:rFonts w:ascii="Calibri" w:eastAsia="Microsoft YaHei" w:hAnsi="Calibri"/>
          <w:b/>
          <w:bCs/>
          <w:color w:val="333333"/>
          <w:sz w:val="24"/>
          <w:szCs w:val="24"/>
        </w:rPr>
        <w:t xml:space="preserve">9.6.4 Developer Checklist [BP §2.6.4]</w:t>
      </w:r>
      <w:bookmarkEnd w:id="100075"/>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Step</w:t>
            </w:r>
          </w:p>
        </w:tc>
        <w:tc>
          <w:tcPr>
            <w:tcW w:type="pct" w:w="8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Ensure verifyGenesis() is included in the index contract.</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Call _emitGenesisVerification() at the end of genesis().</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After deployment, call verifyGenesis() to confirm the denominator is correct.</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Record the emitted event in the deployment documentation for audit trail.</w:t>
            </w:r>
          </w:p>
        </w:tc>
      </w:tr>
    </w:tbl>
    <w:p>
      <w:pPr>
        <w:spacing w:after="120"/>
      </w:pPr>
    </w:p>
    <w:p>
      <w:pPr>
        <w:spacing w:after="120" w:line="312"/>
        <w:jc w:val="both"/>
      </w:pPr>
      <w:r>
        <w:rPr>
          <w:rFonts w:ascii="Calibri" w:eastAsia="SimSun" w:hAnsi="Calibri"/>
          <w:b w:val="false"/>
          <w:bCs w:val="false"/>
          <w:color w:val="1A1A1A"/>
          <w:sz w:val="21"/>
          <w:szCs w:val="21"/>
        </w:rPr>
        <w:t xml:space="preserve">The checklist is carried verbatim from the blueprint with the v2.0 function names substituted [BP §2.6.4]. The audit trail does not end at deployment: the genesis event is the first entry in a ledger that continues with every IndexUpdated and ChainLinkAdjusted event (Listing 3), every published weight vector (Section 24.3) and every data version (Section 24.2), so the entire history of the index level from genesis to any current timestamp is reconstructible from public information.</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[BP §2.6]: the v1.2 names — GenesisVerification event, verifyGFBBase() function, GFB_BASE_DENOMINATOR constant — are retained above as lineage; the v2.0 names are GenesisVerified, verifyGenesis() and INDEX_BASE_DENOMINATOR, with CHF and gold fixings added to the event. The mechanism is otherwise unchanged, including the one-time emission rule and the manual testnet emission rule.</w:t>
      </w:r>
    </w:p>
    <w:p>
      <w:pPr>
        <w:pStyle w:val="Heading2"/>
        <w:keepNext/>
        <w:spacing w:after="160" w:before="360" w:line="340" w:lineRule="atLeast"/>
      </w:pPr>
      <w:bookmarkStart w:id="100076" w:name="_Toc100076"/>
      <w:r>
        <w:rPr>
          <w:rFonts w:ascii="Calibri" w:eastAsia="Microsoft YaHei" w:hAnsi="Calibri"/>
          <w:b/>
          <w:bCs/>
          <w:color w:val="1A1A1A"/>
          <w:sz w:val="28"/>
          <w:szCs w:val="28"/>
        </w:rPr>
        <w:t xml:space="preserve">9.7 Index Construction Details</w:t>
      </w:r>
      <w:bookmarkEnd w:id="100076"/>
    </w:p>
    <w:p>
      <w:pPr>
        <w:spacing w:after="120" w:line="312"/>
        <w:jc w:val="both"/>
      </w:pPr>
      <w:r>
        <w:rPr>
          <w:rFonts w:ascii="Calibri" w:eastAsia="SimSun" w:hAnsi="Calibri"/>
          <w:b w:val="false"/>
          <w:bCs w:val="false"/>
          <w:color w:val="1A1A1A"/>
          <w:sz w:val="21"/>
          <w:szCs w:val="21"/>
        </w:rPr>
        <w:t xml:space="preserve">This section carries the v1.2 index construction machinery — the normalized formula, the base fixings, the oracle feed mapping and the reference/exposure separation — in the places where it remains authoritative, and marks the places where v2.0 changes the mathematics [BP §2.2, §2.3, §2.4, §2.5]. The fidelity change runs through all four subsections: the v1.2 index was a fixed-quantity basket (exactly the IMF SDR construction), while the v2.0 reference index I_t is weight-defined and chain-linked; quantities survive only as the immutable genesis snapshot of Section 3.4.</w:t>
      </w:r>
    </w:p>
    <w:p>
      <w:pPr>
        <w:pStyle w:val="Heading3"/>
        <w:keepNext/>
        <w:spacing w:after="120" w:before="300" w:line="312"/>
      </w:pPr>
      <w:bookmarkStart w:id="100077" w:name="_Toc100077"/>
      <w:r>
        <w:rPr>
          <w:rFonts w:ascii="Calibri" w:eastAsia="Microsoft YaHei" w:hAnsi="Calibri"/>
          <w:b/>
          <w:bCs/>
          <w:color w:val="333333"/>
          <w:sz w:val="24"/>
          <w:szCs w:val="24"/>
        </w:rPr>
        <w:t xml:space="preserve">9.7.1 The Normalized Index Formula [BP §2.2]</w:t>
      </w:r>
      <w:bookmarkEnd w:id="100077"/>
    </w:p>
    <w:p>
      <w:pPr>
        <w:spacing w:after="120" w:line="312"/>
        <w:jc w:val="both"/>
      </w:pPr>
      <w:r>
        <w:rPr>
          <w:rFonts w:ascii="Calibri" w:eastAsia="SimSun" w:hAnsi="Calibri"/>
          <w:b w:val="false"/>
          <w:bCs w:val="false"/>
          <w:color w:val="1A1A1A"/>
          <w:sz w:val="21"/>
          <w:szCs w:val="21"/>
        </w:rPr>
        <w:t xml:space="preserve">The v1.2 construction ensures the index starts at exactly 1.0000 by dividing the current basket value by the base-date basket value [BP §2.2]:</w:t>
      </w:r>
    </w:p>
    <w:p>
      <w:pPr>
        <w:spacing w:after="120" w:before="120" w:line="312"/>
        <w:jc w:val="center"/>
      </w:pPr>
      <w:r>
        <w:rPr>
          <w:rFonts w:ascii="Cambria" w:eastAsia="SimSun" w:hAnsi="Cambria"/>
          <w:i/>
          <w:iCs/>
          <w:color w:val="1A1A1A"/>
          <w:sz w:val="22"/>
          <w:szCs w:val="22"/>
        </w:rPr>
        <w:t xml:space="preserve">GFB</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USD</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1.00 + q</w:t>
      </w:r>
      <w:r>
        <w:rPr>
          <w:rFonts w:ascii="Cambria" w:eastAsia="SimSun" w:hAnsi="Cambria"/>
          <w:i/>
          <w:iCs/>
          <w:color w:val="1A1A1A"/>
          <w:sz w:val="22"/>
          <w:szCs w:val="22"/>
          <w:vertAlign w:val="subscript"/>
        </w:rPr>
        <w:t xml:space="preserve">EUR</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perscript"/>
        </w:rPr>
        <w:t xml:space="preserve">EUR/USD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GBP</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perscript"/>
        </w:rPr>
        <w:t xml:space="preserve">GBP/USD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JPY</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perscript"/>
        </w:rPr>
        <w:t xml:space="preserve">JPY/USD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CNY</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perscript"/>
        </w:rPr>
        <w:t xml:space="preserve">CNY/USD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)/(q</w:t>
      </w:r>
      <w:r>
        <w:rPr>
          <w:rFonts w:ascii="Cambria" w:eastAsia="SimSun" w:hAnsi="Cambria"/>
          <w:i/>
          <w:iCs/>
          <w:color w:val="1A1A1A"/>
          <w:sz w:val="22"/>
          <w:szCs w:val="22"/>
          <w:vertAlign w:val="subscript"/>
        </w:rPr>
        <w:t xml:space="preserve">USD</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1.00 + q</w:t>
      </w:r>
      <w:r>
        <w:rPr>
          <w:rFonts w:ascii="Cambria" w:eastAsia="SimSun" w:hAnsi="Cambria"/>
          <w:i/>
          <w:iCs/>
          <w:color w:val="1A1A1A"/>
          <w:sz w:val="22"/>
          <w:szCs w:val="22"/>
          <w:vertAlign w:val="subscript"/>
        </w:rPr>
        <w:t xml:space="preserve">EUR</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perscript"/>
        </w:rPr>
        <w:t xml:space="preserve">EUR/USD</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GBP</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perscript"/>
        </w:rPr>
        <w:t xml:space="preserve">GBP/USD</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JPY</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perscript"/>
        </w:rPr>
        <w:t xml:space="preserve">JPY/USD</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CNY</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perscript"/>
        </w:rPr>
        <w:t xml:space="preserve">CNY/USD</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FX^{i/USD}_t is the spot price of currency i against the US Dollar at time t (source: Chainlink/Pyth, Chapter 17) and FX^{i/USD}_base is the spot price at the genesis timestamp, January 1, 2026, 00:00 UTC [BP §2.2]. The base-date calibration objective was to set the initial quantities q_i so that the index base equals 1.0000 — one MTQ unit started at exactly 1.00 USD-equivalent [BP §2.1].</w:t>
      </w:r>
    </w:p>
    <w:p>
      <w:pPr>
        <w:spacing w:after="120" w:line="312"/>
        <w:jc w:val="both"/>
      </w:pPr>
      <w:r>
        <w:rPr>
          <w:rFonts w:ascii="Calibri" w:eastAsia="SimSun" w:hAnsi="Calibri"/>
          <w:b w:val="false"/>
          <w:bCs w:val="false"/>
          <w:color w:val="1A1A1A"/>
          <w:sz w:val="21"/>
          <w:szCs w:val="21"/>
        </w:rPr>
        <w:t xml:space="preserve">The v2.0 adaptation replaces fixed quantities with live weights and the base-value denominator with the base fixings plus a divisor:</w:t>
      </w:r>
    </w:p>
    <w:p>
      <w:pPr>
        <w:spacing w:after="120" w:before="120" w:line="312"/>
        <w:jc w:val="center"/>
      </w:pPr>
      <w:r>
        <w:rPr>
          <w:rFonts w:ascii="Cambria" w:eastAsia="SimSun" w:hAnsi="Cambria"/>
          <w:i/>
          <w:iCs/>
          <w:color w:val="1A1A1A"/>
          <w:sz w:val="22"/>
          <w:szCs w:val="22"/>
        </w:rPr>
        <w:t xml:space="preserve">I</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G</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i,0</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(value-aggregate form, Section 9.1)</w:t>
      </w:r>
    </w:p>
    <w:p>
      <w:pPr>
        <w:spacing w:after="120" w:line="312"/>
        <w:jc w:val="both"/>
      </w:pPr>
      <w:r>
        <w:rPr>
          <w:rFonts w:ascii="Calibri" w:eastAsia="SimSun" w:hAnsi="Calibri"/>
          <w:b w:val="false"/>
          <w:bCs w:val="false"/>
          <w:color w:val="1A1A1A"/>
          <w:sz w:val="21"/>
          <w:szCs w:val="21"/>
        </w:rPr>
        <w:t xml:space="preserve">with evolution governed by the chain-linked recursion of Section 9.2 rather than by direct recomputation of the ratio. The denominator role of the v1.2 formula splits in two under v2.0: the immutable INDEX_BASE_DENOMINATOR (set at genesis from the Section 3.4 snapshot; Listing 3) anchors the normalization, and the divisor G_t absorbs everything that has happened since — the accumulated chain-link history of Section 9.3. This is why the reconciliation obligation [COO-17] of Section 9.3 is stated as a first-class deliverable and not a footnote.</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fixed quantities → weights. BP §2.1 defines the basket as 'fixed notional quantities of five major currencies, exactly as the IMF SDR basket is constructed' [BP §2.1]; the Modification Specification supersedes this with the adaptive, MASE-weighted basket of seven components (Section 3.1). The genesis snapshot (Section 3.4) is the bridge: it is the one moment at which the fixed-quantity picture is literally true, which is why it is immutable and why its verification (Section 9.6) is permanent.</w:t>
      </w:r>
    </w:p>
    <w:p>
      <w:pPr>
        <w:pStyle w:val="Heading3"/>
        <w:keepNext/>
        <w:spacing w:after="120" w:before="300" w:line="312"/>
      </w:pPr>
      <w:bookmarkStart w:id="100078" w:name="_Toc100078"/>
      <w:r>
        <w:rPr>
          <w:rFonts w:ascii="Calibri" w:eastAsia="Microsoft YaHei" w:hAnsi="Calibri"/>
          <w:b/>
          <w:bCs/>
          <w:color w:val="333333"/>
          <w:sz w:val="24"/>
          <w:szCs w:val="24"/>
        </w:rPr>
        <w:t xml:space="preserve">9.7.2 Base-Date Fixings (Genesis Oracles) [BP §2.3]</w:t>
      </w:r>
      <w:bookmarkEnd w:id="100078"/>
    </w:p>
    <w:p>
      <w:pPr>
        <w:spacing w:after="120" w:line="312"/>
        <w:jc w:val="both"/>
      </w:pPr>
      <w:r>
        <w:rPr>
          <w:rFonts w:ascii="Calibri" w:eastAsia="SimSun" w:hAnsi="Calibri"/>
          <w:b w:val="false"/>
          <w:bCs w:val="false"/>
          <w:color w:val="1A1A1A"/>
          <w:sz w:val="21"/>
          <w:szCs w:val="21"/>
        </w:rPr>
        <w:t xml:space="preserve">The denominator is computed once at contract deployment using hard-coded reference values. These are only used to normalize the index — they are not updated [BP §2.3]:</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Currency Pair</w:t>
            </w:r>
          </w:p>
        </w:tc>
        <w:tc>
          <w:tcPr>
            <w:tcW w:type="pct" w:w="3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Base FX Rate (Jan 1, 2026)</w:t>
            </w:r>
          </w:p>
        </w:tc>
        <w:tc>
          <w:tcPr>
            <w:tcW w:type="pct" w:w="4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Source Reference</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EUR/USD</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1.05000</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Base Feed</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GBP/USD</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1.25000</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Base Feed</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JPY/USD</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0.00670</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Base Feed</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CNY/USD (CNH)</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0.14000</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Base Feed (Offshore Yuan)</w:t>
            </w:r>
          </w:p>
        </w:tc>
      </w:tr>
    </w:tbl>
    <w:p>
      <w:pPr>
        <w:spacing w:after="120"/>
      </w:pPr>
    </w:p>
    <w:p>
      <w:pPr>
        <w:spacing w:after="120" w:line="312"/>
        <w:jc w:val="both"/>
      </w:pPr>
      <w:r>
        <w:rPr>
          <w:rFonts w:ascii="Calibri" w:eastAsia="SimSun" w:hAnsi="Calibri"/>
          <w:b w:val="false"/>
          <w:bCs w:val="false"/>
          <w:color w:val="1A1A1A"/>
          <w:sz w:val="21"/>
          <w:szCs w:val="21"/>
        </w:rPr>
        <w:t xml:space="preserve">CNY note [BP §2.3]: the index uses the offshore Yuan (CNH) rate, which is freely tradeable; the on-chain asset representing CNY is resolved via the Asset Admission Registry (Chapter 15) — the index itself is currency-exposure defined, independent of the specific token issuer. Under v2.0 the fixing table gains two rows carried in the genesis snapshot of Section 3.4: CHF/USD = 1.13000 and the gold base fixing of USD 2,500.00 per reference gold unit. All six fixings are immutable constants in Listing 3 (BASE_EUR_USD through BASE_GOLD_USD) and are published in the GenesisVerified event (Section 9.6.1); the cross-reference for the complete table, including asset implementations and genesis notionals, is Section 3.4.</w:t>
      </w:r>
    </w:p>
    <w:p>
      <w:pPr>
        <w:pStyle w:val="Heading3"/>
        <w:keepNext/>
        <w:spacing w:after="120" w:before="300" w:line="312"/>
      </w:pPr>
      <w:bookmarkStart w:id="100079" w:name="_Toc100079"/>
      <w:r>
        <w:rPr>
          <w:rFonts w:ascii="Calibri" w:eastAsia="Microsoft YaHei" w:hAnsi="Calibri"/>
          <w:b/>
          <w:bCs/>
          <w:color w:val="333333"/>
          <w:sz w:val="24"/>
          <w:szCs w:val="24"/>
        </w:rPr>
        <w:t xml:space="preserve">9.7.3 On-Chain Oracle Feed Mapping [BP §2.4]</w:t>
      </w:r>
      <w:bookmarkEnd w:id="100079"/>
    </w:p>
    <w:p>
      <w:pPr>
        <w:spacing w:after="120" w:line="312"/>
        <w:jc w:val="both"/>
      </w:pPr>
      <w:r>
        <w:rPr>
          <w:rFonts w:ascii="Calibri" w:eastAsia="SimSun" w:hAnsi="Calibri"/>
          <w:b w:val="false"/>
          <w:bCs w:val="false"/>
          <w:color w:val="1A1A1A"/>
          <w:sz w:val="21"/>
          <w:szCs w:val="21"/>
        </w:rPr>
        <w:t xml:space="preserve">The v1.2 contract fetched live FX rates from verified oracle aggregators, with a primary Chainlink feed, a Pyth fallback and a 60-second staleness threshold per pair [BP §2.4]. The addresses below are the blueprint's Arbitrum Mainnet placeholders; they are replaced with the correct addresses for the target chain, and on testnets all feeds are mocks (Appendix D):</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Currency Pair</w:t>
            </w:r>
          </w:p>
        </w:tc>
        <w:tc>
          <w:tcPr>
            <w:tcW w:type="pct" w:w="3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Primary Oracle (Chainlink)</w:t>
            </w:r>
          </w:p>
        </w:tc>
        <w:tc>
          <w:tcPr>
            <w:tcW w:type="pct" w:w="2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Fallback (Pyth)</w:t>
            </w:r>
          </w:p>
        </w:tc>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Staleness Threshold</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EUR/USD</w:t>
            </w:r>
          </w:p>
        </w:tc>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0x…EURUSD_Chainlink</w:t>
            </w:r>
          </w:p>
        </w:tc>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0x…EURUSD_Pyth</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 seconds</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GBP/USD</w:t>
            </w:r>
          </w:p>
        </w:tc>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0x…GBPUSD_Chainlink</w:t>
            </w:r>
          </w:p>
        </w:tc>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0x…GBPUSD_Pyth</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 seconds</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JPY/USD</w:t>
            </w:r>
          </w:p>
        </w:tc>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0x…JPYUSD_Chainlink</w:t>
            </w:r>
          </w:p>
        </w:tc>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0x…JPYUSD_Pyth</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 seconds</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CNY/USD</w:t>
            </w:r>
          </w:p>
        </w:tc>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0x…CNYUSD_Chainlink</w:t>
            </w:r>
          </w:p>
        </w:tc>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0x…CNYUSD_Pyth</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 seconds</w:t>
            </w:r>
          </w:p>
        </w:tc>
      </w:tr>
    </w:tbl>
    <w:p>
      <w:pPr>
        <w:spacing w:after="120"/>
      </w:pPr>
    </w:p>
    <w:p>
      <w:pPr>
        <w:spacing w:after="120" w:line="312"/>
        <w:jc w:val="both"/>
      </w:pPr>
      <w:r>
        <w:rPr>
          <w:rFonts w:ascii="Calibri" w:eastAsia="SimSun" w:hAnsi="Calibri"/>
          <w:b w:val="false"/>
          <w:bCs w:val="false"/>
          <w:color w:val="1A1A1A"/>
          <w:sz w:val="21"/>
          <w:szCs w:val="21"/>
        </w:rPr>
        <w:t xml:space="preserve">Implementation rule [BP §2.4]: if the primary oracle is stale (no update within 60 seconds) or deviates more than 2.5% from the fallback, the contract reverts to the fallback; if both are stale or unavailable, the protocol pauses minting and rebalancing. Under v2.0 this machinery is superseded by the multi-source canonical oracle system of Chapter 17: the pair mapping extends to CHF/USD, the canonical gold price requires an independent-source quorum (Section 17.4), and the pause semantics are governed by the oracle safety rules (Sections 17.3–17.7) together with the crisis framework (Section 13.7). The mapping is summarized here for completeness of the index construction; Chapter 17 is authoritative for feed selection, deviation logic and failover.</w:t>
      </w:r>
    </w:p>
    <w:p>
      <w:pPr>
        <w:pStyle w:val="Heading3"/>
        <w:keepNext/>
        <w:spacing w:after="120" w:before="300" w:line="312"/>
      </w:pPr>
      <w:bookmarkStart w:id="100080" w:name="_Toc100080"/>
      <w:r>
        <w:rPr>
          <w:rFonts w:ascii="Calibri" w:eastAsia="Microsoft YaHei" w:hAnsi="Calibri"/>
          <w:b/>
          <w:bCs/>
          <w:color w:val="333333"/>
          <w:sz w:val="24"/>
          <w:szCs w:val="24"/>
        </w:rPr>
        <w:t xml:space="preserve">9.7.4 Derivative Asset Value and Exposure [BP §2.5]</w:t>
      </w:r>
      <w:bookmarkEnd w:id="100080"/>
    </w:p>
    <w:p>
      <w:pPr>
        <w:spacing w:after="120" w:line="312"/>
        <w:jc w:val="both"/>
      </w:pPr>
      <w:r>
        <w:rPr>
          <w:rFonts w:ascii="Calibri" w:eastAsia="SimSun" w:hAnsi="Calibri"/>
          <w:b w:val="false"/>
          <w:bCs w:val="false"/>
          <w:color w:val="1A1A1A"/>
          <w:sz w:val="21"/>
          <w:szCs w:val="21"/>
        </w:rPr>
        <w:t xml:space="preserve">The reference index is a measurement object, not a mandate on holdings [BP §2.5]. The actual collateral held in the vault (USDC, EURC, PAXG and other admitted instruments, Chapter 15) does not need to match the basket weights; it is managed separately by the rebalancing engine — MARP under v2.0 (Chapters 10–11) — under the reserve architecture of Chapters 13–14. This is the two-system architecture of Section 2.4: the reference basket defines the unit, the reserve backs it, and MARP keeps the reserve tracking the reference within economically justified bounds rather than by mechanical replication.</w:t>
      </w:r>
    </w:p>
    <w:p>
      <w:pPr>
        <w:spacing w:after="120" w:line="312"/>
        <w:jc w:val="both"/>
      </w:pPr>
      <w:r>
        <w:rPr>
          <w:rFonts w:ascii="Calibri" w:eastAsia="SimSun" w:hAnsi="Calibri"/>
          <w:b w:val="false"/>
          <w:bCs w:val="false"/>
          <w:color w:val="1A1A1A"/>
          <w:sz w:val="21"/>
          <w:szCs w:val="21"/>
        </w:rPr>
        <w:t xml:space="preserve">The v1.2 contract method getGFB() implemented the valuation: fetch live FX rates from the oracle aggregator; compute the numerator (current basket value) as the quantity-weighted sum; divide by the immutable GFB_BASE_DENOMINATOR computed once at deployment from the base fixings; and return the normalized value scaled to 1e18, so that 1.0000 is represented as 1e18 [BP §2.5]. Developer notes carried from the blueprint: the denominator is computed once at deployment using the base fixings of Section 9.7.2, and getPrice() returns 18-decimal prices per the oracle layer [BP §2.5]. Under v2.0, getGFB() is superseded by getIndex() of Listing 3 (Section 9.8), which computes the chain-linked level from live registry weights and canonical prices rather than from fixed quantities. The monetary-unit consumers of the index — the reference price, liability and circulating-supply getters (BP §3.1–§3.3) — belong to Chapter 18 and are cross-referenced there, not duplicated here.</w:t>
      </w:r>
    </w:p>
    <w:p>
      <w:pPr>
        <w:pStyle w:val="Heading2"/>
        <w:keepNext/>
        <w:spacing w:after="160" w:before="360" w:line="340" w:lineRule="atLeast"/>
      </w:pPr>
      <w:bookmarkStart w:id="100081" w:name="_Toc100081"/>
      <w:r>
        <w:rPr>
          <w:rFonts w:ascii="Calibri" w:eastAsia="Microsoft YaHei" w:hAnsi="Calibri"/>
          <w:b/>
          <w:bCs/>
          <w:color w:val="1A1A1A"/>
          <w:sz w:val="28"/>
          <w:szCs w:val="28"/>
        </w:rPr>
        <w:t xml:space="preserve">9.8 Smart Contract Implementation — Chain-Linked Index and Genesis Verification</w:t>
      </w:r>
      <w:bookmarkEnd w:id="100081"/>
    </w:p>
    <w:p>
      <w:pPr>
        <w:spacing w:after="120" w:line="312"/>
        <w:jc w:val="both"/>
      </w:pPr>
      <w:r>
        <w:rPr>
          <w:rFonts w:ascii="Calibri" w:eastAsia="SimSun" w:hAnsi="Calibri"/>
          <w:b w:val="false"/>
          <w:bCs w:val="false"/>
          <w:color w:val="1A1A1A"/>
          <w:sz w:val="21"/>
          <w:szCs w:val="21"/>
        </w:rPr>
        <w:t xml:space="preserve">The contract below is the on-chain half of this chapter. It implements the recursion of Section 9.2 (the getIndex machinery requested by Listing 1, Section 2.7), records the chain-link adjustment of Section 9.3, sets the immutable base denominator at genesis and emits the verification event of Section 9.6 — adapting the v1.2 genesis verification and base-denominator storage [BP §2.6, BP §3.3.1] to the adaptive design. Live weights are read from the MASE weight registry of Listing 2 (Section 7.7), so the index can never drift from the constitutionally verified weight state; prices are read from the canonical oracle layer (Chapter 17), including the quorum gold price of Section 17.4. The contract never re-solves anything on-chain: it is a chain-state machine whose every transition is checkable against the published formulas, whose every event is an audit-trail entry, and whose keeper role is permissionless so that no single actor controls when the index rolls forward. The monetary-unit machinery that consumes getIndex() — the reference price, liability and circulating-supply getters of BP §3.1–§3.3 — belongs to Chapter 18 and is not duplicated here.</w:t>
      </w:r>
    </w:p>
    <w:p>
      <w:pPr>
        <w:keepNext/>
        <w:spacing w:after="80" w:before="280" w:line="312"/>
      </w:pPr>
      <w:r>
        <w:rPr>
          <w:rFonts w:ascii="Calibri" w:eastAsia="SimSun" w:hAnsi="Calibri"/>
          <w:b/>
          <w:bCs/>
          <w:color w:val="8A6D1F"/>
          <w:sz w:val="19"/>
          <w:szCs w:val="19"/>
        </w:rPr>
        <w:t xml:space="preserve">Listing 3 — Chain-linked index, base denominator and genesis verification (adapts BP §2.6 and §3.3.1)</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@title MTQChainLinkIndex — the chain-linked reference index I_t (v2.0).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@notice Adapts BP §2.6 (genesis verification) and BP §3.3.1 (base 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and index getter) to the adaptive, chain-linked design of Chapter 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@dev Authoritative recursion (§9.2, COO-16):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I_t = I_{t-1} * [ sum_i W_{i,t-1} * P_{i,t} / P_{i,t-1}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Weights come from the MASE registry (Listing 2, §7.7); prices come from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the canonical multi-source oracle layer (Chapter 17). The contract is 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chain-state machine: it never re-solves the optimization on-chain.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MTQChainLinkIndex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Component order (fixed at genesis; XAU = index 6; Listing 1 §2.7)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bytes3[7] public COMPONENTS = ["USD","EUR","JPY","GBP","CNY","CHF","XAU"];</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Genesis snapshot q_i: USD-equivalent notionals (§3.4, Listing 1 §2.7)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SNAPSHOT ONLY. After genesis the basket evolves by weights, not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quantities; these constants anchor the base 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Q_USD  = 0.27e18;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Q_EUR  = 0.20e18;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Q_JPY  = 0.09e18;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Q_GBP  = 0.08e18;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Q_CNY  = 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Q_CHF  = 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Q_GOLD = 0.26e18;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Base fixings: immutable normalization values (BP §2.3; §3.4)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BASE_EUR_USD  = 1.0500e8;   // 8 decimals (Chainlink style)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BASE_GBP_USD  = 1.2500e8;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BASE_JPY_USD  = 0.0067e8;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BASE_CNY_USD  = 0.1400e8;   // offshore CNH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BASE_CHF_USD  = 1.1300e8;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BASE_GOLD_USD = 2500.00e8;  // USD per reference gold unit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The denominator for normalization, set at genesis (BP §3.3.1)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v1.2 name: GFB_BASE_DENOMINATOR. v2.0 name: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Under the §3.4 convention the q_i are USD-equivalent notionals, so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base basket value is sum(q_i) = 1.0000e18 by calibration; it 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computed explicitly (not assumed) so that it is auditable.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immutable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Chain state: the authoritative recursion bookkeeping (§9.2)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indexValue;        // I_t, 1e18 scale; 1.0000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public lastPrices;     // P_{i,t-1}, 1e18-scale USD-quoted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public lastWeights;    // W_{i,t-1} in force,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chainLinkDivisor;  // cumulative product of D_t (§9.3),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lastUpdate;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External dependencies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IMASEWeightRegistry public weightRegistry;  // Listing 2 (§7.7)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IIndexOracle public oracle;                 // canonical prices (Chapter 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deployer;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Events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BP §2.6.1 GenesisVerification, extended to seven components, renamed.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GenesisVerified(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indexBaseDenominator,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eurUsdBase,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gbpUsdBase,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jpyUsdBase,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cnyUsdBase,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chfUsdBase,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goldUsdBase,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IndexUpdated(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newIndex,</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methodologyVersion,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ChainLinkAdjusted(uint256 D, uint256 bMinus, uint256 bPlus,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constructor(address registry, address oracle_)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deployer = msg.sender;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weightRegistry = IMASEWeightRegistry(registry);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 = IIndexOracle(oracle_);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INDEX_BASE_DENOMINATOR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Q_USD + Q_EUR + Q_JPY + Q_GBP + Q_CNY + Q_CHF + Q_GOLD; // = 1.0000e18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One-time genesis: seeds I_0 = 1.0000 and emits the audit event.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Requires the registry to already hold the genesis weights (§3.4).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Prices are seeded from the immutable base fixings, not live feeds,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so I_0 = 1.0000 exactly, independent of feed noise at genesis.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genesis()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deployer, "Only deployer");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require(indexValue == 0, "Genesis already executed");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memory w, bytes32 mVersion, bytes32 dVersion)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weightRegistry.getLiveWeights();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sum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sum += w[i];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lastWeights[i] = w[i];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lastPrices[i] = _basePrice18(i);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require(sum == 1e18, "Registry weights must sum to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indexValue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chainLinkDivisor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lastUpdate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_emitGenesisVerification();                       // BP §2.6.1 / §2.6.3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IndexUpdated(indexValue, lastPrices, w, mVersion, dVersion,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Advance the chain-linked index one period (§9.2, §9.3).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Permissionless keeper call on the daily calculation cadence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(§10.1). The pause rules of Chapters 13/17 stop updates when feeds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are unusable: the oracle layer reverts instead of returning bad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prices, so this function cannot advance on stale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updateIndex()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require(indexValue != 0, "Genesis not executed");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memory wNew, bytes32 mVersion, bytes32 dVersion)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weightRegistry.getLiveWeights();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memory p = _fetchPrices();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Price return over the period, weighted by the weights IN FORCE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over the period (COO-16: W_{i,t-1}). A weight change accepted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during the period enters only FUTURE period returns.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growth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require(p[i] &gt; 0 &amp;&amp; lastPrices[i] &gt; 0, "Bad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growth += (lastWeights[i] * p[i]) / lastPrices[i];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indexValue = (indexValue * growth)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Chain-link adjustment at weight change (§9.3, MS §75).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 / B^+ are base-relative aggregates: the value of the old 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new compositions measured against the genesis fixings. D_t 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RECORDED and published, NOT multiplied into indexValue — under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recursion the level is already continuous, and applying D_t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here as well would double-count the adjustment. The cumulative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divisor exists for the NAV-form reconciliation (§9.1, COO-17).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bMinus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bPlus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changed =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rel = (p[i] * 1e18) / _basePrice18(i);   // P_{i,t} / P_{i,0}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bMinus += (lastWeights[i] * rel)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bPlus  += (wNew[i] * rel)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(wNew[i] != lastWeights[i]) { changed = true;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(changed)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require(bPlus &gt; 0, "Zero basket");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newD = (bMinus * 1e18) / bPlus;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chainLinkDivisor = (chainLinkDivisor * newD)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lastWeights = wNew;   // new weights govern future period returns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ChainLinkAdjusted(newD, bMinus, bPlus,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Commit the period end-state.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 lastPrices[i] = p[i];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lastUpdate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IndexUpdated(indexValue, p, lastWeights, mVersion, dVersion,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Returns the current chain-linked index level I_t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This is the value consumed by the monetary-unit machinery of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Chapter 18. It reflects the last committed updateIndex(); a keeper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must call updateIndex() to roll the index forward.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getIndex() external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indexValue;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Value-aggregate form: NAV_t = sum_i W_{i,t} * P_{i,t}/P_{i,0} (§9.1).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Uses the committed chain weights (equal to the registry's live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weights after the last updateIndex()). Exposed for the COO-17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reconciliation: the normalization factor is G_t = I_t / NAV_t; its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exact functional form is pinned during quantitative implementation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(§9.3) and published (§24.3), not assumed here.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getNavForm() external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memory p = _fetchPrices();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nav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rel = (p[i] * 1e18) / _basePrice18(i);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nav += (lastWeights[i] * rel)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nav;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Off-chain verification hook (adapts BP §2.6.2 verifyGFBBase).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Recomputes the base basket value from the immutable genesis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constants and checks the §3.4 calibration invariant: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USD-equivalent genesis notionals sum to exactly 1.0000 per unit,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which is what makes I_0 = 1.0000 exact.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verifyGenesis() external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recomputed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Q_USD + Q_EUR + Q_JPY + Q_GBP + Q_CNY + Q_CHF + Q_GOLD;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recomputed == INDEX_BASE_DENOMINATOR &amp;&amp; recomputed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BP §2.6.1 / §2.6.3: emit once, at the end of genesis(), immediately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after the denominator is committed. On testnets the deployer must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ensure this event lands in the logs for audit testing (Appendix 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_emitGenesisVerification()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GenesisVerified(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BASE_EUR_USD,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BASE_GBP_USD,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BASE_JPY_USD,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BASE_CNY_USD,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BASE_CHF_USD,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BASE_GOLD_USD,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Canonical prices, 1e18-scale USD-quoted. The USD component 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quoted against itself (exactly 1.0000e18): its price relative 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always 1, so in USD-valuation terms the USD sleeve contributes no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price return (§9.4) — only allocation and rebalancing effects.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Staleness, deviation and the gold quorum are enforced upstream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(Chapter 17); this call reverts when no canonical price exists.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_fetchPrices() internal view returns (uint256[7] memory p)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p[0] = 1e18;                                   // USD identity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1;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p[i] = oracle.price(i);                    // canonical feed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Base fixings normalized to 1e18 (BP §2.3 constants are 8-decimal).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_basePrice18(uint256 i) internal pure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(i == 0) return 1e18;                       // 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(i == 1) return BASE_EUR_USD * 1e10;        // EUR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(i == 2) return BASE_JPY_USD * 1e10;        // JPY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(i == 3) return BASE_GBP_USD * 1e10;        // GBP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(i == 4) return BASE_CNY_USD * 1e10;        // CNH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(i == 5) return BASE_CHF_USD * 1e10;        // CHF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BASE_GOLD_USD * 1e10;                   // XAU</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IMASEWeightRegistry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Live smoothed weights plus version identifiers (Listing 2, §7.7).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getLiveWeights()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view returns (uint256[7] memory weights, bytes32 methodologyVersion, bytes32 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IIndexOracle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Canonical USD-quoted price of COMPONENTS[i],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Chapter 17: staleness, deviation and multi-source quorum checks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(including the canonical gold price, §17.4) are enforced upstream;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this call reverts when no canonical price is currently available.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price(uint256 componentIndex) external view returns (uint256);</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Listing 3 adapts BP §3.3.1 (GFB_BASE_DENOMINATOR → INDEX_BASE_DENOMINATOR, immutable, set at genesis) and BP §2.6 (GenesisVerification → GenesisVerified with CHF and gold fixings; verifyGFBBase → verifyGenesis). The fixed-quantity numerator of BP's getGFB() [BP §2.5] is replaced by the chain-linked recursion [COO-16] over registry weights and canonical prices; the chain-link divisor D_t [MS §75] is recorded and published rather than silently applied, pending the COO-17 reconciliation of Section 9.3. Keepers call updateIndex() on the daily calculation cadence (Section 10.1); getIndex() returns the last committed level, which is the value Chapter 18 consumes.</w:t>
      </w:r>
    </w:p>
    <w:p>
      <w:pPr>
        <w:pStyle w:val="Heading1"/>
        <w:keepNext/>
        <w:pBdr>
          <w:bottom w:val="single" w:color="C9A84C" w:sz="12" w:space="6"/>
        </w:pBdr>
        <w:spacing w:after="220" w:before="480" w:line="380" w:lineRule="atLeast"/>
      </w:pPr>
      <w:bookmarkStart w:id="100082" w:name="_Toc100082"/>
      <w:r>
        <w:rPr>
          <w:rFonts w:ascii="Calibri" w:eastAsia="Microsoft YaHei" w:hAnsi="Calibri"/>
          <w:b/>
          <w:bCs/>
          <w:color w:val="1A1A1A"/>
          <w:sz w:val="32"/>
          <w:szCs w:val="32"/>
        </w:rPr>
        <w:t xml:space="preserve">10. MARP: The Monetary Adaptive Rebalancing Protocol</w:t>
      </w:r>
      <w:bookmarkEnd w:id="100082"/>
    </w:p>
    <w:p>
      <w:pPr>
        <w:pStyle w:val="Heading2"/>
        <w:keepNext/>
        <w:spacing w:after="160" w:before="360" w:line="340" w:lineRule="atLeast"/>
      </w:pPr>
      <w:bookmarkStart w:id="100083" w:name="_Toc100083"/>
      <w:r>
        <w:rPr>
          <w:rFonts w:ascii="Calibri" w:eastAsia="Microsoft YaHei" w:hAnsi="Calibri"/>
          <w:b/>
          <w:bCs/>
          <w:color w:val="1A1A1A"/>
          <w:sz w:val="28"/>
          <w:szCs w:val="28"/>
        </w:rPr>
        <w:t xml:space="preserve">10.1 Daily Calculation vs Actual Rebalancing</w:t>
      </w:r>
      <w:bookmarkEnd w:id="100083"/>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MTQ Σ calculates every day but does not necessarily trade every day. This distinction is constitutional [MS §35].</w:t>
      </w:r>
    </w:p>
    <w:p>
      <w:pPr>
        <w:spacing w:after="120" w:line="312"/>
        <w:jc w:val="both"/>
      </w:pPr>
      <w:r>
        <w:rPr>
          <w:rFonts w:ascii="Calibri" w:eastAsia="SimSun" w:hAnsi="Calibri"/>
          <w:b w:val="false"/>
          <w:bCs w:val="false"/>
          <w:color w:val="1A1A1A"/>
          <w:sz w:val="21"/>
          <w:szCs w:val="21"/>
        </w:rPr>
        <w:t xml:space="preserve">MARP (Monetary Adaptive Rebalancing Protocol) is Layer 3 of the three-layer architecture (Section 2.2): it receives target weights from MASE, compares them against the observed reserve composition, and decides — component by component, day by day — whether a correction is worth executing. Invariant I11 (Section 2.6) states the rule directly: daily calculation does not imply daily trading; trading requires an economically justified trigger under MARP rules. The calculation pipeline therefore runs unconditionally on the daily cadence, while the execution pipeline is gated by the no-trade zone (Section 10.4), the urgency test (Section 10.2), the cost-benefit gate (Section 10.8) and the execution constraints (Section 11.5).</w:t>
      </w:r>
    </w:p>
    <w:p>
      <w:pPr>
        <w:spacing w:after="120" w:line="312"/>
        <w:jc w:val="both"/>
      </w:pPr>
      <w:r>
        <w:rPr>
          <w:rFonts w:ascii="Calibri" w:eastAsia="SimSun" w:hAnsi="Calibri"/>
          <w:b w:val="false"/>
          <w:bCs w:val="false"/>
          <w:color w:val="1A1A1A"/>
          <w:sz w:val="21"/>
          <w:szCs w:val="21"/>
        </w:rPr>
        <w:t xml:space="preserve">The daily calculation set includes all of the following quantities [MS §35]:</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Quantity</w:t>
            </w:r>
          </w:p>
        </w:tc>
        <w:tc>
          <w:tcPr>
            <w:tcW w:type="pct" w:w="5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3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Produced By</w:t>
            </w:r>
          </w:p>
        </w:tc>
      </w:tr>
      <w:tr>
        <w:trPr>
          <w:cantSplit/>
        </w:trPr>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W_t^{Target}</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Current MASE ensemble target weight for every component.</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7, constrained by Chapter 8</w:t>
            </w:r>
          </w:p>
        </w:tc>
      </w:tr>
      <w:tr>
        <w:trPr>
          <w:cantSplit/>
        </w:trPr>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Risk_t</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Portfolio risk estimates (variance, risk contributions, drawdown state).</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5.1, 6.1–6.4</w:t>
            </w:r>
          </w:p>
        </w:tc>
      </w:tr>
      <w:tr>
        <w:trPr>
          <w:cantSplit/>
        </w:trPr>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CVaR_t</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95% tail-risk estimate with the 99% level monitored.</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6.6</w:t>
            </w:r>
          </w:p>
        </w:tc>
      </w:tr>
      <w:tr>
        <w:trPr>
          <w:cantSplit/>
        </w:trPr>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ReserveCoverage_t</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ratio and coverage of the MTQ Σ liability.</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13</w:t>
            </w:r>
          </w:p>
        </w:tc>
      </w:tr>
      <w:tr>
        <w:trPr>
          <w:cantSplit/>
        </w:trPr>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Liquidity_t</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Venue depth and market liquidity state for each execution leg.</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11.4, Chapter 12</w:t>
            </w:r>
          </w:p>
        </w:tc>
      </w:tr>
      <w:tr>
        <w:trPr>
          <w:cantSplit/>
        </w:trPr>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OracleHealth_t</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Staleness, deviation and quorum status of the price feeds.</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17</w:t>
            </w:r>
          </w:p>
        </w:tc>
      </w:tr>
      <w:tr>
        <w:trPr>
          <w:cantSplit/>
        </w:trPr>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TransactionCost_t</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Prevailing spread, slippage, fee and gas estimates.</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10.8, Section 11.11</w:t>
            </w:r>
          </w:p>
        </w:tc>
      </w:tr>
    </w:tbl>
    <w:p>
      <w:pPr>
        <w:spacing w:after="120"/>
      </w:pPr>
    </w:p>
    <w:p>
      <w:pPr>
        <w:spacing w:after="120" w:before="120" w:line="312"/>
        <w:jc w:val="center"/>
      </w:pPr>
      <w:r>
        <w:rPr>
          <w:rFonts w:ascii="Cambria" w:eastAsia="SimSun" w:hAnsi="Cambria"/>
          <w:i w:val="false"/>
          <w:iCs w:val="false"/>
          <w:color w:val="1A1A1A"/>
          <w:sz w:val="22"/>
          <w:szCs w:val="22"/>
        </w:rPr>
        <w:t xml:space="preserve">Calc</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CVaR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ReserveCoverage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OracleHealth</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TransactionCost</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No trade is required merely because the calendar changed [MS §35]. The economic logic is asymmetric: execution costs (spread, slippage, fees, impact, gas) are certain and immediate, while the stability benefit of a small correction is uncertain and gradual. Separating calculation from trading lets the protocol accumulate measurement continuity — every daily snapshot enters the weight publication and the decision log (Section 24.4) — without paying the market a rent for the privilege of being observed. The distinction also decouples the two cadences that are easiest to conflate: trading frequency is an output of the gates (Section 10.10), while the deeper methodology review runs on its own quarterly cadence regardless of whether a single trade occurred. A calculated-but-untraded day is therefore not an idle day; it is a day on which the system verified that its current position is already inside the justified region, and that verification is itself a published, auditable output.</w:t>
      </w:r>
    </w:p>
    <w:p>
      <w:pPr>
        <w:pStyle w:val="Heading2"/>
        <w:keepNext/>
        <w:spacing w:after="160" w:before="360" w:line="340" w:lineRule="atLeast"/>
      </w:pPr>
      <w:bookmarkStart w:id="100084" w:name="_Toc100084"/>
      <w:r>
        <w:rPr>
          <w:rFonts w:ascii="Calibri" w:eastAsia="Microsoft YaHei" w:hAnsi="Calibri"/>
          <w:b/>
          <w:bCs/>
          <w:color w:val="1A1A1A"/>
          <w:sz w:val="28"/>
          <w:szCs w:val="28"/>
        </w:rPr>
        <w:t xml:space="preserve">10.2 Rebalancing Urgency</w:t>
      </w:r>
      <w:bookmarkEnd w:id="100084"/>
    </w:p>
    <w:p>
      <w:pPr>
        <w:spacing w:after="120" w:line="312"/>
        <w:jc w:val="both"/>
      </w:pPr>
      <w:r>
        <w:rPr>
          <w:rFonts w:ascii="Calibri" w:eastAsia="SimSun" w:hAnsi="Calibri"/>
          <w:b w:val="false"/>
          <w:bCs w:val="false"/>
          <w:color w:val="1A1A1A"/>
          <w:sz w:val="21"/>
          <w:szCs w:val="21"/>
        </w:rPr>
        <w:t xml:space="preserve">When a component drifts, MARP does not ask a binary question. It scores the situation. For each asset i the engine computes a rebalancing urgency [MS §38]:</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U</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D</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b</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RiskDeterioration</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c</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PPDeterioration</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Crisis</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TransactionCost</w:t>
      </w:r>
      <w:r>
        <w:rPr>
          <w:rFonts w:ascii="Cambria" w:eastAsia="SimSun" w:hAnsi="Cambria"/>
          <w:i/>
          <w:iCs/>
          <w:color w:val="1A1A1A"/>
          <w:sz w:val="22"/>
          <w:szCs w:val="22"/>
          <w:vertAlign w:val="subscript"/>
        </w:rPr>
        <w:t xml:space="preserve">i</w:t>
      </w:r>
    </w:p>
    <w:p>
      <w:pPr>
        <w:spacing w:after="120" w:before="120" w:line="312"/>
        <w:jc w:val="center"/>
      </w:pPr>
      <w:r>
        <w:rPr>
          <w:rFonts w:ascii="Cambria" w:eastAsia="SimSun" w:hAnsi="Cambria"/>
          <w:i/>
          <w:iCs/>
          <w:color w:val="1A1A1A"/>
          <w:sz w:val="22"/>
          <w:szCs w:val="22"/>
        </w:rPr>
        <w:t xml:space="preserve">Trade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&gt; 0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only if</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U</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&gt; U</w:t>
      </w:r>
      <w:r>
        <w:rPr>
          <w:rFonts w:ascii="Cambria" w:eastAsia="SimSun" w:hAnsi="Cambria"/>
          <w:i/>
          <w:iCs/>
          <w:color w:val="1A1A1A"/>
          <w:sz w:val="22"/>
          <w:szCs w:val="22"/>
          <w:vertAlign w:val="subscript"/>
        </w:rPr>
        <w:t xml:space="preserve">min</w:t>
      </w:r>
    </w:p>
    <w:p>
      <w:pPr>
        <w:spacing w:after="120" w:line="312"/>
        <w:jc w:val="both"/>
      </w:pPr>
      <w:r>
        <w:rPr>
          <w:rFonts w:ascii="Calibri" w:eastAsia="SimSun" w:hAnsi="Calibri"/>
          <w:b w:val="false"/>
          <w:bCs w:val="false"/>
          <w:color w:val="1A1A1A"/>
          <w:sz w:val="21"/>
          <w:szCs w:val="21"/>
        </w:rPr>
        <w:t xml:space="preserve">Each term is a measured quantity with a defined source, so the score is reproducible from published data:</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Term</w:t>
            </w:r>
          </w:p>
        </w:tc>
        <w:tc>
          <w:tcPr>
            <w:tcW w:type="pct" w:w="6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1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Source</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D_i</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Absolute deviation of component i from its execution reference weight.</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10.4</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RiskDeterioration_i</w:t>
            </w:r>
          </w:p>
        </w:tc>
        <w:tc>
          <w:tcPr>
            <w:tcW w:type="pct" w:w="6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Adverse change in the component's risk contribution and volatility state.</w:t>
            </w:r>
          </w:p>
        </w:tc>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5.1, 6.4</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PPDeterioration_i</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Purchasing-power deterioration of component i against the GPP basket.</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5.2, 6.8</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Crisis_i</w:t>
            </w:r>
          </w:p>
        </w:tc>
        <w:tc>
          <w:tcPr>
            <w:tcW w:type="pct" w:w="6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Crisis-score loading of the component (stress scaling of urgency).</w:t>
            </w:r>
          </w:p>
        </w:tc>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5.5</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TransactionCost_i</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Full estimated execution cost of correcting component i.</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10.8</w:t>
            </w:r>
          </w:p>
        </w:tc>
      </w:tr>
    </w:tbl>
    <w:p>
      <w:pPr>
        <w:spacing w:after="120"/>
      </w:pPr>
    </w:p>
    <w:p>
      <w:pPr>
        <w:spacing w:after="120" w:line="312"/>
        <w:jc w:val="both"/>
      </w:pPr>
      <w:r>
        <w:rPr>
          <w:rFonts w:ascii="Calibri" w:eastAsia="SimSun" w:hAnsi="Calibri"/>
          <w:b w:val="false"/>
          <w:bCs w:val="false"/>
          <w:color w:val="1A1A1A"/>
          <w:sz w:val="21"/>
          <w:szCs w:val="21"/>
        </w:rPr>
        <w:t xml:space="preserve">The coefficients a, b, c, d, e and the floor U_{min} are Risk-Council parameters within constitutional envelopes (Section 22.4), published with each methodology version so that any urgency score can be recomputed by an independent auditor. The first four coefficients are positive drivers — deviation, risk deterioration, purchasing-power deterioration and crisis stress all raise urgency — while the negative cost term makes the score net-of-cost: a component whose correction is expensive must drift further, or deteriorate more, before it clears the same bar. Urgency is continuous, and the hierarchy of Section 10.3 is its discrete readout: low urgency keeps the component at Level 0 or Level 1, moderate urgency authorizes a Level 2 partial correction, and material risk or solvency pressure escalates to Level 3 or higher.</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Urgency is a ranking device, not a trade instruction. A positive U_i &gt; U_{min} is necessary but not sufficient: the component must also be outside the no-trade zone (Section 10.4), and the sized trade must survive the cost-benefit gate (Section 10.8). The three tests are deliberately redundant — cheap, coarse filters first, expensive economic verification last.</w:t>
      </w:r>
    </w:p>
    <w:p>
      <w:pPr>
        <w:pStyle w:val="Heading2"/>
        <w:keepNext/>
        <w:spacing w:after="160" w:before="360" w:line="340" w:lineRule="atLeast"/>
      </w:pPr>
      <w:bookmarkStart w:id="100085" w:name="_Toc100085"/>
      <w:r>
        <w:rPr>
          <w:rFonts w:ascii="Calibri" w:eastAsia="Microsoft YaHei" w:hAnsi="Calibri"/>
          <w:b/>
          <w:bCs/>
          <w:color w:val="1A1A1A"/>
          <w:sz w:val="28"/>
          <w:szCs w:val="28"/>
        </w:rPr>
        <w:t xml:space="preserve">10.3 The Rebalancing Hierarchy</w:t>
      </w:r>
      <w:bookmarkEnd w:id="100085"/>
    </w:p>
    <w:p>
      <w:pPr>
        <w:spacing w:after="120" w:line="312"/>
        <w:jc w:val="both"/>
      </w:pPr>
      <w:r>
        <w:rPr>
          <w:rFonts w:ascii="Calibri" w:eastAsia="SimSun" w:hAnsi="Calibri"/>
          <w:b w:val="false"/>
          <w:bCs w:val="false"/>
          <w:color w:val="1A1A1A"/>
          <w:sz w:val="21"/>
          <w:szCs w:val="21"/>
        </w:rPr>
        <w:t xml:space="preserve">MARP organizes every possible intervention into six levels, from pure observation to emergency action [MS §42]. The level is selected per component per day as the highest level whose trigger condition is met; a Level 5 event suspends the normal ladder for the affected components until governance stands the system down. The levels are: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Level</w:t>
            </w:r>
          </w:p>
        </w:tc>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Name</w:t>
            </w:r>
          </w:p>
        </w:tc>
        <w:tc>
          <w:tcPr>
            <w:tcW w:type="pct" w:w="4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Trigger</w:t>
            </w:r>
          </w:p>
        </w:tc>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Response</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Monitor</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Deviation inside the no-trade zone; no other signal active.</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trade; state logged.</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Natural flow</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Inflows or outflows can close part of the gap.</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Direct flows first (Section 10.7).</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Drift trigger</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D_{i,t} &gt; θ_{i,t} with moderate urgency.</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Partial correction, β &lt; 1 (Section 10.6).</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trigger</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Material risk deterioration or reserve-ratio stress.</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Larger, staged correction.</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Structural change</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Constituency or methodology transition.</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Ramped reallocation (Section 4.6).</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oracle, liquidity or systemic integrity event.</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Crisis-mode execution (Section 13.7).</w:t>
            </w:r>
          </w:p>
        </w:tc>
      </w:tr>
    </w:tbl>
    <w:p>
      <w:pPr>
        <w:spacing w:after="120"/>
      </w:pPr>
    </w:p>
    <w:p>
      <w:pPr>
        <w:pStyle w:val="Heading3"/>
        <w:keepNext/>
        <w:spacing w:after="120" w:before="300" w:line="312"/>
      </w:pPr>
      <w:bookmarkStart w:id="100086" w:name="_Toc100086"/>
      <w:r>
        <w:rPr>
          <w:rFonts w:ascii="Calibri" w:eastAsia="Microsoft YaHei" w:hAnsi="Calibri"/>
          <w:b/>
          <w:bCs/>
          <w:color w:val="333333"/>
          <w:sz w:val="24"/>
          <w:szCs w:val="24"/>
        </w:rPr>
        <w:t xml:space="preserve">Level 0 — Monitor</w:t>
      </w:r>
      <w:bookmarkEnd w:id="100086"/>
    </w:p>
    <w:p>
      <w:pPr>
        <w:spacing w:after="120" w:line="312"/>
        <w:jc w:val="both"/>
      </w:pPr>
      <w:r>
        <w:rPr>
          <w:rFonts w:ascii="Calibri" w:eastAsia="SimSun" w:hAnsi="Calibri"/>
          <w:b w:val="false"/>
          <w:bCs w:val="false"/>
          <w:color w:val="1A1A1A"/>
          <w:sz w:val="21"/>
          <w:szCs w:val="21"/>
        </w:rPr>
        <w:t xml:space="preserve">Level 0 is the default state, not a failure state. The engine runs the full daily calculation (Section 10.1), observes that D_{i,t} \leq \theta_{i,t} with no risk, purchasing-power or crisis escalation, and trades nothing. Every monitored day is recorded in the decision log (Section 24.4) with the deviation, the active band and the reason code, so the historical width of the no-trade zone is itself published evidence about regime conditions. A basket can legitimately spend weeks at Level 0; that persistence is the visible signature of a well-sized θ and a stable target, not of a stalled engine.</w:t>
      </w:r>
    </w:p>
    <w:p>
      <w:pPr>
        <w:pStyle w:val="Heading3"/>
        <w:keepNext/>
        <w:spacing w:after="120" w:before="300" w:line="312"/>
      </w:pPr>
      <w:bookmarkStart w:id="100087" w:name="_Toc100087"/>
      <w:r>
        <w:rPr>
          <w:rFonts w:ascii="Calibri" w:eastAsia="Microsoft YaHei" w:hAnsi="Calibri"/>
          <w:b/>
          <w:bCs/>
          <w:color w:val="333333"/>
          <w:sz w:val="24"/>
          <w:szCs w:val="24"/>
        </w:rPr>
        <w:t xml:space="preserve">Level 1 — Natural Flow</w:t>
      </w:r>
      <w:bookmarkEnd w:id="100087"/>
    </w:p>
    <w:p>
      <w:pPr>
        <w:spacing w:after="120" w:line="312"/>
        <w:jc w:val="both"/>
      </w:pPr>
      <w:r>
        <w:rPr>
          <w:rFonts w:ascii="Calibri" w:eastAsia="SimSun" w:hAnsi="Calibri"/>
          <w:b w:val="false"/>
          <w:bCs w:val="false"/>
          <w:color w:val="1A1A1A"/>
          <w:sz w:val="21"/>
          <w:szCs w:val="21"/>
        </w:rPr>
        <w:t xml:space="preserve">At Level 1 the deviation is real but the cheapest corrector is already inside the system: incoming or outgoing flows. Minting delivers the reference basket (Chapter 19), redemptions withdraw from it, and fee or interest accruals land on specific components; before the engine sells anything, it checks how much of the gap these flows will close organically (Section 10.7). Level 1 interventions are bookkeeping operations, not market operations — they incur no spread, no slippage and no market impact. The engine escalates to Level 2 only for the residual gap that flows cannot close within an acceptable horizon.</w:t>
      </w:r>
    </w:p>
    <w:p>
      <w:pPr>
        <w:pStyle w:val="Heading3"/>
        <w:keepNext/>
        <w:spacing w:after="120" w:before="300" w:line="312"/>
      </w:pPr>
      <w:bookmarkStart w:id="100088" w:name="_Toc100088"/>
      <w:r>
        <w:rPr>
          <w:rFonts w:ascii="Calibri" w:eastAsia="Microsoft YaHei" w:hAnsi="Calibri"/>
          <w:b/>
          <w:bCs/>
          <w:color w:val="333333"/>
          <w:sz w:val="24"/>
          <w:szCs w:val="24"/>
        </w:rPr>
        <w:t xml:space="preserve">Level 2 — Drift Trigger</w:t>
      </w:r>
      <w:bookmarkEnd w:id="100088"/>
    </w:p>
    <w:p>
      <w:pPr>
        <w:spacing w:after="120" w:line="312"/>
        <w:jc w:val="both"/>
      </w:pPr>
      <w:r>
        <w:rPr>
          <w:rFonts w:ascii="Calibri" w:eastAsia="SimSun" w:hAnsi="Calibri"/>
          <w:b w:val="false"/>
          <w:bCs w:val="false"/>
          <w:color w:val="1A1A1A"/>
          <w:sz w:val="21"/>
          <w:szCs w:val="21"/>
        </w:rPr>
        <w:t xml:space="preserve">Level 2 fires when a component breaches its dynamic no-trade threshold with moderate urgency. The response is a partial correction: the engine executes a fraction \beta &lt; 1 of the full gap (Section 10.6), sized additionally by liquidity and daily-turnover caps (Sections 11.4 and 11.5). Partial correction is the workhorse of MARP because it prices uncertainty honestly — if the deviation is signal, the residual will persist and be corrected again tomorrow; if it was noise, the engine only paid to correct part of it. Level 2 trades are the primary input to the churn statistics that the validation program monitors (Chapter 23).</w:t>
      </w:r>
    </w:p>
    <w:p>
      <w:pPr>
        <w:pStyle w:val="Heading3"/>
        <w:keepNext/>
        <w:spacing w:after="120" w:before="300" w:line="312"/>
      </w:pPr>
      <w:bookmarkStart w:id="100089" w:name="_Toc100089"/>
      <w:r>
        <w:rPr>
          <w:rFonts w:ascii="Calibri" w:eastAsia="Microsoft YaHei" w:hAnsi="Calibri"/>
          <w:b/>
          <w:bCs/>
          <w:color w:val="333333"/>
          <w:sz w:val="24"/>
          <w:szCs w:val="24"/>
        </w:rPr>
        <w:t xml:space="preserve">Level 3 — Risk Trigger</w:t>
      </w:r>
      <w:bookmarkEnd w:id="100089"/>
    </w:p>
    <w:p>
      <w:pPr>
        <w:spacing w:after="120" w:line="312"/>
        <w:jc w:val="both"/>
      </w:pPr>
      <w:r>
        <w:rPr>
          <w:rFonts w:ascii="Calibri" w:eastAsia="SimSun" w:hAnsi="Calibri"/>
          <w:b w:val="false"/>
          <w:bCs w:val="false"/>
          <w:color w:val="1A1A1A"/>
          <w:sz w:val="21"/>
          <w:szCs w:val="21"/>
        </w:rPr>
        <w:t xml:space="preserve">Level 3 responds to material risk deterioration rather than plain drift: a component whose volatility, correlation or tail contribution is degrading the portfolio risk profile, or a reserve ratio moving toward its stress threshold (RR_t approaching 1.10, Section 13.3). The response is a larger correction — \beta closer to one, possibly spanning several components and executed in stages over multiple days under the same liquidity caps. Level 3 escalation is driven by the same urgency score of Section 10.2, with the risk-deterioration term carrying the dominant weight; the declaration of Level 3 is logged with the risk evidence that justified it.</w:t>
      </w:r>
    </w:p>
    <w:p>
      <w:pPr>
        <w:pStyle w:val="Heading3"/>
        <w:keepNext/>
        <w:spacing w:after="120" w:before="300" w:line="312"/>
      </w:pPr>
      <w:bookmarkStart w:id="100090" w:name="_Toc100090"/>
      <w:r>
        <w:rPr>
          <w:rFonts w:ascii="Calibri" w:eastAsia="Microsoft YaHei" w:hAnsi="Calibri"/>
          <w:b/>
          <w:bCs/>
          <w:color w:val="333333"/>
          <w:sz w:val="24"/>
          <w:szCs w:val="24"/>
        </w:rPr>
        <w:t xml:space="preserve">Level 4 — Structural Change</w:t>
      </w:r>
      <w:bookmarkEnd w:id="100090"/>
    </w:p>
    <w:p>
      <w:pPr>
        <w:spacing w:after="120" w:line="312"/>
        <w:jc w:val="both"/>
      </w:pPr>
      <w:r>
        <w:rPr>
          <w:rFonts w:ascii="Calibri" w:eastAsia="SimSun" w:hAnsi="Calibri"/>
          <w:b w:val="false"/>
          <w:bCs w:val="false"/>
          <w:color w:val="1A1A1A"/>
          <w:sz w:val="21"/>
          <w:szCs w:val="21"/>
        </w:rPr>
        <w:t xml:space="preserve">Level 4 is reserved for structural events: a currency entering or retiring through the Constituency Engine (Section 4.6), a methodology version change approved through governance, or a data-source revision that alters the published inputs (Section 24.2). Structural changes are never executed as block trades; they enter as ramped target paths over transition windows, and each step of the ramp must pass through the same MARP gates as any ordinary correction — no-trade zone, urgency, sizing, cost-benefit. This guarantees that even a deliberate architectural decision pays only justified execution costs on the way to its new steady state.</w:t>
      </w:r>
    </w:p>
    <w:p>
      <w:pPr>
        <w:pStyle w:val="Heading3"/>
        <w:keepNext/>
        <w:spacing w:after="120" w:before="300" w:line="312"/>
      </w:pPr>
      <w:bookmarkStart w:id="100091" w:name="_Toc100091"/>
      <w:r>
        <w:rPr>
          <w:rFonts w:ascii="Calibri" w:eastAsia="Microsoft YaHei" w:hAnsi="Calibri"/>
          <w:b/>
          <w:bCs/>
          <w:color w:val="333333"/>
          <w:sz w:val="24"/>
          <w:szCs w:val="24"/>
        </w:rPr>
        <w:t xml:space="preserve">Level 5 — Emergency</w:t>
      </w:r>
      <w:bookmarkEnd w:id="100091"/>
    </w:p>
    <w:p>
      <w:pPr>
        <w:spacing w:after="120" w:line="312"/>
        <w:jc w:val="both"/>
      </w:pPr>
      <w:r>
        <w:rPr>
          <w:rFonts w:ascii="Calibri" w:eastAsia="SimSun" w:hAnsi="Calibri"/>
          <w:b w:val="false"/>
          <w:bCs w:val="false"/>
          <w:color w:val="1A1A1A"/>
          <w:sz w:val="21"/>
          <w:szCs w:val="21"/>
        </w:rPr>
        <w:t xml:space="preserve">Level 5 covers reserve, oracle, liquidity or systemic integrity events: a reserve breach of the hard floor (RR_t at 1.00, Section 13.3), an oracle failure or manipulation pattern (Chapter 17), a liquidity collapse in a primary venue, or a declared systemic event. Under Level 5 the execution layer enters crisis mode (Section 13.7): no-trade thresholds widen, execution sizes shrink, liquidity requirements rise, reserve preservation is prioritized over tracking fidelity, oracle confirmation requirements increase, and the direction lock may be overridden to protect solvency (Section 11.5). Level 5 entry and exit are governance events with full audit trails; the engine cannot silently declare or silently exit an emergency.</w:t>
      </w:r>
    </w:p>
    <w:p>
      <w:pPr>
        <w:pStyle w:val="Heading2"/>
        <w:keepNext/>
        <w:spacing w:after="160" w:before="360" w:line="340" w:lineRule="atLeast"/>
      </w:pPr>
      <w:bookmarkStart w:id="100092" w:name="_Toc100092"/>
      <w:r>
        <w:rPr>
          <w:rFonts w:ascii="Calibri" w:eastAsia="Microsoft YaHei" w:hAnsi="Calibri"/>
          <w:b/>
          <w:bCs/>
          <w:color w:val="1A1A1A"/>
          <w:sz w:val="28"/>
          <w:szCs w:val="28"/>
        </w:rPr>
        <w:t xml:space="preserve">10.4 The No-Trade Zone</w:t>
      </w:r>
      <w:bookmarkEnd w:id="100092"/>
    </w:p>
    <w:p>
      <w:pPr>
        <w:spacing w:after="120" w:line="312"/>
        <w:jc w:val="both"/>
      </w:pPr>
      <w:r>
        <w:rPr>
          <w:rFonts w:ascii="Calibri" w:eastAsia="SimSun" w:hAnsi="Calibri"/>
          <w:b w:val="false"/>
          <w:bCs w:val="false"/>
          <w:color w:val="1A1A1A"/>
          <w:sz w:val="21"/>
          <w:szCs w:val="21"/>
        </w:rPr>
        <w:t xml:space="preserve">The first and coarsest execution gate is a band around the target inside which no trade is ever placed [MS §36]. For component i at time t, define the deviation:</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D</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vertAlign w:val="superscript"/>
        </w:rPr>
        <w:t xml:space="preserve">Actual</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Trade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0 </w:t>
      </w:r>
      <w:r>
        <w:rPr>
          <w:rFonts w:ascii="Cambria" w:eastAsia="SimSun" w:hAnsi="Cambria"/>
          <w:i w:val="false"/>
          <w:iCs w:val="false"/>
          <w:color w:val="1A1A1A"/>
          <w:sz w:val="22"/>
          <w:szCs w:val="22"/>
        </w:rPr>
        <w:t xml:space="preserve">  if  </w:t>
      </w:r>
      <w:r>
        <w:rPr>
          <w:rFonts w:ascii="Cambria" w:eastAsia="SimSun" w:hAnsi="Cambria"/>
          <w:i/>
          <w:iCs/>
          <w:color w:val="1A1A1A"/>
          <w:sz w:val="22"/>
          <w:szCs w:val="22"/>
        </w:rPr>
        <w:t xml:space="preserve"> D</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i,t</w:t>
      </w:r>
    </w:p>
    <w:p>
      <w:pPr>
        <w:spacing w:after="120" w:line="312"/>
        <w:jc w:val="both"/>
      </w:pPr>
      <w:r>
        <w:rPr>
          <w:rFonts w:ascii="Calibri" w:eastAsia="SimSun" w:hAnsi="Calibri"/>
          <w:b w:val="false"/>
          <w:bCs w:val="false"/>
          <w:color w:val="1A1A1A"/>
          <w:sz w:val="21"/>
          <w:szCs w:val="21"/>
        </w:rPr>
        <w:t xml:space="preserve">This is the default [MS §36]. Trading is the exception that must justify itself, not the norm that must excuse itself. The rule has three properties worth making explicit. First, it is symmetric: an underweight of 2\theta and an overweight of 2\theta are equally far from action, so the protocol does not systematically buy or sell under noise. Second, it is stateless per day but persistent across days: a deviation that stays outside the band remains eligible for correction every day, so the zone delays rather than cancels justified trades. Third, it composes with the direction lock (Section 11.5) and the hysteresis of the Constituency Engine (Section 4.7), giving the basket layered defenses against oscillation at the execution, membership and weighting timescales respectively.</w:t>
      </w:r>
    </w:p>
    <w:p>
      <w:pPr>
        <w:spacing w:after="120" w:line="312"/>
        <w:jc w:val="both"/>
      </w:pPr>
      <w:r>
        <w:rPr>
          <w:rFonts w:ascii="Calibri" w:eastAsia="SimSun" w:hAnsi="Calibri"/>
          <w:b w:val="false"/>
          <w:bCs w:val="false"/>
          <w:color w:val="1A1A1A"/>
          <w:sz w:val="21"/>
          <w:szCs w:val="21"/>
        </w:rPr>
        <w:t xml:space="preserve">The D_{i,t} defined here is the same quantity that enters the urgency score (Section 10.2, term aD_i) and the deviation \Delta_t of the deployed engine (Section 11.2) — one deviation measure, consumed by every downstream gate. The threshold \theta_{i,t} is not a constant; its dynamic construction is the subject of Section 10.5. The comparison D_{i,t} \leq \theta_{i,t} is the contract-level check implemented as the no-trade band in Listing 4 (Section 11.11), which returns before any sizing, quoting or cost estimation is performed.</w:t>
      </w:r>
    </w:p>
    <w:p>
      <w:pPr>
        <w:pStyle w:val="Heading2"/>
        <w:keepNext/>
        <w:spacing w:after="160" w:before="360" w:line="340" w:lineRule="atLeast"/>
      </w:pPr>
      <w:bookmarkStart w:id="100093" w:name="_Toc100093"/>
      <w:r>
        <w:rPr>
          <w:rFonts w:ascii="Calibri" w:eastAsia="Microsoft YaHei" w:hAnsi="Calibri"/>
          <w:b/>
          <w:bCs/>
          <w:color w:val="1A1A1A"/>
          <w:sz w:val="28"/>
          <w:szCs w:val="28"/>
        </w:rPr>
        <w:t xml:space="preserve">10.5 Dynamic No-Trade Thresholds</w:t>
      </w:r>
      <w:bookmarkEnd w:id="100093"/>
    </w:p>
    <w:p>
      <w:pPr>
        <w:spacing w:after="120" w:line="312"/>
        <w:jc w:val="both"/>
      </w:pPr>
      <w:r>
        <w:rPr>
          <w:rFonts w:ascii="Calibri" w:eastAsia="SimSun" w:hAnsi="Calibri"/>
          <w:b w:val="false"/>
          <w:bCs w:val="false"/>
          <w:color w:val="1A1A1A"/>
          <w:sz w:val="21"/>
          <w:szCs w:val="21"/>
        </w:rPr>
        <w:t xml:space="preserve">A fixed band would be wrong twice: too tight in expensive markets (churning small deviations at high cost) and too loose in cheap markets (letting tracking error accumulate needlessly). The band is therefore dynamic, a function of the component's volatility and the prevailing cost of trading it [MS §37, COO-15]:</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 + f(Volatility</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Spread</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Slippage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This is one of the strongest parts of the design and should be mathematically explicit [COO-15].</w:t>
      </w:r>
    </w:p>
    <w:p>
      <w:pPr>
        <w:spacing w:after="120" w:line="312"/>
        <w:jc w:val="both"/>
      </w:pPr>
      <w:r>
        <w:rPr>
          <w:rFonts w:ascii="Calibri" w:eastAsia="SimSun" w:hAnsi="Calibri"/>
          <w:b w:val="false"/>
          <w:bCs w:val="false"/>
          <w:color w:val="1A1A1A"/>
          <w:sz w:val="21"/>
          <w:szCs w:val="21"/>
        </w:rPr>
        <w:t xml:space="preserve">The functional form f is a governance-published, methodology-versioned map. The validated instantiation is linear in normalized inputs, which keeps the band interpretable and its sensitivity auditable:</w:t>
      </w:r>
    </w:p>
    <w:p>
      <w:pPr>
        <w:spacing w:after="120" w:before="120" w:line="312"/>
        <w:jc w:val="center"/>
      </w:pP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κ</w:t>
      </w:r>
      <w:r>
        <w:rPr>
          <w:rFonts w:ascii="Cambria" w:eastAsia="SimSun" w:hAnsi="Cambria"/>
          <w:i/>
          <w:iCs/>
          <w:color w:val="1A1A1A"/>
          <w:sz w:val="22"/>
          <w:szCs w:val="22"/>
          <w:vertAlign w:val="subscript"/>
        </w:rPr>
        <w:t xml:space="preserve">1</w:t>
      </w:r>
      <w:r>
        <w:rPr>
          <w:rFonts w:ascii="Cambria" w:eastAsia="SimSun" w:hAnsi="Cambria"/>
          <w:i/>
          <w:iCs/>
          <w:color w:val="1A1A1A"/>
          <w:sz w:val="22"/>
          <w:szCs w:val="22"/>
        </w:rPr>
        <w:t xml:space="preserve"> widetilde</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κ</w:t>
      </w:r>
      <w:r>
        <w:rPr>
          <w:rFonts w:ascii="Cambria" w:eastAsia="SimSun" w:hAnsi="Cambria"/>
          <w:i/>
          <w:iCs/>
          <w:color w:val="1A1A1A"/>
          <w:sz w:val="22"/>
          <w:szCs w:val="22"/>
          <w:vertAlign w:val="subscript"/>
        </w:rPr>
        <w:t xml:space="preserve">2</w:t>
      </w:r>
      <w:r>
        <w:rPr>
          <w:rFonts w:ascii="Cambria" w:eastAsia="SimSun" w:hAnsi="Cambria"/>
          <w:i/>
          <w:iCs/>
          <w:color w:val="1A1A1A"/>
          <w:sz w:val="22"/>
          <w:szCs w:val="22"/>
        </w:rPr>
        <w:t xml:space="preserve"> (1 - widetildeLiquidity</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κ</w:t>
      </w:r>
      <w:r>
        <w:rPr>
          <w:rFonts w:ascii="Cambria" w:eastAsia="SimSun" w:hAnsi="Cambria"/>
          <w:i/>
          <w:iCs/>
          <w:color w:val="1A1A1A"/>
          <w:sz w:val="22"/>
          <w:szCs w:val="22"/>
          <w:vertAlign w:val="subscript"/>
        </w:rPr>
        <w:t xml:space="preserve">3</w:t>
      </w:r>
      <w:r>
        <w:rPr>
          <w:rFonts w:ascii="Cambria" w:eastAsia="SimSun" w:hAnsi="Cambria"/>
          <w:i/>
          <w:iCs/>
          <w:color w:val="1A1A1A"/>
          <w:sz w:val="22"/>
          <w:szCs w:val="22"/>
        </w:rPr>
        <w:t xml:space="preserve"> widetildeSpread</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κ</w:t>
      </w:r>
      <w:r>
        <w:rPr>
          <w:rFonts w:ascii="Cambria" w:eastAsia="SimSun" w:hAnsi="Cambria"/>
          <w:i/>
          <w:iCs/>
          <w:color w:val="1A1A1A"/>
          <w:sz w:val="22"/>
          <w:szCs w:val="22"/>
          <w:vertAlign w:val="subscript"/>
        </w:rPr>
        <w:t xml:space="preserve">4</w:t>
      </w:r>
      <w:r>
        <w:rPr>
          <w:rFonts w:ascii="Cambria" w:eastAsia="SimSun" w:hAnsi="Cambria"/>
          <w:i/>
          <w:iCs/>
          <w:color w:val="1A1A1A"/>
          <w:sz w:val="22"/>
          <w:szCs w:val="22"/>
        </w:rPr>
        <w:t xml:space="preserve"> widetildeSlippage</w:t>
      </w:r>
      <w:r>
        <w:rPr>
          <w:rFonts w:ascii="Cambria" w:eastAsia="SimSun" w:hAnsi="Cambria"/>
          <w:i/>
          <w:iCs/>
          <w:color w:val="1A1A1A"/>
          <w:sz w:val="22"/>
          <w:szCs w:val="22"/>
          <w:vertAlign w:val="subscript"/>
        </w:rPr>
        <w:t xml:space="preserve">i</w:t>
      </w:r>
    </w:p>
    <w:p>
      <w:pPr>
        <w:spacing w:after="120" w:line="312"/>
        <w:jc w:val="both"/>
      </w:pPr>
      <w:r>
        <w:rPr>
          <w:rFonts w:ascii="Calibri" w:eastAsia="SimSun" w:hAnsi="Calibri"/>
          <w:b w:val="false"/>
          <w:bCs w:val="false"/>
          <w:color w:val="1A1A1A"/>
          <w:sz w:val="21"/>
          <w:szCs w:val="21"/>
        </w:rPr>
        <w:t xml:space="preserve">where each tilde-marked input is normalized to the [0,1] range against its trailing cross-sectional distribution (the same normalization discipline as Section 4.5), and the \kappa coefficients are Risk-Council parameters within constitutional envelopes. Every term moves the band in the economically correct direction: higher volatility widens the band because deviations are more likely to be noise; thinner liquidity, wider spreads and higher expected slippage widen it because correcting the deviation is more expensive. In compact form: the system becomes less aggressive when trading becomes expensive [MS §37].</w:t>
      </w:r>
    </w:p>
    <w:p>
      <w:pPr>
        <w:spacing w:after="120" w:line="312"/>
        <w:jc w:val="both"/>
      </w:pPr>
      <w:r>
        <w:rPr>
          <w:rFonts w:ascii="Calibri" w:eastAsia="SimSun" w:hAnsi="Calibri"/>
          <w:b w:val="false"/>
          <w:bCs w:val="false"/>
          <w:color w:val="1A1A1A"/>
          <w:sz w:val="21"/>
          <w:szCs w:val="21"/>
        </w:rPr>
        <w:t xml:space="preserve">The band is component-specific by construction — the gold leg and a small-currency leg carry different spreads, different pool depths and different slippage curves, so their \theta_{i,t} differ even when their deviations are identical. Under an elevated CrisisScore_t (Section 5.5) the band is widened by the crisis-mode rules of Section 11.6, which in Listing 4 doubles the base band when the crisis oracle exceeds its threshold. \theta_{base}, the \kappa vector and the crisis widening factor are all published parameters (Section 22.4); a worked numerical example of band construction and a resulting skip decision is traced step by step in Appendix C.</w:t>
      </w:r>
    </w:p>
    <w:p>
      <w:pPr>
        <w:pStyle w:val="Heading2"/>
        <w:keepNext/>
        <w:spacing w:after="160" w:before="360" w:line="340" w:lineRule="atLeast"/>
      </w:pPr>
      <w:bookmarkStart w:id="100094" w:name="_Toc100094"/>
      <w:r>
        <w:rPr>
          <w:rFonts w:ascii="Calibri" w:eastAsia="Microsoft YaHei" w:hAnsi="Calibri"/>
          <w:b/>
          <w:bCs/>
          <w:color w:val="1A1A1A"/>
          <w:sz w:val="28"/>
          <w:szCs w:val="28"/>
        </w:rPr>
        <w:t xml:space="preserve">10.6 Partial Rebalancing</w:t>
      </w:r>
      <w:bookmarkEnd w:id="100094"/>
    </w:p>
    <w:p>
      <w:pPr>
        <w:spacing w:after="120" w:line="312"/>
        <w:jc w:val="both"/>
      </w:pPr>
      <w:r>
        <w:rPr>
          <w:rFonts w:ascii="Calibri" w:eastAsia="SimSun" w:hAnsi="Calibri"/>
          <w:b w:val="false"/>
          <w:bCs w:val="false"/>
          <w:color w:val="1A1A1A"/>
          <w:sz w:val="21"/>
          <w:szCs w:val="21"/>
        </w:rPr>
        <w:t xml:space="preserve">When the gates clear and a trade is triggered, MARP still does not jump to the target. The executed correction is a fraction of the full gap [MS §39]:</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Trade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β</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vertAlign w:val="superscript"/>
        </w:rPr>
        <w:t xml:space="preserve">Actual</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0 &lt; </w:t>
      </w:r>
      <w:r>
        <w:rPr>
          <w:rFonts w:ascii="Cambria" w:eastAsia="SimSun" w:hAnsi="Cambria"/>
          <w:i w:val="false"/>
          <w:iCs w:val="false"/>
          <w:color w:val="1A1A1A"/>
          <w:sz w:val="22"/>
          <w:szCs w:val="22"/>
        </w:rPr>
        <w:t xml:space="preserve">β</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w:t>
      </w:r>
    </w:p>
    <w:p>
      <w:pPr>
        <w:spacing w:after="120" w:line="312"/>
        <w:jc w:val="both"/>
      </w:pPr>
      <w:r>
        <w:rPr>
          <w:rFonts w:ascii="Calibri" w:eastAsia="SimSun" w:hAnsi="Calibri"/>
          <w:b w:val="false"/>
          <w:bCs w:val="false"/>
          <w:color w:val="1A1A1A"/>
          <w:sz w:val="21"/>
          <w:szCs w:val="21"/>
        </w:rPr>
        <w:t xml:space="preserve">Normal conditions should generally use \beta &lt; 1, while extreme reserve or risk events may permit larger corrections [MS §39]. The partial-fraction logic prices uncertainty the same way the no-trade zone prices noise: if the deviation is persistent signal, tomorrow's evaluation will correct the residual; if it was transient, the protocol paid to correct only a fraction of a mirage. Partial execution also softens market impact — the executed quantity \beta (Target - Actual) is smaller, so its slippage footprint is smaller and the liquidity cap of Section 11.4 binds later.</w:t>
      </w:r>
    </w:p>
    <w:p>
      <w:pPr>
        <w:spacing w:after="120" w:line="312"/>
        <w:jc w:val="both"/>
      </w:pPr>
      <w:r>
        <w:rPr>
          <w:rFonts w:ascii="Calibri" w:eastAsia="SimSun" w:hAnsi="Calibri"/>
          <w:b w:val="false"/>
          <w:bCs w:val="false"/>
          <w:color w:val="1A1A1A"/>
          <w:sz w:val="21"/>
          <w:szCs w:val="21"/>
        </w:rPr>
        <w:t xml:space="preserve">The correction fraction is itself state-dependent. The validated instantiation takes the form:</w:t>
      </w:r>
    </w:p>
    <w:p>
      <w:pPr>
        <w:spacing w:after="120" w:before="120" w:line="312"/>
        <w:jc w:val="center"/>
      </w:pPr>
      <w:r>
        <w:rPr>
          <w:rFonts w:ascii="Cambria" w:eastAsia="SimSun" w:hAnsi="Cambria"/>
          <w:i w:val="false"/>
          <w:iCs w:val="false"/>
          <w:color w:val="1A1A1A"/>
          <w:sz w:val="22"/>
          <w:szCs w:val="22"/>
        </w:rPr>
        <w:t xml:space="preserve">β</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clip(</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β</w:t>
      </w:r>
      <w:r>
        <w:rPr>
          <w:rFonts w:ascii="Cambria" w:eastAsia="SimSun" w:hAnsi="Cambria"/>
          <w:i/>
          <w:iCs/>
          <w:color w:val="1A1A1A"/>
          <w:sz w:val="22"/>
          <w:szCs w:val="22"/>
          <w:vertAlign w:val="subscript"/>
        </w:rPr>
        <w:t xml:space="preserve">0</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β</w:t>
      </w:r>
      <w:r>
        <w:rPr>
          <w:rFonts w:ascii="Cambria" w:eastAsia="SimSun" w:hAnsi="Cambria"/>
          <w:i/>
          <w:iCs/>
          <w:color w:val="1A1A1A"/>
          <w:sz w:val="22"/>
          <w:szCs w:val="22"/>
          <w:vertAlign w:val="subscript"/>
        </w:rPr>
        <w:t xml:space="preserve">1</w:t>
      </w:r>
      <w:r>
        <w:rPr>
          <w:rFonts w:ascii="Cambria" w:eastAsia="SimSun" w:hAnsi="Cambria"/>
          <w:i/>
          <w:iCs/>
          <w:color w:val="1A1A1A"/>
          <w:sz w:val="22"/>
          <w:szCs w:val="22"/>
        </w:rPr>
        <w:t xml:space="preserve"> U</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β</w:t>
      </w:r>
      <w:r>
        <w:rPr>
          <w:rFonts w:ascii="Cambria" w:eastAsia="SimSun" w:hAnsi="Cambria"/>
          <w:i/>
          <w:iCs/>
          <w:color w:val="1A1A1A"/>
          <w:sz w:val="22"/>
          <w:szCs w:val="22"/>
          <w:vertAlign w:val="subscript"/>
        </w:rPr>
        <w:t xml:space="preserve">2</w:t>
      </w:r>
      <w:r>
        <w:rPr>
          <w:rFonts w:ascii="Cambria" w:eastAsia="SimSun" w:hAnsi="Cambria"/>
          <w:i/>
          <w:iCs/>
          <w:color w:val="1A1A1A"/>
          <w:sz w:val="22"/>
          <w:szCs w:val="22"/>
        </w:rPr>
        <w:t xml:space="preserve"> widehatImpact</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β</w:t>
      </w:r>
      <w:r>
        <w:rPr>
          <w:rFonts w:ascii="Cambria" w:eastAsia="SimSun" w:hAnsi="Cambria"/>
          <w:i/>
          <w:iCs/>
          <w:color w:val="1A1A1A"/>
          <w:sz w:val="22"/>
          <w:szCs w:val="22"/>
          <w:vertAlign w:val="subscript"/>
        </w:rPr>
        <w:t xml:space="preserve">min</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1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so urgency raises the fraction and estimated market impact lowers it, with \beta_{min} a constitutional floor that prevents corrections from becoming so partial they never converge. When even a \beta-sized correction exceeds the liquidity cap, the engine stages it across days rather than accelerating it: the residual re-enters tomorrow's evaluation, the direction lock still applies, and the full sequence is visible in the decision log (Section 24.4). Level 3 risk triggers and Level 5 emergencies are the sanctioned paths to \beta close to one, and each such escalation is logged with its justification.</w:t>
      </w:r>
    </w:p>
    <w:p>
      <w:pPr>
        <w:pStyle w:val="Heading2"/>
        <w:keepNext/>
        <w:spacing w:after="160" w:before="360" w:line="340" w:lineRule="atLeast"/>
      </w:pPr>
      <w:bookmarkStart w:id="100095" w:name="_Toc100095"/>
      <w:r>
        <w:rPr>
          <w:rFonts w:ascii="Calibri" w:eastAsia="Microsoft YaHei" w:hAnsi="Calibri"/>
          <w:b/>
          <w:bCs/>
          <w:color w:val="1A1A1A"/>
          <w:sz w:val="28"/>
          <w:szCs w:val="28"/>
        </w:rPr>
        <w:t xml:space="preserve">10.7 Natural Cash-Flow Rebalancing</w:t>
      </w:r>
      <w:bookmarkEnd w:id="100095"/>
    </w:p>
    <w:p>
      <w:pPr>
        <w:spacing w:after="120" w:line="312"/>
        <w:jc w:val="both"/>
      </w:pPr>
      <w:r>
        <w:rPr>
          <w:rFonts w:ascii="Calibri" w:eastAsia="SimSun" w:hAnsi="Calibri"/>
          <w:b w:val="false"/>
          <w:bCs w:val="false"/>
          <w:color w:val="1A1A1A"/>
          <w:sz w:val="21"/>
          <w:szCs w:val="21"/>
        </w:rPr>
        <w:t xml:space="preserve">The cheapest rebalance is the one the system performs with money that is already moving. Before selling an asset, MARP uses incoming flows [MS §40]. Let CF_{i,t} be the net natural cash flow into component i — minting inflows delivered in basket proportions, redemption outflows drawn from the reserve, fee accruals, and interest or yield on held instruments (Chapter 19). The engine computes:</w:t>
      </w:r>
    </w:p>
    <w:p>
      <w:pPr>
        <w:spacing w:after="120" w:before="120" w:line="312"/>
        <w:jc w:val="center"/>
      </w:pPr>
      <w:r>
        <w:rPr>
          <w:rFonts w:ascii="Cambria" w:eastAsia="SimSun" w:hAnsi="Cambria"/>
          <w:i/>
          <w:iCs/>
          <w:color w:val="1A1A1A"/>
          <w:sz w:val="22"/>
          <w:szCs w:val="22"/>
        </w:rPr>
        <w:t xml:space="preserve">TradeNeeded</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TargetGap</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CF</w:t>
      </w:r>
      <w:r>
        <w:rPr>
          <w:rFonts w:ascii="Cambria" w:eastAsia="SimSun" w:hAnsi="Cambria"/>
          <w:i/>
          <w:iCs/>
          <w:color w:val="1A1A1A"/>
          <w:sz w:val="22"/>
          <w:szCs w:val="22"/>
          <w:vertAlign w:val="subscript"/>
        </w:rPr>
        <w:t xml:space="preserve">i,t</w:t>
      </w:r>
    </w:p>
    <w:p>
      <w:pPr>
        <w:spacing w:after="120" w:before="120" w:line="312"/>
        <w:jc w:val="center"/>
      </w:pPr>
      <w:r>
        <w:rPr>
          <w:rFonts w:ascii="Cambria" w:eastAsia="SimSun" w:hAnsi="Cambria"/>
          <w:i/>
          <w:iCs/>
          <w:color w:val="1A1A1A"/>
          <w:sz w:val="22"/>
          <w:szCs w:val="22"/>
        </w:rPr>
        <w:t xml:space="preserve">Trade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f(TradeNeeded</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and only executes the remaining amount. If the day's natural flows fully cover the gap, the market trade is zero even though the gap was nonzero — this is Level 1 of the hierarchy, and it minimizes unnecessary market turnover [MS §40]. Every natural-flow netting decision is recorded with its components, so an auditor can verify that CF_{i,t} was measured, not assumed.</w:t>
      </w:r>
    </w:p>
    <w:p>
      <w:pPr>
        <w:spacing w:after="120" w:line="312"/>
        <w:jc w:val="both"/>
      </w:pPr>
      <w:r>
        <w:rPr>
          <w:rFonts w:ascii="Calibri" w:eastAsia="SimSun" w:hAnsi="Calibri"/>
          <w:b w:val="false"/>
          <w:bCs w:val="false"/>
          <w:color w:val="1A1A1A"/>
          <w:sz w:val="21"/>
          <w:szCs w:val="21"/>
        </w:rPr>
        <w:t xml:space="preserve">The practical consequence is that MARP treats the mint and redeem machinery of Chapter 19 as the first-priority rebalancing instrument. Minting delivers the reference basket, so sustained net minting pulls the observed composition toward the target composition without a single DEX trade; redemptions, priced against NAV (Section 19.3), can be settled from overweight components first where the redemption queue allows. The market-execution path of Sections 10.8 and 11.4 exists for the residual that flows cannot close in an acceptable horizon — the design deliberately routes the bulk of ordinary corrections through bookkeeping rather than through the market.</w:t>
      </w:r>
    </w:p>
    <w:p>
      <w:pPr>
        <w:pStyle w:val="Heading2"/>
        <w:keepNext/>
        <w:spacing w:after="160" w:before="360" w:line="340" w:lineRule="atLeast"/>
      </w:pPr>
      <w:bookmarkStart w:id="100096" w:name="_Toc100096"/>
      <w:r>
        <w:rPr>
          <w:rFonts w:ascii="Calibri" w:eastAsia="Microsoft YaHei" w:hAnsi="Calibri"/>
          <w:b/>
          <w:bCs/>
          <w:color w:val="1A1A1A"/>
          <w:sz w:val="28"/>
          <w:szCs w:val="28"/>
        </w:rPr>
        <w:t xml:space="preserve">10.8 The Cost-Benefit Gate</w:t>
      </w:r>
      <w:bookmarkEnd w:id="100096"/>
    </w:p>
    <w:p>
      <w:pPr>
        <w:spacing w:after="120" w:line="312"/>
        <w:jc w:val="both"/>
      </w:pPr>
      <w:r>
        <w:rPr>
          <w:rFonts w:ascii="Calibri" w:eastAsia="SimSun" w:hAnsi="Calibri"/>
          <w:b w:val="false"/>
          <w:bCs w:val="false"/>
          <w:color w:val="1A1A1A"/>
          <w:sz w:val="21"/>
          <w:szCs w:val="21"/>
        </w:rPr>
        <w:t xml:space="preserve">The final gate before any trade is economic: the expected stability benefit of the correction must exceed its expected execution cost by a margin. For component i, the expected execution cost is [MS §41, COO-14]:</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Cost</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Spread</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Slippage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Fees</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Impact</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OperationalCost</w:t>
      </w:r>
      <w:r>
        <w:rPr>
          <w:rFonts w:ascii="Cambria" w:eastAsia="SimSun" w:hAnsi="Cambria"/>
          <w:i/>
          <w:iCs/>
          <w:color w:val="1A1A1A"/>
          <w:sz w:val="22"/>
          <w:szCs w:val="22"/>
          <w:vertAlign w:val="subscript"/>
        </w:rPr>
        <w:t xml:space="preserve">i</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NetBenefit</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Benefit</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Cost</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execute only when</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NetBenefit</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&gt; </w:t>
      </w:r>
      <w:r>
        <w:rPr>
          <w:rFonts w:ascii="Cambria" w:eastAsia="SimSun" w:hAnsi="Cambria"/>
          <w:i w:val="false"/>
          <w:iCs w:val="false"/>
          <w:color w:val="1A1A1A"/>
          <w:sz w:val="22"/>
          <w:szCs w:val="22"/>
        </w:rPr>
        <w:t xml:space="preserve">ε</w:t>
      </w:r>
    </w:p>
    <w:p>
      <w:pPr>
        <w:spacing w:after="120" w:line="312"/>
        <w:jc w:val="both"/>
      </w:pPr>
      <w:r>
        <w:rPr>
          <w:rFonts w:ascii="Calibri" w:eastAsia="SimSun" w:hAnsi="Calibri"/>
          <w:b w:val="false"/>
          <w:bCs w:val="false"/>
          <w:color w:val="1A1A1A"/>
          <w:sz w:val="21"/>
          <w:szCs w:val="21"/>
        </w:rPr>
        <w:t xml:space="preserve">Each cost term is a measured or estimated quantity with an owner:</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Cost Term</w:t>
            </w:r>
          </w:p>
        </w:tc>
        <w:tc>
          <w:tcPr>
            <w:tcW w:type="pct" w:w="4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3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Estimated From</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Spread_i</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Bid-ask cost of the execution venue for component i.</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Venue quotes, rolling spreads (Chapter 12)</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Slippage_i</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Expected price movement caused by the trade itself.</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Pool-depth and slippage curves (Section 11.4)</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Fees_i</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Aggregator/router fees and protocol fees on the leg.</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Listing 4 router fee; Chapter 19 fee schedule</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Impact_i</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Expected market impact beyond immediate slippage.</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Participation-rate models (Chapter 12)</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OperationalCost_i</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Gas, keeper infrastructure and monitoring cost.</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Dynamic gas estimator (Section 11.11)</w:t>
            </w:r>
          </w:p>
        </w:tc>
      </w:tr>
    </w:tbl>
    <w:p>
      <w:pPr>
        <w:spacing w:after="120"/>
      </w:pPr>
    </w:p>
    <w:p>
      <w:pPr>
        <w:spacing w:after="120" w:line="312"/>
        <w:jc w:val="both"/>
      </w:pPr>
      <w:r>
        <w:rPr>
          <w:rFonts w:ascii="Calibri" w:eastAsia="SimSun" w:hAnsi="Calibri"/>
          <w:b w:val="false"/>
          <w:bCs w:val="false"/>
          <w:color w:val="1A1A1A"/>
          <w:sz w:val="21"/>
          <w:szCs w:val="21"/>
        </w:rPr>
        <w:t xml:space="preserve">The benefit B_i is the expected stability benefit of the correction: the risk reduction, purchasing-power improvement and diversification improvement of moving toward the target, valued in the common USD-equivalent units of the objective function (Section 10.9). The margin \epsilon is a predefined economic margin [MS §41] — a positive buffer that absorbs estimation error in both B_i and Cost_i, so the gate never trades on an advantage smaller than the noise in its own measurement. \epsilon is a Risk-Council parameter within a constitutional floor and is published with each methodology version.</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That turns the cost-aware claim into an actual mathematical rule [COO-14].</w:t>
      </w:r>
    </w:p>
    <w:p>
      <w:pPr>
        <w:spacing w:after="120" w:line="312"/>
        <w:jc w:val="both"/>
      </w:pPr>
      <w:r>
        <w:rPr>
          <w:rFonts w:ascii="Calibri" w:eastAsia="SimSun" w:hAnsi="Calibri"/>
          <w:b w:val="false"/>
          <w:bCs w:val="false"/>
          <w:color w:val="1A1A1A"/>
          <w:sz w:val="21"/>
          <w:szCs w:val="21"/>
        </w:rPr>
        <w:t xml:space="preserve">The gate runs after the no-trade zone (cheap comparison), after the urgency test (Section 10.2) and after sizing (Section 11.4), because cost estimation is the most expensive step and should only price trades that already survived the coarse filters. In Listing 4 (Section 11.11) the gate is the condition benefit &gt; costTerm + BENEFIT_MARGIN, with the dynamic gas-plus-slippage-plus-fee estimator supplying Cost_i at execution time; a failed gate emits RebalanceSkipped with a machine-readable reason, so every declined trade contributes to the same audit trail as an executed one (Section 11.7). Appendix C works a full numerical example of a trade that passes the no-trade zone, sizes correctly, and is then declined by the margin.</w:t>
      </w:r>
    </w:p>
    <w:p>
      <w:pPr>
        <w:pStyle w:val="Heading2"/>
        <w:keepNext/>
        <w:spacing w:after="160" w:before="360" w:line="340" w:lineRule="atLeast"/>
      </w:pPr>
      <w:bookmarkStart w:id="100097" w:name="_Toc100097"/>
      <w:r>
        <w:rPr>
          <w:rFonts w:ascii="Calibri" w:eastAsia="Microsoft YaHei" w:hAnsi="Calibri"/>
          <w:b/>
          <w:bCs/>
          <w:color w:val="1A1A1A"/>
          <w:sz w:val="28"/>
          <w:szCs w:val="28"/>
        </w:rPr>
        <w:t xml:space="preserve">10.9 The Rebalancing Objective</w:t>
      </w:r>
      <w:bookmarkEnd w:id="100097"/>
    </w:p>
    <w:p>
      <w:pPr>
        <w:spacing w:after="120" w:line="312"/>
        <w:jc w:val="both"/>
      </w:pPr>
      <w:r>
        <w:rPr>
          <w:rFonts w:ascii="Calibri" w:eastAsia="SimSun" w:hAnsi="Calibri"/>
          <w:b w:val="false"/>
          <w:bCs w:val="false"/>
          <w:color w:val="1A1A1A"/>
          <w:sz w:val="21"/>
          <w:szCs w:val="21"/>
        </w:rPr>
        <w:t xml:space="preserve">The MARP decision problem has a single sentence at its center: a trade is desirable when the net benefit is positive and sufficiently large [MS §66]. Formally:</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NetBenefit = RiskReduction + PPImprovement + DiversificationImprovement - ExecutionCost</w:t>
      </w:r>
    </w:p>
    <w:p>
      <w:pPr>
        <w:spacing w:after="120" w:line="312"/>
        <w:jc w:val="both"/>
      </w:pPr>
      <w:r>
        <w:rPr>
          <w:rFonts w:ascii="Calibri" w:eastAsia="SimSun" w:hAnsi="Calibri"/>
          <w:b w:val="false"/>
          <w:bCs w:val="false"/>
          <w:color w:val="1A1A1A"/>
          <w:sz w:val="21"/>
          <w:szCs w:val="21"/>
        </w:rPr>
        <w:t xml:space="preserve">The blueprint's Rebalancing Engine supplies the implementable form of the same idea: instead of a fixed threshold (for example the v1.2 2.25% gold band), the engine evaluates a composite cost function J(\Delta W) that balances four objectives [BP §7.3]:</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J(</w:t>
      </w: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W)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1</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obs</w:t>
      </w:r>
      <w:r>
        <w:rPr>
          <w:rFonts w:ascii="Cambria" w:eastAsia="SimSun" w:hAnsi="Cambria"/>
          <w:i/>
          <w:iCs/>
          <w:color w:val="1A1A1A"/>
          <w:sz w:val="22"/>
          <w:szCs w:val="22"/>
        </w:rPr>
        <w:t xml:space="preserve"> - W</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2</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2</w:t>
      </w:r>
      <w:r>
        <w:rPr>
          <w:rFonts w:ascii="Cambria" w:eastAsia="SimSun" w:hAnsi="Cambria"/>
          <w:i/>
          <w:iCs/>
          <w:color w:val="1A1A1A"/>
          <w:sz w:val="22"/>
          <w:szCs w:val="22"/>
        </w:rPr>
        <w:t xml:space="preserve"> (Spread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W + FixedGas)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3</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Urgency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4</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W|</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Term</w:t>
            </w:r>
          </w:p>
        </w:tc>
        <w:tc>
          <w:tcPr>
            <w:tcW w:type="pct" w:w="4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Formula</w:t>
            </w:r>
          </w:p>
        </w:tc>
        <w:tc>
          <w:tcPr>
            <w:tcW w:type="pct" w:w="4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Purpose</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Deviation^2</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(W^{obs} - W^{Target} - Δ W)^2</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Measures how much deviation remains after the trade.</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Cost</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Spread × Δ W + FixedGas</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 cost (slippage + gas).</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Urgency</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1/RR_t  if  RR_t &lt; 1.10,  else  0</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Penalises deviation when the reserve ratio is low.</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Turnover</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|Δ W|</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Penalises excessive trading volume.</w:t>
            </w:r>
          </w:p>
        </w:tc>
      </w:tr>
    </w:tbl>
    <w:p>
      <w:pPr>
        <w:spacing w:after="120"/>
      </w:pP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6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λ_1</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0.40</w:t>
            </w:r>
          </w:p>
        </w:tc>
        <w:tc>
          <w:tcPr>
            <w:tcW w:type="pct" w:w="6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Prioritises accuracy (reduce deviation).</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λ_2</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0.30</w:t>
            </w:r>
          </w:p>
        </w:tc>
        <w:tc>
          <w:tcPr>
            <w:tcW w:type="pct" w:w="6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Prioritises cost efficiency.</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λ_3</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0.20</w:t>
            </w:r>
          </w:p>
        </w:tc>
        <w:tc>
          <w:tcPr>
            <w:tcW w:type="pct" w:w="6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Prioritises solvency during stress.</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λ_4</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0.10</w:t>
            </w:r>
          </w:p>
        </w:tc>
        <w:tc>
          <w:tcPr>
            <w:tcW w:type="pct" w:w="6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Penalises excessive turnover.</w:t>
            </w:r>
          </w:p>
        </w:tc>
      </w:tr>
    </w:tbl>
    <w:p>
      <w:pPr>
        <w:spacing w:after="120"/>
      </w:pPr>
    </w:p>
    <w:p>
      <w:pPr>
        <w:spacing w:after="120" w:line="312"/>
        <w:jc w:val="both"/>
      </w:pPr>
      <w:r>
        <w:rPr>
          <w:rFonts w:ascii="Calibri" w:eastAsia="SimSun" w:hAnsi="Calibri"/>
          <w:b w:val="false"/>
          <w:bCs w:val="false"/>
          <w:color w:val="1A1A1A"/>
          <w:sz w:val="21"/>
          <w:szCs w:val="21"/>
        </w:rPr>
        <w:t xml:space="preserve">The engine searches for the optimal trade size \Delta W^* that minimizes J(\Delta W):</w:t>
      </w:r>
    </w:p>
    <w:p>
      <w:pPr>
        <w:spacing w:after="120" w:before="120" w:line="312"/>
        <w:jc w:val="center"/>
      </w:pP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argmin</w:t>
      </w:r>
      <w:r>
        <w:rPr>
          <w:rFonts w:ascii="Cambria" w:eastAsia="SimSun" w:hAnsi="Cambria"/>
          <w:i w:val="false"/>
          <w:iCs w:val="false"/>
          <w:color w:val="1A1A1A"/>
          <w:sz w:val="22"/>
          <w:szCs w:val="22"/>
          <w:vertAlign w:val="subscript"/>
        </w:rPr>
        <w:t xml:space="preserve">Δ</w:t>
      </w:r>
      <w:r>
        <w:rPr>
          <w:rFonts w:ascii="Cambria" w:eastAsia="SimSun" w:hAnsi="Cambria"/>
          <w:i/>
          <w:iCs/>
          <w:color w:val="1A1A1A"/>
          <w:sz w:val="22"/>
          <w:szCs w:val="22"/>
          <w:vertAlign w:val="subscript"/>
        </w:rPr>
        <w:t xml:space="preserve"> W</w:t>
      </w:r>
      <w:r>
        <w:rPr>
          <w:rFonts w:ascii="Cambria" w:eastAsia="SimSun" w:hAnsi="Cambria"/>
          <w:i/>
          <w:iCs/>
          <w:color w:val="1A1A1A"/>
          <w:sz w:val="22"/>
          <w:szCs w:val="22"/>
        </w:rPr>
        <w:t xml:space="preserve"> J(</w:t>
      </w: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W)</w:t>
      </w:r>
    </w:p>
    <w:p>
      <w:pPr>
        <w:spacing w:after="120" w:line="312"/>
        <w:jc w:val="both"/>
      </w:pPr>
      <w:r>
        <w:rPr>
          <w:rFonts w:ascii="Calibri" w:eastAsia="SimSun" w:hAnsi="Calibri"/>
          <w:b w:val="false"/>
          <w:bCs w:val="false"/>
          <w:color w:val="1A1A1A"/>
          <w:sz w:val="21"/>
          <w:szCs w:val="21"/>
        </w:rPr>
        <w:t xml:space="preserve">The two formulations are the same doctrine at two levels of precision. The MS net-benefit identity is the sign condition — trade when the weighted benefit terms dominate execution cost by a margin; the J functional is the decision machinery that also selects the size, because its deviation term rewards completing the correction while its cost, urgency and turnover terms restrain it. The mapping is direct: RiskReduction corresponds to the deviation reduction captured by the \lambda_1 term (with risk measured as in Chapter 6), PPImprovement and DiversificationImprovement are embedded in the MASE target the deviation is measured against (Sections 6.8 and 6.5), and ExecutionCost is the \lambda_2 term estimated at execution time. The trigger form of the same condition — the marginal-benefit inequality — is carried in Section 11.3.</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Units and validation. The four J terms are heterogeneous (weight-squared, USD, ratio, weight), so the deployed contract evaluates them in a common fixed-point normalization (1e18 scale, Listing 4); the normalization weights are exactly the \lambda coefficients and are therefore published and perturbation-tested (Section 23.6). The 0.40/0.30/0.20/0.10 split is the blueprint's governance-controlled default [BP §7.3], reproduced in Listing 4 as LAMBDA_1 through LAMBDA_4 and adjustable only by the Risk Council (Section 11.10).</w:t>
      </w:r>
    </w:p>
    <w:p>
      <w:pPr>
        <w:pStyle w:val="Heading2"/>
        <w:keepNext/>
        <w:spacing w:after="160" w:before="360" w:line="340" w:lineRule="atLeast"/>
      </w:pPr>
      <w:bookmarkStart w:id="100098" w:name="_Toc100098"/>
      <w:r>
        <w:rPr>
          <w:rFonts w:ascii="Calibri" w:eastAsia="Microsoft YaHei" w:hAnsi="Calibri"/>
          <w:b/>
          <w:bCs/>
          <w:color w:val="1A1A1A"/>
          <w:sz w:val="28"/>
          <w:szCs w:val="28"/>
        </w:rPr>
        <w:t xml:space="preserve">10.10 Strategic Review Cadence and Dynamic Frequency</w:t>
      </w:r>
      <w:bookmarkEnd w:id="100098"/>
    </w:p>
    <w:p>
      <w:pPr>
        <w:spacing w:after="120" w:line="312"/>
        <w:jc w:val="both"/>
      </w:pPr>
      <w:r>
        <w:rPr>
          <w:rFonts w:ascii="Calibri" w:eastAsia="SimSun" w:hAnsi="Calibri"/>
          <w:b w:val="false"/>
          <w:bCs w:val="false"/>
          <w:color w:val="1A1A1A"/>
          <w:sz w:val="21"/>
          <w:szCs w:val="21"/>
        </w:rPr>
        <w:t xml:space="preserve">Independently of trading, the methodology itself is reviewed on a fixed cadence [MS §43]:</w:t>
      </w:r>
    </w:p>
    <w:p>
      <w:pPr>
        <w:spacing w:after="120" w:before="120" w:line="312"/>
        <w:jc w:val="center"/>
      </w:pPr>
      <w:r>
        <w:rPr>
          <w:rFonts w:ascii="Cambria" w:eastAsia="SimSun" w:hAnsi="Cambria"/>
          <w:i/>
          <w:iCs/>
          <w:color w:val="1A1A1A"/>
          <w:sz w:val="22"/>
          <w:szCs w:val="22"/>
        </w:rPr>
        <w:t xml:space="preserve">Review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Quarterly</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Review Scope</w:t>
            </w:r>
          </w:p>
        </w:tc>
        <w:tc>
          <w:tcPr>
            <w:tcW w:type="pct" w:w="7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Content</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Structural data</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COFER, BIS and institutional-source refreshes and revisions (Section 4.3).</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Eligibility</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Re-testing of Q_i scores, entry/exit candidates and hysteresis bands (Chapter 4).</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Parameters</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 Risk-Council parameters against their envelopes and validation evidence (Section 22.4).</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Methodology</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Model families, ensemble weights, objective coefficients and validation results (Chapter 23).</w:t>
            </w:r>
          </w:p>
        </w:tc>
      </w:tr>
    </w:tbl>
    <w:p>
      <w:pPr>
        <w:spacing w:after="120"/>
      </w:pPr>
    </w:p>
    <w:p>
      <w:pPr>
        <w:spacing w:after="120" w:line="312"/>
        <w:jc w:val="both"/>
      </w:pPr>
      <w:r>
        <w:rPr>
          <w:rFonts w:ascii="Calibri" w:eastAsia="SimSun" w:hAnsi="Calibri"/>
          <w:b w:val="false"/>
          <w:bCs w:val="false"/>
          <w:color w:val="1A1A1A"/>
          <w:sz w:val="21"/>
          <w:szCs w:val="21"/>
        </w:rPr>
        <w:t xml:space="preserve">The review does not force a trade [MS §43]. A quarterly review can conclude that nothing should change; it can also produce a new methodology version, in which case the change enters as a Level 4 structural event with ramped transitions (Sections 4.6 and 10.3) — never as an immediate block reallocation. The review cadence is also the natural evaluation cadence of the Constituency Engine (Section 4.1), which is why both default to quarterly.</w:t>
      </w:r>
    </w:p>
    <w:p>
      <w:pPr>
        <w:spacing w:after="120" w:line="312"/>
        <w:jc w:val="both"/>
      </w:pPr>
      <w:r>
        <w:rPr>
          <w:rFonts w:ascii="Calibri" w:eastAsia="SimSun" w:hAnsi="Calibri"/>
          <w:b w:val="false"/>
          <w:bCs w:val="false"/>
          <w:color w:val="1A1A1A"/>
          <w:sz w:val="21"/>
          <w:szCs w:val="21"/>
        </w:rPr>
        <w:t xml:space="preserve">The review cadence must not be confused with a rebalancing frequency. There is no fixed statement 'rebalance daily' and no fixed statement 'rebalance quarterly' [MS §67]. Instead:</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Frequency</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f(Drift,</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Cost,</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StructuralChange)</w:t>
      </w:r>
    </w:p>
    <w:p>
      <w:pPr>
        <w:spacing w:after="120" w:line="312"/>
        <w:jc w:val="both"/>
      </w:pPr>
      <w:r>
        <w:rPr>
          <w:rFonts w:ascii="Calibri" w:eastAsia="SimSun" w:hAnsi="Calibri"/>
          <w:b w:val="false"/>
          <w:bCs w:val="false"/>
          <w:color w:val="1A1A1A"/>
          <w:sz w:val="21"/>
          <w:szCs w:val="21"/>
        </w:rPr>
        <w:t xml:space="preserve">This is event-driven dynamic rebalancing [MS §67]: the realized trading frequency is an output of the gates, not an input to them. In calm, liquid, cheap markets the dynamic band narrows and corrections occur more often at small size; in stressed, illiquid or expensive conditions the band widens, urgency's cost term rises, and the system trades less while calculating just as much. The evaluation cadence itself adapts to data quality: when oracle staleness or feed degradation is flagged (Chapter 17), the engine pauses execution rather than trading on degraded inputs, and the operational state machine (Section 18.5) records the pause — frequency therefore falls exactly when measurement quality falls, which is the conservative direction.</w:t>
      </w:r>
    </w:p>
    <w:p>
      <w:pPr>
        <w:pStyle w:val="Heading1"/>
        <w:keepNext/>
        <w:pBdr>
          <w:bottom w:val="single" w:color="C9A84C" w:sz="12" w:space="6"/>
        </w:pBdr>
        <w:spacing w:after="220" w:before="480" w:line="380" w:lineRule="atLeast"/>
      </w:pPr>
      <w:bookmarkStart w:id="100099" w:name="_Toc100099"/>
      <w:r>
        <w:rPr>
          <w:rFonts w:ascii="Calibri" w:eastAsia="Microsoft YaHei" w:hAnsi="Calibri"/>
          <w:b/>
          <w:bCs/>
          <w:color w:val="1A1A1A"/>
          <w:sz w:val="32"/>
          <w:szCs w:val="32"/>
        </w:rPr>
        <w:t xml:space="preserve">11. Execution Mechanics: Deviations, Triggers and the MARP Contract</w:t>
      </w:r>
      <w:bookmarkEnd w:id="100099"/>
    </w:p>
    <w:p>
      <w:pPr>
        <w:pStyle w:val="Heading2"/>
        <w:keepNext/>
        <w:spacing w:after="160" w:before="360" w:line="340" w:lineRule="atLeast"/>
      </w:pPr>
      <w:bookmarkStart w:id="100100" w:name="_Toc100100"/>
      <w:r>
        <w:rPr>
          <w:rFonts w:ascii="Calibri" w:eastAsia="Microsoft YaHei" w:hAnsi="Calibri"/>
          <w:b/>
          <w:bCs/>
          <w:color w:val="1A1A1A"/>
          <w:sz w:val="28"/>
          <w:szCs w:val="28"/>
        </w:rPr>
        <w:t xml:space="preserve">11.1 Observed and Target Weights</w:t>
      </w:r>
      <w:bookmarkEnd w:id="100100"/>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MARP's comparison state is a pair: what the reserve actually holds, and what the MASE registry says it should hold. Everything downstream — deviation, trigger, sizing, gate — is arithmetic on this pair [BP §7.2.1–7.2.2, adapted].</w:t>
      </w:r>
    </w:p>
    <w:p>
      <w:pPr>
        <w:spacing w:after="120" w:line="312"/>
        <w:jc w:val="both"/>
      </w:pPr>
      <w:r>
        <w:rPr>
          <w:rFonts w:ascii="Calibri" w:eastAsia="SimSun" w:hAnsi="Calibri"/>
          <w:b w:val="false"/>
          <w:bCs w:val="false"/>
          <w:color w:val="1A1A1A"/>
          <w:sz w:val="21"/>
          <w:szCs w:val="21"/>
        </w:rPr>
        <w:t xml:space="preserve">The engine first computes the current observed weight of each component in the reserve [BP §7.2.1]:</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vertAlign w:val="superscript"/>
        </w:rPr>
        <w:t xml:space="preserve">obs</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vertAlign w:val="superscript"/>
        </w:rPr>
        <w:t xml:space="preserve">obs</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Variable</w:t>
            </w:r>
          </w:p>
        </w:tc>
        <w:tc>
          <w:tcPr>
            <w:tcW w:type="pct" w:w="4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4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Source</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V_{gold,t}</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value of all gold holdings (PAXG, etc.) in the vault.</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accounting (Chapters 13–14)</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V_{i,t}</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value of component i holdings after haircuts.</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2.5; Chapter 14</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V_{net,t}</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 Net Asset Value.</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V_{net,t} = ∑_j Q_{j,t} P_{j,t} (1 - H_j) (Section 2.5)</w:t>
            </w:r>
          </w:p>
        </w:tc>
      </w:tr>
    </w:tbl>
    <w:p>
      <w:pPr>
        <w:spacing w:after="120"/>
      </w:pPr>
    </w:p>
    <w:p>
      <w:pPr>
        <w:spacing w:after="120" w:line="312"/>
        <w:jc w:val="both"/>
      </w:pPr>
      <w:r>
        <w:rPr>
          <w:rFonts w:ascii="Calibri" w:eastAsia="SimSun" w:hAnsi="Calibri"/>
          <w:b w:val="false"/>
          <w:bCs w:val="false"/>
          <w:color w:val="1A1A1A"/>
          <w:sz w:val="21"/>
          <w:szCs w:val="21"/>
        </w:rPr>
        <w:t xml:space="preserve">On the target side, the historical engine retrieved the smoothed target gold weight from the Adaptive Macro Engine via getTargetGoldWeight() (BP §6.7), with the fiat bloc defined residually as W_{fiat,t}^{target} = 1 - W_{gold,t}^{target}. Under v2.0 that source is retired: target weights are read from the MASE weight registry (Listing 2, Section 7.7), which stores the live smoothed vector, the accepted MASE target and the governing methodology and data versions. The registry's getLiveWeights() accessor returns the live (smoothed) weight vector, and XAU occupies component index 6 in the fixed COMPONENTS order.</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MASEWeightRegistry.getLiveWeights()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fiat,t</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 1 - W</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vertAlign w:val="superscript"/>
        </w:rPr>
        <w:t xml:space="preserve">target</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Weight-state reconciliation. The four published weight states (Section 2.3) are W^{Prior}, W^{Target}, W^{Smooth} and W^{Execution}. The registry's live vector is W^{Smooth} — the MASE target after stress-adaptive smoothing (Section 8.4) — and it is this state that plays the role of W^{Target} in the deviation formulas of Sections 10.4–10.6, because it is the constitutionally admissible target the executor is bound to track. W^{Execution} is the post-decision state: the observed weight after the gated, partially corrected trade has actually been applied. Per-currency targets for the six fiat components are read from registry indices 0–5; the deployed engine instantiates the gold leg and the fiat bloc, which is the highest-impact execution venue, while the per-component generalization runs the same control flow with component-specific pools and bands.</w:t>
      </w:r>
    </w:p>
    <w:p>
      <w:pPr>
        <w:pStyle w:val="Heading2"/>
        <w:keepNext/>
        <w:spacing w:after="160" w:before="360" w:line="340" w:lineRule="atLeast"/>
      </w:pPr>
      <w:bookmarkStart w:id="100101" w:name="_Toc100101"/>
      <w:r>
        <w:rPr>
          <w:rFonts w:ascii="Calibri" w:eastAsia="Microsoft YaHei" w:hAnsi="Calibri"/>
          <w:b/>
          <w:bCs/>
          <w:color w:val="1A1A1A"/>
          <w:sz w:val="28"/>
          <w:szCs w:val="28"/>
        </w:rPr>
        <w:t xml:space="preserve">11.2 The Deviation</w:t>
      </w:r>
      <w:bookmarkEnd w:id="100101"/>
    </w:p>
    <w:p>
      <w:pPr>
        <w:spacing w:after="120" w:line="312"/>
        <w:jc w:val="both"/>
      </w:pPr>
      <w:r>
        <w:rPr>
          <w:rFonts w:ascii="Calibri" w:eastAsia="SimSun" w:hAnsi="Calibri"/>
          <w:b w:val="false"/>
          <w:bCs w:val="false"/>
          <w:color w:val="1A1A1A"/>
          <w:sz w:val="21"/>
          <w:szCs w:val="21"/>
        </w:rPr>
        <w:t xml:space="preserve">The signed difference between observed and target is the deviation [BP §7.2.3]:</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vertAlign w:val="superscript"/>
        </w:rPr>
        <w:t xml:space="preserve">obs</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D</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sign carries the direction of the required correction:</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\Delta_t &gt; 0, the vault holds excess gold: the correction sells gold and buys fiat.</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\Delta_t &lt; 0, the vault holds deficient gold: the correction sells fiat and buys gold.</w:t>
      </w:r>
    </w:p>
    <w:p>
      <w:pPr>
        <w:spacing w:after="120" w:line="312"/>
        <w:jc w:val="both"/>
      </w:pPr>
      <w:r>
        <w:rPr>
          <w:rFonts w:ascii="Calibri" w:eastAsia="SimSun" w:hAnsi="Calibri"/>
          <w:b w:val="false"/>
          <w:bCs w:val="false"/>
          <w:color w:val="1A1A1A"/>
          <w:sz w:val="21"/>
          <w:szCs w:val="21"/>
        </w:rPr>
        <w:t xml:space="preserve">The unsigned magnitude D_{gold,t} is exactly the D_{i,t} of Section 10.4: the no-trade zone compares it against the dynamic band \theta_{i,t}, the urgency score consumes it as its leading term, and the J functional of Section 10.9 penalizes its post-trade residual. One deviation measure feeds every gate, which is what makes the pipeline auditable end to end — a reviewer can follow a single number from observation through band comparison, urgency, sizing, cost gate and final event emission, and reproduce every intermediate value from published data (Section 24.4). The deviation is recomputed at every evaluation from the current registry target, so a target change between evaluations re-bases it immediately rather than being discovered late [BP §7.7]. Deviations are also persistent state in the transparency layer: the daily published D_{i,t} series is the primary input to the tracking-error statistics that the validation program monitors (Chapter 23), and a persistent one-signed deviation outside the band is the canonical early symptom of a blocked execution path — which is precisely the condition the skip-reason stream of Section 11.7 is designed to surface.</w:t>
      </w:r>
    </w:p>
    <w:p>
      <w:pPr>
        <w:pStyle w:val="Heading2"/>
        <w:keepNext/>
        <w:spacing w:after="160" w:before="360" w:line="340" w:lineRule="atLeast"/>
      </w:pPr>
      <w:bookmarkStart w:id="100102" w:name="_Toc100102"/>
      <w:r>
        <w:rPr>
          <w:rFonts w:ascii="Calibri" w:eastAsia="Microsoft YaHei" w:hAnsi="Calibri"/>
          <w:b/>
          <w:bCs/>
          <w:color w:val="1A1A1A"/>
          <w:sz w:val="28"/>
          <w:szCs w:val="28"/>
        </w:rPr>
        <w:t xml:space="preserve">11.3 Dynamic Trigger Conditions</w:t>
      </w:r>
      <w:bookmarkEnd w:id="100102"/>
    </w:p>
    <w:p>
      <w:pPr>
        <w:spacing w:after="120" w:line="312"/>
        <w:jc w:val="both"/>
      </w:pPr>
      <w:r>
        <w:rPr>
          <w:rFonts w:ascii="Calibri" w:eastAsia="SimSun" w:hAnsi="Calibri"/>
          <w:b w:val="false"/>
          <w:bCs w:val="false"/>
          <w:color w:val="1A1A1A"/>
          <w:sz w:val="21"/>
          <w:szCs w:val="21"/>
        </w:rPr>
        <w:t xml:space="preserve">The engine executes a rebalance if and only if the marginal benefit of reducing deviation exceeds the marginal cost [BP §7.4]:</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J)/(</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W) &gt; ExecutionCost</w:t>
      </w:r>
      <w:r>
        <w:rPr>
          <w:rFonts w:ascii="Cambria" w:eastAsia="SimSun" w:hAnsi="Cambria"/>
          <w:i/>
          <w:iCs/>
          <w:color w:val="1A1A1A"/>
          <w:sz w:val="22"/>
          <w:szCs w:val="22"/>
          <w:vertAlign w:val="subscript"/>
        </w:rPr>
        <w:t xml:space="preserve">estimated</w:t>
      </w:r>
    </w:p>
    <w:p>
      <w:pPr>
        <w:spacing w:after="120" w:before="120" w:line="312"/>
        <w:jc w:val="center"/>
      </w:pPr>
      <w:r>
        <w:rPr>
          <w:rFonts w:ascii="Cambria" w:eastAsia="SimSun" w:hAnsi="Cambria"/>
          <w:i/>
          <w:iCs/>
          <w:color w:val="1A1A1A"/>
          <w:sz w:val="22"/>
          <w:szCs w:val="22"/>
        </w:rPr>
        <w:t xml:space="preserve">ExecutionCost = GasPrice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GasUnits + Slippage(|</w:t>
      </w: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W|)</w:t>
      </w:r>
    </w:p>
    <w:p>
      <w:pPr>
        <w:spacing w:after="120" w:line="312"/>
        <w:jc w:val="both"/>
      </w:pPr>
      <w:r>
        <w:rPr>
          <w:rFonts w:ascii="Calibri" w:eastAsia="SimSun" w:hAnsi="Calibri"/>
          <w:b w:val="false"/>
          <w:bCs w:val="false"/>
          <w:color w:val="1A1A1A"/>
          <w:sz w:val="21"/>
          <w:szCs w:val="21"/>
        </w:rPr>
        <w:t xml:space="preserve">In practice, the engine simulates the trade at the current oracle price, applies the pool-specific slippage curve, and computes the net benefit; if the net benefit is positive — the reduction in deviation is worth the gas and slippage — the trade is executed [BP §7.4]. This is the marginal form of the same inequality that the cost-benefit gate of Section 10.8 enforces in level form, and both are instantiations of the MS net-benefit doctrine (Section 10.9).</w:t>
      </w:r>
    </w:p>
    <w:p>
      <w:pPr>
        <w:spacing w:after="120" w:line="312"/>
        <w:jc w:val="both"/>
      </w:pPr>
      <w:r>
        <w:rPr>
          <w:rFonts w:ascii="Calibri" w:eastAsia="SimSun" w:hAnsi="Calibri"/>
          <w:b w:val="false"/>
          <w:bCs w:val="false"/>
          <w:color w:val="1A1A1A"/>
          <w:sz w:val="21"/>
          <w:szCs w:val="21"/>
        </w:rPr>
        <w:t xml:space="preserve">Under v2.0 the trigger condition is composed with the six-level hierarchy of Section 10.3, so the single BP inequality becomes a level-indexed decision: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Hierarchy Level</w:t>
            </w:r>
          </w:p>
        </w:tc>
        <w:tc>
          <w:tcPr>
            <w:tcW w:type="pct" w:w="7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Trigger Condition (all required at this level)</w:t>
            </w:r>
          </w:p>
        </w:tc>
      </w:tr>
      <w:tr>
        <w:trPr>
          <w:cantSplit/>
        </w:trPr>
        <w:tc>
          <w:tcPr>
            <w:tcW w:type="pct" w:w="2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 — Monitor</w:t>
            </w:r>
          </w:p>
        </w:tc>
        <w:tc>
          <w:tcPr>
            <w:tcW w:type="pct" w:w="7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D_{i,t} ≤ θ_{i,t} and U_i ≤ U_{min}: no trade.</w:t>
            </w:r>
          </w:p>
        </w:tc>
      </w:tr>
      <w:tr>
        <w:trPr>
          <w:cantSplit/>
        </w:trPr>
        <w:tc>
          <w:tcPr>
            <w:tcW w:type="pct" w:w="2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 Natural flow</w:t>
            </w:r>
          </w:p>
        </w:tc>
        <w:tc>
          <w:tcPr>
            <w:tcW w:type="pct" w:w="7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TargetGap_i &gt; 0 with CF_{i,t} &gt; 0 available: net flows first, residual deferred.</w:t>
            </w:r>
          </w:p>
        </w:tc>
      </w:tr>
      <w:tr>
        <w:trPr>
          <w:cantSplit/>
        </w:trPr>
        <w:tc>
          <w:tcPr>
            <w:tcW w:type="pct" w:w="2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 — Drift trigger</w:t>
            </w:r>
          </w:p>
        </w:tc>
        <w:tc>
          <w:tcPr>
            <w:tcW w:type="pct" w:w="7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D_{i,t} &gt; θ_{i,t}, U_i &gt; U_{min}, and ∂ J/∂ Δ W &gt; ExecutionCost_{estimated}.</w:t>
            </w:r>
          </w:p>
        </w:tc>
      </w:tr>
      <w:tr>
        <w:trPr>
          <w:cantSplit/>
        </w:trPr>
        <w:tc>
          <w:tcPr>
            <w:tcW w:type="pct" w:w="2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 — Risk trigger</w:t>
            </w:r>
          </w:p>
        </w:tc>
        <w:tc>
          <w:tcPr>
            <w:tcW w:type="pct" w:w="7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Level 2 conditions plus material risk deterioration or RR_t &lt; 1.10 urgency active.</w:t>
            </w:r>
          </w:p>
        </w:tc>
      </w:tr>
      <w:tr>
        <w:trPr>
          <w:cantSplit/>
        </w:trPr>
        <w:tc>
          <w:tcPr>
            <w:tcW w:type="pct" w:w="2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 — Structural change</w:t>
            </w:r>
          </w:p>
        </w:tc>
        <w:tc>
          <w:tcPr>
            <w:tcW w:type="pct" w:w="7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Approved transition ramp active (Section 4.6); each ramp step must still pass Level 2 tests.</w:t>
            </w:r>
          </w:p>
        </w:tc>
      </w:tr>
      <w:tr>
        <w:trPr>
          <w:cantSplit/>
        </w:trPr>
        <w:tc>
          <w:tcPr>
            <w:tcW w:type="pct" w:w="2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 — Emergency</w:t>
            </w:r>
          </w:p>
        </w:tc>
        <w:tc>
          <w:tcPr>
            <w:tcW w:type="pct" w:w="7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Crisis-mode override (Section 13.7): gates widened or overridden under governance logging.</w:t>
            </w:r>
          </w:p>
        </w:tc>
      </w:tr>
    </w:tbl>
    <w:p>
      <w:pPr>
        <w:spacing w:after="120"/>
      </w:pPr>
    </w:p>
    <w:p>
      <w:pPr>
        <w:spacing w:after="120" w:line="312"/>
        <w:jc w:val="both"/>
      </w:pPr>
      <w:r>
        <w:rPr>
          <w:rFonts w:ascii="Calibri" w:eastAsia="SimSun" w:hAnsi="Calibri"/>
          <w:b w:val="false"/>
          <w:bCs w:val="false"/>
          <w:color w:val="1A1A1A"/>
          <w:sz w:val="21"/>
          <w:szCs w:val="21"/>
        </w:rPr>
        <w:t xml:space="preserve">The composition rule is strictest-first: a Level 4 ramp step that fails the Level 2 cost test is deferred, not forced, and only Level 5 emergency declarations can bypass the economic gates — and those declarations are themselves governed events with full audit trails (Section 22.4). The trigger evaluation is recomputed at every rebalance evaluation; if the registry target has changed since the last evaluation, the engine adapts immediately, so trigger conditions never reference a stale target [BP §7.7].</w:t>
      </w:r>
    </w:p>
    <w:p>
      <w:pPr>
        <w:pStyle w:val="Heading2"/>
        <w:keepNext/>
        <w:spacing w:after="160" w:before="360" w:line="340" w:lineRule="atLeast"/>
      </w:pPr>
      <w:bookmarkStart w:id="100103" w:name="_Toc100103"/>
      <w:r>
        <w:rPr>
          <w:rFonts w:ascii="Calibri" w:eastAsia="Microsoft YaHei" w:hAnsi="Calibri"/>
          <w:b/>
          <w:bCs/>
          <w:color w:val="1A1A1A"/>
          <w:sz w:val="28"/>
          <w:szCs w:val="28"/>
        </w:rPr>
        <w:t xml:space="preserve">11.4 Trade Sizing — Liquidity-Sensitive</w:t>
      </w:r>
      <w:bookmarkEnd w:id="100103"/>
    </w:p>
    <w:p>
      <w:pPr>
        <w:spacing w:after="120" w:line="312"/>
        <w:jc w:val="both"/>
      </w:pPr>
      <w:r>
        <w:rPr>
          <w:rFonts w:ascii="Calibri" w:eastAsia="SimSun" w:hAnsi="Calibri"/>
          <w:b w:val="false"/>
          <w:bCs w:val="false"/>
          <w:color w:val="1A1A1A"/>
          <w:sz w:val="21"/>
          <w:szCs w:val="21"/>
        </w:rPr>
        <w:t xml:space="preserve">To avoid moving the market against itself, the trade size is dynamically capped by the available pool depth [BP §7.5]:</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TradeSize</w:t>
      </w:r>
      <w:r>
        <w:rPr>
          <w:rFonts w:ascii="Cambria" w:eastAsia="SimSun" w:hAnsi="Cambria"/>
          <w:i/>
          <w:iCs/>
          <w:color w:val="1A1A1A"/>
          <w:sz w:val="22"/>
          <w:szCs w:val="22"/>
          <w:vertAlign w:val="subscript"/>
        </w:rPr>
        <w:t xml:space="preserve">max</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min</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0.10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PoolDepth</w:t>
      </w:r>
      <w:r>
        <w:rPr>
          <w:rFonts w:ascii="Cambria" w:eastAsia="SimSun" w:hAnsi="Cambria"/>
          <w:i/>
          <w:iCs/>
          <w:color w:val="1A1A1A"/>
          <w:sz w:val="22"/>
          <w:szCs w:val="22"/>
          <w:vertAlign w:val="subscript"/>
        </w:rPr>
        <w:t xml:space="preserve">24h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Quantity</w:t>
            </w:r>
          </w:p>
        </w:tc>
        <w:tc>
          <w:tcPr>
            <w:tcW w:type="pct" w:w="6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r>
      <w:tr>
        <w:trPr>
          <w:cantSplit/>
        </w:trPr>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|Δ_t| × V_{net,t}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absolute surplus value to rebalance, in USD.</w:t>
            </w:r>
          </w:p>
        </w:tc>
      </w:tr>
      <w:tr>
        <w:trPr>
          <w:cantSplit/>
        </w:trPr>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PoolDepth_{24h}</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24-hour rolling average liquidity of the primary DEX pool (for example PAXG/USDC).</w:t>
            </w:r>
          </w:p>
        </w:tc>
      </w:tr>
      <w:tr>
        <w:trPr>
          <w:cantSplit/>
        </w:trPr>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0.10 cap</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never consumes more than 10% of the pool's daily volume in a single trade.</w:t>
            </w:r>
          </w:p>
        </w:tc>
      </w:tr>
    </w:tbl>
    <w:p>
      <w:pPr>
        <w:spacing w:after="120"/>
      </w:pPr>
    </w:p>
    <w:p>
      <w:pPr>
        <w:spacing w:after="120" w:line="312"/>
        <w:jc w:val="both"/>
      </w:pPr>
      <w:r>
        <w:rPr>
          <w:rFonts w:ascii="Calibri" w:eastAsia="SimSun" w:hAnsi="Calibri"/>
          <w:b w:val="false"/>
          <w:bCs w:val="false"/>
          <w:color w:val="1A1A1A"/>
          <w:sz w:val="21"/>
          <w:szCs w:val="21"/>
        </w:rPr>
        <w:t xml:space="preserve">The 10% cap is what prevents excessive slippage: participation above that fraction of rolling depth begins to move the pool price against the protocol's own fill, degrading the very execution the trade was meant to improve. If the required rebalance exceeds the cap, the engine executes multiple staged trades over several days, spreading the execution cost [BP §7.5] — which is the staged-execution path of Section 10.6, not an override of it. Sizing composes with the partial-correction fraction: the candidate size is \beta (W^{Target} - W^{Actual}) scaled to USD, then min-capped by pool depth, then further capped by the daily turnover limit of Section 11.5.2, and the residual re-enters tomorrow's evaluation. Execution scheduling beyond the daily granularity — time-slicing within a day, venue split across aggregators, and private-mempool submission — is specified in Chapter 12.</w:t>
      </w:r>
    </w:p>
    <w:p>
      <w:pPr>
        <w:pStyle w:val="Heading2"/>
        <w:keepNext/>
        <w:spacing w:after="160" w:before="360" w:line="340" w:lineRule="atLeast"/>
      </w:pPr>
      <w:bookmarkStart w:id="100104" w:name="_Toc100104"/>
      <w:r>
        <w:rPr>
          <w:rFonts w:ascii="Calibri" w:eastAsia="Microsoft YaHei" w:hAnsi="Calibri"/>
          <w:b/>
          <w:bCs/>
          <w:color w:val="1A1A1A"/>
          <w:sz w:val="28"/>
          <w:szCs w:val="28"/>
        </w:rPr>
        <w:t xml:space="preserve">11.5 Execution Constraints and the Direction Lock</w:t>
      </w:r>
      <w:bookmarkEnd w:id="100104"/>
    </w:p>
    <w:p>
      <w:pPr>
        <w:spacing w:after="120" w:line="312"/>
        <w:jc w:val="both"/>
      </w:pPr>
      <w:r>
        <w:rPr>
          <w:rFonts w:ascii="Calibri" w:eastAsia="SimSun" w:hAnsi="Calibri"/>
          <w:b w:val="false"/>
          <w:bCs w:val="false"/>
          <w:color w:val="1A1A1A"/>
          <w:sz w:val="21"/>
          <w:szCs w:val="21"/>
        </w:rPr>
        <w:t xml:space="preserve">Three hard constraints govern every executed trade: a both-sided slippage guard, a maximum daily turnover, and the direction lock. The direction lock is the anti-oscillation centerpiece of the execution layer and is referenced from the hysteresis discussion of Section 4.7; all three are enforced inside Listing 4 (Section 11.11).</w:t>
      </w:r>
    </w:p>
    <w:p>
      <w:pPr>
        <w:pStyle w:val="Heading3"/>
        <w:keepNext/>
        <w:spacing w:after="120" w:before="300" w:line="312"/>
      </w:pPr>
      <w:bookmarkStart w:id="100105" w:name="_Toc100105"/>
      <w:r>
        <w:rPr>
          <w:rFonts w:ascii="Calibri" w:eastAsia="Microsoft YaHei" w:hAnsi="Calibri"/>
          <w:b/>
          <w:bCs/>
          <w:color w:val="333333"/>
          <w:sz w:val="24"/>
          <w:szCs w:val="24"/>
        </w:rPr>
        <w:t xml:space="preserve">11.5.1 Slippage Guard</w:t>
      </w:r>
      <w:bookmarkEnd w:id="100105"/>
    </w:p>
    <w:p>
      <w:pPr>
        <w:spacing w:after="120" w:line="312"/>
        <w:jc w:val="both"/>
      </w:pPr>
      <w:r>
        <w:rPr>
          <w:rFonts w:ascii="Calibri" w:eastAsia="SimSun" w:hAnsi="Calibri"/>
          <w:b w:val="false"/>
          <w:bCs w:val="false"/>
          <w:color w:val="1A1A1A"/>
          <w:sz w:val="21"/>
          <w:szCs w:val="21"/>
        </w:rPr>
        <w:t xml:space="preserve">All trades are executed via a DEX aggregator (1inch, Paraswap) with both-sided slippage protection [BP §7.6.1]. The guard compares the executed rate against the canonical oracle rate (Chapter 17):</w:t>
      </w:r>
    </w:p>
    <w:p>
      <w:pPr>
        <w:spacing w:after="120" w:before="120" w:line="312"/>
        <w:jc w:val="center"/>
      </w:pPr>
      <w:r>
        <w:rPr>
          <w:rFonts w:ascii="Cambria" w:eastAsia="SimSun" w:hAnsi="Cambria"/>
          <w:i/>
          <w:iCs/>
          <w:color w:val="1A1A1A"/>
          <w:sz w:val="22"/>
          <w:szCs w:val="22"/>
        </w:rPr>
        <w:t xml:space="preserve">ExecRate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OracleRate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selling gold</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iCs/>
          <w:color w:val="1A1A1A"/>
          <w:sz w:val="22"/>
          <w:szCs w:val="22"/>
        </w:rPr>
        <w:t xml:space="preserve">ExecRate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OracleRate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buying gold</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with \tau = 0.01 (1%) by default, adjustable by the Risk Council. Selling gold must not fill below 1% under the canonical price, and buying gold must not fill above 1% over it; a violation reverts the trade rather than filling at the degraded price. The guard is two-sided because the protocol is a repeat participant in both directions — protecting only the sell side would leave the buy side exposed to exactly the extraction the guard exists to prevent. The oracle side of the comparison is the multi-source canonical gold price (Chapter 17), never an AMM spot price, so the guard inherits the independent-source quorum and staleness checks of the oracle layer.</w:t>
      </w:r>
    </w:p>
    <w:p>
      <w:pPr>
        <w:pStyle w:val="Heading3"/>
        <w:keepNext/>
        <w:spacing w:after="120" w:before="300" w:line="312"/>
      </w:pPr>
      <w:bookmarkStart w:id="100106" w:name="_Toc100106"/>
      <w:r>
        <w:rPr>
          <w:rFonts w:ascii="Calibri" w:eastAsia="Microsoft YaHei" w:hAnsi="Calibri"/>
          <w:b/>
          <w:bCs/>
          <w:color w:val="333333"/>
          <w:sz w:val="24"/>
          <w:szCs w:val="24"/>
        </w:rPr>
        <w:t xml:space="preserve">11.5.2 Maximum Daily Turnover</w:t>
      </w:r>
      <w:bookmarkEnd w:id="100106"/>
    </w:p>
    <w:p>
      <w:pPr>
        <w:spacing w:after="120" w:line="312"/>
        <w:jc w:val="both"/>
      </w:pPr>
      <w:r>
        <w:rPr>
          <w:rFonts w:ascii="Calibri" w:eastAsia="SimSun" w:hAnsi="Calibri"/>
          <w:b w:val="false"/>
          <w:bCs w:val="false"/>
          <w:color w:val="1A1A1A"/>
          <w:sz w:val="21"/>
          <w:szCs w:val="21"/>
        </w:rPr>
        <w:t xml:space="preserve">To prevent excessive trading, the engine enforces a maximum daily turnover of 5% of the total reserve value [BP §7.6.2]. If the required rebalance exceeds this, the remaining amount is deferred to the next day. The cap binds on the sum of executed trade values per UTC day, tracked on-chain by the dailyTurnover counter of Listing 4 and reset at rollover with a DailyTurnoverReset event. The turnover cap is a system-level brake that composes with the per-trade liquidity cap of Section 11.4: the pool-depth cap protects a single venue fill, while the daily cap protects the protocol's aggregate market footprint and guarantees that no single day of authorized corrections can consume more than a bounded fraction of the reserve's liquidity.</w:t>
      </w:r>
    </w:p>
    <w:p>
      <w:pPr>
        <w:pStyle w:val="Heading3"/>
        <w:keepNext/>
        <w:spacing w:after="120" w:before="300" w:line="312"/>
      </w:pPr>
      <w:bookmarkStart w:id="100107" w:name="_Toc100107"/>
      <w:r>
        <w:rPr>
          <w:rFonts w:ascii="Calibri" w:eastAsia="Microsoft YaHei" w:hAnsi="Calibri"/>
          <w:b/>
          <w:bCs/>
          <w:color w:val="333333"/>
          <w:sz w:val="24"/>
          <w:szCs w:val="24"/>
        </w:rPr>
        <w:t xml:space="preserve">11.5.3 Direction Lock (Whipsaw Guard)</w:t>
      </w:r>
      <w:bookmarkEnd w:id="100107"/>
    </w:p>
    <w:p>
      <w:pPr>
        <w:spacing w:after="120" w:line="312"/>
        <w:jc w:val="both"/>
      </w:pPr>
      <w:r>
        <w:rPr>
          <w:rFonts w:ascii="Calibri" w:eastAsia="SimSun" w:hAnsi="Calibri"/>
          <w:b w:val="false"/>
          <w:bCs w:val="false"/>
          <w:color w:val="1A1A1A"/>
          <w:sz w:val="21"/>
          <w:szCs w:val="21"/>
        </w:rPr>
        <w:t xml:space="preserve">To prevent oscillation — selling gold one day and buying it back the next — the engine implements a 24-hour direction lock [BP §7.6.3]:</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the engine sold gold in the last 24 hours, it cannot sell gold again (but it can buy gold if the deviation reverses direction).</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the engine bought gold in the last 24 hours, it cannot buy gold again (but it can sell gold).</w:t>
      </w:r>
    </w:p>
    <w:p>
      <w:pPr>
        <w:spacing w:after="120" w:line="312"/>
        <w:jc w:val="both"/>
      </w:pPr>
      <w:r>
        <w:rPr>
          <w:rFonts w:ascii="Calibri" w:eastAsia="SimSun" w:hAnsi="Calibri"/>
          <w:b w:val="false"/>
          <w:bCs w:val="false"/>
          <w:color w:val="1A1A1A"/>
          <w:sz w:val="21"/>
          <w:szCs w:val="21"/>
        </w:rPr>
        <w:t xml:space="preserve">The lock blocks repetition of the same direction, not reaction to a genuine reversal: if the deviation flips sign within the window, the opposite-direction trade remains available, so the protocol is never trapped away from its target. The lock exists because whipsaw is the purest form of execution waste — spread, slippage, fees and gas paid twice for zero net correction, with the second trade partially undoing the first. It composes with the no-trade zone (Section 10.4) and the Constituency Engine's hysteresis (Section 4.7) as the execution-timescale member of the layered anti-oscillation defenses.</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Exception. The direction lock is overridden if the reserve ratio drops below 1.05 (Stress Mode) [BP §7.6.3]. In that case the engine may reverse direction regardless of the lock to protect solvency — solvency outranks anti-churn. The override condition is mechanical (RR_t &lt; 1.05, Section 13.3), not discretionary, and every override execution is emitted with its deviation and cost so the exception is auditable (Section 11.7).</w:t>
      </w:r>
    </w:p>
    <w:p>
      <w:pPr>
        <w:pStyle w:val="Heading2"/>
        <w:keepNext/>
        <w:spacing w:after="160" w:before="360" w:line="340" w:lineRule="atLeast"/>
      </w:pPr>
      <w:bookmarkStart w:id="100108" w:name="_Toc100108"/>
      <w:r>
        <w:rPr>
          <w:rFonts w:ascii="Calibri" w:eastAsia="Microsoft YaHei" w:hAnsi="Calibri"/>
          <w:b/>
          <w:bCs/>
          <w:color w:val="1A1A1A"/>
          <w:sz w:val="28"/>
          <w:szCs w:val="28"/>
        </w:rPr>
        <w:t xml:space="preserve">11.6 Integration with Regime and Crisis Signals</w:t>
      </w:r>
      <w:bookmarkEnd w:id="100108"/>
    </w:p>
    <w:p>
      <w:pPr>
        <w:spacing w:after="120" w:line="312"/>
        <w:jc w:val="both"/>
      </w:pPr>
      <w:r>
        <w:rPr>
          <w:rFonts w:ascii="Calibri" w:eastAsia="SimSun" w:hAnsi="Calibri"/>
          <w:b w:val="false"/>
          <w:bCs w:val="false"/>
          <w:color w:val="1A1A1A"/>
          <w:sz w:val="21"/>
          <w:szCs w:val="21"/>
        </w:rPr>
        <w:t xml:space="preserve">The rebalancing engine consumes the smoothed target weights as its primary reference and recalculates the target at every evaluation — if the registry changed since the last evaluation, the engine adapts immediately [BP §7.7]. The v2.0 flow is:</w:t>
      </w:r>
    </w:p>
    <w:p>
      <w:pPr>
        <w:pStyle w:val="ListParagraph"/>
        <w:numPr>
          <w:ilvl w:val="0"/>
          <w:numId w:val="4"/>
        </w:numPr>
        <w:spacing w:after="60" w:line="312"/>
        <w:jc w:val="left"/>
      </w:pPr>
      <w:r>
        <w:rPr>
          <w:rFonts w:ascii="Calibri" w:eastAsia="SimSun" w:hAnsi="Calibri"/>
          <w:b w:val="false"/>
          <w:bCs w:val="false"/>
          <w:color w:val="1A1A1A"/>
          <w:sz w:val="21"/>
          <w:szCs w:val="21"/>
        </w:rPr>
        <w:t xml:space="preserve">The MASE weight registry (Listing 2, Section 7.7) returns the live smoothed vector (for example, gold at 27.1%).</w:t>
      </w:r>
    </w:p>
    <w:p>
      <w:pPr>
        <w:pStyle w:val="ListParagraph"/>
        <w:numPr>
          <w:ilvl w:val="0"/>
          <w:numId w:val="4"/>
        </w:numPr>
        <w:spacing w:after="60" w:line="312"/>
        <w:jc w:val="left"/>
      </w:pPr>
      <w:r>
        <w:rPr>
          <w:rFonts w:ascii="Calibri" w:eastAsia="SimSun" w:hAnsi="Calibri"/>
          <w:b w:val="false"/>
          <w:bCs w:val="false"/>
          <w:color w:val="1A1A1A"/>
          <w:sz w:val="21"/>
          <w:szCs w:val="21"/>
        </w:rPr>
        <w:t xml:space="preserve">The engine computes \Delta_t = W^{obs} - W^{Target} per component (Section 11.2).</w:t>
      </w:r>
    </w:p>
    <w:p>
      <w:pPr>
        <w:pStyle w:val="ListParagraph"/>
        <w:numPr>
          <w:ilvl w:val="0"/>
          <w:numId w:val="4"/>
        </w:numPr>
        <w:spacing w:after="60" w:line="312"/>
        <w:jc w:val="left"/>
      </w:pPr>
      <w:r>
        <w:rPr>
          <w:rFonts w:ascii="Calibri" w:eastAsia="SimSun" w:hAnsi="Calibri"/>
          <w:b w:val="false"/>
          <w:bCs w:val="false"/>
          <w:color w:val="1A1A1A"/>
          <w:sz w:val="21"/>
          <w:szCs w:val="21"/>
        </w:rPr>
        <w:t xml:space="preserve">It evaluates J(\Delta W), the no-trade zone, and the trigger conditions (Sections 11.3, 10.9).</w:t>
      </w:r>
    </w:p>
    <w:p>
      <w:pPr>
        <w:pStyle w:val="ListParagraph"/>
        <w:numPr>
          <w:ilvl w:val="0"/>
          <w:numId w:val="4"/>
        </w:numPr>
        <w:spacing w:after="60" w:line="312"/>
        <w:jc w:val="left"/>
      </w:pPr>
      <w:r>
        <w:rPr>
          <w:rFonts w:ascii="Calibri" w:eastAsia="SimSun" w:hAnsi="Calibri"/>
          <w:b w:val="false"/>
          <w:bCs w:val="false"/>
          <w:color w:val="1A1A1A"/>
          <w:sz w:val="21"/>
          <w:szCs w:val="21"/>
        </w:rPr>
        <w:t xml:space="preserve">A gated trade is sized (Section 11.4) and executed through the DEX aggregator under the constraints of Section 11.5.</w:t>
      </w:r>
    </w:p>
    <w:p>
      <w:pPr>
        <w:spacing w:after="120" w:line="312"/>
        <w:jc w:val="both"/>
      </w:pPr>
      <w:r>
        <w:rPr>
          <w:rFonts w:ascii="Calibri" w:eastAsia="SimSun" w:hAnsi="Calibri"/>
          <w:b w:val="false"/>
          <w:bCs w:val="false"/>
          <w:color w:val="1A1A1A"/>
          <w:sz w:val="21"/>
          <w:szCs w:val="21"/>
        </w:rPr>
        <w:t xml:space="preserve">On top of the target reference, execution parameters are modulated by the crisis-regime state. CrisisScore_t (Section 5.5) is the aggregation of stress evidence, and when it crosses its threshold the execution layer enters crisis mode (Section 13.7), which modulates exactly the parameters this chapter defines: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Execution Parameter</w:t>
            </w:r>
          </w:p>
        </w:tc>
        <w:tc>
          <w:tcPr>
            <w:tcW w:type="pct" w:w="2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Normal Mode</w:t>
            </w:r>
          </w:p>
        </w:tc>
        <w:tc>
          <w:tcPr>
            <w:tcW w:type="pct" w:w="4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Crisis Mode (Section 13.7)</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band θ_{i,t}</w:t>
            </w:r>
          </w:p>
        </w:tc>
        <w:tc>
          <w:tcPr>
            <w:tcW w:type="pct" w:w="2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Base dynamic band (Section 10.5)</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Widened (Listing 4 doubles the base band)</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Trade size</w:t>
            </w:r>
          </w:p>
        </w:tc>
        <w:tc>
          <w:tcPr>
            <w:tcW w:type="pct" w:w="2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Liquidity-capped β correction</w:t>
            </w:r>
          </w:p>
        </w:tc>
        <w:tc>
          <w:tcPr>
            <w:tcW w:type="pct" w:w="4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Shrunk toward smaller, staged executions</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requirement</w:t>
            </w:r>
          </w:p>
        </w:tc>
        <w:tc>
          <w:tcPr>
            <w:tcW w:type="pct" w:w="2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 of 24h pool depth</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Raised; deeper-venue requirements</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Direction lock</w:t>
            </w:r>
          </w:p>
        </w:tc>
        <w:tc>
          <w:tcPr>
            <w:tcW w:type="pct" w:w="2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24-hour lock enforced</w:t>
            </w:r>
          </w:p>
        </w:tc>
        <w:tc>
          <w:tcPr>
            <w:tcW w:type="pct" w:w="4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Overridable when RR_t &lt; 1.05 (Stress Mode)</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confirmation</w:t>
            </w:r>
          </w:p>
        </w:tc>
        <w:tc>
          <w:tcPr>
            <w:tcW w:type="pct" w:w="2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Standard quorum (Chapter 17)</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Increased confirmation requirements</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Objective priority</w:t>
            </w:r>
          </w:p>
        </w:tc>
        <w:tc>
          <w:tcPr>
            <w:tcW w:type="pct" w:w="2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Balanced J terms</w:t>
            </w:r>
          </w:p>
        </w:tc>
        <w:tc>
          <w:tcPr>
            <w:tcW w:type="pct" w:w="4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preservation prioritized over tracking fidelity</w:t>
            </w:r>
          </w:p>
        </w:tc>
      </w:tr>
    </w:tbl>
    <w:p>
      <w:pPr>
        <w:spacing w:after="120"/>
      </w:pPr>
    </w:p>
    <w:p>
      <w:pPr>
        <w:spacing w:after="120" w:line="312"/>
        <w:jc w:val="both"/>
      </w:pPr>
      <w:r>
        <w:rPr>
          <w:rFonts w:ascii="Calibri" w:eastAsia="SimSun" w:hAnsi="Calibri"/>
          <w:b w:val="false"/>
          <w:bCs w:val="false"/>
          <w:color w:val="1A1A1A"/>
          <w:sz w:val="21"/>
          <w:szCs w:val="21"/>
        </w:rPr>
        <w:t xml:space="preserve">The modulation is deliberately one-directional: crisis conditions only ever make execution more conservative — wider bands, smaller sizes, stricter confirmations — because the failure mode being defended against is trading aggressively into a dislocated market. Reserve-ratio stress (RR_t below 1.10, with 1.05 as the stress floor and 1.00 as the hard floor, Section 13.3) feeds the urgency term of the J functional directly, so solvency pressure raises the value of correcting deviations precisely when solvency is at risk. All mode transitions are recorded in the operational state machine (Section 18.5) and the decision log (Section 24.4).</w:t>
      </w:r>
    </w:p>
    <w:p>
      <w:pPr>
        <w:pStyle w:val="Heading2"/>
        <w:keepNext/>
        <w:spacing w:after="160" w:before="360" w:line="340" w:lineRule="atLeast"/>
      </w:pPr>
      <w:bookmarkStart w:id="100109" w:name="_Toc100109"/>
      <w:r>
        <w:rPr>
          <w:rFonts w:ascii="Calibri" w:eastAsia="Microsoft YaHei" w:hAnsi="Calibri"/>
          <w:b/>
          <w:bCs/>
          <w:color w:val="1A1A1A"/>
          <w:sz w:val="28"/>
          <w:szCs w:val="28"/>
        </w:rPr>
        <w:t xml:space="preserve">11.7 Event Emissions and Decision Logging</w:t>
      </w:r>
      <w:bookmarkEnd w:id="100109"/>
    </w:p>
    <w:p>
      <w:pPr>
        <w:spacing w:after="120" w:line="312"/>
        <w:jc w:val="both"/>
      </w:pPr>
      <w:r>
        <w:rPr>
          <w:rFonts w:ascii="Calibri" w:eastAsia="SimSun" w:hAnsi="Calibri"/>
          <w:b w:val="false"/>
          <w:bCs w:val="false"/>
          <w:color w:val="1A1A1A"/>
          <w:sz w:val="21"/>
          <w:szCs w:val="21"/>
        </w:rPr>
        <w:t xml:space="preserve">Every MARP decision — executed or declined — emits a structured event [BP §7.9]. The event set of Listing 4 is: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Event</w:t>
            </w:r>
          </w:p>
        </w:tc>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Payload</w:t>
            </w:r>
          </w:p>
        </w:tc>
        <w:tc>
          <w:tcPr>
            <w:tcW w:type="pct" w:w="5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RebalanceExecuted</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timestamp, deviation, amount, estimatedCost</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gated trade was executed with its pre-trade deviation and cost estimate.</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RebalanceSkipped</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timestamp, deviation, reason</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candidate trade was declined, with a machine-readable reason string.</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DailyTurnoverReset</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timestamp, previousTurnover</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daily turnover counter rolled over, publishing the prior day's total.</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GoldSold / GoldBought</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amount, output, execPrice</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DEX leg fill details for the gold execution path.</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SlippageWarning</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tradeType, oraclePrice, execPrice, timestamp</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An executed or quoted price approached the slippage-guard boundary (Section 11.5.1).</w:t>
            </w:r>
          </w:p>
        </w:tc>
      </w:tr>
    </w:tbl>
    <w:p>
      <w:pPr>
        <w:spacing w:after="120"/>
      </w:pPr>
    </w:p>
    <w:p>
      <w:pPr>
        <w:spacing w:after="120" w:line="312"/>
        <w:jc w:val="both"/>
      </w:pPr>
      <w:r>
        <w:rPr>
          <w:rFonts w:ascii="Calibri" w:eastAsia="SimSun" w:hAnsi="Calibri"/>
          <w:b w:val="false"/>
          <w:bCs w:val="false"/>
          <w:color w:val="1A1A1A"/>
          <w:sz w:val="21"/>
          <w:szCs w:val="21"/>
        </w:rPr>
        <w:t xml:space="preserve">The skip reasons are enumerable by design: 'No-trade zone' (Section 10.4), 'Direction lock' (Section 11.5.3), 'Net benefit not positive' (Section 10.8) and the turnover/liquidity truncations. A skipped trade is as informative as an executed one — the stream of skips with reasons is the direct evidence that the gates work, and it is what allows an auditor to reconstruct, for any historical day, why the protocol did not trade (Section 24.4). Events feed the decision log with the same versioned data discipline as the weight publications (Section 24.2): each entry binds the deviation, the decision, the governing registry state (methodology and data versions) and the realized cost, so the full pipeline from W^{Target} to W^{Execution} is reproducible after the fact.</w:t>
      </w:r>
    </w:p>
    <w:p>
      <w:pPr>
        <w:pStyle w:val="Heading2"/>
        <w:keepNext/>
        <w:spacing w:after="160" w:before="360" w:line="340" w:lineRule="atLeast"/>
      </w:pPr>
      <w:bookmarkStart w:id="100110" w:name="_Toc100110"/>
      <w:r>
        <w:rPr>
          <w:rFonts w:ascii="Calibri" w:eastAsia="Microsoft YaHei" w:hAnsi="Calibri"/>
          <w:b/>
          <w:bCs/>
          <w:color w:val="1A1A1A"/>
          <w:sz w:val="28"/>
          <w:szCs w:val="28"/>
        </w:rPr>
        <w:t xml:space="preserve">11.8 Summary of Developer-Facing Constants</w:t>
      </w:r>
      <w:bookmarkEnd w:id="100110"/>
    </w:p>
    <w:p>
      <w:pPr>
        <w:spacing w:after="120" w:line="312"/>
        <w:jc w:val="both"/>
      </w:pPr>
      <w:r>
        <w:rPr>
          <w:rFonts w:ascii="Calibri" w:eastAsia="SimSun" w:hAnsi="Calibri"/>
          <w:b w:val="false"/>
          <w:bCs w:val="false"/>
          <w:color w:val="1A1A1A"/>
          <w:sz w:val="21"/>
          <w:szCs w:val="21"/>
        </w:rPr>
        <w:t xml:space="preserve">The complete developer-facing constant set of the execution layer [BP §7.10], extended with the v2.0 gate constants: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4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Governance</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Lambda 1 (Deviation)</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λ_1</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0.40</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Lambda 2 (Cost)</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λ_2</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0.30</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Lambda 3 (Urgency)</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λ_3</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0.20</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Lambda 4 (Turnover)</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λ_4</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0.10</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Tolerance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τ</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Gas Fallback</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GAS_FALLBACK</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$50</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 Daily Turnover</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 of NAV</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 Pool Fraction</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 of 24h volume</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Direction Lock</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 hours</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 (Risk Council can override in stress)</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Band (v2.0)</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θ_{base}</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0.75% base; 1.5% stress</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 validation-stage</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Benefit Margin (v2.0)</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ε</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(BENEFIT_MARGIN)</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 validation-stage</w:t>
            </w:r>
          </w:p>
        </w:tc>
      </w:tr>
    </w:tbl>
    <w:p>
      <w:pPr>
        <w:spacing w:after="120"/>
      </w:pP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Gas Fallback constant is only used when block.basefee is unavailable (for example on certain L2 testnets). On mainnet, the protocol uses the live block.basefee multiplied by a 20% buffer.</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Direction Lock prevents the rebalancing engine from reversing direction within the same 24-hour period. It can be overridden when the Reserve Ratio falls below 1.05 (Stress Mode) [BP §7.10].</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v2.0 no-trade band and benefit margin values are validation-stage defaults: they enter the perturbation study of Section 23.6 before any production authorization, and the published methodology version fixes the operative values.</w:t>
      </w:r>
    </w:p>
    <w:p>
      <w:pPr>
        <w:pStyle w:val="Heading2"/>
        <w:keepNext/>
        <w:spacing w:after="160" w:before="360" w:line="340" w:lineRule="atLeast"/>
      </w:pPr>
      <w:bookmarkStart w:id="100111" w:name="_Toc100111"/>
      <w:r>
        <w:rPr>
          <w:rFonts w:ascii="Calibri" w:eastAsia="Microsoft YaHei" w:hAnsi="Calibri"/>
          <w:b/>
          <w:bCs/>
          <w:color w:val="1A1A1A"/>
          <w:sz w:val="28"/>
          <w:szCs w:val="28"/>
        </w:rPr>
        <w:t xml:space="preserve">11.9 Design of the On-Chain Execution Layer</w:t>
      </w:r>
      <w:bookmarkEnd w:id="100111"/>
    </w:p>
    <w:p>
      <w:pPr>
        <w:spacing w:after="120" w:line="312"/>
        <w:jc w:val="both"/>
      </w:pPr>
      <w:r>
        <w:rPr>
          <w:rFonts w:ascii="Calibri" w:eastAsia="SimSun" w:hAnsi="Calibri"/>
          <w:b w:val="false"/>
          <w:bCs w:val="false"/>
          <w:color w:val="1A1A1A"/>
          <w:sz w:val="21"/>
          <w:szCs w:val="21"/>
        </w:rPr>
        <w:t xml:space="preserve">MARP follows the same off-chain/on-chain split as the MASE registry (Listing 2's note, Section 7.7): computation that is iterative or data-heavy happens off-chain from published data, and the contract verifies and enforces. The optimization layer — the full J evaluation across candidate sizes, the regime and crisis classification, the slippage-curve estimation against live pool state — is computed by the execution keeper from published inputs, while the on-chain engine independently re-verifies every constitutional and economic bound at execution time: the no-trade band, the direction lock, the liquidity and turnover caps, the slippage guard against the canonical oracle price, and the cost-benefit margin. A trade that passes off-chain analysis but fails any on-chain check simply does not execute.</w:t>
      </w:r>
    </w:p>
    <w:p>
      <w:pPr>
        <w:spacing w:after="120" w:line="312"/>
        <w:jc w:val="both"/>
      </w:pPr>
      <w:r>
        <w:rPr>
          <w:rFonts w:ascii="Calibri" w:eastAsia="SimSun" w:hAnsi="Calibri"/>
          <w:b w:val="false"/>
          <w:bCs w:val="false"/>
          <w:color w:val="1A1A1A"/>
          <w:sz w:val="21"/>
          <w:szCs w:val="21"/>
        </w:rPr>
        <w:t xml:space="preserve">The keeper path is intentionally simple: a permissioned keeper bot (or, under the testnet deployment, any authorized operator) calls executeRebalance(), which re-derives the decision from current on-chain state rather than trusting a submitted decision. This is stronger than a submit-and-verify pattern because there is nothing to submit — the trigger math that runs on-chain is coarse but self-contained, so an untrusted keeper cannot smuggle in an unjustified trade; it can only propose an evaluation. The keeper's economic incentive (execution fees, if enabled) is governed with the same parameter authority as the execution constants (Section 22.4).</w:t>
      </w:r>
    </w:p>
    <w:p>
      <w:pPr>
        <w:spacing w:after="120" w:line="312"/>
        <w:jc w:val="both"/>
      </w:pPr>
      <w:r>
        <w:rPr>
          <w:rFonts w:ascii="Calibri" w:eastAsia="SimSun" w:hAnsi="Calibri"/>
          <w:b w:val="false"/>
          <w:bCs w:val="false"/>
          <w:color w:val="1A1A1A"/>
          <w:sz w:val="21"/>
          <w:szCs w:val="21"/>
        </w:rPr>
        <w:t xml:space="preserve">Verification duties are distributed. The keeper is responsible for calling the evaluation and for gas-paid execution; the contract is responsible for enforcing every gate and emitting the decision events; independent verifiers — and ultimately the transparency layer of Chapter 24 — are responsible for checking that each emitted execution satisfies its gates, that the deviation series is consistent with the published registry states, and that the realized costs match the estimation model. Verification failures feed the state machine's pause conditions (Section 18.5): repeated gate reverts, oracle staleness beyond tolerance (Chapter 17) or reserve-ratio stress (Section 13.3) halt execution until governance resolves the condition, and the halt is itself a logged state.</w:t>
      </w:r>
    </w:p>
    <w:p>
      <w:pPr>
        <w:pStyle w:val="Heading2"/>
        <w:keepNext/>
        <w:spacing w:after="160" w:before="360" w:line="340" w:lineRule="atLeast"/>
      </w:pPr>
      <w:bookmarkStart w:id="100112" w:name="_Toc100112"/>
      <w:r>
        <w:rPr>
          <w:rFonts w:ascii="Calibri" w:eastAsia="Microsoft YaHei" w:hAnsi="Calibri"/>
          <w:b/>
          <w:bCs/>
          <w:color w:val="1A1A1A"/>
          <w:sz w:val="28"/>
          <w:szCs w:val="28"/>
        </w:rPr>
        <w:t xml:space="preserve">11.10 Governance of Execution Parameters</w:t>
      </w:r>
      <w:bookmarkEnd w:id="100112"/>
    </w:p>
    <w:p>
      <w:pPr>
        <w:spacing w:after="120" w:line="312"/>
        <w:jc w:val="both"/>
      </w:pPr>
      <w:r>
        <w:rPr>
          <w:rFonts w:ascii="Calibri" w:eastAsia="SimSun" w:hAnsi="Calibri"/>
          <w:b w:val="false"/>
          <w:bCs w:val="false"/>
          <w:color w:val="1A1A1A"/>
          <w:sz w:val="21"/>
          <w:szCs w:val="21"/>
        </w:rPr>
        <w:t xml:space="preserve">Execution parameters determine how the protocol trades, never what it holds: no governance body may set an individual live weight by discretion (Invariant I8, Section 2.6), and the execution layer's authority is confined to thresholds, coefficients and constraints. The authority split follows the layered governance hierarchy (Section 22.4):</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4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 Group</w:t>
            </w:r>
          </w:p>
        </w:tc>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Authority</w:t>
            </w:r>
          </w:p>
        </w:tc>
        <w:tc>
          <w:tcPr>
            <w:tcW w:type="pct" w:w="4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Change Path</w:t>
            </w:r>
          </w:p>
        </w:tc>
      </w:tr>
      <w:tr>
        <w:trPr>
          <w:cantSplit/>
        </w:trPr>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λ_1–λ_4 objective coefficients</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Within constitutional envelopes; published with methodology version; perturbation-tested (Section 23.6)</w:t>
            </w:r>
          </w:p>
        </w:tc>
      </w:tr>
      <w:tr>
        <w:trPr>
          <w:cantSplit/>
        </w:trPr>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tolerance τ; turnover cap; pool fraction</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24h timelock; event-emitted change</w:t>
            </w:r>
          </w:p>
        </w:tc>
      </w:tr>
      <w:tr>
        <w:trPr>
          <w:cantSplit/>
        </w:trPr>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band θ_{base} and crisis widening; margin ε; U_{min}; urgency coefficients</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Within constitutional floors; versioned publication</w:t>
            </w:r>
          </w:p>
        </w:tc>
      </w:tr>
      <w:tr>
        <w:trPr>
          <w:cantSplit/>
        </w:trPr>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Direction lock duration; GAS_FALLBACK</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 in normal operation (BP §7.10)</w:t>
            </w:r>
          </w:p>
        </w:tc>
      </w:tr>
      <w:tr>
        <w:trPr>
          <w:cantSplit/>
        </w:trPr>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Direction-lock stress override (RR_t &lt; 1.05)</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Mechanical, pre-authorized</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Automatic under the declared stress condition; audited post hoc</w:t>
            </w:r>
          </w:p>
        </w:tc>
      </w:tr>
      <w:tr>
        <w:trPr>
          <w:cantSplit/>
        </w:trPr>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Gas oracle; execution venues and assets</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Governed setters in Listing 4; venues resolved via the Asset Admission Registry (Chapter 15)</w:t>
            </w:r>
          </w:p>
        </w:tc>
      </w:tr>
    </w:tbl>
    <w:p>
      <w:pPr>
        <w:spacing w:after="120"/>
      </w:pPr>
    </w:p>
    <w:p>
      <w:pPr>
        <w:spacing w:after="120" w:line="312"/>
        <w:jc w:val="both"/>
      </w:pPr>
      <w:r>
        <w:rPr>
          <w:rFonts w:ascii="Calibri" w:eastAsia="SimSun" w:hAnsi="Calibri"/>
          <w:b w:val="false"/>
          <w:bCs w:val="false"/>
          <w:color w:val="1A1A1A"/>
          <w:sz w:val="21"/>
          <w:szCs w:val="21"/>
        </w:rPr>
        <w:t xml:space="preserve">The constitutional items are deliberately the ones whose violation would create systematic extractable value: a direction lock that could be waived at will would let an insider frontrun the protocol's own whipsaw, and a mutable gas fallback would corrupt the cost side of the cost-benefit gate. Everything else is Risk-Council territory because it is calibration, not constitution. All parameter values, current and historical, are part of the parameter registry (Section 22.3), and every change to an execution parameter is emitted, versioned and reproducible — the same discipline the weight publications follow (Section 24.2).</w:t>
      </w:r>
    </w:p>
    <w:p>
      <w:pPr>
        <w:pStyle w:val="Heading2"/>
        <w:keepNext/>
        <w:spacing w:after="160" w:before="360" w:line="340" w:lineRule="atLeast"/>
      </w:pPr>
      <w:bookmarkStart w:id="100113" w:name="_Toc100113"/>
      <w:r>
        <w:rPr>
          <w:rFonts w:ascii="Calibri" w:eastAsia="Microsoft YaHei" w:hAnsi="Calibri"/>
          <w:b/>
          <w:bCs/>
          <w:color w:val="1A1A1A"/>
          <w:sz w:val="28"/>
          <w:szCs w:val="28"/>
        </w:rPr>
        <w:t xml:space="preserve">11.11 Smart Contract Implementation — MARP Execution Engine</w:t>
      </w:r>
      <w:bookmarkEnd w:id="100113"/>
    </w:p>
    <w:p>
      <w:pPr>
        <w:spacing w:after="120" w:line="312"/>
        <w:jc w:val="both"/>
      </w:pPr>
      <w:r>
        <w:rPr>
          <w:rFonts w:ascii="Calibri" w:eastAsia="SimSun" w:hAnsi="Calibri"/>
          <w:b w:val="false"/>
          <w:bCs w:val="false"/>
          <w:color w:val="1A1A1A"/>
          <w:sz w:val="21"/>
          <w:szCs w:val="21"/>
        </w:rPr>
        <w:t xml:space="preserve">The contract below is the complete execution engine announced in Section 2.7, carrying the blueprint's rebalancing engine substantially intact — objective coefficients, dynamic gas estimation with the three-tier Chainlink/basefee/fallback path, direction-sensitive slippage estimates, both-sided slippage guards, turnover and pool-depth caps, the 24-hour direction lock with its stress override, and the DEX integration with quote validation and deadline enforcement [BP §7.8]. The v2.0 adaptations are: target weights are read from the MASE weight registry (Listing 2, Section 7.7) instead of the retired macro engine; the no-trade zone and the cost-benefit margin are checked before any trade is executed; the crisis oracle widens the band under stress; and venue, asset and module references resolve through governed configuration rather than hard-coded addresses. The fidelity note after the listing records every deviation from the blueprint text.</w:t>
      </w:r>
    </w:p>
    <w:p>
      <w:pPr>
        <w:keepNext/>
        <w:spacing w:after="80" w:before="280" w:line="312"/>
      </w:pPr>
      <w:r>
        <w:rPr>
          <w:rFonts w:ascii="Calibri" w:eastAsia="SimSun" w:hAnsi="Calibri"/>
          <w:b/>
          <w:bCs/>
          <w:color w:val="8A6D1F"/>
          <w:sz w:val="19"/>
          <w:szCs w:val="19"/>
        </w:rPr>
        <w:t xml:space="preserve">Listing 4 — MARP rebalancing engine: triggers, sizing, constraints and DEX execution (adapts BP §7.8)</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MTQSigmaMARP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11.11.1 CONSTANTS &amp; STATE (carries BP §7.8.1)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Objective function coefficients (1e18 scale)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LAMBDA_1 = 0.40e18; // Deviation priority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LAMBDA_2 = 0.30e18; // Cost priority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LAMBDA_3 = 0.20e18; // Urgency priority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LAMBDA_4 = 0.10e18; // Turnover penalty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Slippage tolerance (base, adjustable by Risk 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slippageTolerance = 0.01e18; // 1% (default)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Daily turnover cap (5% of NAV)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MAX_DAILY_TURNOVER = 0.05e18; // 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Max trade size as fraction of pool depth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MAX_POOL_FRACTION = 0.10e18; // 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Direction lock duration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DIRECTION_LOCK_DURATION = 24 hours;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Gas fallback (used if block.basefee is zero and no oracle)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GAS_FALLBACK = 50e18; // $50 USD equivalent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Gas unit estimate (simplified; adjust per chain)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GAS_UNITS_ESTIMATE = 150000; // 150k gas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Slippage estimates (basis points, 1 bp = 0.01%)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Conservative defaults; Risk Council can override.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SLIPPAGE_BPS_SELL = 15; // 0.15%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SLIPPAGE_BPS_BUY = 20;  // 0.20%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No-trade zone (§10.4-§10.5): dynamic band, 1e18 weight scale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noTradeBand = 0.0075e18;      // 0.75% base (validation-stage)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noTradeBandStress = 0.015e18; // widened under crisis (§11.6)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Cost-benefit gate margin (§10.8): NetBenefit must exceed epsilon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BENEFIT_MARGIN = 0.01e18; // 1% (validation-stage)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Gas Oracle (Chainlink, set by Governance)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gasOracle; // Chainlink gas price feed (AggregatorV3Interface)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Weight registry (Listing 2, §7.7) and crisis oracle (§5.5)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IMASEWeightRegistry public weightRegistry;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crisisOracle;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crisisThreshold = 0.70e18;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Execution venues and assets (Asset Admission Registry, Ch. 15)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PAXG_USDC_POOL;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poolDepthOracle;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goldOracle; // §17 canonical gold price feed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IReserveState public reserveModule; // v1.2 §4.4.2 -&gt; Chapters 13-14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Last trade metadata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LastTrade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int256 direction; // +1 for buy, -1 for sell, 0 for none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LastTrade public lastTrade;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Daily turnover tracking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dailyTurnover;   // USD value traded today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lastTurnoverReset;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DEX Aggregator address (immutable, governed)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 (placeholder check, BP §7.8.4)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Constructor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constructor(address _aggregator, address _weightRegistry, address _riskCouncil)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AGGREGATOR = _aggregator;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weightRegistry = IMASEWeightRegistry(_weightRegistry);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riskCouncil = _riskCouncil;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Events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GasOracleUpdated(address indexed oldOracle, address indexed newOracle);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RebalanceExecuted(uint256 indexed timestamp, int256 deviation, uint256 amount, uint256 estimatedCost);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RebalanceSkipped(uint256 indexed timestamp, int256 deviation, string reason);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DailyTurnoverReset(uint256 indexed timestamp, uint256 previousTurnover);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GoldSold(uint256 amount, uint256 output, uint256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GoldBought(uint256 amount, uint256 output, uint256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SlippageWarning(string tradeType, uint256 oraclePrice, uint256 execPrice,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11.11.2 CORE REBALANCING LOGIC (carries BP §7.8.2)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Evaluates whether a rebalance is needed and executes it if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profitable. Called by the keeper bot (§11.9).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executeRebalance()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Update reserve state (from §4.4.2, v1.2)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reserveModule.refresh();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nav = reserveModule.nav();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rr = reserveModule.reserveRatio();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Get current target gold weight from the MASE weight registry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(Listing 2, §7.7; replaces the retired macro-engine source)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targetGold = getTargetGoldWeight();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Compute observed gold weight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goldValue = reserveModule.goldValue();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observedGold = (goldValue * 1e18) / nav;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Compute deviation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int256 deviation = int256(observedGold) - int256(targetGold);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(deviation == 0) return; // Perfectly balanced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4b. NO-TRADE ZONE (§10.4-§10.5): skip when inside the dynamic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band. The band widens under an elevated crisis score (§11.6).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band = isStress() ? noTradeBandStress : noTradeBand;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(abs(deviation) &lt;= band)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RebalanceSkipped(block.timestamp, deviation, "No-trade zone");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Direction lock check (except in stress mode)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(rr &gt;= 1.05e18)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(block.timestamp - lastTrade.timestamp &lt; DIRECTION_LOCK_DURATION)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((deviation &gt; 0 &amp;&amp; lastTrade.direction == -1)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(deviation &lt; 0 &amp;&amp; lastTrade.direction == 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RebalanceSkipped(block.timestamp, deviation, "Direction lock");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 Locked in same direction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Compute required surplus 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surplusValue = abs(deviation) * nav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Cap by liquidity (pool depth)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poolDepth = getPoolDepth(PAXG_USDC_POOL);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maxTrade = (poolDepth * MAX_POOL_FRACTION)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(surplusValue &gt; maxTrade) surplusValue = maxTrade;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8. Cap by daily turnover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resetDailyTurnover();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remainingDaily = (nav * MAX_DAILY_TURNOVER / 1e18) - dailyTurnover;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(surplusValue &gt; remainingDaily) surplusValue = remainingDaily;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(surplusValue == 0) return;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9. Estimate execution cost (dynamic gas + slippage)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estimatedCost = estimateExecutionCost(surplusValue, deviation &gt;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urgency = (rr &lt; 1.10e18) ? (1e18 / rr)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10. Compute net benefit (objective function improvement)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currentDeviation = abs(deviation);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newDeviation = abs(deviation - (int256(surplusValue) * 1e18 / int256(nav)));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benefit = (currentDeviation - newDeviation) * LAMBDA_1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benefit += urgency * LAMBDA_3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costTerm = estimatedCost * LAMBDA_2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11. COST-BENEFIT GATE (§10.8): execute only when NetBenefit &gt; epsilon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(benefit &gt; costTerm + BENEFIT_MARGIN)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(deviation &gt;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Sell 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sellAmount = (surplusValue * 1e18) / getGoldPrice();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sellGold(sellAmount);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lastTrade.direction =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Buy 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buyAmount = (surplusValue * 1e18) / getGoldPrice();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buyGold(buyAmount);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lastTrade.direction =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lastTrade.timestamp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dailyTurnover += surplusValue;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RebalanceExecuted(block.timestamp, deviation, surplusValue, estimatedCost);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RebalanceSkipped(block.timestamp, deviation, "Net benefit below margin");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Target gold weight read from the MASE weight registry (§7.7).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XAU is component index 6 in the fixed COMPONENTS order (Listing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getTargetGoldWeight()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memory weights, bytes32 methodologyVersion, bytes32 dataVersion)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weightRegistry.getLiveWeights();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weights[6]; // "XAU"</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Stress flag consumed by the no-trade band (§11.6). Sourced from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crisis-score oracle path (§5.5). Conservative default 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stress = true when the oracle is unset (mirrors Listing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isStress() internal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(crisisOracle == address(0)) return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ICrisisOracle(crisisOracle).score() &gt; crisisThreshold;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Estimates execution cost (gas + slippage) using live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amount The USD value of the trade.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isSell True if selling gold, false if buying.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 Total estimated cost in USD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estimateExecutionCost(uint256 amount, bool isSell)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Dynamic gas cost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gasPrice = getGasPrice(); // Uses block.basefee, oracle, or fallback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gasUnits = estimateGasUnits(amount, isSell);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gasCost = gasPrice * gasUnits;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Slippage cost (dynamic, based on trade direction)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slippageBps = getSlippageEstimate(isSell);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slippage = (amount * slippageBps) / 10000;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Router fee (0.10% fixed, adjustable by governance)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routerFee = (amount * 10) / 10000; // 0.10%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gasCost + slippage + routerFee;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a realistic gas price estimate.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Prioritises: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Chainlink Gas Oracle (if set via governance)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block.basefee (mainnet and modern L2s) with a 20% buffer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GAS_FALLBACK (chains where block.basefee is unavailable)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getGasPrice()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Try Chainlink Gas Oracle (production mode, if 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oracleGasPrice = getGasPriceFromOracle();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(oracleGasPrice &gt; 0) return oracleGasPrice;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Try block.basefee (standard on mainnet / modern L2s)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basefee = block.basefee;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(basefee &gt;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Add 20% buffer to avoid underpricing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(basefee * 120)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Fallback for chains where block.basefee is not supported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(older L2s, devnets, or chains with zero basefee)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GAS_FALLBACK;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Fetches gas price from the Chainlink oracle (if 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Returns 0 if oracle is not set, feed is stale, or price &lt;=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Assumes the feed returns a price in Gwei; adjust scaling as needed.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getGasPriceFromOracle()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(gasOracle == address(0)) return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AggregatorV3Interface (Chainlink)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int256 price, , uint256 updatedAt, ) = AggregatorV3Interface(gasOracle).latestRoundData();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Check freshness (max 1 hour)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(block.timestamp - updatedAt &gt; 3600) return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(price &lt;= 0) return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Convert from Gwei to wei (1 Gwei = 1e9 wei; adjust per feed decimals)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uint256(price) * 1e10;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Estimates gas units required for a trade.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 production, this should call aggregator.estimateGas().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For testnet, returns a fixed conservative estimate.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estimateGasUnits(uint256 amount, bool isSell) internal pure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 a real implementation, this would call: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 aggregator.estimateGas(swapData);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For testnet, use a fixed estimate.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GAS_UNITS_ESTIMATE;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slippage estimate in basis points (bps).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10 bps = 0.10%, 50 bps = 0.50%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getSlippageEstimate(bool isSell)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 testnet, use conservative fixed rates.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 mainnet, this could read from an oracle or pool depth (Ch. 12).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(isSell)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SLIPPAGE_BPS_SELL;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SLIPPAGE_BPS_BUY;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Resets daily turnover counter if a new day has started.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resetDailyTurnover()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(block.timestamp &gt;= lastTurnoverReset + 1 days)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DailyTurnoverReset(block.timestamp, dailyTurnover); // BP §7.9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dailyTurnover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lastTurnoverReset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Absolute value helper for signed integers.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abs(int256 x) internal pure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x &gt; 0 ? uint256(x) : uint256(-x);</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11.11.3 DEX EXECUTION (carries BP §7.8.3)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Executes a sell order for gold (PAXG -&gt; USDC) via DEX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amount Amount of PAXG to sell (in 18 decimals).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sellGold(uint256 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Get current oracle price (§17 canonical gold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oraclePrice = getGoldPrice();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Compute minimum output (slippage guard, §11.5.1)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oracleValue = (amount * oraclePrice)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minOutput = oracleValue * (1e18 - slippageTolerance)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Get quote from aggregator and validate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execPrice, uint256 output) = getQuote(PAXG, USDC, amount,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Validate execPrice &gt;= oraclePrice * (1 - slippageTolerance)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minValidPrice = oraclePrice * (1e18 - slippageTolerance)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require(execPrice &gt;= minValidPrice, "Slippage violation (sell)");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Execute swap via aggregator (with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swapData = encodeSwapData(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minOutput,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address(this),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block.timestamp + 300 // 5-minute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Submit via private mempool (Flashbots) if available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submitTradeWithFlashbots(swapData);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Update reserve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reserveModule.refresh(); // From §4.4.2 (v1.2)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GoldSold(amount, output,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Executes a buy order for gold (USDC -&gt; PAXG) via DEX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amount Amount of USDC to spend.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buyGold(uint256 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Get current oracle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oraclePrice = getGoldPrice();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Compute minimum output (slippage guard, §11.5.1)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oracleGold = (amount * 1e18) / oraclePrice;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minGold = oracleGold * (1e18 - slippageTolerance)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Get quote from aggregator and validate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execPrice, uint256 output) = getQuote(USDC, PAXG, amount,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Validate execPrice &lt;= oraclePrice * (1 + slippageTolerance)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maxValidPrice = oraclePrice * (1e18 + slippageTolerance)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require(execPrice &lt;= maxValidPrice, "Slippage violation (buy)");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Execute swap via aggregator (with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swapData = encodeSwapData(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minGold,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address(this),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block.timestamp + 300 // 5-minute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Submit via private mempool (Flashbots) if available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submitTradeWithFlashbots(swapData);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Update reserve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reserveModule.refresh();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GoldBought(amount, output,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Fetches a quote from the DEX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getQuote(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internal returns (uint256 execPrice, uint256 output)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quoteData = abi.encodeWithSelector(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IAggregator.quote.selector,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tokenOut,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success, bytes memory result) = aggregator.staticcall(quoteData);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require(success, "Quote failed");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(execPrice, output) = abi.decode(result, (uint256,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(execPrice, output);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Submits a trade to Flashbots private mempool (optional).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 testnet, this is a no-op; on mainnet, it routes via Flashbots.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submitTradeWithFlashbots(bytes memory swapData)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Testnet implementation: execute directly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 mainnet: submit to Flashbots relay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success, ) = AGGREGATOR.call(swapData);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require(success, "Swap execution failed");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Encodes swap data for the aggregator (simplified).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 production, use the aggregator's specific encoding (Ch. 12).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encodeSwapData(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minAmountOut,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receiver,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internal pure returns (bytes memory)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Placeholder -- replace with the production aggregator encoding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abi.encodeWithSelector(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IAggregator.swap.selector,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tokenOut,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minAmountOut,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receiver,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Reserve and price hooks (v1.2 §4.4.2 and §9.4.1 references)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getGoldPrice()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IGoldPriceOracle(goldOracle).goldPrice(); // §17 canonical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getPoolDepth(address pool)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IPoolDepthOracle(poolDepthOracle).poolDepth(pool); // §11.4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Governance functions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Sets the gas oracle address (Chainlink or equivalent).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Only callable by Risk Council (4/7) with a 24h timelock.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setGasOracle(address _gasOracle)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require(_gasOracle != address(0), "Invalid 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old = gasOracle;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gasOracle = _gasOracle;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GasOracleUpdated(old, _gasOracle);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Sets execution venues, assets and module hooks (§11.10 governance).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setExecutionConfig(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_pool,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_poolDepthOracle,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_goldOracle,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_reserveModule,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_crisisOracle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require(_paxg != address(0) &amp;&amp; _usdc != address(0), "Invalid 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require(_pool != address(0), "Invalid pool");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require(_reserveModule != address(0), "Invalid reserve module");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PAXG = _paxg;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USDC = _usdc;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PAXG_USDC_POOL = _pool;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poolDepthOracle = _poolDepthOracle;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goldOracle = _goldOracle;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reserveModule = IReserveState(_reserveModule);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crisisOracle = _crisisOracle;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11.11.4 MODIFIER PLACEHOLDERS (carries BP §7.8.4)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 production, this checks msg.sender against a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 testnet, it can be bypassed or mocked.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riskCouncil, "Only Risk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Interfaces: registry (Listing 2) and external modules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IMASEWeightRegistry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getLiveWeights() external view returns (uint256[7] memory, bytes32, bytes32);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ICrisisOracle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score()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AggregatorV3Interface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latestRoundData()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view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returns (uint80 roundId, int256 answer, uint256 startedAt, uint256 updatedAt, uint80 answeredInRound);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IReserveState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refresh() external;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nav()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reserveRatio()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goldValue()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IGoldPriceOracle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goldPrice()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IPoolDepthOracle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poolDepth(address pool)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IAggregator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quote(address tokenIn, address tokenOut,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view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returns (uint256 execPrice, uint256 output);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swap(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minAmountOut,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receiver,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external returns (bool success);</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(adapts BP §7.8). (1) Target source: getTargetGoldWeight() from the retired Adaptive Macro Engine (BP §6.7) is replaced by a read of the live weight vector from the MASEWeightRegistry (Listing 2, Section 7.7); XAU is component index 6, and the registry's live (smoothed) state plays the role of W^{Target} in the deviation math of Sections 10.4–10.6. (2) No-trade zone: the gate of Sections 10.4–10.5 is new relative to BP — executeRebalance() returns with RebalanceSkipped("No-trade zone") whenever the deviation is inside the dynamic band, which widens to noTradeBandStress when the crisis oracle (Section 5.5) exceeds its threshold (Section 11.6); the default when the crisis oracle is unset is the conservative (wide) band, mirroring Listing 2. (3) Cost-benefit gate: BP's bare benefit &gt; costTerm test is tightened to benefit &gt; costTerm + BENEFIT_MARGIN, implementing the epsilon margin of Section 10.8 [MS §41, COO-14]; the skip reason string records the margin failure. (4) Direction lock: retained verbatim, including the mechanical override below RR = 1.05 (Section 11.5.3). (5) The v1.2 internal references updateReserveState(), getNAV(), getReserveRatio() (BP §4.4.2), getGoldPrice() (BP §9.4.1) and getPoolDepth() are externalized to interfaces implemented by the reserve module (Chapters 13–14) and the oracle layer (Chapter 17), with BP call sites and control flow preserved. (6) Venue and asset addresses (PAXG, USDC, pool, aggregator) resolve through governed configuration rather than hard-coded constants, deferring ultimately to the Asset Admission Registry (Chapter 15). (7) The placeholder swap encoding (IAggregator.swap.selector) and the fixed gas-units estimator must be replaced by the production aggregator encoding and estimator before mainnet (Chapter 12); BP's own placeholders are flagged in comments. (8) Scope: the listing instantiates the gold leg and the fiat bloc — the highest-impact execution venue; the per-component generalization of Sections 10.4–10.6 runs the identical control flow per registry component with component-specific pools, bands and slippage estimates. The contract deliberately does not re-solve the J optimization on-chain for arbitrary candidate sizes: the on-chain path evaluates the gated candidate, and reproducibility of the full decision (Section 24.1) is achieved by publishing inputs and versions so any auditor can re-derive the same trade decision off-chain.</w:t>
      </w:r>
    </w:p>
    <w:p>
      <w:pPr>
        <w:pStyle w:val="Heading1"/>
        <w:keepNext/>
        <w:pBdr>
          <w:bottom w:val="single" w:color="C9A84C" w:sz="12" w:space="6"/>
        </w:pBdr>
        <w:spacing w:after="220" w:before="480" w:line="380" w:lineRule="atLeast"/>
      </w:pPr>
      <w:bookmarkStart w:id="100114" w:name="_Toc100114"/>
      <w:r>
        <w:rPr>
          <w:rFonts w:ascii="Calibri" w:eastAsia="Microsoft YaHei" w:hAnsi="Calibri"/>
          <w:b/>
          <w:bCs/>
          <w:color w:val="1A1A1A"/>
          <w:sz w:val="32"/>
          <w:szCs w:val="32"/>
        </w:rPr>
        <w:t xml:space="preserve">12. Execution Optimization and Slippage Protection</w:t>
      </w:r>
      <w:bookmarkEnd w:id="100114"/>
    </w:p>
    <w:p>
      <w:pPr>
        <w:pStyle w:val="Heading2"/>
        <w:keepNext/>
        <w:spacing w:after="160" w:before="360" w:line="340" w:lineRule="atLeast"/>
      </w:pPr>
      <w:bookmarkStart w:id="100115" w:name="_Toc100115"/>
      <w:r>
        <w:rPr>
          <w:rFonts w:ascii="Calibri" w:eastAsia="Microsoft YaHei" w:hAnsi="Calibri"/>
          <w:b/>
          <w:bCs/>
          <w:color w:val="1A1A1A"/>
          <w:sz w:val="28"/>
          <w:szCs w:val="28"/>
        </w:rPr>
        <w:t xml:space="preserve">12.1 Purpose</w:t>
      </w:r>
      <w:bookmarkEnd w:id="100115"/>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Execution and Slippage Protection module is the transaction execution layer of the protocol. It translates MARP rebalancing decisions into actual on-chain trades through DEX aggregators, and it guarantees that every trade the system executes is bounded, quoted, sized to the market and shielded from value extraction [BP §10.1].</w:t>
      </w:r>
    </w:p>
    <w:p>
      <w:pPr>
        <w:spacing w:after="120" w:line="312"/>
        <w:jc w:val="both"/>
      </w:pPr>
      <w:r>
        <w:rPr>
          <w:rFonts w:ascii="Calibri" w:eastAsia="SimSun" w:hAnsi="Calibri"/>
          <w:b w:val="false"/>
          <w:bCs w:val="false"/>
          <w:color w:val="1A1A1A"/>
          <w:sz w:val="21"/>
          <w:szCs w:val="21"/>
        </w:rPr>
        <w:t xml:space="preserve">The module enforces four properties on every protocol trade:</w:t>
      </w:r>
    </w:p>
    <w:p>
      <w:pPr>
        <w:pStyle w:val="ListParagraph"/>
        <w:numPr>
          <w:ilvl w:val="0"/>
          <w:numId w:val="5"/>
        </w:numPr>
        <w:spacing w:after="60" w:line="312"/>
        <w:jc w:val="left"/>
      </w:pPr>
      <w:r>
        <w:rPr>
          <w:rFonts w:ascii="Calibri" w:eastAsia="SimSun" w:hAnsi="Calibri"/>
          <w:b w:val="false"/>
          <w:bCs w:val="false"/>
          <w:color w:val="1A1A1A"/>
          <w:sz w:val="21"/>
          <w:szCs w:val="21"/>
        </w:rPr>
        <w:t xml:space="preserve">Slippage is bounded on both sides (buy and sell) to prevent front-running and oracle manipulation.</w:t>
      </w:r>
    </w:p>
    <w:p>
      <w:pPr>
        <w:pStyle w:val="ListParagraph"/>
        <w:numPr>
          <w:ilvl w:val="0"/>
          <w:numId w:val="5"/>
        </w:numPr>
        <w:spacing w:after="60" w:line="312"/>
        <w:jc w:val="left"/>
      </w:pPr>
      <w:r>
        <w:rPr>
          <w:rFonts w:ascii="Calibri" w:eastAsia="SimSun" w:hAnsi="Calibri"/>
          <w:b w:val="false"/>
          <w:bCs w:val="false"/>
          <w:color w:val="1A1A1A"/>
          <w:sz w:val="21"/>
          <w:szCs w:val="21"/>
        </w:rPr>
        <w:t xml:space="preserve">Trades are quote-based, not spot-based, to ensure execution at fair market prices.</w:t>
      </w:r>
    </w:p>
    <w:p>
      <w:pPr>
        <w:pStyle w:val="ListParagraph"/>
        <w:numPr>
          <w:ilvl w:val="0"/>
          <w:numId w:val="5"/>
        </w:numPr>
        <w:spacing w:after="60" w:line="312"/>
        <w:jc w:val="left"/>
      </w:pPr>
      <w:r>
        <w:rPr>
          <w:rFonts w:ascii="Calibri" w:eastAsia="SimSun" w:hAnsi="Calibri"/>
          <w:b w:val="false"/>
          <w:bCs w:val="false"/>
          <w:color w:val="1A1A1A"/>
          <w:sz w:val="21"/>
          <w:szCs w:val="21"/>
        </w:rPr>
        <w:t xml:space="preserve">Trade sizes are dynamically capped by liquidity depth to avoid excessive market impact.</w:t>
      </w:r>
    </w:p>
    <w:p>
      <w:pPr>
        <w:pStyle w:val="ListParagraph"/>
        <w:numPr>
          <w:ilvl w:val="0"/>
          <w:numId w:val="5"/>
        </w:numPr>
        <w:spacing w:after="60" w:line="312"/>
        <w:jc w:val="left"/>
      </w:pPr>
      <w:r>
        <w:rPr>
          <w:rFonts w:ascii="Calibri" w:eastAsia="SimSun" w:hAnsi="Calibri"/>
          <w:b w:val="false"/>
          <w:bCs w:val="false"/>
          <w:color w:val="1A1A1A"/>
          <w:sz w:val="21"/>
          <w:szCs w:val="21"/>
        </w:rPr>
        <w:t xml:space="preserve">MEV (Miner Extractable Value) is minimised through private-mempool submission and deadline enforcement.</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Never execute a trade based on an oracle spot price alone. Always validate against an executable quote.</w:t>
      </w:r>
    </w:p>
    <w:p>
      <w:pPr>
        <w:spacing w:after="120" w:line="312"/>
        <w:jc w:val="both"/>
      </w:pPr>
      <w:r>
        <w:rPr>
          <w:rFonts w:ascii="Calibri" w:eastAsia="SimSun" w:hAnsi="Calibri"/>
          <w:b w:val="false"/>
          <w:bCs w:val="false"/>
          <w:color w:val="1A1A1A"/>
          <w:sz w:val="21"/>
          <w:szCs w:val="21"/>
        </w:rPr>
        <w:t xml:space="preserve">The modification specification frames execution as an explicit optimization problem rather than an implementation detail [MS §65]. For a required rebalance amount q, the engine minimizes total execution cost:</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ExecutionCost(q) = Spread(q) + Slippage(q) + Impact(q) + Fees(q)</w:t>
      </w:r>
    </w:p>
    <w:p>
      <w:pPr>
        <w:spacing w:after="120" w:line="312"/>
        <w:jc w:val="both"/>
      </w:pPr>
      <w:r>
        <w:rPr>
          <w:rFonts w:ascii="Calibri" w:eastAsia="SimSun" w:hAnsi="Calibri"/>
          <w:b w:val="false"/>
          <w:bCs w:val="false"/>
          <w:color w:val="1A1A1A"/>
          <w:sz w:val="21"/>
          <w:szCs w:val="21"/>
        </w:rPr>
        <w:t xml:space="preserve">subject to two service constraints:</w:t>
      </w:r>
    </w:p>
    <w:p>
      <w:pPr>
        <w:spacing w:after="120" w:before="120" w:line="312"/>
        <w:jc w:val="center"/>
      </w:pPr>
      <w:r>
        <w:rPr>
          <w:rFonts w:ascii="Cambria" w:eastAsia="SimSun" w:hAnsi="Cambria"/>
          <w:i/>
          <w:iCs/>
          <w:color w:val="1A1A1A"/>
          <w:sz w:val="22"/>
          <w:szCs w:val="22"/>
        </w:rPr>
        <w:t xml:space="preserve">ExecutionTime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T</w:t>
      </w:r>
      <w:r>
        <w:rPr>
          <w:rFonts w:ascii="Cambria" w:eastAsia="SimSun" w:hAnsi="Cambria"/>
          <w:i/>
          <w:iCs/>
          <w:color w:val="1A1A1A"/>
          <w:sz w:val="22"/>
          <w:szCs w:val="22"/>
          <w:vertAlign w:val="subscript"/>
        </w:rPr>
        <w:t xml:space="preserve">max</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MarketImpact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I</w:t>
      </w:r>
      <w:r>
        <w:rPr>
          <w:rFonts w:ascii="Cambria" w:eastAsia="SimSun" w:hAnsi="Cambria"/>
          <w:i/>
          <w:iCs/>
          <w:color w:val="1A1A1A"/>
          <w:sz w:val="22"/>
          <w:szCs w:val="22"/>
          <w:vertAlign w:val="subscript"/>
        </w:rPr>
        <w:t xml:space="preserve">max</w:t>
      </w:r>
    </w:p>
    <w:p>
      <w:pPr>
        <w:spacing w:after="120" w:line="312"/>
        <w:jc w:val="both"/>
      </w:pPr>
      <w:r>
        <w:rPr>
          <w:rFonts w:ascii="Calibri" w:eastAsia="SimSun" w:hAnsi="Calibri"/>
          <w:b w:val="false"/>
          <w:bCs w:val="false"/>
          <w:color w:val="1A1A1A"/>
          <w:sz w:val="21"/>
          <w:szCs w:val="21"/>
        </w:rPr>
        <w:t xml:space="preserve">and the engine may split a required rebalance across time and venues when economically advantageous. Splitting is an optimization decision inside the cost problem, not an exception path: a large correction executed as staged chunks across cycles (Section 12.4) is the normal behavior whenever the single-trade solution would violate the impact constraint.</w:t>
      </w:r>
    </w:p>
    <w:p>
      <w:pPr>
        <w:spacing w:after="120" w:line="312"/>
        <w:jc w:val="both"/>
      </w:pPr>
      <w:r>
        <w:rPr>
          <w:rFonts w:ascii="Calibri" w:eastAsia="SimSun" w:hAnsi="Calibri"/>
          <w:b w:val="false"/>
          <w:bCs w:val="false"/>
          <w:color w:val="1A1A1A"/>
          <w:sz w:val="21"/>
          <w:szCs w:val="21"/>
        </w:rPr>
        <w:t xml:space="preserve">Execution optimization is the delivery half of the MARP doctrine. The decision layer determines whether a weight correction is worth trading at all — the cost-benefit gate NetBenefit_i &gt; ε of Section 10.8, fed by the MARP triggers of Chapter 11 — while this chapter defines how the resulting order is executed so that realized costs stay inside the estimate the gate used. If execution were unbounded, the gate's arithmetic would be fiction: a rebalance that clears the gate with an estimated 40 basis points of cost but executes with 3% slippage is a loss the decision layer never approved. The execution layer therefore closes the loop — every realized trade is emitted with its quote, price and size (Section 12.9), and systematic gaps between estimated and realized cost are calibration inputs to the validation program (Section 23.11).</w:t>
      </w:r>
    </w:p>
    <w:p>
      <w:pPr>
        <w:pStyle w:val="Heading2"/>
        <w:keepNext/>
        <w:spacing w:after="160" w:before="360" w:line="340" w:lineRule="atLeast"/>
      </w:pPr>
      <w:bookmarkStart w:id="100116" w:name="_Toc100116"/>
      <w:r>
        <w:rPr>
          <w:rFonts w:ascii="Calibri" w:eastAsia="Microsoft YaHei" w:hAnsi="Calibri"/>
          <w:b/>
          <w:bCs/>
          <w:color w:val="1A1A1A"/>
          <w:sz w:val="28"/>
          <w:szCs w:val="28"/>
        </w:rPr>
        <w:t xml:space="preserve">12.2 The Quote-Based Execution Model</w:t>
      </w:r>
      <w:bookmarkEnd w:id="100116"/>
    </w:p>
    <w:p>
      <w:pPr>
        <w:spacing w:after="120" w:line="312"/>
        <w:jc w:val="both"/>
      </w:pPr>
      <w:r>
        <w:rPr>
          <w:rFonts w:ascii="Calibri" w:eastAsia="SimSun" w:hAnsi="Calibri"/>
          <w:b w:val="false"/>
          <w:bCs w:val="false"/>
          <w:color w:val="1A1A1A"/>
          <w:sz w:val="21"/>
          <w:szCs w:val="21"/>
        </w:rPr>
        <w:t xml:space="preserve">The protocol does not execute trades directly against spot prices [BP §10.2]. Every trade follows a three-step sequence:</w:t>
      </w:r>
    </w:p>
    <w:p>
      <w:pPr>
        <w:pStyle w:val="ListParagraph"/>
        <w:numPr>
          <w:ilvl w:val="0"/>
          <w:numId w:val="6"/>
        </w:numPr>
        <w:spacing w:after="60" w:line="312"/>
        <w:jc w:val="left"/>
      </w:pPr>
      <w:r>
        <w:rPr>
          <w:rFonts w:ascii="Calibri" w:eastAsia="SimSun" w:hAnsi="Calibri"/>
          <w:b w:val="false"/>
          <w:bCs w:val="false"/>
          <w:color w:val="1A1A1A"/>
          <w:sz w:val="21"/>
          <w:szCs w:val="21"/>
        </w:rPr>
        <w:t xml:space="preserve">Fetch a quote from the DEX aggregator (1inch, Paraswap, or an equivalent router).</w:t>
      </w:r>
    </w:p>
    <w:p>
      <w:pPr>
        <w:pStyle w:val="ListParagraph"/>
        <w:numPr>
          <w:ilvl w:val="0"/>
          <w:numId w:val="6"/>
        </w:numPr>
        <w:spacing w:after="60" w:line="312"/>
        <w:jc w:val="left"/>
      </w:pPr>
      <w:r>
        <w:rPr>
          <w:rFonts w:ascii="Calibri" w:eastAsia="SimSun" w:hAnsi="Calibri"/>
          <w:b w:val="false"/>
          <w:bCs w:val="false"/>
          <w:color w:val="1A1A1A"/>
          <w:sz w:val="21"/>
          <w:szCs w:val="21"/>
        </w:rPr>
        <w:t xml:space="preserve">Validate the quote against the oracle-derived reference price.</w:t>
      </w:r>
    </w:p>
    <w:p>
      <w:pPr>
        <w:pStyle w:val="ListParagraph"/>
        <w:numPr>
          <w:ilvl w:val="0"/>
          <w:numId w:val="6"/>
        </w:numPr>
        <w:spacing w:after="60" w:line="312"/>
        <w:jc w:val="left"/>
      </w:pPr>
      <w:r>
        <w:rPr>
          <w:rFonts w:ascii="Calibri" w:eastAsia="SimSun" w:hAnsi="Calibri"/>
          <w:b w:val="false"/>
          <w:bCs w:val="false"/>
          <w:color w:val="1A1A1A"/>
          <w:sz w:val="21"/>
          <w:szCs w:val="21"/>
        </w:rPr>
        <w:t xml:space="preserve">Execute the trade only if the quote falls within the two-sided slippage bounds (Section 12.3).</w:t>
      </w:r>
    </w:p>
    <w:p>
      <w:pPr>
        <w:spacing w:after="120" w:line="312"/>
        <w:jc w:val="both"/>
      </w:pPr>
      <w:r>
        <w:rPr>
          <w:rFonts w:ascii="Calibri" w:eastAsia="SimSun" w:hAnsi="Calibri"/>
          <w:b w:val="false"/>
          <w:bCs w:val="false"/>
          <w:color w:val="1A1A1A"/>
          <w:sz w:val="21"/>
          <w:szCs w:val="21"/>
        </w:rPr>
        <w:t xml:space="preserve">The reasons for quote-based execution are structural:</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Spot prices can be manipulated — flash loans and low liquidity make a momentary pool price an unreliable reference.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Quotes reflect actual market depth and executable prices, not the last traded tick.</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Aggregators route through multiple pools to find the best available price for the exact size being traded.</w:t>
      </w:r>
    </w:p>
    <w:p>
      <w:pPr>
        <w:pStyle w:val="Heading3"/>
        <w:keepNext/>
        <w:spacing w:after="120" w:before="300" w:line="312"/>
      </w:pPr>
      <w:bookmarkStart w:id="100117" w:name="_Toc100117"/>
      <w:r>
        <w:rPr>
          <w:rFonts w:ascii="Calibri" w:eastAsia="Microsoft YaHei" w:hAnsi="Calibri"/>
          <w:b/>
          <w:bCs/>
          <w:color w:val="333333"/>
          <w:sz w:val="24"/>
          <w:szCs w:val="24"/>
        </w:rPr>
        <w:t xml:space="preserve">12.2.1 The Quote Lifecycle</w:t>
      </w:r>
      <w:bookmarkEnd w:id="100117"/>
    </w:p>
    <w:p>
      <w:pPr>
        <w:pStyle w:val="ListParagraph"/>
        <w:numPr>
          <w:ilvl w:val="0"/>
          <w:numId w:val="7"/>
        </w:numPr>
        <w:spacing w:after="60" w:line="312"/>
        <w:jc w:val="left"/>
      </w:pPr>
      <w:r>
        <w:rPr>
          <w:rFonts w:ascii="Calibri" w:eastAsia="SimSun" w:hAnsi="Calibri"/>
          <w:b w:val="false"/>
          <w:bCs w:val="false"/>
          <w:color w:val="1A1A1A"/>
          <w:sz w:val="21"/>
          <w:szCs w:val="21"/>
        </w:rPr>
        <w:t xml:space="preserve">requestQuote(tokenIn, tokenOut, amount) returns minOutput for a sell, or maxInput for a buy.</w:t>
      </w:r>
    </w:p>
    <w:p>
      <w:pPr>
        <w:pStyle w:val="ListParagraph"/>
        <w:numPr>
          <w:ilvl w:val="0"/>
          <w:numId w:val="7"/>
        </w:numPr>
        <w:spacing w:after="60" w:line="312"/>
        <w:jc w:val="left"/>
      </w:pPr>
      <w:r>
        <w:rPr>
          <w:rFonts w:ascii="Calibri" w:eastAsia="SimSun" w:hAnsi="Calibri"/>
          <w:b w:val="false"/>
          <w:bCs w:val="false"/>
          <w:color w:val="1A1A1A"/>
          <w:sz w:val="21"/>
          <w:szCs w:val="21"/>
        </w:rPr>
        <w:t xml:space="preserve">Validate the quote: execPrice ≤ oraclePrice × (1 + τ) for buys; execPrice ≥ oraclePrice × (1 − τ) for sells.</w:t>
      </w:r>
    </w:p>
    <w:p>
      <w:pPr>
        <w:pStyle w:val="ListParagraph"/>
        <w:numPr>
          <w:ilvl w:val="0"/>
          <w:numId w:val="7"/>
        </w:numPr>
        <w:spacing w:after="60" w:line="312"/>
        <w:jc w:val="left"/>
      </w:pPr>
      <w:r>
        <w:rPr>
          <w:rFonts w:ascii="Calibri" w:eastAsia="SimSun" w:hAnsi="Calibri"/>
          <w:b w:val="false"/>
          <w:bCs w:val="false"/>
          <w:color w:val="1A1A1A"/>
          <w:sz w:val="21"/>
          <w:szCs w:val="21"/>
        </w:rPr>
        <w:t xml:space="preserve">Execute via swap() with a deadline (Section 12.6).</w:t>
      </w:r>
    </w:p>
    <w:p>
      <w:pPr>
        <w:spacing w:after="120" w:line="312"/>
        <w:jc w:val="both"/>
      </w:pPr>
      <w:r>
        <w:rPr>
          <w:rFonts w:ascii="Calibri" w:eastAsia="SimSun" w:hAnsi="Calibri"/>
          <w:b w:val="false"/>
          <w:bCs w:val="false"/>
          <w:color w:val="1A1A1A"/>
          <w:sz w:val="21"/>
          <w:szCs w:val="21"/>
        </w:rPr>
        <w:t xml:space="preserve">The validation step is the substance of the model. The executable quote from the aggregator is compared against the protocol's independent reference, and only agreement within tolerance authorizes the trade. The two prices come from disjoint sources — the aggregator observes liquidity, the oracle observes the validated market consensus (Chapter 17) — so neither side of the comparison can be steered by the same actor.</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Adaptation note (v2.0): in v1.2 the reference price could be read from the protocol's own AMM; under v2.0 the oracle price is the canonical multi-source validated price of Chapter 17, never a single pool. This closes a manipulation loop in which an attacker who could move the reference pool could steer both the index and the execution guard. The execution layer additionally refuses to trade when the oracle feed is stale or below its confidence quorum (Chapter 17), because a quote cannot be validated against a reference that is not live.</w:t>
      </w:r>
    </w:p>
    <w:p>
      <w:pPr>
        <w:pStyle w:val="Heading2"/>
        <w:keepNext/>
        <w:spacing w:after="160" w:before="360" w:line="340" w:lineRule="atLeast"/>
      </w:pPr>
      <w:bookmarkStart w:id="100118" w:name="_Toc100118"/>
      <w:r>
        <w:rPr>
          <w:rFonts w:ascii="Calibri" w:eastAsia="Microsoft YaHei" w:hAnsi="Calibri"/>
          <w:b/>
          <w:bCs/>
          <w:color w:val="1A1A1A"/>
          <w:sz w:val="28"/>
          <w:szCs w:val="28"/>
        </w:rPr>
        <w:t xml:space="preserve">12.3 Two-Sided Slippage Bounds</w:t>
      </w:r>
      <w:bookmarkEnd w:id="100118"/>
    </w:p>
    <w:p>
      <w:pPr>
        <w:spacing w:after="120" w:line="312"/>
        <w:jc w:val="both"/>
      </w:pPr>
      <w:r>
        <w:rPr>
          <w:rFonts w:ascii="Calibri" w:eastAsia="SimSun" w:hAnsi="Calibri"/>
          <w:b w:val="false"/>
          <w:bCs w:val="false"/>
          <w:color w:val="1A1A1A"/>
          <w:sz w:val="21"/>
          <w:szCs w:val="21"/>
        </w:rPr>
        <w:t xml:space="preserve">The protocol enforces asymmetric slippage bounds to prevent both overpayment and under-receipt [BP §10.3]. Buying and selling are guarded independently because the protocol sits on opposite sides of the trade in each direction: as a seller it must not receive too little, and as a buyer it must not pay too much. Each guard compares the executable rate of a live quote against the oracle rate with a per-asset tolerance τ, and each guard can only fail the trade — never relax it.</w:t>
      </w:r>
    </w:p>
    <w:p>
      <w:pPr>
        <w:pStyle w:val="Heading3"/>
        <w:keepNext/>
        <w:spacing w:after="120" w:before="300" w:line="312"/>
      </w:pPr>
      <w:bookmarkStart w:id="100119" w:name="_Toc100119"/>
      <w:r>
        <w:rPr>
          <w:rFonts w:ascii="Calibri" w:eastAsia="Microsoft YaHei" w:hAnsi="Calibri"/>
          <w:b/>
          <w:bCs/>
          <w:color w:val="333333"/>
          <w:sz w:val="24"/>
          <w:szCs w:val="24"/>
        </w:rPr>
        <w:t xml:space="preserve">12.3.1 Selling Gold (PAXG → USDC)</w:t>
      </w:r>
      <w:bookmarkEnd w:id="100119"/>
    </w:p>
    <w:p>
      <w:pPr>
        <w:spacing w:after="120" w:line="312"/>
        <w:jc w:val="both"/>
      </w:pPr>
      <w:r>
        <w:rPr>
          <w:rFonts w:ascii="Calibri" w:eastAsia="SimSun" w:hAnsi="Calibri"/>
          <w:b w:val="false"/>
          <w:bCs w:val="false"/>
          <w:color w:val="1A1A1A"/>
          <w:sz w:val="21"/>
          <w:szCs w:val="21"/>
        </w:rPr>
        <w:t xml:space="preserve">When selling gold, the protocol delivers PAXG and receives USDC. The slippage guard is: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ExecRate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OracleRate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vertAlign w:val="subscript"/>
        </w:rPr>
        <w:t xml:space="preserve">sell</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Meaning: the protocol must receive at least (1 - τ_sell) of the oracle price per unit of PAXG. If OracleRate = 2,500 USD/PAXG and τ_sell = 0.01 (1%), the protocol requires ExecRate ≥ 2,475 USD/PAXG. If the quote is worse than 2,475, the transaction reverts — the protocol would rather leave the deviation uncorrected than correct it at a price that destroys more value than it repairs.</w:t>
      </w:r>
    </w:p>
    <w:p>
      <w:pPr>
        <w:pStyle w:val="Heading3"/>
        <w:keepNext/>
        <w:spacing w:after="120" w:before="300" w:line="312"/>
      </w:pPr>
      <w:bookmarkStart w:id="100120" w:name="_Toc100120"/>
      <w:r>
        <w:rPr>
          <w:rFonts w:ascii="Calibri" w:eastAsia="Microsoft YaHei" w:hAnsi="Calibri"/>
          <w:b/>
          <w:bCs/>
          <w:color w:val="333333"/>
          <w:sz w:val="24"/>
          <w:szCs w:val="24"/>
        </w:rPr>
        <w:t xml:space="preserve">12.3.2 Buying Gold (USDC → PAXG)</w:t>
      </w:r>
      <w:bookmarkEnd w:id="100120"/>
    </w:p>
    <w:p>
      <w:pPr>
        <w:spacing w:after="120" w:line="312"/>
        <w:jc w:val="both"/>
      </w:pPr>
      <w:r>
        <w:rPr>
          <w:rFonts w:ascii="Calibri" w:eastAsia="SimSun" w:hAnsi="Calibri"/>
          <w:b w:val="false"/>
          <w:bCs w:val="false"/>
          <w:color w:val="1A1A1A"/>
          <w:sz w:val="21"/>
          <w:szCs w:val="21"/>
        </w:rPr>
        <w:t xml:space="preserve">When buying gold, the protocol pays USDC and receives PAXG. The slippage guard is: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ExecRate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OracleRate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vertAlign w:val="subscript"/>
        </w:rPr>
        <w:t xml:space="preserve">buy</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Meaning: the protocol must pay no more than (1 + τ_buy) of the oracle price per unit of PAXG. With OracleRate = 2,500 USD/PAXG and τ_buy = 0.01 (1%), the protocol requires ExecRate ≤ 2,525 USD/PAXG; a worse quote reverts the transaction. Together the two bounds form a two-sided corridor around the oracle price: any executed trade is provably close to the independently validated reference, whichever direction the protocol is trading.</w:t>
      </w:r>
    </w:p>
    <w:p>
      <w:pPr>
        <w:pStyle w:val="Heading3"/>
        <w:keepNext/>
        <w:spacing w:after="120" w:before="300" w:line="312"/>
      </w:pPr>
      <w:bookmarkStart w:id="100121" w:name="_Toc100121"/>
      <w:r>
        <w:rPr>
          <w:rFonts w:ascii="Calibri" w:eastAsia="Microsoft YaHei" w:hAnsi="Calibri"/>
          <w:b/>
          <w:bCs/>
          <w:color w:val="333333"/>
          <w:sz w:val="24"/>
          <w:szCs w:val="24"/>
        </w:rPr>
        <w:t xml:space="preserve">12.3.3 Slippage Tolerance Table</w:t>
      </w:r>
      <w:bookmarkEnd w:id="100121"/>
    </w:p>
    <w:p>
      <w:pPr>
        <w:spacing w:after="120" w:line="312"/>
        <w:jc w:val="both"/>
      </w:pPr>
      <w:r>
        <w:rPr>
          <w:rFonts w:ascii="Calibri" w:eastAsia="SimSun" w:hAnsi="Calibri"/>
          <w:b w:val="false"/>
          <w:bCs w:val="false"/>
          <w:color w:val="1A1A1A"/>
          <w:sz w:val="21"/>
          <w:szCs w:val="21"/>
        </w:rPr>
        <w:t xml:space="preserve">Tolerances are per asset class, reflecting liquidity depth and typical spread [BP §10.3.3]:</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3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 Type</w:t>
            </w:r>
          </w:p>
        </w:tc>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τ_sell</w:t>
            </w:r>
          </w:p>
        </w:tc>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τ_buy</w:t>
            </w:r>
          </w:p>
        </w:tc>
        <w:tc>
          <w:tcPr>
            <w:tcW w:type="pct" w:w="3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Rationale</w:t>
            </w:r>
          </w:p>
        </w:tc>
      </w:tr>
      <w:tr>
        <w:trPr>
          <w:cantSplit/>
        </w:trPr>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Stablecoins (USDC, EURC)</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0.005 (0.5%)</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0.005 (0.5%)</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Highly liquid; tight spread.</w:t>
            </w:r>
          </w:p>
        </w:tc>
      </w:tr>
      <w:tr>
        <w:trPr>
          <w:cantSplit/>
        </w:trPr>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Tokenized Gold (PAXG)</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0.010 (1.0%)</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0.010 (1.0%)</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Lower liquidity; higher spread.</w:t>
            </w:r>
          </w:p>
        </w:tc>
      </w:tr>
      <w:tr>
        <w:trPr>
          <w:cantSplit/>
        </w:trPr>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Minor FX (JPY, CNY)</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0.015 (1.5%)</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0.015 (1.5%)</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Thin liquidity; wider spread.</w:t>
            </w:r>
          </w:p>
        </w:tc>
      </w:tr>
    </w:tbl>
    <w:p>
      <w:pPr>
        <w:spacing w:after="120"/>
      </w:pPr>
    </w:p>
    <w:p>
      <w:pPr>
        <w:spacing w:after="120" w:line="312"/>
        <w:jc w:val="both"/>
      </w:pPr>
      <w:r>
        <w:rPr>
          <w:rFonts w:ascii="Calibri" w:eastAsia="SimSun" w:hAnsi="Calibri"/>
          <w:b w:val="false"/>
          <w:bCs w:val="false"/>
          <w:color w:val="1A1A1A"/>
          <w:sz w:val="21"/>
          <w:szCs w:val="21"/>
        </w:rPr>
        <w:t xml:space="preserve">These values are adjustable by the Risk Council (4-of-7) [BP §10.3.3]. In v2.0 they are governed parameters of the execution contract (Listing 5) — changed through the parameter-registry process with publication (Section 22.3) — rather than compile-time constants, so that recalibration after validation (Section 23.11) does not require redeployment. The minor-FX tolerances apply to registry-resolved FX instruments (Section 15.8), which are executed through the same quote-based path when the reserve implements FX exposure. In crisis mode the tolerances themselves do not widen; instead execution sizes shrink and liquidity requirements rise (Sections 5.5 and 14.4), which tightens the realized slippage distribution precisely when markets are stressed.</w:t>
      </w:r>
    </w:p>
    <w:p>
      <w:pPr>
        <w:pStyle w:val="Heading2"/>
        <w:keepNext/>
        <w:spacing w:after="160" w:before="360" w:line="340" w:lineRule="atLeast"/>
      </w:pPr>
      <w:bookmarkStart w:id="100122" w:name="_Toc100122"/>
      <w:r>
        <w:rPr>
          <w:rFonts w:ascii="Calibri" w:eastAsia="Microsoft YaHei" w:hAnsi="Calibri"/>
          <w:b/>
          <w:bCs/>
          <w:color w:val="1A1A1A"/>
          <w:sz w:val="28"/>
          <w:szCs w:val="28"/>
        </w:rPr>
        <w:t xml:space="preserve">12.4 Trade Sizing and Staged Execution</w:t>
      </w:r>
      <w:bookmarkEnd w:id="100122"/>
    </w:p>
    <w:p>
      <w:pPr>
        <w:spacing w:after="120" w:line="312"/>
        <w:jc w:val="both"/>
      </w:pPr>
      <w:r>
        <w:rPr>
          <w:rFonts w:ascii="Calibri" w:eastAsia="SimSun" w:hAnsi="Calibri"/>
          <w:b w:val="false"/>
          <w:bCs w:val="false"/>
          <w:color w:val="1A1A1A"/>
          <w:sz w:val="21"/>
          <w:szCs w:val="21"/>
        </w:rPr>
        <w:t xml:space="preserve">To prevent the protocol from moving the market against itself, trade sizes are dynamically capped by available pool depth [BP §10.4]. The cap is the mechanical expression of the impact constraint MarketImpact ≤ I_max of Section 12.1: rather than estimating impact ex post, the protocol bounds its own footprint ex ante as a fixed fraction of observed depth.</w:t>
      </w:r>
    </w:p>
    <w:p>
      <w:pPr>
        <w:pStyle w:val="Heading3"/>
        <w:keepNext/>
        <w:spacing w:after="120" w:before="300" w:line="312"/>
      </w:pPr>
      <w:bookmarkStart w:id="100123" w:name="_Toc100123"/>
      <w:r>
        <w:rPr>
          <w:rFonts w:ascii="Calibri" w:eastAsia="Microsoft YaHei" w:hAnsi="Calibri"/>
          <w:b/>
          <w:bCs/>
          <w:color w:val="333333"/>
          <w:sz w:val="24"/>
          <w:szCs w:val="24"/>
        </w:rPr>
        <w:t xml:space="preserve">12.4.1 The Liquidity Cap</w:t>
      </w:r>
      <w:bookmarkEnd w:id="100123"/>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TradeSize</w:t>
      </w:r>
      <w:r>
        <w:rPr>
          <w:rFonts w:ascii="Cambria" w:eastAsia="SimSun" w:hAnsi="Cambria"/>
          <w:i/>
          <w:iCs/>
          <w:color w:val="1A1A1A"/>
          <w:sz w:val="22"/>
          <w:szCs w:val="22"/>
          <w:vertAlign w:val="subscript"/>
        </w:rPr>
        <w:t xml:space="preserve">max</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min</w:t>
      </w:r>
      <w:r>
        <w:rPr>
          <w:rFonts w:ascii="Cambria" w:eastAsia="SimSun" w:hAnsi="Cambria"/>
          <w:i/>
          <w:iCs/>
          <w:color w:val="1A1A1A"/>
          <w:sz w:val="22"/>
          <w:szCs w:val="22"/>
        </w:rPr>
        <w:t xml:space="preserve">(RequiredTrade,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0.10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PoolDepth</w:t>
      </w:r>
      <w:r>
        <w:rPr>
          <w:rFonts w:ascii="Cambria" w:eastAsia="SimSun" w:hAnsi="Cambria"/>
          <w:i/>
          <w:iCs/>
          <w:color w:val="1A1A1A"/>
          <w:sz w:val="22"/>
          <w:szCs w:val="22"/>
          <w:vertAlign w:val="subscript"/>
        </w:rPr>
        <w:t xml:space="preserve">24h</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RequiredTrade is the amount needed to rebalance, produced by the MARP execution engine (Chapter 11) — never a raw index-weight difference.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PoolDepth_{24h} is the 24-hour rolling average liquidity of the primary DEX pool for the pair (for example PAXG/USDC).</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10% cap ensures the protocol never consumes more than 10% of the pool's daily volume in a single trade.</w:t>
      </w:r>
    </w:p>
    <w:p>
      <w:pPr>
        <w:spacing w:after="120" w:line="312"/>
        <w:jc w:val="both"/>
      </w:pPr>
      <w:r>
        <w:rPr>
          <w:rFonts w:ascii="Calibri" w:eastAsia="SimSun" w:hAnsi="Calibri"/>
          <w:b w:val="false"/>
          <w:bCs w:val="false"/>
          <w:color w:val="1A1A1A"/>
          <w:sz w:val="21"/>
          <w:szCs w:val="21"/>
        </w:rPr>
        <w:t xml:space="preserve">The cap is recomputed every cycle from fresh depth observations, so it contracts automatically when liquidity evaporates: the failure mode of thin markets is met with smaller orders, not with the same orders at worse prices. Listing 5 implements the cap as capTradeSize(), applied before any quote is requested, so that quotes are always solicited for an admissible size.</w:t>
      </w:r>
    </w:p>
    <w:p>
      <w:pPr>
        <w:pStyle w:val="Heading3"/>
        <w:keepNext/>
        <w:spacing w:after="120" w:before="300" w:line="312"/>
      </w:pPr>
      <w:bookmarkStart w:id="100124" w:name="_Toc100124"/>
      <w:r>
        <w:rPr>
          <w:rFonts w:ascii="Calibri" w:eastAsia="Microsoft YaHei" w:hAnsi="Calibri"/>
          <w:b/>
          <w:bCs/>
          <w:color w:val="333333"/>
          <w:sz w:val="24"/>
          <w:szCs w:val="24"/>
        </w:rPr>
        <w:t xml:space="preserve">12.4.2 Staged Execution for Large Trades</w:t>
      </w:r>
      <w:bookmarkEnd w:id="100124"/>
    </w:p>
    <w:p>
      <w:pPr>
        <w:spacing w:after="120" w:line="312"/>
        <w:jc w:val="both"/>
      </w:pPr>
      <w:r>
        <w:rPr>
          <w:rFonts w:ascii="Calibri" w:eastAsia="SimSun" w:hAnsi="Calibri"/>
          <w:b w:val="false"/>
          <w:bCs w:val="false"/>
          <w:color w:val="1A1A1A"/>
          <w:sz w:val="21"/>
          <w:szCs w:val="21"/>
        </w:rPr>
        <w:t xml:space="preserve">If the required trade exceeds the cap, the engine stages the execution [BP §10.4.2]:</w:t>
      </w:r>
    </w:p>
    <w:p>
      <w:pPr>
        <w:pStyle w:val="ListParagraph"/>
        <w:numPr>
          <w:ilvl w:val="0"/>
          <w:numId w:val="8"/>
        </w:numPr>
        <w:spacing w:after="60" w:line="312"/>
        <w:jc w:val="left"/>
      </w:pPr>
      <w:r>
        <w:rPr>
          <w:rFonts w:ascii="Calibri" w:eastAsia="SimSun" w:hAnsi="Calibri"/>
          <w:b w:val="false"/>
          <w:bCs w:val="false"/>
          <w:color w:val="1A1A1A"/>
          <w:sz w:val="21"/>
          <w:szCs w:val="21"/>
        </w:rPr>
        <w:t xml:space="preserve">Execute TradeSize_max immediately.</w:t>
      </w:r>
    </w:p>
    <w:p>
      <w:pPr>
        <w:pStyle w:val="ListParagraph"/>
        <w:numPr>
          <w:ilvl w:val="0"/>
          <w:numId w:val="8"/>
        </w:numPr>
        <w:spacing w:after="60" w:line="312"/>
        <w:jc w:val="left"/>
      </w:pPr>
      <w:r>
        <w:rPr>
          <w:rFonts w:ascii="Calibri" w:eastAsia="SimSun" w:hAnsi="Calibri"/>
          <w:b w:val="false"/>
          <w:bCs w:val="false"/>
          <w:color w:val="1A1A1A"/>
          <w:sz w:val="21"/>
          <w:szCs w:val="21"/>
        </w:rPr>
        <w:t xml:space="preserve">Wait for the next rebalancing cycle (minimum 1 hour).</w:t>
      </w:r>
    </w:p>
    <w:p>
      <w:pPr>
        <w:pStyle w:val="ListParagraph"/>
        <w:numPr>
          <w:ilvl w:val="0"/>
          <w:numId w:val="8"/>
        </w:numPr>
        <w:spacing w:after="60" w:line="312"/>
        <w:jc w:val="left"/>
      </w:pPr>
      <w:r>
        <w:rPr>
          <w:rFonts w:ascii="Calibri" w:eastAsia="SimSun" w:hAnsi="Calibri"/>
          <w:b w:val="false"/>
          <w:bCs w:val="false"/>
          <w:color w:val="1A1A1A"/>
          <w:sz w:val="21"/>
          <w:szCs w:val="21"/>
        </w:rPr>
        <w:t xml:space="preserve">Execute another TradeSize_max chunk.</w:t>
      </w:r>
    </w:p>
    <w:p>
      <w:pPr>
        <w:pStyle w:val="ListParagraph"/>
        <w:numPr>
          <w:ilvl w:val="0"/>
          <w:numId w:val="8"/>
        </w:numPr>
        <w:spacing w:after="60" w:line="312"/>
        <w:jc w:val="left"/>
      </w:pPr>
      <w:r>
        <w:rPr>
          <w:rFonts w:ascii="Calibri" w:eastAsia="SimSun" w:hAnsi="Calibri"/>
          <w:b w:val="false"/>
          <w:bCs w:val="false"/>
          <w:color w:val="1A1A1A"/>
          <w:sz w:val="21"/>
          <w:szCs w:val="21"/>
        </w:rPr>
        <w:t xml:space="preserve">Repeat until the full required trade is completed.</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Stage</w:t>
            </w:r>
          </w:p>
        </w:tc>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c>
          <w:tcPr>
            <w:tcW w:type="pct" w:w="6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Constraint</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Execute the first TradeSize_max chunk</w:t>
            </w:r>
          </w:p>
        </w:tc>
        <w:tc>
          <w:tcPr>
            <w:tcW w:type="pct" w:w="6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Size ≤ 10% of PoolDepth_24h; quote within the two-sided slippage bounds.</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Wait for the next rebalancing cycle</w:t>
            </w:r>
          </w:p>
        </w:tc>
        <w:tc>
          <w:tcPr>
            <w:tcW w:type="pct" w:w="6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Minimum 1 hour between stages; depth and quote re-observed.</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Execute the next chunk</w:t>
            </w:r>
          </w:p>
        </w:tc>
        <w:tc>
          <w:tcPr>
            <w:tcW w:type="pct" w:w="6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Cap, quote and guard revalidated from scratch — each stage is an independent trade.</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Repeat until complete</w:t>
            </w:r>
          </w:p>
        </w:tc>
        <w:tc>
          <w:tcPr>
            <w:tcW w:type="pct" w:w="6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Residual is a standing intention that must re-justify itself each cycle (Chapter 11); abandoned if the trigger lapses or the direction lock (Section 11.5) flips.</w:t>
            </w:r>
          </w:p>
        </w:tc>
      </w:tr>
    </w:tbl>
    <w:p>
      <w:pPr>
        <w:spacing w:after="120"/>
      </w:pPr>
    </w:p>
    <w:p>
      <w:pPr>
        <w:spacing w:after="120" w:line="312"/>
        <w:jc w:val="both"/>
      </w:pPr>
      <w:r>
        <w:rPr>
          <w:rFonts w:ascii="Calibri" w:eastAsia="SimSun" w:hAnsi="Calibri"/>
          <w:b w:val="false"/>
          <w:bCs w:val="false"/>
          <w:color w:val="1A1A1A"/>
          <w:sz w:val="21"/>
          <w:szCs w:val="21"/>
        </w:rPr>
        <w:t xml:space="preserve">This prevents the protocol from being a forced seller or buyer in thin markets. Staged execution is also the mechanical realization of the MARP partial-correction doctrine: a large correction is a sequence of small, independently justified trades rather than one block transaction, and the multi-cycle pacing composes with the no-trade zones and the rebalancing direction lock of Chapters 10 and 11. Splitting across venues — routing through multiple aggregators and pools — is the spatial analogue, chosen by the cost optimization of Section 12.1 whenever it reduces ExecutionCost(q) [MS §65].</w:t>
      </w:r>
    </w:p>
    <w:p>
      <w:pPr>
        <w:pStyle w:val="Heading2"/>
        <w:keepNext/>
        <w:spacing w:after="160" w:before="360" w:line="340" w:lineRule="atLeast"/>
      </w:pPr>
      <w:bookmarkStart w:id="100125" w:name="_Toc100125"/>
      <w:r>
        <w:rPr>
          <w:rFonts w:ascii="Calibri" w:eastAsia="Microsoft YaHei" w:hAnsi="Calibri"/>
          <w:b/>
          <w:bCs/>
          <w:color w:val="1A1A1A"/>
          <w:sz w:val="28"/>
          <w:szCs w:val="28"/>
        </w:rPr>
        <w:t xml:space="preserve">12.5 The Minimum Profitability Guard</w:t>
      </w:r>
      <w:bookmarkEnd w:id="100125"/>
    </w:p>
    <w:p>
      <w:pPr>
        <w:spacing w:after="120" w:line="312"/>
        <w:jc w:val="both"/>
      </w:pPr>
      <w:r>
        <w:rPr>
          <w:rFonts w:ascii="Calibri" w:eastAsia="SimSun" w:hAnsi="Calibri"/>
          <w:b w:val="false"/>
          <w:bCs w:val="false"/>
          <w:color w:val="1A1A1A"/>
          <w:sz w:val="21"/>
          <w:szCs w:val="21"/>
        </w:rPr>
        <w:t xml:space="preserve">To prevent the protocol from executing trades that are not economically beneficial, each trade must meet a minimum profitability threshold [BP §10.5]:</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NetBenefit = ReductionInDeviation - EstimatedExecutionCost &gt; 0</w:t>
      </w:r>
    </w:p>
    <w:p>
      <w:pPr>
        <w:spacing w:after="120" w:line="312"/>
        <w:jc w:val="both"/>
      </w:pPr>
      <w:r>
        <w:rPr>
          <w:rFonts w:ascii="Calibri" w:eastAsia="SimSun" w:hAnsi="Calibri"/>
          <w:b w:val="false"/>
          <w:bCs w:val="false"/>
          <w:color w:val="1A1A1A"/>
          <w:sz w:val="21"/>
          <w:szCs w:val="21"/>
        </w:rPr>
        <w:t xml:space="preserve">If NetBenefit ≤ 0, the trade is suppressed — even if the deviation exceeds the dynamic trigger threshold. This ensures the protocol does not spend gas and spread on economically insignificant rebalances: a correction that repairs less deviation than it costs in execution is value-destructive by its own arithmetic, and the guard refuses it before any swap calldata is built.</w:t>
      </w:r>
    </w:p>
    <w:p>
      <w:pPr>
        <w:spacing w:after="120" w:line="312"/>
        <w:jc w:val="both"/>
      </w:pPr>
      <w:r>
        <w:rPr>
          <w:rFonts w:ascii="Calibri" w:eastAsia="SimSun" w:hAnsi="Calibri"/>
          <w:b w:val="false"/>
          <w:bCs w:val="false"/>
          <w:color w:val="1A1A1A"/>
          <w:sz w:val="21"/>
          <w:szCs w:val="21"/>
        </w:rPr>
        <w:t xml:space="preserve">Under the unified v2.0 gate the test is strictly stronger. The MARP cost-benefit gate of Section 10.8 requires:</w:t>
      </w:r>
    </w:p>
    <w:p>
      <w:pPr>
        <w:spacing w:after="120" w:before="120" w:line="312"/>
        <w:jc w:val="center"/>
      </w:pPr>
      <w:r>
        <w:rPr>
          <w:rFonts w:ascii="Cambria" w:eastAsia="SimSun" w:hAnsi="Cambria"/>
          <w:i/>
          <w:iCs/>
          <w:color w:val="1A1A1A"/>
          <w:sz w:val="22"/>
          <w:szCs w:val="22"/>
        </w:rPr>
        <w:t xml:space="preserve">NetBenefit</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ReductionInDeviation</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EstimatedCost</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&gt; </w:t>
      </w:r>
      <w:r>
        <w:rPr>
          <w:rFonts w:ascii="Cambria" w:eastAsia="SimSun" w:hAnsi="Cambria"/>
          <w:i w:val="false"/>
          <w:iCs w:val="false"/>
          <w:color w:val="1A1A1A"/>
          <w:sz w:val="22"/>
          <w:szCs w:val="22"/>
        </w:rPr>
        <w:t xml:space="preserve">ε</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ε</w:t>
      </w:r>
      <w:r>
        <w:rPr>
          <w:rFonts w:ascii="Cambria" w:eastAsia="SimSun" w:hAnsi="Cambria"/>
          <w:i/>
          <w:iCs/>
          <w:color w:val="1A1A1A"/>
          <w:sz w:val="22"/>
          <w:szCs w:val="22"/>
        </w:rPr>
        <w:t xml:space="preserve"> &gt; 0</w:t>
      </w:r>
    </w:p>
    <w:p>
      <w:pPr>
        <w:spacing w:after="120" w:line="312"/>
        <w:jc w:val="both"/>
      </w:pPr>
      <w:r>
        <w:rPr>
          <w:rFonts w:ascii="Calibri" w:eastAsia="SimSun" w:hAnsi="Calibri"/>
          <w:b w:val="false"/>
          <w:bCs w:val="false"/>
          <w:color w:val="1A1A1A"/>
          <w:sz w:val="21"/>
          <w:szCs w:val="21"/>
        </w:rPr>
        <w:t xml:space="preserve">and the on-chain implementation enforces ε as the minProfitability parameter, initialized to $10 (MIN_PROFITABILITY, Section 12.8). A candidate trade must therefore clear three independent hurdles in sequence: the MARP trigger logic of Chapters 10–11 (is the deviation worth correcting at all), the profitability guard (is the correction worth more than its cost), and the slippage bounds at execution time (is the live quote within tolerance). Suppression is cheap by design — a suppressed candidate emits TradeSkipped with its arithmetic (Section 12.9) rather than consuming gas in a reverting transaction.</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BP §10.5 illustrated the guard with an inline require(netBenefit &gt; 0) inside executeRebalance(). That snippet is superseded by the cleaned guard functions of Listing 5 (computeNetBenefit / isTradeProfitable), which add underflow-safe arithmetic, the full cost model of Section 12.7 and the ε-threshold of Section 10.8.</w:t>
      </w:r>
    </w:p>
    <w:p>
      <w:pPr>
        <w:pStyle w:val="Heading2"/>
        <w:keepNext/>
        <w:spacing w:after="160" w:before="360" w:line="340" w:lineRule="atLeast"/>
      </w:pPr>
      <w:bookmarkStart w:id="100126" w:name="_Toc100126"/>
      <w:r>
        <w:rPr>
          <w:rFonts w:ascii="Calibri" w:eastAsia="Microsoft YaHei" w:hAnsi="Calibri"/>
          <w:b/>
          <w:bCs/>
          <w:color w:val="1A1A1A"/>
          <w:sz w:val="28"/>
          <w:szCs w:val="28"/>
        </w:rPr>
        <w:t xml:space="preserve">12.6 MEV Protection (Private Mempool Submission)</w:t>
      </w:r>
      <w:bookmarkEnd w:id="100126"/>
    </w:p>
    <w:p>
      <w:pPr>
        <w:spacing w:after="120" w:line="312"/>
        <w:jc w:val="both"/>
      </w:pPr>
      <w:r>
        <w:rPr>
          <w:rFonts w:ascii="Calibri" w:eastAsia="SimSun" w:hAnsi="Calibri"/>
          <w:b w:val="false"/>
          <w:bCs w:val="false"/>
          <w:color w:val="1A1A1A"/>
          <w:sz w:val="21"/>
          <w:szCs w:val="21"/>
        </w:rPr>
        <w:t xml:space="preserve">To minimise MEV (Miner Extractable Value) attacks, all protocol trades are protected by three measures [BP §10.6]:</w:t>
      </w:r>
    </w:p>
    <w:p>
      <w:pPr>
        <w:pStyle w:val="ListParagraph"/>
        <w:numPr>
          <w:ilvl w:val="0"/>
          <w:numId w:val="9"/>
        </w:numPr>
        <w:spacing w:after="60" w:line="312"/>
        <w:jc w:val="left"/>
      </w:pPr>
      <w:r>
        <w:rPr>
          <w:rFonts w:ascii="Calibri" w:eastAsia="SimSun" w:hAnsi="Calibri"/>
          <w:b w:val="false"/>
          <w:bCs w:val="false"/>
          <w:color w:val="1A1A1A"/>
          <w:sz w:val="21"/>
          <w:szCs w:val="21"/>
        </w:rPr>
        <w:t xml:space="preserve">All trades are submitted via a private mempool (for example Flashbots Protect or MEV Blocker), so intent is not broadcast to the public mempool where searchers can front-run, sandwich or back-run it.</w:t>
      </w:r>
    </w:p>
    <w:p>
      <w:pPr>
        <w:pStyle w:val="ListParagraph"/>
        <w:numPr>
          <w:ilvl w:val="0"/>
          <w:numId w:val="9"/>
        </w:numPr>
        <w:spacing w:after="60" w:line="312"/>
        <w:jc w:val="left"/>
      </w:pPr>
      <w:r>
        <w:rPr>
          <w:rFonts w:ascii="Calibri" w:eastAsia="SimSun" w:hAnsi="Calibri"/>
          <w:b w:val="false"/>
          <w:bCs w:val="false"/>
          <w:color w:val="1A1A1A"/>
          <w:sz w:val="21"/>
          <w:szCs w:val="21"/>
        </w:rPr>
        <w:t xml:space="preserve">Trades include a deadline — maximum 5 minutes from submission — to prevent delayed execution of a quote that was valid when signed but stale when landed.</w:t>
      </w:r>
    </w:p>
    <w:p>
      <w:pPr>
        <w:pStyle w:val="ListParagraph"/>
        <w:numPr>
          <w:ilvl w:val="0"/>
          <w:numId w:val="9"/>
        </w:numPr>
        <w:spacing w:after="60" w:line="312"/>
        <w:jc w:val="left"/>
      </w:pPr>
      <w:r>
        <w:rPr>
          <w:rFonts w:ascii="Calibri" w:eastAsia="SimSun" w:hAnsi="Calibri"/>
          <w:b w:val="false"/>
          <w:bCs w:val="false"/>
          <w:color w:val="1A1A1A"/>
          <w:sz w:val="21"/>
          <w:szCs w:val="21"/>
        </w:rPr>
        <w:t xml:space="preserve">Trades are split into smaller chunks when possible to reduce the per-transaction front-running incentive; chunking composes with the staged execution of Section 12.4.</w:t>
      </w:r>
    </w:p>
    <w:p>
      <w:pPr>
        <w:spacing w:after="120" w:line="312"/>
        <w:jc w:val="both"/>
      </w:pPr>
      <w:r>
        <w:rPr>
          <w:rFonts w:ascii="Calibri" w:eastAsia="SimSun" w:hAnsi="Calibri"/>
          <w:b w:val="false"/>
          <w:bCs w:val="false"/>
          <w:color w:val="1A1A1A"/>
          <w:sz w:val="21"/>
          <w:szCs w:val="21"/>
        </w:rPr>
        <w:t xml:space="preserve">The private-submission path is submitTradeWithFlashbots() in Listing 5, and the deadline check is enforced at settlement, so even a bundle that lands late cannot execute against a moved market: the trade reverts rather than filling at a stale price. Private submission protects the quote-validation step itself — a validated quote sitting in the public mempool is an advertisement of an intended trade at a known bound, which is exactly the information a sandwich attacker needs.</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Chain adaptation: the relay address is per-chain — Flashbots Protect on Ethereum, the equivalent sequencer-level private submission path where available on L2 deployments, with testnet addresses listed in Appendix D. On chains without a private relay, deadline enforcement and quote re-validation at settlement are the binding protections; the aggregator address must be immutable or governed by a 4-of-7 Multi-Sig with a 48-hour timelock to prevent malicious router upgrades (Section 12.9).</w:t>
      </w:r>
    </w:p>
    <w:p>
      <w:pPr>
        <w:pStyle w:val="Heading2"/>
        <w:keepNext/>
        <w:spacing w:after="160" w:before="360" w:line="340" w:lineRule="atLeast"/>
      </w:pPr>
      <w:bookmarkStart w:id="100127" w:name="_Toc100127"/>
      <w:r>
        <w:rPr>
          <w:rFonts w:ascii="Calibri" w:eastAsia="Microsoft YaHei" w:hAnsi="Calibri"/>
          <w:b/>
          <w:bCs/>
          <w:color w:val="1A1A1A"/>
          <w:sz w:val="28"/>
          <w:szCs w:val="28"/>
        </w:rPr>
        <w:t xml:space="preserve">12.7 Gas Estimation and Cost Control</w:t>
      </w:r>
      <w:bookmarkEnd w:id="100127"/>
    </w:p>
    <w:p>
      <w:pPr>
        <w:spacing w:after="120" w:line="312"/>
        <w:jc w:val="both"/>
      </w:pPr>
      <w:r>
        <w:rPr>
          <w:rFonts w:ascii="Calibri" w:eastAsia="SimSun" w:hAnsi="Calibri"/>
          <w:b w:val="false"/>
          <w:bCs w:val="false"/>
          <w:color w:val="1A1A1A"/>
          <w:sz w:val="21"/>
          <w:szCs w:val="21"/>
        </w:rPr>
        <w:t xml:space="preserve">The protocol estimates execution costs before each trade and adjusts the NetBenefit calculation accordingly [BP §10.7]. Four cost components are estimated:</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Cost Type</w:t>
            </w:r>
          </w:p>
        </w:tc>
        <w:tc>
          <w:tcPr>
            <w:tcW w:type="pct" w:w="7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Estimation Method</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Gas Price</w:t>
            </w:r>
          </w:p>
        </w:tc>
        <w:tc>
          <w:tcPr>
            <w:tcW w:type="pct" w:w="7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gasPrice = oracleGasPrice × 1.2 (20% buffer)</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Gas Units</w:t>
            </w:r>
          </w:p>
        </w:tc>
        <w:tc>
          <w:tcPr>
            <w:tcW w:type="pct" w:w="7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gasUnits = estimatedGas × 1.1 (10% buffer for L2 variance)</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w:t>
            </w:r>
          </w:p>
        </w:tc>
        <w:tc>
          <w:tcPr>
            <w:tcW w:type="pct" w:w="7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 tradeValue × (τ / 2) (half of max slippage for estimation)</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Router Fee</w:t>
            </w:r>
          </w:p>
        </w:tc>
        <w:tc>
          <w:tcPr>
            <w:tcW w:type="pct" w:w="7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routerFee = tradeValue × 0.001 (0.1% aggregator fee)</w:t>
            </w:r>
          </w:p>
        </w:tc>
      </w:tr>
    </w:tbl>
    <w:p>
      <w:pPr>
        <w:spacing w:after="120"/>
      </w:pPr>
    </w:p>
    <w:p>
      <w:pPr>
        <w:spacing w:after="120" w:before="120" w:line="312"/>
        <w:jc w:val="center"/>
      </w:pPr>
      <w:r>
        <w:rPr>
          <w:rFonts w:ascii="Cambria" w:eastAsia="SimSun" w:hAnsi="Cambria"/>
          <w:i/>
          <w:iCs/>
          <w:color w:val="1A1A1A"/>
          <w:sz w:val="22"/>
          <w:szCs w:val="22"/>
        </w:rPr>
        <w:t xml:space="preserve">EstimatedCost = (gasPrice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gasUnits) + slippage + routerFee</w:t>
      </w:r>
    </w:p>
    <w:p>
      <w:pPr>
        <w:spacing w:after="120" w:line="312"/>
        <w:jc w:val="both"/>
      </w:pPr>
      <w:r>
        <w:rPr>
          <w:rFonts w:ascii="Calibri" w:eastAsia="SimSun" w:hAnsi="Calibri"/>
          <w:b w:val="false"/>
          <w:bCs w:val="false"/>
          <w:color w:val="1A1A1A"/>
          <w:sz w:val="21"/>
          <w:szCs w:val="21"/>
        </w:rPr>
        <w:t xml:space="preserve">If NetBenefit ≤ EstimatedCost, the trade is suppressed [BP §10.7]. The buffers are deliberate conservatism: the 20% gas-price buffer absorbs spikes between estimation and landing, the 10% gas-unit buffer absorbs L2 variance in execution cost, and slippage is estimated at half its bound because validated execution normally fills well inside the guard. Because NetBenefit is defined net of cost in Section 12.5, v2.0 reads the BP condition as a belt-and-braces double test: a trade must clear the ε-threshold of Section 10.8 and must not be dominated by its own cost estimate. Both tests are implemented in the guard functions of Listing 5.</w:t>
      </w:r>
    </w:p>
    <w:p>
      <w:pPr>
        <w:spacing w:after="120" w:line="312"/>
        <w:jc w:val="both"/>
      </w:pPr>
      <w:r>
        <w:rPr>
          <w:rFonts w:ascii="Calibri" w:eastAsia="SimSun" w:hAnsi="Calibri"/>
          <w:b w:val="false"/>
          <w:bCs w:val="false"/>
          <w:color w:val="1A1A1A"/>
          <w:sz w:val="21"/>
          <w:szCs w:val="21"/>
        </w:rPr>
        <w:t xml:space="preserve">The gas estimate is refreshed from the live gas price on every evaluation (oracleGasPrice() in Listing 5), so cost-sensitive suppression adapts to network conditions automatically: in a gas spike, marginal trades are skipped and only deviations large enough to justify the elevated cost are corrected. This is the MARP doctrine expressed in gas units — calculate daily, trade only on justified urgency (Section 10.1).</w:t>
      </w:r>
    </w:p>
    <w:p>
      <w:pPr>
        <w:pStyle w:val="Heading2"/>
        <w:keepNext/>
        <w:spacing w:after="160" w:before="360" w:line="340" w:lineRule="atLeast"/>
      </w:pPr>
      <w:bookmarkStart w:id="100128" w:name="_Toc100128"/>
      <w:r>
        <w:rPr>
          <w:rFonts w:ascii="Calibri" w:eastAsia="Microsoft YaHei" w:hAnsi="Calibri"/>
          <w:b/>
          <w:bCs/>
          <w:color w:val="1A1A1A"/>
          <w:sz w:val="28"/>
          <w:szCs w:val="28"/>
        </w:rPr>
        <w:t xml:space="preserve">12.8 Smart Contract Implementation — Execution Protection</w:t>
      </w:r>
      <w:bookmarkEnd w:id="100128"/>
    </w:p>
    <w:p>
      <w:pPr>
        <w:spacing w:after="120" w:line="312"/>
        <w:jc w:val="both"/>
      </w:pPr>
      <w:r>
        <w:rPr>
          <w:rFonts w:ascii="Calibri" w:eastAsia="SimSun" w:hAnsi="Calibri"/>
          <w:b w:val="false"/>
          <w:bCs w:val="false"/>
          <w:color w:val="1A1A1A"/>
          <w:sz w:val="21"/>
          <w:szCs w:val="21"/>
        </w:rPr>
        <w:t xml:space="preserve">Listing 5 consolidates the execution layer as a single contract: the constants and state of BP §10.8.1, the core functions of BP §10.8.2 (sellGold, buyGold, getQuote and the private-mempool submission path), and the minimum profitability guard of BP §10.8.3 (computeNetBenefit, isTradeProfitable), together with the liquidity cap of Section 12.4 and the cost model of Section 12.7. The substantive logic — guards, bounds, sequencing — is carried unchanged from the v1.2 source; the adaptations are itemized in the fidelity note below the listing.</w:t>
      </w:r>
    </w:p>
    <w:p>
      <w:pPr>
        <w:keepNext/>
        <w:spacing w:after="80" w:before="280" w:line="312"/>
      </w:pPr>
      <w:r>
        <w:rPr>
          <w:rFonts w:ascii="Calibri" w:eastAsia="SimSun" w:hAnsi="Calibri"/>
          <w:b/>
          <w:bCs/>
          <w:color w:val="8A6D1F"/>
          <w:sz w:val="19"/>
          <w:szCs w:val="19"/>
        </w:rPr>
        <w:t xml:space="preserve">Listing 5 — Execution and slippage protection (adapts BP §10.8)</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@title ExecutionProtection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@notice Quote-based, slippage-bounded, liquidity-aware execution layer for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MARP rebalancing trades (adapts BP §10.8; guards per §12.3–§12.5).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abstract contract ExecutionProtection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CONSTANTS AND STATE (BP §10.8.1)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Immutable constants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Trade deadline: constitutional, immutable (BP §10.10).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TRADE_DEADLINE = 300;          // 5 minutes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Typical gas units of the guarded swap path (§12.7 estimation).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ESTIMATED_GAS = 350000;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Testnet ETH/USD fixing for gas-cost conversion; production reads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live ETH/USD feed of the oracle layer (§17; Appendix 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ETH_USD = 2000e18;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Governed execution parameters (Risk Council 4/7; §12.3.3, §12.9)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BP §10.8.1 declares these as constants; BP §10.3.3 and §10.10 make them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Risk-Council-adjustable. Implemented as governed parameters initialized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to the BP values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slippageSellGold   = 0.010e18;  // tau_sell,gold   = 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slippageBuyGold    = 0.010e18;  // tau_buy,gold    = 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slippageSellStable = 0.005e18;  // tau_sell,stable = 0.5%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slippageBuyStable  = 0.005e18;  // tau_buy,stable  = 0.5%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maxPoolFraction    = 0.10e18;   // 10% of 24h pool depth (§12.4.1)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minProfitability   = 10e18;     // $10 minimum net benefit (§12.5)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Deployment-set immutable addresses (per-chain; Appendix 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AGGREGATOR;       // 1inch / Paraswap router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FLASHBOTS_RELAY;  // private-mempool relay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PAXG;             // tokenized gold instrument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USDC;             // settlement stablecoin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GOLD_ORACLE;      // canonical gold oracle (§17)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RESERVE_MANAGER;  // reserve manager contract (§14)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Governance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 (§22)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EVENTS (BP §10.9)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GoldSold(uint256 amount, uint256 output, uint256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GoldBought(uint256 amount, uint256 output, uint256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TradeExecuted(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indexed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indexed tokenOut,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TradeSkipped(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reason,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deviation,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estimatedCost,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netBenefit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SlippageWarning(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tradeType,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ExecutionParametersChanged(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sellGoldTolerance,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buyGoldTolerance,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sellStableTolerance,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buyStableTolerance,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poolFraction,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profitabilityThreshold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riskCouncil, "Only Risk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aggregator_,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flashbotsRelay_,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paxg_,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usdc_,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goldOracle_,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reserveManager_,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riskCouncil_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AGGREGATOR = aggregator_;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FLASHBOTS_RELAY = flashbotsRelay_;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PAXG = paxg_;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USDC = usdc_;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GOLD_ORACLE = goldOracle_;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RESERVE_MANAGER = reserveManager_;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riskCouncil = riskCouncil_;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CORE FUNCTIONS (BP §10.8.2)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Executes a sell order for gold (PAXG -&gt; 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amount Amount of PAXG to sell (18 decimals).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minOutput Minimum USDC to receive (computed with slippage guard).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sellGold(uint256 amount, uint256 minOutput)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require(amount &gt; 0, "Amount must be positive");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Get current oracle price (canonical multi-source gold price, §17)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oraclePrice = getGoldPrice();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Compute minimum output (slippage guard)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oracleValue = (amount * oraclePrice)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minOutput_ = (oracleValue * (1e18 - slippageSellGold))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require(minOutput &gt;= minOutput_, "Slippage too high (sell)");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Get quote from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execPrice, uint256 output) = getQuote(PAXG, USDC, amount,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Validate execPrice &gt;= oraclePrice * (1 - tau_sell)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minValidPrice = (oraclePrice * (1e18 - slippageSellGold))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require(execPrice &gt;= minValidPrice, "Slippage violation (sell)");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(execPrice &lt; oraclePrice)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SlippageWarning("SELL_GOLD", oraclePrice, execPrice,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Execute trade via aggregator (with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deadline = block.timestamp + TRADE_DEADLINE;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swapData = encodeSwapData(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PAXG, USDC, amount, minOutput, address(this),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Submit via private mempool (Flashbots)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submitTradeWithFlashbots(swapData,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Update reserve state (reserve manager, §14)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GoldSold(amount, output,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TradeExecuted(PAXG, USDC, amount, output, execPrice,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Executes a buy order for gold (USDC -&gt; 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amount Amount of USDC to spend.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minGold Minimum PAXG to receive (computed with slippage guard).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buyGold(uint256 amount, uint256 minGold)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require(amount &gt; 0, "Amount must be positive");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Get current oracle price (canonical multi-source gold price, §17)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oraclePrice = getGoldPrice();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Compute minimum output (slippage guard)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oracleGold = (amount * 1e18) / oraclePrice;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minGold_ = (oracleGold * (1e18 - slippageBuyGold))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require(minGold &gt;= minGold_, "Slippage too high (buy)");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Get quote from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execPrice, uint256 output) = getQuote(USDC, PAXG, amount,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Validate execPrice &lt;= oraclePrice * (1 + tau_buy)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maxValidPrice = (oraclePrice * (1e18 + slippageBuyGold))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require(execPrice &lt;= maxValidPrice, "Slippage violation (buy)");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(execPrice &gt; oraclePrice)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SlippageWarning("BUY_GOLD", oraclePrice, execPrice,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Execute trade via aggregator (with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deadline = block.timestamp + TRADE_DEADLINE;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swapData = encodeSwapData(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USDC, PAXG, amount, minGold, address(this),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Submit via private mempool (Flashbots)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submitTradeWithFlashbots(swapData,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Update reserve state (reserve manager, §14)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GoldBought(amount, output,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TradeExecuted(USDC, PAXG, amount, output, execPrice,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Fetches a quote from the DEX aggregator (§12.2).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getQuote(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internal view returns (uint256 execPrice, uint256 output)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(execPrice, output) = IAggregator(aggregator).quote(tokenIn, tokenOut,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Liquidity-aware trade cap (§12.4.1):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TradeSize_max = min(RequiredTrade, maxPoolFraction * PoolDepth_24h).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capTradeSize(uint256 requiredTrade, uint256 poolDepth24h)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cap = (maxPoolFraction * poolDepth24h)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requiredTrade &lt; cap ? requiredTrade : cap;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Private-mempool submission (§12.6; Flashbots Protect / MEV Blocker).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submitTradeWithFlashbots(bytes memory swapData, uint256 deadline)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Encode the transaction with a private bundle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bundle = encodeBundle(swapData);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Submit to the private relay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success, ) = FLASHBOTS_RELAY.call(bundle);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require(success, "Flashbots submission failed");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require(block.timestamp &lt;= deadline, "Trade deadline exceeded");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Canonical gold price from the multi-source oracle (§17).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Staleness, confidence-quorum and deviation checks are enforced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upstream by the oracle layer; execution does not trade on 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stale or low-confidence feed.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getGoldPrice()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IGoldOracle(GOLD_ORACLE).canonicalPrice();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Reserve accounting refresh after every trade (§14 reserve manager).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updateReserveState()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IReserveManager(RESERVE_MANAGER).refresh();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MINIMUM PROFITABILITY GUARD (BP §10.8.3; §12.5 and §12.7)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Computes the net benefit of a trade (USD,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 negative net benefit is reported as zero and therefore always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fails the minProfitability check (§12.5).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computeNetBenefit(uint256 requiredTrade, uint256 deviation)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Reduction in deviation (in 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reduction = (deviation * requiredTrade)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Estimated costs (§12.7 cost model)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estimatedCost = estimateExecutionCost(requiredTrade);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Net benefit (underflow-safe)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(estimatedCost &gt;= reduction)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reduction - estimatedCost;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Checks whether a trade clears the minimum profitability 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isTradeProfitable(uint256 requiredTrade, uint256 deviation)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returns (bool)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estimatedCost = estimateExecutionCost(requiredTrade);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netBenefit = computeNetBenefit(requiredTrade, deviation);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profitable = netBenefit &gt; minProfitability;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(!profitable)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TradeSkipped("Not profitable", deviation, estimatedCost, netBenefit);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profitable;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Estimated execution cost (§12.7): gas + half-slippage + router fee.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estimateExecutionCost(uint256 tradeValue)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public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Gas: price with 20% buffer, units with 10% L2-variance buffer,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converted to the USD numeraire at the ETH/USD feed (§12.7).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gasPrice = (oracleGasPrice() * 12) / 10;     // x 1.2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gasUnits = (ESTIMATED_GAS * 11) / 10;        // x 1.1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gasCost = (gasPrice * gasUnits * ETH_USD)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Slippage: half of the applicable tolerance for estimation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(direction-appropriate tau is selected by the caller in production).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slippage = ((tradeValue * slippageSellGold) / 2)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Router fee: 0.1% aggregator fee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routerFee = tradeValue / 1000;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gasCost + slippage + routerFee;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Live gas price with a conservative fallback (§12.7).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oracleGasPrice()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block.basefee &gt; 0 ? block.basefee : 50 gwei;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RISK-COUNCIL PARAMETER GOVERNANCE (§12.3.3, §12.9)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Adjusts slippage tolerances, the liquidity cap and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profitability threshold (Risk Council 4/7; published per §22.3).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setExecutionParameters(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newSlippageSellGold,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newSlippageBuyGold,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newSlippageSellStable,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newSlippageBuyStable,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newMaxPoolFraction,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newMinProfitability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slippageSellGold = newSlippageSellGold;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slippageBuyGold = newSlippageBuyGold;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slippageSellStable = newSlippageSellStable;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slippageBuyStable = newSlippageBuyStable;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maxPoolFraction = newMaxPoolFraction;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minProfitability = newMinProfitability;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ExecutionParametersChanged(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newSlippageSellGold,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newSlippageBuyGold,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newSlippageSellStable,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newSlippageBuyStable,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newMaxPoolFraction,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newMinProfitability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AGGREGATOR-SPECIFIC HOOKS (developer action, §12.9)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Encodes the aggregator swap calldata. Implemented per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API (1inch / Paraswap) in the deployment repository.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encodeSwapData(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recipient,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internal virtual returns (bytes memory);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Wraps swap calldata in a private-mempool bundle.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encodeBundle(bytes memory 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virtual returns (bytes memory);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IAggregator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quote(address tokenIn, address tokenOut,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view returns (uint256 execPrice, uint256 output);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IGoldOracle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canonicalPrice()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IReserveManager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refresh() external;</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notes (Listing 5 adapts BP §10.8): (i) slippage tolerances, the liquidity cap and the minimum profitability threshold are compile-time constants in BP §10.8.1 but Risk-Council-adjustable per BP §10.3.3 and §10.10 — implemented here as governed parameters initialized to the BP values; (ii) the trade deadline remains an immutable constant (constitutional per BP §10.10); (iii) getGoldPrice() reads the canonical multi-source gold oracle of Chapter 17, not a single AMM price, and updateReserveState() delegates to the Chapter 14 reserve manager; (iv) the aggregator, relay and token addresses are constructor-set immutables per deployment (BP listed placeholder constants), with testnet values in Appendix D; (v) the aggregator quote is typed through the IAggregator interface rather than BP's raw staticcall encoding, and call signatures are harmonized so the deadline flows through the private-submission path; (vi) encodeSwapData() and encodeBundle() remain aggregator-specific developer actions (Section 12.9).</w:t>
      </w:r>
    </w:p>
    <w:p>
      <w:pPr>
        <w:pStyle w:val="Heading2"/>
        <w:keepNext/>
        <w:spacing w:after="160" w:before="360" w:line="340" w:lineRule="atLeast"/>
      </w:pPr>
      <w:bookmarkStart w:id="100129" w:name="_Toc100129"/>
      <w:r>
        <w:rPr>
          <w:rFonts w:ascii="Calibri" w:eastAsia="Microsoft YaHei" w:hAnsi="Calibri"/>
          <w:b/>
          <w:bCs/>
          <w:color w:val="1A1A1A"/>
          <w:sz w:val="28"/>
          <w:szCs w:val="28"/>
        </w:rPr>
        <w:t xml:space="preserve">12.9 Event Emissions and Constants Summary</w:t>
      </w:r>
      <w:bookmarkEnd w:id="100129"/>
    </w:p>
    <w:p>
      <w:pPr>
        <w:spacing w:after="120" w:line="312"/>
        <w:jc w:val="both"/>
      </w:pPr>
      <w:r>
        <w:rPr>
          <w:rFonts w:ascii="Calibri" w:eastAsia="SimSun" w:hAnsi="Calibri"/>
          <w:b w:val="false"/>
          <w:bCs w:val="false"/>
          <w:color w:val="1A1A1A"/>
          <w:sz w:val="21"/>
          <w:szCs w:val="21"/>
        </w:rPr>
        <w:t xml:space="preserve">Every execution-layer decision is observable. The events of BP §10.9 are carried in Listing 5 and emitted as follows: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Event</w:t>
            </w:r>
          </w:p>
        </w:tc>
        <w:tc>
          <w:tcPr>
            <w:tcW w:type="pct" w:w="5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Emitted When</w:t>
            </w:r>
          </w:p>
        </w:tc>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Key Fields</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GoldSold / GoldBought</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reserve gold trade settles within its bounds</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amount, output, execPrice</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TradeExecuted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Any rebalancing trade completes</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tokenIn, tokenOut, amountIn, amountOut, execPrice, timestamp</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TradeSkipped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profitability guard suppresses a candidate trade</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reason, deviation, estimatedCost, netBenefit</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SlippageWarning</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validated execution fills below (sell) or above (buy) the oracle reference — inside the bound but not at par</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tradeType, oraclePrice, execPrice, timestamp</w:t>
            </w:r>
          </w:p>
        </w:tc>
      </w:tr>
    </w:tbl>
    <w:p>
      <w:pPr>
        <w:spacing w:after="120"/>
      </w:pPr>
    </w:p>
    <w:p>
      <w:pPr>
        <w:spacing w:after="120" w:line="312"/>
        <w:jc w:val="both"/>
      </w:pPr>
      <w:r>
        <w:rPr>
          <w:rFonts w:ascii="Calibri" w:eastAsia="SimSun" w:hAnsi="Calibri"/>
          <w:b w:val="false"/>
          <w:bCs w:val="false"/>
          <w:color w:val="1A1A1A"/>
          <w:sz w:val="21"/>
          <w:szCs w:val="21"/>
        </w:rPr>
        <w:t xml:space="preserve">TradeSkipped and SlippageWarning are the calibration feed: repeated skips at small deviations confirm that the no-trade zones are placed correctly, and a rising frequency of warnings indicates a widening effective spread that should feed the cost model (Section 23.11). All events are published through the transparency layer (Chapter 24) with methodology and data versions attached, so any observer can reconcile published weights, decisions and executions end-to-end.</w:t>
      </w:r>
    </w:p>
    <w:p>
      <w:pPr>
        <w:spacing w:after="120" w:line="312"/>
        <w:jc w:val="both"/>
      </w:pPr>
      <w:r>
        <w:rPr>
          <w:rFonts w:ascii="Calibri" w:eastAsia="SimSun" w:hAnsi="Calibri"/>
          <w:b w:val="false"/>
          <w:bCs w:val="false"/>
          <w:color w:val="1A1A1A"/>
          <w:sz w:val="21"/>
          <w:szCs w:val="21"/>
        </w:rPr>
        <w:t xml:space="preserve">The developer-facing constants are summarized below [BP §10.10]:</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Governance</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(Sell Gold)</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τ_{sell,gold}</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(Buy Gold)</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τ_{buy,gold}</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(Stablecoins)</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τ_{stable}</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Cap</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 of 24h pool depth</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 Profitability</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Trade Deadline</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 minutes</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Aggregator Address</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1inch / Paraswap</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Multi-Sig (4/7)</w:t>
            </w:r>
          </w:p>
        </w:tc>
      </w:tr>
    </w:tbl>
    <w:p>
      <w:pPr>
        <w:spacing w:after="120"/>
      </w:pPr>
    </w:p>
    <w:p>
      <w:pPr>
        <w:spacing w:after="120" w:line="312"/>
        <w:jc w:val="both"/>
      </w:pPr>
      <w:r>
        <w:rPr>
          <w:rFonts w:ascii="Calibri" w:eastAsia="SimSun" w:hAnsi="Calibri"/>
          <w:b w:val="false"/>
          <w:bCs w:val="false"/>
          <w:color w:val="1A1A1A"/>
          <w:sz w:val="21"/>
          <w:szCs w:val="21"/>
        </w:rPr>
        <w:t xml:space="preserve">Dependencies and developer actions carry over from the v1.2 insertion instructions: the module requires Chapter 17 (oracles) for reference prices and Chapters 10–11 (MARP) for trade decisions; the developer must implement encodeSwapData() and submitTradeWithFlashbots() against the specific aggregator API, and set the correct relay address for the target chain. Security requirement: the aggregator address must be immutable or governed by a 4-of-7 Multi-Sig with a 48-hour timelock to prevent malicious upgrades [BP §10.10].</w:t>
      </w:r>
    </w:p>
    <w:p>
      <w:pPr>
        <w:pStyle w:val="Heading1"/>
        <w:keepNext/>
        <w:pBdr>
          <w:bottom w:val="single" w:color="C9A84C" w:sz="12" w:space="6"/>
        </w:pBdr>
        <w:spacing w:after="220" w:before="480" w:line="380" w:lineRule="atLeast"/>
      </w:pPr>
      <w:bookmarkStart w:id="100130" w:name="_Toc100130"/>
      <w:r>
        <w:rPr>
          <w:rFonts w:ascii="Calibri" w:eastAsia="Microsoft YaHei" w:hAnsi="Calibri"/>
          <w:b/>
          <w:bCs/>
          <w:color w:val="1A1A1A"/>
          <w:sz w:val="32"/>
          <w:szCs w:val="32"/>
        </w:rPr>
        <w:t xml:space="preserve">13. Reserve Architecture, Coverage and Liquidity</w:t>
      </w:r>
      <w:bookmarkEnd w:id="100130"/>
    </w:p>
    <w:p>
      <w:pPr>
        <w:pStyle w:val="Heading2"/>
        <w:keepNext/>
        <w:spacing w:after="160" w:before="360" w:line="340" w:lineRule="atLeast"/>
      </w:pPr>
      <w:bookmarkStart w:id="100131" w:name="_Toc100131"/>
      <w:r>
        <w:rPr>
          <w:rFonts w:ascii="Calibri" w:eastAsia="Microsoft YaHei" w:hAnsi="Calibri"/>
          <w:b/>
          <w:bCs/>
          <w:color w:val="1A1A1A"/>
          <w:sz w:val="28"/>
          <w:szCs w:val="28"/>
        </w:rPr>
        <w:t xml:space="preserve">13.1 The Reserve Architecture Design Principle</w:t>
      </w:r>
      <w:bookmarkEnd w:id="100131"/>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Reserve composition is not required to equal the index weight vector. The reserve is sized by obligations, not by index construction [MS §46].</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Reserve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f(OutstandingMTQ</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RedemptionRisk</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CollateralRequirements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GoldRequirements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reference basket and the reserve answer different questions. The basket (Chapters 3–7) defines what one unit of MTQ Σ represents — a purchasing-power unit over an adaptive set of currencies and gold. The reserve (this chapter, with valuation in Chapter 14) determines which eligible assets are actually held to satisfy the obligations that definition creates. Because the two problems have different objectives and different constraints, their solutions coincide only by coincidence, and the architecture never assumes coincidence:</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Index</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in general (Section 2.4)</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Decision Input</w:t>
            </w:r>
          </w:p>
        </w:tc>
        <w:tc>
          <w:tcPr>
            <w:tcW w:type="pct" w:w="5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What It Measures</w:t>
            </w:r>
          </w:p>
        </w:tc>
        <w:tc>
          <w:tcPr>
            <w:tcW w:type="pct" w:w="3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Where It Is Observed</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OutstandingMTQ_t</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Scale of obligations: circulating supply valued at the reference price, plus any other contractual liabilities.</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19 (mint/redeem); Listing 1 (getLiability)</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RedemptionRisk_t</w:t>
            </w:r>
          </w:p>
        </w:tc>
        <w:tc>
          <w:tcPr>
            <w:tcW w:type="pct" w:w="5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Observed and stress-modeled redemption flows against the reserve.</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13.4 (stress demand); Section 23.11</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Liquidity_t</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Settlement capacity of eligible instruments — how fast holdings can become redemption-ready value.</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13.4 (LCR); Chapter 12 (execution depth)</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CollateralRequirements_t</w:t>
            </w:r>
          </w:p>
        </w:tc>
        <w:tc>
          <w:tcPr>
            <w:tcW w:type="pct" w:w="5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Haircut-adjusted backing needed to keep coverage above its floor.</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14 (haircuts, RR tiers)</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GoldRequirements_t</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Gold-linked obligations and the strategic gold decision.</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13.3 and 13.5</w:t>
            </w:r>
          </w:p>
        </w:tc>
      </w:tr>
    </w:tbl>
    <w:p>
      <w:pPr>
        <w:spacing w:after="120"/>
      </w:pPr>
    </w:p>
    <w:p>
      <w:pPr>
        <w:spacing w:after="120" w:line="312"/>
        <w:jc w:val="both"/>
      </w:pPr>
      <w:r>
        <w:rPr>
          <w:rFonts w:ascii="Calibri" w:eastAsia="SimSun" w:hAnsi="Calibri"/>
          <w:b w:val="false"/>
          <w:bCs w:val="false"/>
          <w:color w:val="1A1A1A"/>
          <w:sz w:val="21"/>
          <w:szCs w:val="21"/>
        </w:rPr>
        <w:t xml:space="preserve">A replication portfolio — holding exactly W_t^{Index} — would import the index's risk profile into the backing of obligations. It would, for example, force the reserve to hold 26% gold whenever the index weight is 26%, regardless of gold's settlement liquidity (0% LCR-liquid, Section 13.4), regardless of custody conditions, and regardless of the composition of actual redemption demand. The reserve is instead managed as a liability-matching portfolio: the reserve manager solves a constrained optimization — minimizing reserve risk, liquidity risk, transaction cost and concentration risk, subject to CoverageRatio ≥ 100%, LiquidityCoverage ≥ LCR_min and custody/concentration constraints — specified with the reserve manager contract in Chapter 14 [MS §58].</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Lineage [MS §46]: this principle is the reserve-side statement of the two-system architecture of Section 2.4. Execution of reserve trades flows through the Chapter 12 execution layer; instrument eligibility through Chapter 15; valuation, haircuts and reserve-ratio tiers through Chapter 14; obligation accounting through Chapter 19.</w:t>
      </w:r>
    </w:p>
    <w:p>
      <w:pPr>
        <w:pStyle w:val="Heading2"/>
        <w:keepNext/>
        <w:spacing w:after="160" w:before="360" w:line="340" w:lineRule="atLeast"/>
      </w:pPr>
      <w:bookmarkStart w:id="100132" w:name="_Toc100132"/>
      <w:r>
        <w:rPr>
          <w:rFonts w:ascii="Calibri" w:eastAsia="Microsoft YaHei" w:hAnsi="Calibri"/>
          <w:b/>
          <w:bCs/>
          <w:color w:val="1A1A1A"/>
          <w:sz w:val="28"/>
          <w:szCs w:val="28"/>
        </w:rPr>
        <w:t xml:space="preserve">13.2 Reserve Coverage</w:t>
      </w:r>
      <w:bookmarkEnd w:id="100132"/>
    </w:p>
    <w:p>
      <w:pPr>
        <w:spacing w:after="120" w:line="312"/>
        <w:jc w:val="both"/>
      </w:pPr>
      <w:r>
        <w:rPr>
          <w:rFonts w:ascii="Calibri" w:eastAsia="SimSun" w:hAnsi="Calibri"/>
          <w:b w:val="false"/>
          <w:bCs w:val="false"/>
          <w:color w:val="1A1A1A"/>
          <w:sz w:val="21"/>
          <w:szCs w:val="21"/>
        </w:rPr>
        <w:t xml:space="preserve">Coverage is the solvency constraint: every unit of MTQ Σ obligation must be backed by at least a full unit of conservatively valued reserve [MS §47]. The coverage ratio is: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CoverageRatio</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(EligibleReserveNAV</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)/(OutstandingMTQObligations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iCs/>
          <w:color w:val="1A1A1A"/>
          <w:sz w:val="22"/>
          <w:szCs w:val="22"/>
        </w:rPr>
        <w:t xml:space="preserve">CoverageRatio</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(100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with a separately determined operational/stress buffer above the floor [MS §47]. Both terms of the ratio are defined conservatively rather than optimistically, which is the whole substance of the measure — the questions 'how much is enough' and 'what counts' are answered by liquidation logic, not by book-value optimism.</w:t>
      </w:r>
    </w:p>
    <w:p>
      <w:pPr>
        <w:pStyle w:val="Heading3"/>
        <w:keepNext/>
        <w:spacing w:after="120" w:before="300" w:line="312"/>
      </w:pPr>
      <w:bookmarkStart w:id="100133" w:name="_Toc100133"/>
      <w:r>
        <w:rPr>
          <w:rFonts w:ascii="Calibri" w:eastAsia="Microsoft YaHei" w:hAnsi="Calibri"/>
          <w:b/>
          <w:bCs/>
          <w:color w:val="333333"/>
          <w:sz w:val="24"/>
          <w:szCs w:val="24"/>
        </w:rPr>
        <w:t xml:space="preserve">13.2.1 What Counts: The Eligible Reserve</w:t>
      </w:r>
      <w:bookmarkEnd w:id="100133"/>
    </w:p>
    <w:p>
      <w:pPr>
        <w:spacing w:after="120" w:line="312"/>
        <w:jc w:val="both"/>
      </w:pPr>
      <w:r>
        <w:rPr>
          <w:rFonts w:ascii="Calibri" w:eastAsia="SimSun" w:hAnsi="Calibri"/>
          <w:b w:val="false"/>
          <w:bCs w:val="false"/>
          <w:color w:val="1A1A1A"/>
          <w:sz w:val="21"/>
          <w:szCs w:val="21"/>
        </w:rPr>
        <w:t xml:space="preserve">The numerator counts only the eligible reserve: assets admitted under the Asset Admission Registry (Chapter 15) and valued after haircuts (Section 14.1):</w:t>
      </w:r>
    </w:p>
    <w:p>
      <w:pPr>
        <w:spacing w:after="120" w:before="120" w:line="312"/>
        <w:jc w:val="center"/>
      </w:pPr>
      <w:r>
        <w:rPr>
          <w:rFonts w:ascii="Cambria" w:eastAsia="SimSun" w:hAnsi="Cambria"/>
          <w:i/>
          <w:iCs/>
          <w:color w:val="1A1A1A"/>
          <w:sz w:val="22"/>
          <w:szCs w:val="22"/>
        </w:rPr>
        <w:t xml:space="preserve">EligibleReserveNAV</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Q</w:t>
      </w:r>
      <w:r>
        <w:rPr>
          <w:rFonts w:ascii="Cambria" w:eastAsia="SimSun" w:hAnsi="Cambria"/>
          <w:i/>
          <w:iCs/>
          <w:color w:val="1A1A1A"/>
          <w:sz w:val="22"/>
          <w:szCs w:val="22"/>
          <w:vertAlign w:val="subscript"/>
        </w:rPr>
        <w:t xml:space="preserve">j,t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j,t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H</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Haircuts H_j are conservative realizable-value discounts — an asset that would move its market by 10% if sold contributes at most 90 cents per dollar of face value to coverage. Coverage is therefore a promise measured in liquidation value, not in face value: it answers the question of what the reserve would actually realize if obligations had to be met today. An asset that is valuable but unadmitted, or admitted but freshly impaired, contributes nothing or less than face — by design.</w:t>
      </w:r>
    </w:p>
    <w:p>
      <w:pPr>
        <w:pStyle w:val="Heading3"/>
        <w:keepNext/>
        <w:spacing w:after="120" w:before="300" w:line="312"/>
      </w:pPr>
      <w:bookmarkStart w:id="100134" w:name="_Toc100134"/>
      <w:r>
        <w:rPr>
          <w:rFonts w:ascii="Calibri" w:eastAsia="Microsoft YaHei" w:hAnsi="Calibri"/>
          <w:b/>
          <w:bCs/>
          <w:color w:val="333333"/>
          <w:sz w:val="24"/>
          <w:szCs w:val="24"/>
        </w:rPr>
        <w:t xml:space="preserve">13.2.2 What Counts: Outstanding Obligations</w:t>
      </w:r>
      <w:bookmarkEnd w:id="100134"/>
    </w:p>
    <w:p>
      <w:pPr>
        <w:spacing w:after="120" w:line="312"/>
        <w:jc w:val="both"/>
      </w:pPr>
      <w:r>
        <w:rPr>
          <w:rFonts w:ascii="Calibri" w:eastAsia="SimSun" w:hAnsi="Calibri"/>
          <w:b w:val="false"/>
          <w:bCs w:val="false"/>
          <w:color w:val="1A1A1A"/>
          <w:sz w:val="21"/>
          <w:szCs w:val="21"/>
        </w:rPr>
        <w:t xml:space="preserve">The denominator is the redemption liability: circulating supply valued at the MTQ reference price, together with any gold-linked or other contractual obligations if such instruments exist (Section 13.5). It is recomputed continuously after every mint, redeem, rebalance and price update, and it is the same liability measure that drives the reserve ratio (Section 14.2) and the stress redemption demand (Section 13.4) — one definition of obligation, consumed by every downstream constraint.</w:t>
      </w:r>
    </w:p>
    <w:p>
      <w:pPr>
        <w:pStyle w:val="Heading3"/>
        <w:keepNext/>
        <w:spacing w:after="120" w:before="300" w:line="312"/>
      </w:pPr>
      <w:bookmarkStart w:id="100135" w:name="_Toc100135"/>
      <w:r>
        <w:rPr>
          <w:rFonts w:ascii="Calibri" w:eastAsia="Microsoft YaHei" w:hAnsi="Calibri"/>
          <w:b/>
          <w:bCs/>
          <w:color w:val="333333"/>
          <w:sz w:val="24"/>
          <w:szCs w:val="24"/>
        </w:rPr>
        <w:t xml:space="preserve">13.2.3 How Much Is Enough</w:t>
      </w:r>
      <w:bookmarkEnd w:id="100135"/>
    </w:p>
    <w:p>
      <w:pPr>
        <w:spacing w:after="120" w:line="312"/>
        <w:jc w:val="both"/>
      </w:pPr>
      <w:r>
        <w:rPr>
          <w:rFonts w:ascii="Calibri" w:eastAsia="SimSun" w:hAnsi="Calibri"/>
          <w:b w:val="false"/>
          <w:bCs w:val="false"/>
          <w:color w:val="1A1A1A"/>
          <w:sz w:val="21"/>
          <w:szCs w:val="21"/>
        </w:rPr>
        <w:t xml:space="preserve">The floor is 100% — the constitutional invariant that MTQ Σ obligations are never fractionally backed (invariant I2, Section 2.6). Above the floor, the architecture requires two distinct cushions. The operational buffer is the managed surplus of normal operation: the reserve-ratio target of 110% with a stress floor of 105% (Section 14.2, Listing 1). The stress buffer is the additional coverage needed to keep CoverageRatio ≥ 1 under stressed haircuts and stressed redemption demand simultaneously — a quantity that cannot be asserted, only measured, which is why it is separately determined through the reserve stress tests of Section 23.11 [MS §47]. Coverage is designed at the stress point, not at the comfortable point: a reserve that covers obligations only when markets are calm is under-covered by definition.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Measure</w:t>
            </w:r>
          </w:p>
        </w:tc>
        <w:tc>
          <w:tcPr>
            <w:tcW w:type="pct" w:w="1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v1.2 Term</w:t>
            </w:r>
          </w:p>
        </w:tc>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v2.0 Term</w:t>
            </w:r>
          </w:p>
        </w:tc>
        <w:tc>
          <w:tcPr>
            <w:tcW w:type="pct" w:w="4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Relationship</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Backing adequacy</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 = NAV_t / Liability_t (gross values)</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CoverageRatio_t = EligibleReserveNAV_t / OutstandingMTQObligations_t (haircut-adjusted)</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CoverageRatio ≤ RR when haircuts are positive; the constitutional requirement binds on the eligible measure.</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Operating target</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rrTarget = 110%</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rrTarget = 110% (Listing 1)</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Unchanged.</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 floor</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rrStressFloor = 105%</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rrStressFloor = 105% (Section 14.2)</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Unchanged; DEFENSIVE trigger.</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Solvency floor</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RR_HARD_FLOOR = 100%</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CoverageRatio ≥ 1.00 (invariant I2)</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Same rule, stated on the conservative measure.</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The COO review endorsed the coverage ratio as sound — 'Good.' — but flagged the missing companion requirement, liquidity coverage, as 'one of the most important omissions' from the pasted version [COO-19]. Section 13.4 closes that omission. Solvency without liquidity is a solvency that cannot be delivered on time.</w:t>
      </w:r>
    </w:p>
    <w:p>
      <w:pPr>
        <w:pStyle w:val="Heading2"/>
        <w:keepNext/>
        <w:spacing w:after="160" w:before="360" w:line="340" w:lineRule="atLeast"/>
      </w:pPr>
      <w:bookmarkStart w:id="100136" w:name="_Toc100136"/>
      <w:r>
        <w:rPr>
          <w:rFonts w:ascii="Calibri" w:eastAsia="Microsoft YaHei" w:hAnsi="Calibri"/>
          <w:b/>
          <w:bCs/>
          <w:color w:val="1A1A1A"/>
          <w:sz w:val="28"/>
          <w:szCs w:val="28"/>
        </w:rPr>
        <w:t xml:space="preserve">13.3 Gold Reserve and Gold Index Allocation Are Separate</w:t>
      </w:r>
      <w:bookmarkEnd w:id="100136"/>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Index</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Reserve</w:t>
      </w:r>
    </w:p>
    <w:p>
      <w:pPr>
        <w:spacing w:after="120" w:line="312"/>
        <w:jc w:val="both"/>
      </w:pPr>
      <w:r>
        <w:rPr>
          <w:rFonts w:ascii="Calibri" w:eastAsia="SimSun" w:hAnsi="Calibri"/>
          <w:b w:val="false"/>
          <w:bCs w:val="false"/>
          <w:color w:val="1A1A1A"/>
          <w:sz w:val="21"/>
          <w:szCs w:val="21"/>
        </w:rPr>
        <w:t xml:space="preserve">This separation is mandatory [MS §49]. A 26% gold reference allocation does not mean the reserve must hold 26% gold — and no communication, parameter or contract state may assume otherwise. The rule is the reserve-side half of constitutional invariant I12 (Section 2.6): the gold reference allocation and the gold reserve allocation are separate, and no reserve asset may be used for secondary-market price support (the second half is Section 13.6).</w:t>
      </w:r>
    </w:p>
    <w:p>
      <w:pPr>
        <w:spacing w:after="120" w:line="312"/>
        <w:jc w:val="both"/>
      </w:pPr>
      <w:r>
        <w:rPr>
          <w:rFonts w:ascii="Calibri" w:eastAsia="SimSun" w:hAnsi="Calibri"/>
          <w:b w:val="false"/>
          <w:bCs w:val="false"/>
          <w:color w:val="1A1A1A"/>
          <w:sz w:val="21"/>
          <w:szCs w:val="21"/>
        </w:rPr>
        <w:t xml:space="preserve">The two gold quantities are produced by different engines for different purposes. W_{Gold}^{Index} is an output of MASE: gold's adaptive allocation is computed from its stability, diversification, purchasing-power and crisis characteristics (Section 3.3), bounded by the 20–32% validation envelope (Section 8.1), and it exists to define the unit. W_{Gold}^{Reserve} is an output of the reserve engine: the gold holding is sized by redemption risk, settlement liquidity, custody risk and collateral requirements (Sections 13.1 and 13.5), and it exists to back obligations. Neither is an input to the other — the gold index weight is not a reserve target, and the reserve holding is not evidence about the index.</w:t>
      </w:r>
    </w:p>
    <w:p>
      <w:pPr>
        <w:spacing w:after="120" w:line="312"/>
        <w:jc w:val="both"/>
      </w:pPr>
      <w:r>
        <w:rPr>
          <w:rFonts w:ascii="Calibri" w:eastAsia="SimSun" w:hAnsi="Calibri"/>
          <w:b w:val="false"/>
          <w:bCs w:val="false"/>
          <w:color w:val="1A1A1A"/>
          <w:sz w:val="21"/>
          <w:szCs w:val="21"/>
        </w:rPr>
        <w:t xml:space="preserve">Three consequences follow. First, communication discipline: quoting the index gold weight as the reserve gold holding is a category error, exactly as quoting any fixed percentage as the composition of MTQ Σ is a category error (Section 3.1). Second, movement independence: the index gold weight may traverse its envelope without automatically triggering any reserve trade — a reserve trade must independently justify itself through the reserve engine and the MARP execution gates (Chapters 10–12), so index-driven drift never becomes forced reserve turnover. Third, stress asymmetry: in a redemption surge the reserve shifts toward immediately liquid assets — potentially away from gold, whose LCR liquidity class is 0% (Section 13.4) — at exactly the time the index may be increasing gold's weight for crisis diversification (Section 5.5). Both movements are correct, because they answer different questions.</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Pinned section — referenced from invariant I12 (Section 2.6). Instrument eligibility for whatever gold the reserve does hold is governed by Chapter 15 (Section 15.8); the gold price reference for the index is governed by Chapter 17; the sizing methodology is specified in Section 13.5.</w:t>
      </w:r>
    </w:p>
    <w:p>
      <w:pPr>
        <w:pStyle w:val="Heading2"/>
        <w:keepNext/>
        <w:spacing w:after="160" w:before="360" w:line="340" w:lineRule="atLeast"/>
      </w:pPr>
      <w:bookmarkStart w:id="100137" w:name="_Toc100137"/>
      <w:r>
        <w:rPr>
          <w:rFonts w:ascii="Calibri" w:eastAsia="Microsoft YaHei" w:hAnsi="Calibri"/>
          <w:b/>
          <w:bCs/>
          <w:color w:val="1A1A1A"/>
          <w:sz w:val="28"/>
          <w:szCs w:val="28"/>
        </w:rPr>
        <w:t xml:space="preserve">13.4 Reserve Liquidity Coverage</w:t>
      </w:r>
      <w:bookmarkEnd w:id="100137"/>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Solvency does not guarantee liquidity. A reserve can be fully covered on a haircut-adjusted basis and still be unable to meet a sudden surge of redemptions, because its assets cannot be settled quickly enough [BP §4.3]. The liquidity coverage requirement is the second constitutional pillar of the reserve architecture.</w:t>
      </w:r>
    </w:p>
    <w:p>
      <w:pPr>
        <w:spacing w:after="120" w:line="312"/>
        <w:jc w:val="both"/>
      </w:pPr>
      <w:r>
        <w:rPr>
          <w:rFonts w:ascii="Calibri" w:eastAsia="SimSun" w:hAnsi="Calibri"/>
          <w:b w:val="false"/>
          <w:bCs w:val="false"/>
          <w:color w:val="1A1A1A"/>
          <w:sz w:val="21"/>
          <w:szCs w:val="21"/>
        </w:rPr>
        <w:t xml:space="preserve">The COO review of the modification specification identified exactly this gap: the pasted version carried the coverage ratio but not the liquidity requirement, calling it 'one of the most important omissions' [COO-19]. The requirement is therefore stated as a first-class constitutional constraint [MS §48, COO-19]:</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LiquidityCoverage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(ImmediatelyLiquidEligibleAssets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)/(NearTermObligations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LCR</w:t>
      </w:r>
      <w:r>
        <w:rPr>
          <w:rFonts w:ascii="Cambria" w:eastAsia="SimSun" w:hAnsi="Cambria"/>
          <w:i/>
          <w:iCs/>
          <w:color w:val="1A1A1A"/>
          <w:sz w:val="22"/>
          <w:szCs w:val="22"/>
          <w:vertAlign w:val="subscript"/>
        </w:rPr>
        <w:t xml:space="preserve">min</w:t>
      </w:r>
    </w:p>
    <w:p>
      <w:pPr>
        <w:spacing w:after="120" w:line="312"/>
        <w:jc w:val="both"/>
      </w:pPr>
      <w:r>
        <w:rPr>
          <w:rFonts w:ascii="Calibri" w:eastAsia="SimSun" w:hAnsi="Calibri"/>
          <w:b w:val="false"/>
          <w:bCs w:val="false"/>
          <w:color w:val="1A1A1A"/>
          <w:sz w:val="21"/>
          <w:szCs w:val="21"/>
        </w:rPr>
        <w:t xml:space="preserve">where LCR_{min} is determined through stress testing [MS §48]. The requirement answers a time dimension that CoverageRatio cannot see: coverage asks whether obligations are backed by value; liquidity coverage asks whether that value can arrive before the obligations do.</w:t>
      </w:r>
    </w:p>
    <w:p>
      <w:pPr>
        <w:pStyle w:val="Heading3"/>
        <w:keepNext/>
        <w:spacing w:after="120" w:before="300" w:line="312"/>
      </w:pPr>
      <w:bookmarkStart w:id="100138" w:name="_Toc100138"/>
      <w:r>
        <w:rPr>
          <w:rFonts w:ascii="Calibri" w:eastAsia="Microsoft YaHei" w:hAnsi="Calibri"/>
          <w:b/>
          <w:bCs/>
          <w:color w:val="333333"/>
          <w:sz w:val="24"/>
          <w:szCs w:val="24"/>
        </w:rPr>
        <w:t xml:space="preserve">13.4.1 What Counts as Immediately Liquid</w:t>
      </w:r>
      <w:bookmarkEnd w:id="100138"/>
    </w:p>
    <w:p>
      <w:pPr>
        <w:spacing w:after="120" w:line="312"/>
        <w:jc w:val="both"/>
      </w:pPr>
      <w:r>
        <w:rPr>
          <w:rFonts w:ascii="Calibri" w:eastAsia="SimSun" w:hAnsi="Calibri"/>
          <w:b w:val="false"/>
          <w:bCs w:val="false"/>
          <w:color w:val="1A1A1A"/>
          <w:sz w:val="21"/>
          <w:szCs w:val="21"/>
        </w:rPr>
        <w:t xml:space="preserve">Immediately liquid eligible assets are the portion of the reserve that can be settled within 24 hours without incurring excessive slippage (more than 0.5%) [BP §4.3.1]:</w:t>
      </w:r>
    </w:p>
    <w:p>
      <w:pPr>
        <w:spacing w:after="120" w:before="120" w:line="312"/>
        <w:jc w:val="center"/>
      </w:pPr>
      <w:r>
        <w:rPr>
          <w:rFonts w:ascii="Cambria" w:eastAsia="SimSun" w:hAnsi="Cambria"/>
          <w:i/>
          <w:iCs/>
          <w:color w:val="1A1A1A"/>
          <w:sz w:val="22"/>
          <w:szCs w:val="22"/>
        </w:rPr>
        <w:t xml:space="preserve">LiquidAssets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j </w:t>
      </w:r>
      <w:r>
        <w:rPr>
          <w:rFonts w:ascii="Cambria" w:eastAsia="SimSun" w:hAnsi="Cambria"/>
          <w:i w:val="false"/>
          <w:iCs w:val="false"/>
          <w:color w:val="1A1A1A"/>
          <w:sz w:val="22"/>
          <w:szCs w:val="22"/>
          <w:vertAlign w:val="subscript"/>
        </w:rPr>
        <w:t xml:space="preserve">∈</w:t>
      </w:r>
      <w:r>
        <w:rPr>
          <w:rFonts w:ascii="Cambria" w:eastAsia="SimSun" w:hAnsi="Cambria"/>
          <w:i/>
          <w:iCs/>
          <w:color w:val="1A1A1A"/>
          <w:sz w:val="22"/>
          <w:szCs w:val="22"/>
          <w:vertAlign w:val="subscript"/>
        </w:rPr>
        <w:t xml:space="preserve"> Stablecoins</w:t>
      </w:r>
      <w:r>
        <w:rPr>
          <w:rFonts w:ascii="Cambria" w:eastAsia="SimSun" w:hAnsi="Cambria"/>
          <w:i/>
          <w:iCs/>
          <w:color w:val="1A1A1A"/>
          <w:sz w:val="22"/>
          <w:szCs w:val="22"/>
        </w:rPr>
        <w:t xml:space="preserve"> Q</w:t>
      </w:r>
      <w:r>
        <w:rPr>
          <w:rFonts w:ascii="Cambria" w:eastAsia="SimSun" w:hAnsi="Cambria"/>
          <w:i/>
          <w:iCs/>
          <w:color w:val="1A1A1A"/>
          <w:sz w:val="22"/>
          <w:szCs w:val="22"/>
          <w:vertAlign w:val="subscript"/>
        </w:rPr>
        <w:t xml:space="preserve">j,t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j,t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H</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 Class</w:t>
            </w:r>
          </w:p>
        </w:tc>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LCR Liquidity Class</w:t>
            </w:r>
          </w:p>
        </w:tc>
        <w:tc>
          <w:tcPr>
            <w:tcW w:type="pct" w:w="6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Rationale</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Stablecoins (USDC, EURC)</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 liquid</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Deep 24-hour settlement; tight spreads (τ = 0.5%).</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Tokenized Gold (PAXG)</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 liquid</w:t>
            </w:r>
          </w:p>
        </w:tc>
        <w:tc>
          <w:tcPr>
            <w:tcW w:type="pct" w:w="6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markets can be closed on weekends; DEX liquidity can evaporate.</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BUIDL / Tokenized T-Bills</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 liquid unless approved</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Settlement windows exceed 24 hours; specific instruments may be approved by the Risk Council.</w:t>
            </w:r>
          </w:p>
        </w:tc>
      </w:tr>
    </w:tbl>
    <w:p>
      <w:pPr>
        <w:spacing w:after="120"/>
      </w:pPr>
    </w:p>
    <w:p>
      <w:pPr>
        <w:spacing w:after="120" w:line="312"/>
        <w:jc w:val="both"/>
      </w:pPr>
      <w:r>
        <w:rPr>
          <w:rFonts w:ascii="Calibri" w:eastAsia="SimSun" w:hAnsi="Calibri"/>
          <w:b w:val="false"/>
          <w:bCs w:val="false"/>
          <w:color w:val="1A1A1A"/>
          <w:sz w:val="21"/>
          <w:szCs w:val="21"/>
        </w:rPr>
        <w:t xml:space="preserve">The classification is deliberately unforgiving: gold is counted at zero despite being a deep, globally traded asset class, because the LCR measures worst-case convertibility on a 24-hour clock, and weekend closures and DEX liquidity evaporation are exactly the conditions under which the ratio is needed. In v2.0 the class assignment is an admission attribute of the Asset Admission Registry (Chapter 15) rather than a hard-coded list: an instrument that demonstrates 24-hour settlement with bounded slippage under stress can be admitted to the liquid class by governance — the tokenized-T-bill approval path of BP §4.3.1 is the same rule stated as an exception rather than as a general mechanism.</w:t>
      </w:r>
    </w:p>
    <w:p>
      <w:pPr>
        <w:pStyle w:val="Heading3"/>
        <w:keepNext/>
        <w:spacing w:after="120" w:before="300" w:line="312"/>
      </w:pPr>
      <w:bookmarkStart w:id="100139" w:name="_Toc100139"/>
      <w:r>
        <w:rPr>
          <w:rFonts w:ascii="Calibri" w:eastAsia="Microsoft YaHei" w:hAnsi="Calibri"/>
          <w:b/>
          <w:bCs/>
          <w:color w:val="333333"/>
          <w:sz w:val="24"/>
          <w:szCs w:val="24"/>
        </w:rPr>
        <w:t xml:space="preserve">13.4.2 Near-Term Obligations and Stress Redemption Demand</w:t>
      </w:r>
      <w:bookmarkEnd w:id="100139"/>
    </w:p>
    <w:p>
      <w:pPr>
        <w:spacing w:after="120" w:line="312"/>
        <w:jc w:val="both"/>
      </w:pPr>
      <w:r>
        <w:rPr>
          <w:rFonts w:ascii="Calibri" w:eastAsia="SimSun" w:hAnsi="Calibri"/>
          <w:b w:val="false"/>
          <w:bCs w:val="false"/>
          <w:color w:val="1A1A1A"/>
          <w:sz w:val="21"/>
          <w:szCs w:val="21"/>
        </w:rPr>
        <w:t xml:space="preserve">Near-term obligations NTO_t are the obligations that could come due within the stress horizon, and they are defined by stress testing rather than by the current redemption rate [MS §48]. The operational definition from the v1.2 architecture is the stress redemption demand: the estimated total USD value that could be redeemed within a 30-day stress period [BP §4.3.2]:</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StressRedemptionDemand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S</w:t>
      </w:r>
      <w:r>
        <w:rPr>
          <w:rFonts w:ascii="Cambria" w:eastAsia="SimSun" w:hAnsi="Cambria"/>
          <w:i/>
          <w:iCs/>
          <w:color w:val="1A1A1A"/>
          <w:sz w:val="22"/>
          <w:szCs w:val="22"/>
          <w:vertAlign w:val="subscript"/>
        </w:rPr>
        <w:t xml:space="preserve">circ,t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0.25</w:t>
      </w:r>
    </w:p>
    <w:p>
      <w:pPr>
        <w:spacing w:after="120" w:line="312"/>
        <w:jc w:val="both"/>
      </w:pPr>
      <w:r>
        <w:rPr>
          <w:rFonts w:ascii="Calibri" w:eastAsia="SimSun" w:hAnsi="Calibri"/>
          <w:b w:val="false"/>
          <w:bCs w:val="false"/>
          <w:color w:val="1A1A1A"/>
          <w:sz w:val="21"/>
          <w:szCs w:val="21"/>
        </w:rPr>
        <w:t xml:space="preserve">The 25% assumption holds that under extreme market conditions up to a quarter of the circulating supply could be redeemed within 30 days — a conservative figure based on historical stablecoin depeg scenarios [BP §4.3.2]. The pair (25%, 30 days) is the initial parameterization: the stress tests of Section 23.11 recalibrate both the fraction and the horizon against observed redemption behavior, and NTO_t additionally includes near-term operational obligations — fees, execution budgets and known costs — where they are material. The stress horizon and the 24-hour settlement clock of Section 13.4.1 are deliberately different clocks: the liquid buffer must cover the front of the redemption wave, and the reserve engine's re-routing capacity (Section 13.4.3) is what bridges the remainder of the horizon.</w:t>
      </w:r>
    </w:p>
    <w:p>
      <w:pPr>
        <w:pStyle w:val="Heading3"/>
        <w:keepNext/>
        <w:spacing w:after="120" w:before="300" w:line="312"/>
      </w:pPr>
      <w:bookmarkStart w:id="100140" w:name="_Toc100140"/>
      <w:r>
        <w:rPr>
          <w:rFonts w:ascii="Calibri" w:eastAsia="Microsoft YaHei" w:hAnsi="Calibri"/>
          <w:b/>
          <w:bCs/>
          <w:color w:val="333333"/>
          <w:sz w:val="24"/>
          <w:szCs w:val="24"/>
        </w:rPr>
        <w:t xml:space="preserve">13.4.3 The Constitutional Floor and Breach Behavior</w:t>
      </w:r>
      <w:bookmarkEnd w:id="100140"/>
    </w:p>
    <w:p>
      <w:pPr>
        <w:spacing w:after="120" w:before="120" w:line="312"/>
        <w:jc w:val="center"/>
      </w:pPr>
      <w:r>
        <w:rPr>
          <w:rFonts w:ascii="Cambria" w:eastAsia="SimSun" w:hAnsi="Cambria"/>
          <w:i/>
          <w:iCs/>
          <w:color w:val="1A1A1A"/>
          <w:sz w:val="22"/>
          <w:szCs w:val="22"/>
        </w:rPr>
        <w:t xml:space="preserve">LCR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1.00</w:t>
      </w:r>
    </w:p>
    <w:p>
      <w:pPr>
        <w:spacing w:after="120" w:line="312"/>
        <w:jc w:val="both"/>
      </w:pPr>
      <w:r>
        <w:rPr>
          <w:rFonts w:ascii="Calibri" w:eastAsia="SimSun" w:hAnsi="Calibri"/>
          <w:b w:val="false"/>
          <w:bCs w:val="false"/>
          <w:color w:val="1A1A1A"/>
          <w:sz w:val="21"/>
          <w:szCs w:val="21"/>
        </w:rPr>
        <w:t xml:space="preserve">If LCR_t &lt; 1.00, three responses engage automatically [BP §4.3.3]:</w:t>
      </w:r>
    </w:p>
    <w:p>
      <w:pPr>
        <w:pStyle w:val="ListParagraph"/>
        <w:numPr>
          <w:ilvl w:val="0"/>
          <w:numId w:val="10"/>
        </w:numPr>
        <w:spacing w:after="60" w:line="312"/>
        <w:jc w:val="left"/>
      </w:pPr>
      <w:r>
        <w:rPr>
          <w:rFonts w:ascii="Calibri" w:eastAsia="SimSun" w:hAnsi="Calibri"/>
          <w:b w:val="false"/>
          <w:bCs w:val="false"/>
          <w:color w:val="1A1A1A"/>
          <w:sz w:val="21"/>
          <w:szCs w:val="21"/>
        </w:rPr>
        <w:t xml:space="preserve">The protocol enters DEFENSIVE mode — the risk-state machine of Chapter 21 re-rates protocol posture and publishes the state change.</w:t>
      </w:r>
    </w:p>
    <w:p>
      <w:pPr>
        <w:pStyle w:val="ListParagraph"/>
        <w:numPr>
          <w:ilvl w:val="0"/>
          <w:numId w:val="10"/>
        </w:numPr>
        <w:spacing w:after="60" w:line="312"/>
        <w:jc w:val="left"/>
      </w:pPr>
      <w:r>
        <w:rPr>
          <w:rFonts w:ascii="Calibri" w:eastAsia="SimSun" w:hAnsi="Calibri"/>
          <w:b w:val="false"/>
          <w:bCs w:val="false"/>
          <w:color w:val="1A1A1A"/>
          <w:sz w:val="21"/>
          <w:szCs w:val="21"/>
        </w:rPr>
        <w:t xml:space="preserve">Rebalancing is re-routed to increase the liquid asset allocation — sell gold for stablecoins — until LCR returns above 1.00.</w:t>
      </w:r>
    </w:p>
    <w:p>
      <w:pPr>
        <w:pStyle w:val="ListParagraph"/>
        <w:numPr>
          <w:ilvl w:val="0"/>
          <w:numId w:val="10"/>
        </w:numPr>
        <w:spacing w:after="60" w:line="312"/>
        <w:jc w:val="left"/>
      </w:pPr>
      <w:r>
        <w:rPr>
          <w:rFonts w:ascii="Calibri" w:eastAsia="SimSun" w:hAnsi="Calibri"/>
          <w:b w:val="false"/>
          <w:bCs w:val="false"/>
          <w:color w:val="1A1A1A"/>
          <w:sz w:val="21"/>
          <w:szCs w:val="21"/>
        </w:rPr>
        <w:t xml:space="preserve">Minting is paused until LCR recovers; redemption remains available (Chapter 19).</w:t>
      </w:r>
    </w:p>
    <w:p>
      <w:pPr>
        <w:spacing w:after="120" w:line="312"/>
        <w:jc w:val="both"/>
      </w:pPr>
      <w:r>
        <w:rPr>
          <w:rFonts w:ascii="Calibri" w:eastAsia="SimSun" w:hAnsi="Calibri"/>
          <w:b w:val="false"/>
          <w:bCs w:val="false"/>
          <w:color w:val="1A1A1A"/>
          <w:sz w:val="21"/>
          <w:szCs w:val="21"/>
        </w:rPr>
        <w:t xml:space="preserve">The repair trades are executed through the Chapter 12 execution layer: they remain quote-based, slippage-bounded and liquidity-capped, because a liquidity repair executed at unbounded cost would repair the liquidity ratio by damaging the coverage ratio. Defensive rebalancing is obligation-driven, not price-driven — it is categorically distinct from the market-price support prohibited in Section 13.6.</w:t>
      </w:r>
    </w:p>
    <w:p>
      <w:pPr>
        <w:spacing w:after="120" w:line="312"/>
        <w:jc w:val="both"/>
      </w:pPr>
      <w:r>
        <w:rPr>
          <w:rFonts w:ascii="Calibri" w:eastAsia="SimSun" w:hAnsi="Calibri"/>
          <w:b w:val="false"/>
          <w:bCs w:val="false"/>
          <w:color w:val="1A1A1A"/>
          <w:sz w:val="21"/>
          <w:szCs w:val="21"/>
        </w:rPr>
        <w:t xml:space="preserve">The on-chain measure is the getLCR() function of Listing 1, which computes reserveState.liquidValue (the net stablecoin value) over exactly the BP stress demand — circulating supply times price times 25% — and is therefore a direct implementation of LiquidityCoverage with LIQ_t equal to the stablecoin NAV after haircuts and NTO_t equal to StressRedemptionDemand_t. The generalized definitions of this section govern interpretation: the getter is the canonical on-chain measure, the constitutional floor is 1.00, and the operational target (lcrTarget in Listing 1, a Risk-Council parameter initialized at 1.00) may be set above the floor following stress-test results. Widening the numerator beyond the stablecoin class is a governance act through Chapter 15 admission, not a contract-level reinterpretation.</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Worked example (full arithmetic in Appendix C): with circulating supply 10,000,000 MTQ Σ at a reference price of $1.05, obligations are $10.5M and NTO_t = 0.25 × $10.5M = $2.625M. If the reserve holds $2.80M of stablecoins net of haircuts, LiquidityCoverage = 2.80 / 2.625 ≈ 1.067 ≥ 1.00 — normal operation. If stablecoin holdings fall to $2.50M (a redemption wave without re-routing), LiquidityCoverage ≈ 0.952 &lt; 1.00 — DEFENSIVE mode, minting paused, and rebalancing re-routed toward liquid assets until the ratio recovers.</w:t>
      </w:r>
    </w:p>
    <w:p>
      <w:pPr>
        <w:pStyle w:val="Heading2"/>
        <w:keepNext/>
        <w:spacing w:after="160" w:before="360" w:line="340" w:lineRule="atLeast"/>
      </w:pPr>
      <w:bookmarkStart w:id="100141" w:name="_Toc100141"/>
      <w:r>
        <w:rPr>
          <w:rFonts w:ascii="Calibri" w:eastAsia="Microsoft YaHei" w:hAnsi="Calibri"/>
          <w:b/>
          <w:bCs/>
          <w:color w:val="1A1A1A"/>
          <w:sz w:val="28"/>
          <w:szCs w:val="28"/>
        </w:rPr>
        <w:t xml:space="preserve">13.5 Strategic Gold Reserve Sizing</w:t>
      </w:r>
      <w:bookmarkEnd w:id="100141"/>
    </w:p>
    <w:p>
      <w:pPr>
        <w:spacing w:after="120" w:line="312"/>
        <w:jc w:val="both"/>
      </w:pPr>
      <w:r>
        <w:rPr>
          <w:rFonts w:ascii="Calibri" w:eastAsia="SimSun" w:hAnsi="Calibri"/>
          <w:b w:val="false"/>
          <w:bCs w:val="false"/>
          <w:color w:val="1A1A1A"/>
          <w:sz w:val="21"/>
          <w:szCs w:val="21"/>
        </w:rPr>
        <w:t xml:space="preserve">The strategic gold reserve is sized by decision inputs, not by a fixed percentage [MS §50]:</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R</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 = f(MTQ</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obligations,</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GoldLinked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obligations,</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Stress,</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Custody,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Redemption)</w:t>
      </w:r>
    </w:p>
    <w:p>
      <w:pPr>
        <w:spacing w:after="120" w:line="312"/>
        <w:jc w:val="both"/>
      </w:pPr>
      <w:r>
        <w:rPr>
          <w:rFonts w:ascii="Calibri" w:eastAsia="SimSun" w:hAnsi="Calibri"/>
          <w:b w:val="false"/>
          <w:bCs w:val="false"/>
          <w:color w:val="1A1A1A"/>
          <w:sz w:val="21"/>
          <w:szCs w:val="21"/>
        </w:rPr>
        <w:t xml:space="preserve">— not simply R_G = 26%. The v1.2 figure of 26% (more precisely, the 26.25% total that its core-plus-buffer structure produced in the BASE state, Section 13.5.2) was the output of one parameterization under one set of conditions, and quoting it as the reserve gold allocation would repeat the fixed-weighting error of Section 3.1 on the reserve side. The reserve gold holding is recomputed by the reserve engine against the constraints of Sections 13.2 and 13.4.</w:t>
      </w:r>
    </w:p>
    <w:p>
      <w:pPr>
        <w:pStyle w:val="Heading3"/>
        <w:keepNext/>
        <w:spacing w:after="120" w:before="300" w:line="312"/>
      </w:pPr>
      <w:bookmarkStart w:id="100142" w:name="_Toc100142"/>
      <w:r>
        <w:rPr>
          <w:rFonts w:ascii="Calibri" w:eastAsia="Microsoft YaHei" w:hAnsi="Calibri"/>
          <w:b/>
          <w:bCs/>
          <w:color w:val="333333"/>
          <w:sz w:val="24"/>
          <w:szCs w:val="24"/>
        </w:rPr>
        <w:t xml:space="preserve">13.5.1 The Decision Inputs</w:t>
      </w:r>
      <w:bookmarkEnd w:id="100142"/>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Input</w:t>
            </w:r>
          </w:p>
        </w:tc>
        <w:tc>
          <w:tcPr>
            <w:tcW w:type="pct" w:w="8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How It Pushes the Gold Decision</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obligations</w:t>
            </w:r>
          </w:p>
        </w:tc>
        <w:tc>
          <w:tcPr>
            <w:tcW w:type="pct" w:w="8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Sets the scale: the total backing requirement that the gold holding shares with every other reserve asset.</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Gold-linked obligations</w:t>
            </w:r>
          </w:p>
        </w:tc>
        <w:tc>
          <w:tcPr>
            <w:tcW w:type="pct" w:w="8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If a gold-redeemable instrument exists (the historical SGTX-G concept, usable as design input only — Section 4.8), its obligations create a hard floor on gold holdings.</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w:t>
            </w:r>
          </w:p>
        </w:tc>
        <w:tc>
          <w:tcPr>
            <w:tcW w:type="pct" w:w="8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Gold's 0% LCR liquidity class (Section 13.4) means every additional unit of gold dilutes liquidity coverage; the LCR floor bounds gold from above.</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w:t>
            </w:r>
          </w:p>
        </w:tc>
        <w:tc>
          <w:tcPr>
            <w:tcW w:type="pct" w:w="8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Gold's diversification behavior under stress argues for holding more; redemption-surge behavior argues for holding less. The stress tests of Section 23.11 price this trade-off.</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Custody</w:t>
            </w:r>
          </w:p>
        </w:tc>
        <w:tc>
          <w:tcPr>
            <w:tcW w:type="pct" w:w="8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Issuer, counterparty and storage risk of the specific gold instruments — tokenized versus allocated physical (Section 13.5.3) — scale the haircut and the admissible share.</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w:t>
            </w:r>
          </w:p>
        </w:tc>
        <w:tc>
          <w:tcPr>
            <w:tcW w:type="pct" w:w="8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composition of observed redemption demand: redemptions settled in liquid assets do not require gold settlement capacity, so redemption behavior directly reduces the gold the reserve needs.</w:t>
            </w:r>
          </w:p>
        </w:tc>
      </w:tr>
    </w:tbl>
    <w:p>
      <w:pPr>
        <w:spacing w:after="120"/>
      </w:pPr>
    </w:p>
    <w:p>
      <w:pPr>
        <w:spacing w:after="120" w:line="312"/>
        <w:jc w:val="both"/>
      </w:pPr>
      <w:r>
        <w:rPr>
          <w:rFonts w:ascii="Calibri" w:eastAsia="SimSun" w:hAnsi="Calibri"/>
          <w:b w:val="false"/>
          <w:bCs w:val="false"/>
          <w:color w:val="1A1A1A"/>
          <w:sz w:val="21"/>
          <w:szCs w:val="21"/>
        </w:rPr>
        <w:t xml:space="preserve">Two constraints deserve emphasis. First, gold is bounded from above by the liquidity coverage requirement — a reserve cannot solve its solvency problem with gold at the cost of failing its liquidity problem. Second, strategic gold is not an everyday trading wallet: ordinary rebalancing and execution costs are paid from execution budgets, ordinary reserve operations and natural cash flows, and gold liquidation requires a defined exceptional condition — the reserve operations rules of Chapter 14 [MS §59].</w:t>
      </w:r>
    </w:p>
    <w:p>
      <w:pPr>
        <w:pStyle w:val="Heading3"/>
        <w:keepNext/>
        <w:spacing w:after="120" w:before="300" w:line="312"/>
      </w:pPr>
      <w:bookmarkStart w:id="100143" w:name="_Toc100143"/>
      <w:r>
        <w:rPr>
          <w:rFonts w:ascii="Calibri" w:eastAsia="Microsoft YaHei" w:hAnsi="Calibri"/>
          <w:b/>
          <w:bCs/>
          <w:color w:val="333333"/>
          <w:sz w:val="24"/>
          <w:szCs w:val="24"/>
        </w:rPr>
        <w:t xml:space="preserve">13.5.2 Historical Input — the v1.2 Core-plus-Buffer Structure</w:t>
      </w:r>
      <w:bookmarkEnd w:id="100143"/>
    </w:p>
    <w:p>
      <w:pPr>
        <w:spacing w:after="120" w:line="312"/>
        <w:jc w:val="both"/>
      </w:pPr>
      <w:r>
        <w:rPr>
          <w:rFonts w:ascii="Calibri" w:eastAsia="SimSun" w:hAnsi="Calibri"/>
          <w:b w:val="false"/>
          <w:bCs w:val="false"/>
          <w:color w:val="1A1A1A"/>
          <w:sz w:val="21"/>
          <w:szCs w:val="21"/>
        </w:rPr>
        <w:t xml:space="preserve">The v1.2 architecture decomposed the reserve into a core and an actively managed buffer [BP §8]. The core reserve provides the 100% liability coverage and is never touched for profit; the buffer is an additional 10% of excess collateral, managed as a defense layer whose gold ratio moves with the reserve ratio. The core held 20% gold (CORE_GOLD_WEIGHT), and the buffer's gold ratio B_{gold}(RR_t) took three state-dependent values:</w:t>
      </w:r>
    </w:p>
    <w:p>
      <w:pPr>
        <w:spacing w:after="120" w:before="120" w:line="312"/>
        <w:jc w:val="center"/>
      </w:pP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core,t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buffer,t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V</w:t>
      </w:r>
      <w:r>
        <w:rPr>
          <w:rFonts w:ascii="Cambria" w:eastAsia="SimSun" w:hAnsi="Cambria"/>
          <w:i/>
          <w:iCs/>
          <w:color w:val="1A1A1A"/>
          <w:sz w:val="22"/>
          <w:szCs w:val="22"/>
          <w:vertAlign w:val="subscript"/>
        </w:rPr>
        <w:t xml:space="preserve">core,t</w:t>
      </w:r>
      <w:r>
        <w:rPr>
          <w:rFonts w:ascii="Cambria" w:eastAsia="SimSun" w:hAnsi="Cambria"/>
          <w:i/>
          <w:iCs/>
          <w:color w:val="1A1A1A"/>
          <w:sz w:val="22"/>
          <w:szCs w:val="22"/>
        </w:rPr>
        <w:t xml:space="preserve"> = S</w:t>
      </w:r>
      <w:r>
        <w:rPr>
          <w:rFonts w:ascii="Cambria" w:eastAsia="SimSun" w:hAnsi="Cambria"/>
          <w:i/>
          <w:iCs/>
          <w:color w:val="1A1A1A"/>
          <w:sz w:val="22"/>
          <w:szCs w:val="22"/>
          <w:vertAlign w:val="subscript"/>
        </w:rPr>
        <w:t xml:space="preserve">circ,t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V</w:t>
      </w:r>
      <w:r>
        <w:rPr>
          <w:rFonts w:ascii="Cambria" w:eastAsia="SimSun" w:hAnsi="Cambria"/>
          <w:i/>
          <w:iCs/>
          <w:color w:val="1A1A1A"/>
          <w:sz w:val="22"/>
          <w:szCs w:val="22"/>
          <w:vertAlign w:val="subscript"/>
        </w:rPr>
        <w:t xml:space="preserve">buffer,t</w:t>
      </w:r>
      <w:r>
        <w:rPr>
          <w:rFonts w:ascii="Cambria" w:eastAsia="SimSun" w:hAnsi="Cambria"/>
          <w:i/>
          <w:iCs/>
          <w:color w:val="1A1A1A"/>
          <w:sz w:val="22"/>
          <w:szCs w:val="22"/>
        </w:rPr>
        <w:t xml:space="preserve"> = 0.10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S</w:t>
      </w:r>
      <w:r>
        <w:rPr>
          <w:rFonts w:ascii="Cambria" w:eastAsia="SimSun" w:hAnsi="Cambria"/>
          <w:i/>
          <w:iCs/>
          <w:color w:val="1A1A1A"/>
          <w:sz w:val="22"/>
          <w:szCs w:val="22"/>
          <w:vertAlign w:val="subscript"/>
        </w:rPr>
        <w:t xml:space="preserve">circ,t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MTQ,t</w:t>
      </w:r>
    </w:p>
    <w:p>
      <w:pPr>
        <w:spacing w:after="120" w:before="120" w:line="312"/>
        <w:jc w:val="center"/>
      </w:pP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buffer,gold,t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buffer,t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B</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V</w:t>
      </w:r>
      <w:r>
        <w:rPr>
          <w:rFonts w:ascii="Cambria" w:eastAsia="SimSun" w:hAnsi="Cambria"/>
          <w:i/>
          <w:iCs/>
          <w:color w:val="1A1A1A"/>
          <w:sz w:val="22"/>
          <w:szCs w:val="22"/>
          <w:vertAlign w:val="subscript"/>
        </w:rPr>
        <w:t xml:space="preserve">buffer,fiat,t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buffer,t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B</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total</w:t>
      </w:r>
      <w:r>
        <w:rPr>
          <w:rFonts w:ascii="Cambria" w:eastAsia="SimSun" w:hAnsi="Cambria"/>
          <w:i/>
          <w:iCs/>
          <w:color w:val="1A1A1A"/>
          <w:sz w:val="22"/>
          <w:szCs w:val="22"/>
        </w:rPr>
        <w:t xml:space="preserve"> = 0.20 + 0.10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B</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gridCol w:w="100"/>
        <w:gridCol w:w="100"/>
      </w:tblGrid>
      <w:tr>
        <w:trPr>
          <w:cantSplit/>
          <w:tblHeader/>
        </w:trPr>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State</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RR Range</w:t>
            </w:r>
          </w:p>
        </w:tc>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B_gold</w:t>
            </w:r>
          </w:p>
        </w:tc>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Buffer Fiat</w:t>
            </w:r>
          </w:p>
        </w:tc>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Total Reserve Gold</w:t>
            </w:r>
          </w:p>
        </w:tc>
        <w:tc>
          <w:tcPr>
            <w:tcW w:type="pct" w:w="5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BASE (Normal)</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1.10</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62.5%</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37.5%</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26.25%</w:t>
            </w:r>
          </w:p>
        </w:tc>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Normal operations; split derived from simulations (Pareto frontier).</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 ≤ RR &lt; 1.10</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85%</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15%</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28.5%</w:t>
            </w:r>
          </w:p>
        </w:tc>
        <w:tc>
          <w:tcPr>
            <w:tcW w:type="pct" w:w="5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Defensive posture; minting throttled to 50% capacity.</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&lt; 1.05</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30.0%</w:t>
            </w:r>
          </w:p>
        </w:tc>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Maximum defense; minting paused; emergency rebalancing triggered; redemption allowed with increased fee.</w:t>
            </w:r>
          </w:p>
        </w:tc>
      </w:tr>
    </w:tbl>
    <w:p>
      <w:pPr>
        <w:spacing w:after="120"/>
      </w:pPr>
    </w:p>
    <w:p>
      <w:pPr>
        <w:spacing w:after="120" w:line="312"/>
        <w:jc w:val="both"/>
      </w:pPr>
      <w:r>
        <w:rPr>
          <w:rFonts w:ascii="Calibri" w:eastAsia="SimSun" w:hAnsi="Calibri"/>
          <w:b w:val="false"/>
          <w:bCs w:val="false"/>
          <w:color w:val="1A1A1A"/>
          <w:sz w:val="21"/>
          <w:szCs w:val="21"/>
        </w:rPr>
        <w:t xml:space="preserve">Transitions between BASE and STRESS ramp linearly over 24 hours to avoid market impact; the transition into EMERGENCY jumps immediately. The structure caps total reserve gold at 30% — the buffer never makes the reserve 100% gold — and orders loss absorption as a first-loss waterfall: operational surplus first, then buffer fiat, buffer gold, core fiat, and core gold last, with core-gold consumption protected by an Exhaustion Certificate requiring a 4/7 Multi-Sig. In v2.0 this structure is retained as historical input and candidate policy: it demonstrates the correct shape — a stress-conditional gold policy with RR-triggered layers, capped exposure and a protected core — but its specific numbers are validation-stage values, to be re-derived under the Section 13.5.1 inputs and the Section 23.11 stress tests rather than quoted as the reserve's definition. The operational reserve-ratio tiers and the reserve manager contract that executes this policy live in Chapter 14.</w:t>
      </w:r>
    </w:p>
    <w:p>
      <w:pPr>
        <w:pStyle w:val="Heading3"/>
        <w:keepNext/>
        <w:spacing w:after="120" w:before="300" w:line="312"/>
      </w:pPr>
      <w:bookmarkStart w:id="100144" w:name="_Toc100144"/>
      <w:r>
        <w:rPr>
          <w:rFonts w:ascii="Calibri" w:eastAsia="Microsoft YaHei" w:hAnsi="Calibri"/>
          <w:b/>
          <w:bCs/>
          <w:color w:val="333333"/>
          <w:sz w:val="24"/>
          <w:szCs w:val="24"/>
        </w:rPr>
        <w:t xml:space="preserve">13.5.3 Instrument Eligibility — Tokenized and Physical Gold</w:t>
      </w:r>
      <w:bookmarkEnd w:id="100144"/>
    </w:p>
    <w:p>
      <w:pPr>
        <w:spacing w:after="120" w:line="312"/>
        <w:jc w:val="both"/>
      </w:pPr>
      <w:r>
        <w:rPr>
          <w:rFonts w:ascii="Calibri" w:eastAsia="SimSun" w:hAnsi="Calibri"/>
          <w:b w:val="false"/>
          <w:bCs w:val="false"/>
          <w:color w:val="1A1A1A"/>
          <w:sz w:val="21"/>
          <w:szCs w:val="21"/>
        </w:rPr>
        <w:t xml:space="preserve">Tokenized gold may be an eligible implementation instrument for reserve gold exposure [MS §51]. Eligibility is scored per instrument j:</w:t>
      </w:r>
    </w:p>
    <w:p>
      <w:pPr>
        <w:spacing w:after="120" w:before="120" w:line="312"/>
        <w:jc w:val="center"/>
      </w:pPr>
      <w:r>
        <w:rPr>
          <w:rFonts w:ascii="Cambria" w:eastAsia="SimSun" w:hAnsi="Cambria"/>
          <w:i/>
          <w:iCs/>
          <w:color w:val="1A1A1A"/>
          <w:sz w:val="22"/>
          <w:szCs w:val="22"/>
        </w:rPr>
        <w:t xml:space="preserve">E</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 f(UnderlyingGoldCoverage,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Custody,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Redemption,</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IssuerRisk,</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Auditability,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LegalRights)</w:t>
      </w:r>
    </w:p>
    <w:p>
      <w:pPr>
        <w:spacing w:after="120" w:before="120" w:line="312"/>
        <w:jc w:val="center"/>
      </w:pPr>
      <w:r>
        <w:rPr>
          <w:rFonts w:ascii="Cambria" w:eastAsia="SimSun" w:hAnsi="Cambria"/>
          <w:i/>
          <w:iCs/>
          <w:color w:val="1A1A1A"/>
          <w:sz w:val="22"/>
          <w:szCs w:val="22"/>
        </w:rPr>
        <w:t xml:space="preserve">E</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E</w:t>
      </w:r>
      <w:r>
        <w:rPr>
          <w:rFonts w:ascii="Cambria" w:eastAsia="SimSun" w:hAnsi="Cambria"/>
          <w:i/>
          <w:iCs/>
          <w:color w:val="1A1A1A"/>
          <w:sz w:val="22"/>
          <w:szCs w:val="22"/>
          <w:vertAlign w:val="subscript"/>
        </w:rPr>
        <w:t xml:space="preserve">min</w:t>
      </w:r>
    </w:p>
    <w:p>
      <w:pPr>
        <w:spacing w:after="120" w:line="312"/>
        <w:jc w:val="both"/>
      </w:pPr>
      <w:r>
        <w:rPr>
          <w:rFonts w:ascii="Calibri" w:eastAsia="SimSun" w:hAnsi="Calibri"/>
          <w:b w:val="false"/>
          <w:bCs w:val="false"/>
          <w:color w:val="1A1A1A"/>
          <w:sz w:val="21"/>
          <w:szCs w:val="21"/>
        </w:rPr>
        <w:t xml:space="preserve">Only instruments meeting the threshold can enter the reserve. The full admission machinery — scoring weights, thresholds and registry state — is the Asset Admission framework of Chapter 15 (Section 15.8); the reserve consumes its outputs. Physical gold is the comparison case: where legally and operationally appropriate, allocated physical bullion provides a different risk profile from an issuer-dependent token, and the reserve engine must be able to compare PhysicalGold against TokenizedPhysicalGold using the same reserve-risk framework — the same inputs (custody, liquidity, auditability, legal rights), the same haircuts and the same LCR class [MS §52].</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Tokenized gold is an implementation and collateral instrument, not the definition of gold [MS §51].</w:t>
      </w:r>
    </w:p>
    <w:p>
      <w:pPr>
        <w:spacing w:after="120" w:line="312"/>
        <w:jc w:val="both"/>
      </w:pPr>
      <w:r>
        <w:rPr>
          <w:rFonts w:ascii="Calibri" w:eastAsia="SimSun" w:hAnsi="Calibri"/>
          <w:b w:val="false"/>
          <w:bCs w:val="false"/>
          <w:color w:val="1A1A1A"/>
          <w:sz w:val="21"/>
          <w:szCs w:val="21"/>
        </w:rPr>
        <w:t xml:space="preserve">That sentence closes the loop with the reference basket. The index's gold exposure is to the gold price reference unit (Section 17.4), sourced from the canonical multi-source oracle (Chapter 17), not to any token; the reserve's gold exposure is to whatever eligible instrument best carries it under the Section 13.5.1 decision inputs. Either side may change instruments or weights without renegotiating the other — the same separation stated three times: Section 2.4 in general, Section 13.3 for gold specifically, and here at the instrument level.</w:t>
      </w:r>
    </w:p>
    <w:p>
      <w:pPr>
        <w:pStyle w:val="Heading2"/>
        <w:keepNext/>
        <w:spacing w:after="160" w:before="360" w:line="340" w:lineRule="atLeast"/>
      </w:pPr>
      <w:bookmarkStart w:id="100145" w:name="_Toc100145"/>
      <w:r>
        <w:rPr>
          <w:rFonts w:ascii="Calibri" w:eastAsia="Microsoft YaHei" w:hAnsi="Calibri"/>
          <w:b/>
          <w:bCs/>
          <w:color w:val="1A1A1A"/>
          <w:sz w:val="28"/>
          <w:szCs w:val="28"/>
        </w:rPr>
        <w:t xml:space="preserve">13.6 No Market-Price Support</w:t>
      </w:r>
      <w:bookmarkEnd w:id="100145"/>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MTQ Σ must not use reserve assets to guarantee a secondary-market price, to engineer appreciation, to conduct discretionary buybacks, or to create an artificial floor. The reserve protects system obligations, not speculative market pricing [MS §61].</w:t>
      </w:r>
    </w:p>
    <w:p>
      <w:pPr>
        <w:spacing w:after="120" w:line="312"/>
        <w:jc w:val="both"/>
      </w:pPr>
      <w:r>
        <w:rPr>
          <w:rFonts w:ascii="Calibri" w:eastAsia="SimSun" w:hAnsi="Calibri"/>
          <w:b w:val="false"/>
          <w:bCs w:val="false"/>
          <w:color w:val="1A1A1A"/>
          <w:sz w:val="21"/>
          <w:szCs w:val="21"/>
        </w:rPr>
        <w:t xml:space="preserve">The prohibition is absolute and explicit. The reserve must never be used to:</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Guarantee a secondary-market price of MTQ Σ.</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Engineer appreciation of the MTQ Σ market price.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Conduct discretionary buybacks of MTQ Σ.</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Create an artificial floor under the MTQ Σ market price.</w:t>
      </w:r>
    </w:p>
    <w:p>
      <w:pPr>
        <w:spacing w:after="120" w:line="312"/>
        <w:jc w:val="both"/>
      </w:pPr>
      <w:r>
        <w:rPr>
          <w:rFonts w:ascii="Calibri" w:eastAsia="SimSun" w:hAnsi="Calibri"/>
          <w:b w:val="false"/>
          <w:bCs w:val="false"/>
          <w:color w:val="1A1A1A"/>
          <w:sz w:val="21"/>
          <w:szCs w:val="21"/>
        </w:rPr>
        <w:t xml:space="preserve">Three arguments ground the rule. First, coverage erosion: every unit of reserve committed to defending a market price is a unit not backing an obligation, so price support consumes the CoverageRatio and LiquidityCoverage budgets of Sections 13.2 and 13.4 without improving either — the reserve would be weakest exactly while it is being spent. Second, implicit-promise hazard: a defended price converts a methodology-defined unit into a discretionary liability. The value of MTQ Σ derives from the index (Chapter 9) and from mint/redeem equivalence at index value (Chapter 19), not from a defended market quote — the denomination is a normalization choice, not a price promise (Section 3.5). Third, incompatibility with adaptive weights: the basket's weights float by design (Chapters 3–8); there is no fixed price level to defend, and any attempted floor would silently re-encode the fixed-quantity assumption the constitution has abandoned.</w:t>
      </w:r>
    </w:p>
    <w:p>
      <w:pPr>
        <w:spacing w:after="120" w:line="312"/>
        <w:jc w:val="both"/>
      </w:pPr>
      <w:r>
        <w:rPr>
          <w:rFonts w:ascii="Calibri" w:eastAsia="SimSun" w:hAnsi="Calibri"/>
          <w:b w:val="false"/>
          <w:bCs w:val="false"/>
          <w:color w:val="1A1A1A"/>
          <w:sz w:val="21"/>
          <w:szCs w:val="21"/>
        </w:rPr>
        <w:t xml:space="preserve">The rule draws a sharp line between system-integrity controls and market intervention. The crisis framework — the crisis score (Section 5.5), crisis mode (Section 14.4) and the DEFENSIVE/CRISIS risk states of Chapter 21 — exists to protect CoverageRatio, LiquidityCoverage and settlement capacity: redemption fees, mint throttles and pauses, LCR repair rebalancing (Section 13.4.3) and execution-size limits are all obligation-driven, and none of them trades MTQ Σ in the secondary market. Market-price discipline is provided by the permissionless primary market instead: because minting and redemption occur at index value (Chapter 19), any participant can arbitrage a secondary-market deviation — a mechanism, not an intervention, and one that costs the reserve nothing. The previous architecture's prohibition on buybacks and price support remains appropriate and is retained unchanged [MS §61].</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Pinned section — the second clause of invariant I12 (Section 2.6, alongside Section 13.3). Cross-references: crisis mode (Section 14.4), risk states (Chapter 21), the primary market (Chapter 19), and publication of every defensive action with reason codes (Chapter 24).</w:t>
      </w:r>
    </w:p>
    <w:p>
      <w:pPr>
        <w:pStyle w:val="Heading1"/>
        <w:keepNext/>
        <w:pBdr>
          <w:bottom w:val="single" w:color="C9A84C" w:sz="12" w:space="6"/>
        </w:pBdr>
        <w:spacing w:after="220" w:before="480" w:line="380" w:lineRule="atLeast"/>
      </w:pPr>
      <w:bookmarkStart w:id="100146" w:name="_Toc100146"/>
      <w:r>
        <w:rPr>
          <w:rFonts w:ascii="Calibri" w:eastAsia="Microsoft YaHei" w:hAnsi="Calibri"/>
          <w:b/>
          <w:bCs/>
          <w:color w:val="1A1A1A"/>
          <w:sz w:val="32"/>
          <w:szCs w:val="32"/>
        </w:rPr>
        <w:t xml:space="preserve">14. Reserve Valuation and Risk Management</w:t>
      </w:r>
      <w:bookmarkEnd w:id="100146"/>
    </w:p>
    <w:p>
      <w:pPr>
        <w:pStyle w:val="Heading2"/>
        <w:keepNext/>
        <w:spacing w:after="160" w:before="360" w:line="340" w:lineRule="atLeast"/>
      </w:pPr>
      <w:bookmarkStart w:id="100147" w:name="_Toc100147"/>
      <w:r>
        <w:rPr>
          <w:rFonts w:ascii="Calibri" w:eastAsia="Microsoft YaHei" w:hAnsi="Calibri"/>
          <w:b/>
          <w:bCs/>
          <w:color w:val="1A1A1A"/>
          <w:sz w:val="28"/>
          <w:szCs w:val="28"/>
        </w:rPr>
        <w:t xml:space="preserve">14.1 Net Asset Value — Prudential Valuation</w:t>
      </w:r>
      <w:bookmarkEnd w:id="100147"/>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protocol does not use the gross market value of its reserve to determine solvency. Every reserve instrument is carried at a prudential value — its oracle-consensus price less an asset-specific haircut — so that the balance sheet already anticipates the frictions of an actual liquidation before they are discovered [BP §4.1].</w:t>
      </w:r>
    </w:p>
    <w:p>
      <w:pPr>
        <w:spacing w:after="120" w:line="312"/>
        <w:jc w:val="both"/>
      </w:pPr>
      <w:r>
        <w:rPr>
          <w:rFonts w:ascii="Calibri" w:eastAsia="SimSun" w:hAnsi="Calibri"/>
          <w:b w:val="false"/>
          <w:bCs w:val="false"/>
          <w:color w:val="1A1A1A"/>
          <w:sz w:val="21"/>
          <w:szCs w:val="21"/>
        </w:rPr>
        <w:t xml:space="preserve">A haircut H_j is a fixed safety discount applied to asset j that accounts for settlement risk, custody risk, and potential depeg or slippage during liquidation. Gross valuations systematically overstate what a reserve could actually deliver under stress, because the price at which an asset marks is rarely the price at which it clears when many sellers are transacting at once. Prudential valuation internalizes that gap at measurement time rather than at trade time. The net asset value of the reserve at time t is: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j=1</w:t>
      </w:r>
      <w:r>
        <w:rPr>
          <w:rFonts w:ascii="Cambria" w:eastAsia="SimSun" w:hAnsi="Cambria"/>
          <w:i/>
          <w:iCs/>
          <w:color w:val="1A1A1A"/>
          <w:sz w:val="22"/>
          <w:szCs w:val="22"/>
          <w:vertAlign w:val="superscript"/>
        </w:rPr>
        <w:t xml:space="preserve">n</w:t>
      </w:r>
      <w:r>
        <w:rPr>
          <w:rFonts w:ascii="Cambria" w:eastAsia="SimSun" w:hAnsi="Cambria"/>
          <w:i/>
          <w:iCs/>
          <w:color w:val="1A1A1A"/>
          <w:sz w:val="22"/>
          <w:szCs w:val="22"/>
        </w:rPr>
        <w:t xml:space="preserve"> Q</w:t>
      </w:r>
      <w:r>
        <w:rPr>
          <w:rFonts w:ascii="Cambria" w:eastAsia="SimSun" w:hAnsi="Cambria"/>
          <w:i/>
          <w:iCs/>
          <w:color w:val="1A1A1A"/>
          <w:sz w:val="22"/>
          <w:szCs w:val="22"/>
          <w:vertAlign w:val="subscript"/>
        </w:rPr>
        <w:t xml:space="preserve">j,t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j,t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H</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Q_{j,t} is the quantity of reserve asset j (for example 10,000 USDC, or 1.5 PAXG), P_{j,t} is the current USD price of asset j from the multi-source oracle consensus (Chapter 17), and H_j is the fixed haircut for asset j. This definition is constitutional: invariant I4 (Section 2.6) requires that V_{net,t} is always calculated with asset-specific haircuts, and the core variable table of Section 2.5 carries V_{net,t} with exactly this expression. Any figure published as the reserve value that omits the haircut term is, by definition, not the protocol's NAV.</w:t>
      </w:r>
    </w:p>
    <w:p>
      <w:pPr>
        <w:spacing w:after="120" w:line="312"/>
        <w:jc w:val="both"/>
      </w:pPr>
      <w:r>
        <w:rPr>
          <w:rFonts w:ascii="Calibri" w:eastAsia="SimSun" w:hAnsi="Calibri"/>
          <w:b w:val="false"/>
          <w:bCs w:val="false"/>
          <w:color w:val="1A1A1A"/>
          <w:sz w:val="21"/>
          <w:szCs w:val="21"/>
        </w:rPr>
        <w:t xml:space="preserve">For gold instruments the valuation is deliberately conservative. The protocol uses the </w:t>
      </w:r>
      <w:r>
        <w:rPr>
          <w:rFonts w:ascii="Calibri" w:eastAsia="SimSun" w:hAnsi="Calibri"/>
          <w:b/>
          <w:bCs/>
          <w:color w:val="1A1A1A"/>
          <w:sz w:val="21"/>
          <w:szCs w:val="21"/>
        </w:rPr>
        <w:t xml:space="preserve">more conservative</w:t>
      </w:r>
      <w:r>
        <w:rPr>
          <w:rFonts w:ascii="Calibri" w:eastAsia="SimSun" w:hAnsi="Calibri"/>
          <w:b w:val="false"/>
          <w:bCs w:val="false"/>
          <w:color w:val="1A1A1A"/>
          <w:sz w:val="21"/>
          <w:szCs w:val="21"/>
        </w:rPr>
        <w:t xml:space="preserve"> of the two gold prices for NAV calculation — the reference price (LBMA spot consensus) versus the executable price (PAXG market price) [BP §4.1]:</w:t>
      </w:r>
    </w:p>
    <w:p>
      <w:pPr>
        <w:spacing w:after="120" w:before="120" w:line="312"/>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min</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gold,reference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gold,executable</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This min-of-two rule avoids overvaluing gold during thin liquidity, when the executable price can fall below the reference spot price, and it composes with the canonical gold-price aggregation of Section 17.4. The same conservatism appears again in the liquidity framework: tokenized gold is treated as 0% liquid for LCR purposes (Section 13.4), so gold is marked carefully and counted cautiously at every layer of the balance sheet.</w:t>
      </w:r>
    </w:p>
    <w:p>
      <w:pPr>
        <w:pStyle w:val="Heading3"/>
        <w:keepNext/>
        <w:spacing w:after="120" w:before="300" w:line="312"/>
      </w:pPr>
      <w:bookmarkStart w:id="100148" w:name="_Toc100148"/>
      <w:r>
        <w:rPr>
          <w:rFonts w:ascii="Calibri" w:eastAsia="Microsoft YaHei" w:hAnsi="Calibri"/>
          <w:b/>
          <w:bCs/>
          <w:color w:val="333333"/>
          <w:sz w:val="24"/>
          <w:szCs w:val="24"/>
        </w:rPr>
        <w:t xml:space="preserve">14.1.1 The Constitutional Haircut Table</w:t>
      </w:r>
      <w:bookmarkEnd w:id="100148"/>
    </w:p>
    <w:p>
      <w:pPr>
        <w:spacing w:after="120" w:line="312"/>
        <w:jc w:val="both"/>
      </w:pPr>
      <w:r>
        <w:rPr>
          <w:rFonts w:ascii="Calibri" w:eastAsia="SimSun" w:hAnsi="Calibri"/>
          <w:b w:val="false"/>
          <w:bCs w:val="false"/>
          <w:color w:val="1A1A1A"/>
          <w:sz w:val="21"/>
          <w:szCs w:val="21"/>
        </w:rPr>
        <w:t xml:space="preserve">The haircut schedule below is the v1.2 constitutional table, retained as the default calibration [BP §4.1.1]. The haircuts are </w:t>
      </w:r>
      <w:r>
        <w:rPr>
          <w:rFonts w:ascii="Calibri" w:eastAsia="SimSun" w:hAnsi="Calibri"/>
          <w:b/>
          <w:bCs/>
          <w:color w:val="1A1A1A"/>
          <w:sz w:val="21"/>
          <w:szCs w:val="21"/>
        </w:rPr>
        <w:t xml:space="preserve">immutable by default</w:t>
      </w:r>
      <w:r>
        <w:rPr>
          <w:rFonts w:ascii="Calibri" w:eastAsia="SimSun" w:hAnsi="Calibri"/>
          <w:b w:val="false"/>
          <w:bCs w:val="false"/>
          <w:color w:val="1A1A1A"/>
          <w:sz w:val="21"/>
          <w:szCs w:val="21"/>
        </w:rPr>
        <w:t xml:space="preserve"> but can be adjusted by the Risk Council (4-of-7 Multi-Sig, 24-hour timelock) if the risk profile of an asset changes materially — for example, if an issuer's redemption window lengthens or an audit finds custody weaknesses. Haircut calibration is itself a stress-test subject: the validation program (Section 23.11) checks that each H_j covers realized liquidation costs in historical depeg and fire-sale scenarios.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 Class</w:t>
            </w:r>
          </w:p>
        </w:tc>
        <w:tc>
          <w:tcPr>
            <w:tcW w:type="pct" w:w="2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 Example</w:t>
            </w:r>
          </w:p>
        </w:tc>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Haircut (H_j)</w:t>
            </w:r>
          </w:p>
        </w:tc>
        <w:tc>
          <w:tcPr>
            <w:tcW w:type="pct" w:w="4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Rationale</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Stablecoin</w:t>
            </w:r>
          </w:p>
        </w:tc>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USDP</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Extremely liquid; regulated; minimal depeg risk.</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 Stablecoin</w:t>
            </w:r>
          </w:p>
        </w:tc>
        <w:tc>
          <w:tcPr>
            <w:tcW w:type="pct" w:w="2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0.7%</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Highly liquid; slightly lower market depth than USDC.</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 Stablecoin</w:t>
            </w:r>
          </w:p>
        </w:tc>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Lower on-chain liquidity; higher conversion friction.</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 Stablecoin</w:t>
            </w:r>
          </w:p>
        </w:tc>
        <w:tc>
          <w:tcPr>
            <w:tcW w:type="pct" w:w="2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Lower on-chain liquidity; higher conversion friction.</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 Stablecoin</w:t>
            </w:r>
          </w:p>
        </w:tc>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 (offshore CNH)</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1.5%</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Limited liquidity; offshore market constraints.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Tokenized Gold</w:t>
            </w:r>
          </w:p>
        </w:tc>
        <w:tc>
          <w:tcPr>
            <w:tcW w:type="pct" w:w="2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 XAUT</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Custody spread (0.5%) + DEX slippage (0.5%) on sale.</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Tokenized T-Bills</w:t>
            </w:r>
          </w:p>
        </w:tc>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BUIDL (if approved)</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Interest-rate risk; redemption delay risk.</w:t>
            </w:r>
          </w:p>
        </w:tc>
      </w:tr>
    </w:tbl>
    <w:p>
      <w:pPr>
        <w:spacing w:after="120"/>
      </w:pPr>
    </w:p>
    <w:p>
      <w:pPr>
        <w:spacing w:after="120" w:line="312"/>
        <w:jc w:val="both"/>
      </w:pPr>
      <w:r>
        <w:rPr>
          <w:rFonts w:ascii="Calibri" w:eastAsia="SimSun" w:hAnsi="Calibri"/>
          <w:b w:val="false"/>
          <w:bCs w:val="false"/>
          <w:color w:val="1A1A1A"/>
          <w:sz w:val="21"/>
          <w:szCs w:val="21"/>
        </w:rPr>
        <w:t xml:space="preserve">Two implementation rules attach to this table. First, when a new asset is added via the Asset Admission Registry (Chapter 15), its haircut must be approved </w:t>
      </w:r>
      <w:r>
        <w:rPr>
          <w:rFonts w:ascii="Calibri" w:eastAsia="SimSun" w:hAnsi="Calibri"/>
          <w:b/>
          <w:bCs/>
          <w:color w:val="1A1A1A"/>
          <w:sz w:val="21"/>
          <w:szCs w:val="21"/>
        </w:rPr>
        <w:t xml:space="preserve">simultaneously</w:t>
      </w:r>
      <w:r>
        <w:rPr>
          <w:rFonts w:ascii="Calibri" w:eastAsia="SimSun" w:hAnsi="Calibri"/>
          <w:b w:val="false"/>
          <w:bCs w:val="false"/>
          <w:color w:val="1A1A1A"/>
          <w:sz w:val="21"/>
          <w:szCs w:val="21"/>
        </w:rPr>
        <w:t xml:space="preserve"> by the Risk Council — an asset can never enter the reserve unpriced, and a haircut can never be attached after the fact to a holding that was admitted under different assumptions. Second, the haircut feeds both solvency and liquidity measurement: the same H_j that reduces NAV also reduces the liquid-asset computation of Section 13.4, so a deteriorating instrument is automatically double-counted conservatively rather than being discovered once and ignored twice.</w:t>
      </w:r>
    </w:p>
    <w:p>
      <w:pPr>
        <w:pStyle w:val="Heading2"/>
        <w:keepNext/>
        <w:spacing w:after="160" w:before="360" w:line="340" w:lineRule="atLeast"/>
      </w:pPr>
      <w:bookmarkStart w:id="100149" w:name="_Toc100149"/>
      <w:r>
        <w:rPr>
          <w:rFonts w:ascii="Calibri" w:eastAsia="Microsoft YaHei" w:hAnsi="Calibri"/>
          <w:b/>
          <w:bCs/>
          <w:color w:val="1A1A1A"/>
          <w:sz w:val="28"/>
          <w:szCs w:val="28"/>
        </w:rPr>
        <w:t xml:space="preserve">14.2 The Reserve Ratio and Constitutional Tiers</w:t>
      </w:r>
      <w:bookmarkEnd w:id="100149"/>
    </w:p>
    <w:p>
      <w:pPr>
        <w:spacing w:after="120" w:line="312"/>
        <w:jc w:val="both"/>
      </w:pPr>
      <w:r>
        <w:rPr>
          <w:rFonts w:ascii="Calibri" w:eastAsia="SimSun" w:hAnsi="Calibri"/>
          <w:b w:val="false"/>
          <w:bCs w:val="false"/>
          <w:color w:val="1A1A1A"/>
          <w:sz w:val="21"/>
          <w:szCs w:val="21"/>
        </w:rPr>
        <w:t xml:space="preserve">The Reserve Ratio (RR) is the primary solvency metric. It ensures that the total USD value of the vault — net of haircuts — is sufficient to cover the total USD liability [BP §4.2]:</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)/(L</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V_{net,t} is the Net Asset Value from Section 14.1 and L_t is the total liability, L_t = S_{circ,t} × P_{MTQ,t}, defined in Section 2.5 and computed by the core contract (Listing 1). Because the numerator is prudential (haircut) and the denominator is marked to the adaptive index price, RR_t is a conservative solvency measure: it can only be inflated by overstating prices, which the oracle layer (Chapter 17) and the min-of-two gold rule are designed to prevent. Invariant I2 (Section 2.6) makes the hard floor constitutional — RR_t ≥ 1.00 at all times, enforced by the reserve manager and the governance layer (Chapter 22).</w:t>
      </w:r>
    </w:p>
    <w:p>
      <w:pPr>
        <w:pStyle w:val="Heading3"/>
        <w:keepNext/>
        <w:spacing w:after="120" w:before="300" w:line="312"/>
      </w:pPr>
      <w:bookmarkStart w:id="100150" w:name="_Toc100150"/>
      <w:r>
        <w:rPr>
          <w:rFonts w:ascii="Calibri" w:eastAsia="Microsoft YaHei" w:hAnsi="Calibri"/>
          <w:b/>
          <w:bCs/>
          <w:color w:val="333333"/>
          <w:sz w:val="24"/>
          <w:szCs w:val="24"/>
        </w:rPr>
        <w:t xml:space="preserve">14.2.1 The Three Floors</w:t>
      </w:r>
      <w:bookmarkEnd w:id="100150"/>
    </w:p>
    <w:p>
      <w:pPr>
        <w:spacing w:after="120" w:line="312"/>
        <w:jc w:val="both"/>
      </w:pPr>
      <w:r>
        <w:rPr>
          <w:rFonts w:ascii="Calibri" w:eastAsia="SimSun" w:hAnsi="Calibri"/>
          <w:b w:val="false"/>
          <w:bCs w:val="false"/>
          <w:color w:val="1A1A1A"/>
          <w:sz w:val="21"/>
          <w:szCs w:val="21"/>
        </w:rPr>
        <w:t xml:space="preserve">The protocol operates with three distinct thresholds that trigger progressively stricter actions [BP §4.2.1]. The three-floor design separates the ordinary operating buffer from the defensive posture and the never-breach boundary, so that deterioration is met with proportionate, pre-committed responses rather than improvisation.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Tier</w:t>
            </w:r>
          </w:p>
        </w:tc>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6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Operational Meaning</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TARGET</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RR_target</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 (110%)</w:t>
            </w:r>
          </w:p>
        </w:tc>
        <w:tc>
          <w:tcPr>
            <w:tcW w:type="pct" w:w="6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Normal operating buffer. Protocol aims to stay at or above this.</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 FLOOR</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RR_stress</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 (105%)</w:t>
            </w:r>
          </w:p>
        </w:tc>
        <w:tc>
          <w:tcPr>
            <w:tcW w:type="pct" w:w="6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Defensive posture: minting throttled; rebalancing prioritized.</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HARD SOLVENCY FLOOR</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RR_hard</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 (100%)</w:t>
            </w:r>
          </w:p>
        </w:tc>
        <w:tc>
          <w:tcPr>
            <w:tcW w:type="pct" w:w="6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Must never breach.</w:t>
            </w:r>
            <w:r>
              <w:rPr>
                <w:rFonts w:ascii="Calibri" w:eastAsia="SimSun" w:hAnsi="Calibri"/>
                <w:b w:val="false"/>
                <w:bCs w:val="false"/>
                <w:color w:val="1A1A1A"/>
                <w:sz w:val="19"/>
                <w:szCs w:val="19"/>
              </w:rPr>
              <w:t xml:space="preserve"> If breached, redemptions are paused, and the protocol enters Emergency Recovery.</w:t>
            </w:r>
          </w:p>
        </w:tc>
      </w:tr>
    </w:tbl>
    <w:p>
      <w:pPr>
        <w:spacing w:after="120"/>
      </w:pPr>
    </w:p>
    <w:p>
      <w:pPr>
        <w:pStyle w:val="Heading3"/>
        <w:keepNext/>
        <w:spacing w:after="120" w:before="300" w:line="312"/>
      </w:pPr>
      <w:bookmarkStart w:id="100151" w:name="_Toc100151"/>
      <w:r>
        <w:rPr>
          <w:rFonts w:ascii="Calibri" w:eastAsia="Microsoft YaHei" w:hAnsi="Calibri"/>
          <w:b/>
          <w:bCs/>
          <w:color w:val="333333"/>
          <w:sz w:val="24"/>
          <w:szCs w:val="24"/>
        </w:rPr>
        <w:t xml:space="preserve">14.2.2 Status Determination</w:t>
      </w:r>
      <w:bookmarkEnd w:id="100151"/>
    </w:p>
    <w:p>
      <w:pPr>
        <w:spacing w:after="120" w:line="312"/>
        <w:jc w:val="both"/>
      </w:pPr>
      <w:r>
        <w:rPr>
          <w:rFonts w:ascii="Calibri" w:eastAsia="SimSun" w:hAnsi="Calibri"/>
          <w:b w:val="false"/>
          <w:bCs w:val="false"/>
          <w:color w:val="1A1A1A"/>
          <w:sz w:val="21"/>
          <w:szCs w:val="21"/>
        </w:rPr>
        <w:t xml:space="preserve">The protocol computes the current status from the RR_t and LCR_t values (Section 13.4) to drive the state machine (Chapter 18). Status is a function of both solvency and liquidity: a fully solvent but illiquid vault is already in a defensive condition, because a redemption surge cannot be met even though the assets exist. The determination logic is [BP §4.2.2]:</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Status</w:t>
            </w:r>
          </w:p>
        </w:tc>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RR Range</w:t>
            </w:r>
          </w:p>
        </w:tc>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LCR Requirement</w:t>
            </w:r>
          </w:p>
        </w:tc>
        <w:tc>
          <w:tcPr>
            <w:tcW w:type="pct" w:w="5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Actions</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NORMAL</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1.10</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 1.00</w:t>
            </w:r>
          </w:p>
        </w:tc>
        <w:tc>
          <w:tcPr>
            <w:tcW w:type="pct" w:w="5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Standard operations; full mint/redeem.</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CAUTION</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 ≤ RR &lt; 1.10</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 0.90</w:t>
            </w:r>
          </w:p>
        </w:tc>
        <w:tc>
          <w:tcPr>
            <w:tcW w:type="pct" w:w="5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throttled to 50%; rebalancing urgency increased.</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DEFENSIVE</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 ≤ RR &lt; 1.05</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Any</w:t>
            </w:r>
          </w:p>
        </w:tc>
        <w:tc>
          <w:tcPr>
            <w:tcW w:type="pct" w:w="5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paused; redemption fee increased to 0.5%; emergency rebalancing triggered.</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&lt; 1.00</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Any</w:t>
            </w:r>
          </w:p>
        </w:tc>
        <w:tc>
          <w:tcPr>
            <w:tcW w:type="pct" w:w="5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Redemptions paused; circuit breakers engaged; governance notified immediately.</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RECOVERY</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1.05 (rising)</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 0.95</w:t>
            </w:r>
          </w:p>
        </w:tc>
        <w:tc>
          <w:tcPr>
            <w:tcW w:type="pct" w:w="5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Gradual restoration of minting and standard fees.</w:t>
            </w:r>
          </w:p>
        </w:tc>
      </w:tr>
    </w:tbl>
    <w:p>
      <w:pPr>
        <w:spacing w:after="120"/>
      </w:pPr>
    </w:p>
    <w:p>
      <w:pPr>
        <w:spacing w:after="120" w:line="312"/>
        <w:jc w:val="both"/>
      </w:pPr>
      <w:r>
        <w:rPr>
          <w:rFonts w:ascii="Calibri" w:eastAsia="SimSun" w:hAnsi="Calibri"/>
          <w:b w:val="false"/>
          <w:bCs w:val="false"/>
          <w:color w:val="1A1A1A"/>
          <w:sz w:val="21"/>
          <w:szCs w:val="21"/>
        </w:rPr>
        <w:t xml:space="preserve">The RECOVERY row is directional: it requires the ratio to be rising and sustained, not merely to have crossed back above the stress floor, which prevents status oscillation at the boundary — the same anti-thrashing philosophy as the constituency hysteresis of Section 4.7. Redemption fees follow the parameter registry of Section 2.9 (redeemFeeStress = 0.50%, redeemFeeDefensive = 1.00%), so the 0.5% figure in the DEFENSIVE row is the stress-tier fee; the full defensive tier carries the higher rate. The on-chain implementation of this table is the status getter of Listing 6, and the complete state machine — including how each status throttles minting, redemption and rebalancing — is specified in Chapter 18, with the risk-state model of Chapter 21 consuming the same inputs.</w:t>
      </w:r>
    </w:p>
    <w:p>
      <w:pPr>
        <w:pStyle w:val="Heading2"/>
        <w:keepNext/>
        <w:spacing w:after="160" w:before="360" w:line="340" w:lineRule="atLeast"/>
      </w:pPr>
      <w:bookmarkStart w:id="100152" w:name="_Toc100152"/>
      <w:r>
        <w:rPr>
          <w:rFonts w:ascii="Calibri" w:eastAsia="Microsoft YaHei" w:hAnsi="Calibri"/>
          <w:b/>
          <w:bCs/>
          <w:color w:val="1A1A1A"/>
          <w:sz w:val="28"/>
          <w:szCs w:val="28"/>
        </w:rPr>
        <w:t xml:space="preserve">14.3 Tokenized and Physical Gold Instruments</w:t>
      </w:r>
      <w:bookmarkEnd w:id="100152"/>
    </w:p>
    <w:p>
      <w:pPr>
        <w:spacing w:after="120" w:line="312"/>
        <w:jc w:val="both"/>
      </w:pPr>
      <w:r>
        <w:rPr>
          <w:rFonts w:ascii="Calibri" w:eastAsia="SimSun" w:hAnsi="Calibri"/>
          <w:b w:val="false"/>
          <w:bCs w:val="false"/>
          <w:color w:val="1A1A1A"/>
          <w:sz w:val="21"/>
          <w:szCs w:val="21"/>
        </w:rPr>
        <w:t xml:space="preserve">Gold exposure in the reserve is implemented through instruments, and instruments are admitted by evidence. Tokenized gold — PAXG and XAUT being the canonical current examples — </w:t>
      </w:r>
      <w:r>
        <w:rPr>
          <w:rFonts w:ascii="Calibri" w:eastAsia="SimSun" w:hAnsi="Calibri"/>
          <w:b/>
          <w:bCs/>
          <w:color w:val="1A1A1A"/>
          <w:sz w:val="21"/>
          <w:szCs w:val="21"/>
        </w:rPr>
        <w:t xml:space="preserve">may be an eligible implementation instrument</w:t>
      </w:r>
      <w:r>
        <w:rPr>
          <w:rFonts w:ascii="Calibri" w:eastAsia="SimSun" w:hAnsi="Calibri"/>
          <w:b w:val="false"/>
          <w:bCs w:val="false"/>
          <w:color w:val="1A1A1A"/>
          <w:sz w:val="21"/>
          <w:szCs w:val="21"/>
        </w:rPr>
        <w:t xml:space="preserve">, subject to an instrument-level eligibility score [MS §51]:</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E</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 f(UnderlyingGoldCoverage,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Custody,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Redemption,</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IssuerRisk,</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Auditability,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LegalRights)</w:t>
      </w:r>
    </w:p>
    <w:p>
      <w:pPr>
        <w:spacing w:after="120" w:before="120" w:line="312"/>
        <w:jc w:val="center"/>
      </w:pPr>
      <w:r>
        <w:rPr>
          <w:rFonts w:ascii="Cambria" w:eastAsia="SimSun" w:hAnsi="Cambria"/>
          <w:i/>
          <w:iCs/>
          <w:color w:val="1A1A1A"/>
          <w:sz w:val="22"/>
          <w:szCs w:val="22"/>
        </w:rPr>
        <w:t xml:space="preserve">E</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E</w:t>
      </w:r>
      <w:r>
        <w:rPr>
          <w:rFonts w:ascii="Cambria" w:eastAsia="SimSun" w:hAnsi="Cambria"/>
          <w:i/>
          <w:iCs/>
          <w:color w:val="1A1A1A"/>
          <w:sz w:val="22"/>
          <w:szCs w:val="22"/>
          <w:vertAlign w:val="subscript"/>
        </w:rPr>
        <w:t xml:space="preserve">min</w:t>
      </w:r>
    </w:p>
    <w:p>
      <w:pPr>
        <w:spacing w:after="120" w:line="312"/>
        <w:jc w:val="both"/>
      </w:pPr>
      <w:r>
        <w:rPr>
          <w:rFonts w:ascii="Calibri" w:eastAsia="SimSun" w:hAnsi="Calibri"/>
          <w:b w:val="false"/>
          <w:bCs w:val="false"/>
          <w:color w:val="1A1A1A"/>
          <w:sz w:val="21"/>
          <w:szCs w:val="21"/>
        </w:rPr>
        <w:t xml:space="preserve">Only instruments whose composite score E_j meets or exceeds the threshold E_{min} can enter the reserve. The score is dominated in practice by issuer risk: a tokenized-gold instrument is a claim on an issuer's custody and redemption machinery, not on gold itself, so the difference between a strong and weak instrument is the difference between an audited, segregated, redeemable claim and an unaudited promise. The eight-criteria eligibility standard of Section 15.2 operationalizes exactly these dimensions (redemption right, custody structure, audit, liquidity, issuer authorization), and the tokenized-gold haircut of 1.0% (Section 14.1.1) prices the residual custody spread and DEX slippage even for admitted instruments.</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Tokenized gold is an implementation/collateral instrument, </w:t>
      </w:r>
      <w:r>
        <w:rPr>
          <w:rFonts w:ascii="Calibri" w:eastAsia="SimSun" w:hAnsi="Calibri"/>
          <w:b/>
          <w:bCs/>
          <w:i/>
          <w:iCs/>
          <w:color w:val="3A3A3A"/>
          <w:sz w:val="23"/>
          <w:szCs w:val="23"/>
        </w:rPr>
        <w:t xml:space="preserve">not the definition of gold</w:t>
      </w:r>
      <w:r>
        <w:rPr>
          <w:rFonts w:ascii="Calibri" w:eastAsia="SimSun" w:hAnsi="Calibri"/>
          <w:b w:val="false"/>
          <w:bCs w:val="false"/>
          <w:i/>
          <w:iCs/>
          <w:color w:val="3A3A3A"/>
          <w:sz w:val="23"/>
          <w:szCs w:val="23"/>
        </w:rPr>
        <w:t xml:space="preserve"> [MS §51].</w:t>
      </w:r>
    </w:p>
    <w:p>
      <w:pPr>
        <w:spacing w:after="120" w:line="312"/>
        <w:jc w:val="both"/>
      </w:pPr>
      <w:r>
        <w:rPr>
          <w:rFonts w:ascii="Calibri" w:eastAsia="SimSun" w:hAnsi="Calibri"/>
          <w:b w:val="false"/>
          <w:bCs w:val="false"/>
          <w:color w:val="1A1A1A"/>
          <w:sz w:val="21"/>
          <w:szCs w:val="21"/>
        </w:rPr>
        <w:t xml:space="preserve">This sentence is the load-bearing distinction of the whole gold architecture. The reference basket's gold component is defined by the gold price reference unit (Section 17.4) and its adaptive allocation W_{G,t} (Section 3.3); the reserve's gold holdings are chosen among eligible instruments under Chapter 15. Invariant I12 (Section 2.6) states the separation constitutionally: gold reference allocation and gold reserve allocation are separate quantities, governed by separate mechanisms. Because the earlier SGTX-G token design is not inherited automatically (Section 4.8), a future MTQ-native physical-gold token would have to earn admission through this same framework rather than arriving by legacy.</w:t>
      </w:r>
    </w:p>
    <w:p>
      <w:pPr>
        <w:spacing w:after="120" w:line="312"/>
        <w:jc w:val="both"/>
      </w:pPr>
      <w:r>
        <w:rPr>
          <w:rFonts w:ascii="Calibri" w:eastAsia="SimSun" w:hAnsi="Calibri"/>
          <w:b w:val="false"/>
          <w:bCs w:val="false"/>
          <w:color w:val="1A1A1A"/>
          <w:sz w:val="21"/>
          <w:szCs w:val="21"/>
        </w:rPr>
        <w:t xml:space="preserve">Where legally and operationally appropriate, allocated physical bullion provides a different risk profile from an issuer-dependent token [MS §52]. Physical gold held as allocated bullion with a qualified custodian removes token-issuer redemption risk but introduces custody, insurance, audit and transport costs, and its liquidation is slower. The reserve engine must therefore be able to compare:</w:t>
      </w:r>
    </w:p>
    <w:p>
      <w:pPr>
        <w:spacing w:after="120" w:before="120" w:line="312"/>
        <w:jc w:val="center"/>
      </w:pPr>
      <w:r>
        <w:rPr>
          <w:rFonts w:ascii="Cambria" w:eastAsia="SimSun" w:hAnsi="Cambria"/>
          <w:i/>
          <w:iCs/>
          <w:color w:val="1A1A1A"/>
          <w:sz w:val="22"/>
          <w:szCs w:val="22"/>
        </w:rPr>
        <w:t xml:space="preserve">PhysicalGold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vs.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TokenizedPhysicalGold</w:t>
      </w:r>
    </w:p>
    <w:p>
      <w:pPr>
        <w:spacing w:after="120" w:line="312"/>
        <w:jc w:val="both"/>
      </w:pPr>
      <w:r>
        <w:rPr>
          <w:rFonts w:ascii="Calibri" w:eastAsia="SimSun" w:hAnsi="Calibri"/>
          <w:b w:val="false"/>
          <w:bCs w:val="false"/>
          <w:color w:val="1A1A1A"/>
          <w:sz w:val="21"/>
          <w:szCs w:val="21"/>
        </w:rPr>
        <w:t xml:space="preserve">using the same reserve-risk framework — the eligibility score E_j, the haircut H_j, the liquidity classification for LCR (Section 13.4), and the concentration caps of Section 15.6 — rather than treating physical and tokenized gold as categorically different asset classes. In practice this means the choice between PAXG, XAUT and allocated bullion is a governed implementation decision on a single exposure axis: the framework scores each implementation's custody, redemption and liquidity profile, applies the matching haircut, and lets the reserve optimization (Section 14.4) allocate across them. The canonical gold price remains source-independent (Chapter 17), so no implementation choice contaminates the pricing layer.</w:t>
      </w:r>
    </w:p>
    <w:p>
      <w:pPr>
        <w:pStyle w:val="Heading2"/>
        <w:keepNext/>
        <w:spacing w:after="160" w:before="360" w:line="340" w:lineRule="atLeast"/>
      </w:pPr>
      <w:bookmarkStart w:id="100153" w:name="_Toc100153"/>
      <w:r>
        <w:rPr>
          <w:rFonts w:ascii="Calibri" w:eastAsia="Microsoft YaHei" w:hAnsi="Calibri"/>
          <w:b/>
          <w:bCs/>
          <w:color w:val="1A1A1A"/>
          <w:sz w:val="28"/>
          <w:szCs w:val="28"/>
        </w:rPr>
        <w:t xml:space="preserve">14.4 Reserve Rebalancing and the Gold-Cost Rule</w:t>
      </w:r>
      <w:bookmarkEnd w:id="100153"/>
    </w:p>
    <w:p>
      <w:pPr>
        <w:spacing w:after="120" w:line="312"/>
        <w:jc w:val="both"/>
      </w:pPr>
      <w:r>
        <w:rPr>
          <w:rFonts w:ascii="Calibri" w:eastAsia="SimSun" w:hAnsi="Calibri"/>
          <w:b w:val="false"/>
          <w:bCs w:val="false"/>
          <w:color w:val="1A1A1A"/>
          <w:sz w:val="21"/>
          <w:szCs w:val="21"/>
        </w:rPr>
        <w:t xml:space="preserve">The reserve manager maintains the reserve against its coverage, liquidity and concentration obligations by solving a constrained risk minimization [MS §58]:</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min</w:t>
      </w:r>
      <w:r>
        <w:rPr>
          <w:rFonts w:ascii="Cambria" w:eastAsia="SimSun" w:hAnsi="Cambria"/>
          <w:i/>
          <w:iCs/>
          <w:color w:val="1A1A1A"/>
          <w:sz w:val="22"/>
          <w:szCs w:val="22"/>
          <w:vertAlign w:val="subscript"/>
        </w:rPr>
        <w:t xml:space="preserve">R</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ReserveRisk + LiquidityRisk + TransactionCost + ConcentrationRisk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val="false"/>
          <w:iCs w:val="false"/>
          <w:color w:val="1A1A1A"/>
          <w:sz w:val="22"/>
          <w:szCs w:val="22"/>
        </w:rPr>
        <w:t xml:space="preserve">subject to</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CoverageRatio</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100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LiquidityCoverage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LCR</w:t>
      </w:r>
      <w:r>
        <w:rPr>
          <w:rFonts w:ascii="Cambria" w:eastAsia="SimSun" w:hAnsi="Cambria"/>
          <w:i/>
          <w:iCs/>
          <w:color w:val="1A1A1A"/>
          <w:sz w:val="22"/>
          <w:szCs w:val="22"/>
          <w:vertAlign w:val="subscript"/>
        </w:rPr>
        <w:t xml:space="preserve">min</w:t>
      </w:r>
    </w:p>
    <w:p>
      <w:pPr>
        <w:spacing w:after="120" w:line="312"/>
        <w:jc w:val="both"/>
      </w:pPr>
      <w:r>
        <w:rPr>
          <w:rFonts w:ascii="Calibri" w:eastAsia="SimSun" w:hAnsi="Calibri"/>
          <w:b w:val="false"/>
          <w:bCs w:val="false"/>
          <w:color w:val="1A1A1A"/>
          <w:sz w:val="21"/>
          <w:szCs w:val="21"/>
        </w:rPr>
        <w:t xml:space="preserve">and custody/concentration constraints. The coverage constraint is the reserve-side expression of the hard solvency floor (Section 13.2; invariant I2), and the liquidity constraint binds the solution to the LCR definition of Section 13.4 — tokenized gold counts as illiquid, so a solution that over-weights gold must compensate with a deeper stablecoin liquid layer. Execution of the solution is never a block trade: every adjustment passes through the MARP gates of Chapters 10–11, which test whether each incremental correction is economically justified after costs, and through the issuer concentration limits of Section 15.6, which cap how much of the solution may concentrate in any single issuer. The turnover penalty of Section 7.3 and the execution budgets of Chapter 11 price the TransactionCost term, so the optimizer and the executor see the same economics.</w:t>
      </w:r>
    </w:p>
    <w:p>
      <w:pPr>
        <w:pStyle w:val="Heading3"/>
        <w:keepNext/>
        <w:spacing w:after="120" w:before="300" w:line="312"/>
      </w:pPr>
      <w:bookmarkStart w:id="100154" w:name="_Toc100154"/>
      <w:r>
        <w:rPr>
          <w:rFonts w:ascii="Calibri" w:eastAsia="Microsoft YaHei" w:hAnsi="Calibri"/>
          <w:b/>
          <w:bCs/>
          <w:color w:val="333333"/>
          <w:sz w:val="24"/>
          <w:szCs w:val="24"/>
        </w:rPr>
        <w:t xml:space="preserve">14.4.1 The Gold-Cost Rule</w:t>
      </w:r>
      <w:bookmarkEnd w:id="100154"/>
    </w:p>
    <w:p>
      <w:pPr>
        <w:spacing w:after="120" w:line="312"/>
        <w:jc w:val="both"/>
      </w:pPr>
      <w:r>
        <w:rPr>
          <w:rFonts w:ascii="Calibri" w:eastAsia="SimSun" w:hAnsi="Calibri"/>
          <w:b w:val="false"/>
          <w:bCs w:val="false"/>
          <w:color w:val="1A1A1A"/>
          <w:sz w:val="21"/>
          <w:szCs w:val="21"/>
        </w:rPr>
        <w:t xml:space="preserve">Strategic gold is </w:t>
      </w:r>
      <w:r>
        <w:rPr>
          <w:rFonts w:ascii="Calibri" w:eastAsia="SimSun" w:hAnsi="Calibri"/>
          <w:b/>
          <w:bCs/>
          <w:color w:val="1A1A1A"/>
          <w:sz w:val="21"/>
          <w:szCs w:val="21"/>
        </w:rPr>
        <w:t xml:space="preserve">not an everyday trading wallet</w:t>
      </w:r>
      <w:r>
        <w:rPr>
          <w:rFonts w:ascii="Calibri" w:eastAsia="SimSun" w:hAnsi="Calibri"/>
          <w:b w:val="false"/>
          <w:bCs w:val="false"/>
          <w:color w:val="1A1A1A"/>
          <w:sz w:val="21"/>
          <w:szCs w:val="21"/>
        </w:rPr>
        <w:t xml:space="preserve"> [MS §59]. Ordinary operating costs — rebalancing spreads, gas, execution fees — must never be funded by liquidating the gold allocation, because a reserve that pays its grocery bill from its strategic asset converts a temporary cost into a permanent reduction of the diversification core. Normal costs come from:</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execution budgets (Chapter 11), which are provisioned for exactly this purpose;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ordinary reserve operations and their fee flows;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transparent fees where permitted (Section 2.9);</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natural cash flows (mint/redemption fee accrual, the operational surplus of Section 16.4).</w:t>
      </w:r>
    </w:p>
    <w:p>
      <w:pPr>
        <w:spacing w:after="120" w:line="312"/>
        <w:jc w:val="both"/>
      </w:pPr>
      <w:r>
        <w:rPr>
          <w:rFonts w:ascii="Calibri" w:eastAsia="SimSun" w:hAnsi="Calibri"/>
          <w:b w:val="false"/>
          <w:bCs w:val="false"/>
          <w:color w:val="1A1A1A"/>
          <w:sz w:val="21"/>
          <w:szCs w:val="21"/>
        </w:rPr>
        <w:t xml:space="preserve">Gold liquidation requires a defined exceptional condition [MS §59]. Formally:</w:t>
      </w:r>
    </w:p>
    <w:p>
      <w:pPr>
        <w:spacing w:after="120" w:before="120" w:line="312"/>
        <w:jc w:val="center"/>
      </w:pPr>
      <w:r>
        <w:rPr>
          <w:rFonts w:ascii="Cambria" w:eastAsia="SimSun" w:hAnsi="Cambria"/>
          <w:i/>
          <w:iCs/>
          <w:color w:val="1A1A1A"/>
          <w:sz w:val="22"/>
          <w:szCs w:val="22"/>
        </w:rPr>
        <w:t xml:space="preserve">GoldSold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&gt; 0 </w:t>
      </w:r>
      <w:r>
        <w:rPr>
          <w:rFonts w:ascii="Cambria" w:eastAsia="SimSun" w:hAnsi="Cambria"/>
          <w:i w:val="false"/>
          <w:iCs w:val="false"/>
          <w:color w:val="1A1A1A"/>
          <w:sz w:val="22"/>
          <w:szCs w:val="22"/>
        </w:rPr>
        <w:t xml:space="preserve"> ⇒ </w:t>
      </w:r>
      <w:r>
        <w:rPr>
          <w:rFonts w:ascii="Cambria" w:eastAsia="SimSun" w:hAnsi="Cambria"/>
          <w:i/>
          <w:iCs/>
          <w:color w:val="1A1A1A"/>
          <w:sz w:val="22"/>
          <w:szCs w:val="22"/>
        </w:rPr>
        <w:t xml:space="preserve"> ExceptionalCondition</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true</w:t>
      </w:r>
    </w:p>
    <w:p>
      <w:pPr>
        <w:spacing w:after="120" w:line="312"/>
        <w:jc w:val="both"/>
      </w:pPr>
      <w:r>
        <w:rPr>
          <w:rFonts w:ascii="Calibri" w:eastAsia="SimSun" w:hAnsi="Calibri"/>
          <w:b w:val="false"/>
          <w:bCs w:val="false"/>
          <w:color w:val="1A1A1A"/>
          <w:sz w:val="21"/>
          <w:szCs w:val="21"/>
        </w:rPr>
        <w:t xml:space="preserve">The exceptional conditions are enumerated, and each is a structural event rather than a discretionary judgment:</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Exceptional Condition</w:t>
            </w:r>
          </w:p>
        </w:tc>
        <w:tc>
          <w:tcPr>
            <w:tcW w:type="pct" w:w="5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Mechanism</w:t>
            </w:r>
          </w:p>
        </w:tc>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Cross-Reference</w:t>
            </w:r>
          </w:p>
        </w:tc>
      </w:tr>
      <w:tr>
        <w:trPr>
          <w:cantSplit/>
        </w:trPr>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Methodology-driven allocation change</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target gold weight change executed through MARP gates.</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§7.5; Chapters 10–11</w:t>
            </w:r>
          </w:p>
        </w:tc>
      </w:tr>
      <w:tr>
        <w:trPr>
          <w:cantSplit/>
        </w:trPr>
        <w:tc>
          <w:tcPr>
            <w:tcW w:type="pct" w:w="2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state transition</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Defensive gold tilt of the dynamic buffer.</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16</w:t>
            </w:r>
          </w:p>
        </w:tc>
      </w:tr>
      <w:tr>
        <w:trPr>
          <w:cantSplit/>
        </w:trPr>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floor breach</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Liquidity-restoration rebalancing (sell gold for stablecoins) until LCR ≥ 1.00.</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§13.4</w:t>
            </w:r>
          </w:p>
        </w:tc>
      </w:tr>
      <w:tr>
        <w:trPr>
          <w:cantSplit/>
        </w:trPr>
        <w:tc>
          <w:tcPr>
            <w:tcW w:type="pct" w:w="2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First-loss waterfall consumption</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Loss absorption descending to buffer gold, and ultimately core gold.</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§16.4</w:t>
            </w:r>
          </w:p>
        </w:tc>
      </w:tr>
      <w:tr>
        <w:trPr>
          <w:cantSplit/>
        </w:trPr>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Instrument rotation</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Swap between eligible gold implementations at equal exposure (e.g., PAXG to allocated bullion).</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15</w:t>
            </w:r>
          </w:p>
        </w:tc>
      </w:tr>
    </w:tbl>
    <w:p>
      <w:pPr>
        <w:spacing w:after="120"/>
      </w:pPr>
    </w:p>
    <w:p>
      <w:pPr>
        <w:spacing w:after="120" w:line="312"/>
        <w:jc w:val="both"/>
      </w:pPr>
      <w:r>
        <w:rPr>
          <w:rFonts w:ascii="Calibri" w:eastAsia="SimSun" w:hAnsi="Calibri"/>
          <w:b w:val="false"/>
          <w:bCs w:val="false"/>
          <w:color w:val="1A1A1A"/>
          <w:sz w:val="21"/>
          <w:szCs w:val="21"/>
        </w:rPr>
        <w:t xml:space="preserve">Every gold reserve change therefore requires structural justification in the sense of this table: a methodology version, a buffer-state event, a breached floor, a waterfall step, or a governance-admitted instrument rotation. Instrument rotation deserves emphasis because it changes the gold </w:t>
      </w:r>
      <w:r>
        <w:rPr>
          <w:rFonts w:ascii="Calibri" w:eastAsia="SimSun" w:hAnsi="Calibri"/>
          <w:b/>
          <w:bCs/>
          <w:color w:val="1A1A1A"/>
          <w:sz w:val="21"/>
          <w:szCs w:val="21"/>
        </w:rPr>
        <w:t xml:space="preserve">implementation</w:t>
      </w:r>
      <w:r>
        <w:rPr>
          <w:rFonts w:ascii="Calibri" w:eastAsia="SimSun" w:hAnsi="Calibri"/>
          <w:b w:val="false"/>
          <w:bCs w:val="false"/>
          <w:color w:val="1A1A1A"/>
          <w:sz w:val="21"/>
          <w:szCs w:val="21"/>
        </w:rPr>
        <w:t xml:space="preserve"> without changing the gold </w:t>
      </w:r>
      <w:r>
        <w:rPr>
          <w:rFonts w:ascii="Calibri" w:eastAsia="SimSun" w:hAnsi="Calibri"/>
          <w:b/>
          <w:bCs/>
          <w:color w:val="1A1A1A"/>
          <w:sz w:val="21"/>
          <w:szCs w:val="21"/>
        </w:rPr>
        <w:t xml:space="preserve">exposure</w:t>
      </w:r>
      <w:r>
        <w:rPr>
          <w:rFonts w:ascii="Calibri" w:eastAsia="SimSun" w:hAnsi="Calibri"/>
          <w:b w:val="false"/>
          <w:bCs w:val="false"/>
          <w:color w:val="1A1A1A"/>
          <w:sz w:val="21"/>
          <w:szCs w:val="21"/>
        </w:rPr>
        <w:t xml:space="preserve"> — moving from PAXG to physical bullion is not gold liquidation and is not gated by this rule, only by the registry and concentration framework. The rule composes with invariant I12: the gold reserve allocation may move for structural reasons, and never for secondary-market price purposes (Section 13.6).</w:t>
      </w:r>
    </w:p>
    <w:p>
      <w:pPr>
        <w:pStyle w:val="Heading2"/>
        <w:keepNext/>
        <w:spacing w:after="160" w:before="360" w:line="340" w:lineRule="atLeast"/>
      </w:pPr>
      <w:bookmarkStart w:id="100155" w:name="_Toc100155"/>
      <w:r>
        <w:rPr>
          <w:rFonts w:ascii="Calibri" w:eastAsia="Microsoft YaHei" w:hAnsi="Calibri"/>
          <w:b/>
          <w:bCs/>
          <w:color w:val="1A1A1A"/>
          <w:sz w:val="28"/>
          <w:szCs w:val="28"/>
        </w:rPr>
        <w:t xml:space="preserve">14.5 Crisis Mode</w:t>
      </w:r>
      <w:bookmarkEnd w:id="100155"/>
    </w:p>
    <w:p>
      <w:pPr>
        <w:spacing w:after="120" w:line="312"/>
        <w:jc w:val="both"/>
      </w:pPr>
      <w:r>
        <w:rPr>
          <w:rFonts w:ascii="Calibri" w:eastAsia="SimSun" w:hAnsi="Calibri"/>
          <w:b w:val="false"/>
          <w:bCs w:val="false"/>
          <w:color w:val="1A1A1A"/>
          <w:sz w:val="21"/>
          <w:szCs w:val="21"/>
        </w:rPr>
        <w:t xml:space="preserve">When the crisis-risk score crosses its threshold, the reserve and execution layers shift into a deliberately more conservative posture [MS §60]:</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CrisisScore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&gt; C</w:t>
      </w:r>
      <w:r>
        <w:rPr>
          <w:rFonts w:ascii="Cambria" w:eastAsia="SimSun" w:hAnsi="Cambria"/>
          <w:i/>
          <w:iCs/>
          <w:color w:val="1A1A1A"/>
          <w:sz w:val="22"/>
          <w:szCs w:val="22"/>
          <w:vertAlign w:val="subscript"/>
        </w:rPr>
        <w:t xml:space="preserve">threshold</w:t>
      </w:r>
    </w:p>
    <w:p>
      <w:pPr>
        <w:spacing w:after="120" w:line="312"/>
        <w:jc w:val="both"/>
      </w:pPr>
      <w:r>
        <w:rPr>
          <w:rFonts w:ascii="Calibri" w:eastAsia="SimSun" w:hAnsi="Calibri"/>
          <w:b w:val="false"/>
          <w:bCs w:val="false"/>
          <w:color w:val="1A1A1A"/>
          <w:sz w:val="21"/>
          <w:szCs w:val="21"/>
        </w:rPr>
        <w:t xml:space="preserve">The CrisisScore_t is the aggregation of stress evidence defined in Section 5.5 (FX volatility, cross-asset correlation, liquidity stress, inflation shock, credit stress, market drawdown and geopolitical indicators), and its threshold C_{threshold} is a Risk-Council parameter. When it is breached, five coordinated changes take effect:</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no-trade thresholds may widen — deviations must be larger before any correction trade is triggered (Section 10.8);</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execution size may be reduced — each MARP slice shrinks, stretching large adjustments over more, smaller trades;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liquidity requirements may increase — only deeper venues and tighter quotes qualify for execution (Chapter 11);</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reserve preservation becomes more important — the reserve manager biases toward holding rather than trading, and status-tiered restrictions (Section 14.2.2) bind earlier;</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oracle confirmation requirements increase — price updates need stronger quorum and fresher sources before they may move valuation state (Chapter 17).</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3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Execution-Layer Parameter</w:t>
            </w:r>
          </w:p>
        </w:tc>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Normal Mode</w:t>
            </w:r>
          </w:p>
        </w:tc>
        <w:tc>
          <w:tcPr>
            <w:tcW w:type="pct" w:w="4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Crisis Mode</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threshold (deviation band)</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Standard width</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Widened — fewer, better-justified trades</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Maximum execution size per slice</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Standard cap</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Reduced — smaller market footprint</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Venue liquidity requirement</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Standard depth</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Increased — only deepest venues qualify</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confirmation</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Standard quorum</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Additional independent confirmations required</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posture</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Target-following</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Preservation-prioritized</w:t>
            </w:r>
          </w:p>
        </w:tc>
      </w:tr>
    </w:tbl>
    <w:p>
      <w:pPr>
        <w:spacing w:after="120"/>
      </w:pPr>
    </w:p>
    <w:p>
      <w:pPr>
        <w:spacing w:after="120" w:line="312"/>
        <w:jc w:val="both"/>
      </w:pPr>
      <w:r>
        <w:rPr>
          <w:rFonts w:ascii="Calibri" w:eastAsia="SimSun" w:hAnsi="Calibri"/>
          <w:b w:val="false"/>
          <w:bCs w:val="false"/>
          <w:color w:val="1A1A1A"/>
          <w:sz w:val="21"/>
          <w:szCs w:val="21"/>
        </w:rPr>
        <w:t xml:space="preserve">Reserve preservation as a priority means the ranking of objectives inverts: in normal mode the reserve follows the methodology's targets efficiently; in crisis mode it minimizes the cost of being wrong, accepting tracking error and wider spreads as the price of not being forced to liquidate into a dislocated market. This is a </w:t>
      </w:r>
      <w:r>
        <w:rPr>
          <w:rFonts w:ascii="Calibri" w:eastAsia="SimSun" w:hAnsi="Calibri"/>
          <w:b/>
          <w:bCs/>
          <w:color w:val="1A1A1A"/>
          <w:sz w:val="21"/>
          <w:szCs w:val="21"/>
        </w:rPr>
        <w:t xml:space="preserve">risk-control function, not a token-price-support function</w:t>
      </w:r>
      <w:r>
        <w:rPr>
          <w:rFonts w:ascii="Calibri" w:eastAsia="SimSun" w:hAnsi="Calibri"/>
          <w:b w:val="false"/>
          <w:bCs w:val="false"/>
          <w:color w:val="1A1A1A"/>
          <w:sz w:val="21"/>
          <w:szCs w:val="21"/>
        </w:rPr>
        <w:t xml:space="preserve"> [MS §60]. Crisis mode widens safety margins; it never authorizes buybacks, price engineering or artificial floors — the prohibition on market-price support (Section 13.6, invariant I12) applies with full force during crises, precisely because a stressed reserve is when the temptation to support prices would be greatest. The crisis posture is entered and exited through the risk-state model of Chapter 21, its observable consequences are executed through the state machine of Chapter 18, and its stress behavior is a named scenario family in the validation program (Section 23.11).</w:t>
      </w:r>
    </w:p>
    <w:p>
      <w:pPr>
        <w:pStyle w:val="Heading2"/>
        <w:keepNext/>
        <w:spacing w:after="160" w:before="360" w:line="340" w:lineRule="atLeast"/>
      </w:pPr>
      <w:bookmarkStart w:id="100156" w:name="_Toc100156"/>
      <w:r>
        <w:rPr>
          <w:rFonts w:ascii="Calibri" w:eastAsia="Microsoft YaHei" w:hAnsi="Calibri"/>
          <w:b/>
          <w:bCs/>
          <w:color w:val="1A1A1A"/>
          <w:sz w:val="28"/>
          <w:szCs w:val="28"/>
        </w:rPr>
        <w:t xml:space="preserve">14.6 Smart Contract Implementation — Reserve Manager</w:t>
      </w:r>
      <w:bookmarkEnd w:id="100156"/>
    </w:p>
    <w:p>
      <w:pPr>
        <w:spacing w:after="120" w:line="312"/>
        <w:jc w:val="both"/>
      </w:pPr>
      <w:r>
        <w:rPr>
          <w:rFonts w:ascii="Calibri" w:eastAsia="SimSun" w:hAnsi="Calibri"/>
          <w:b w:val="false"/>
          <w:bCs w:val="false"/>
          <w:color w:val="1A1A1A"/>
          <w:sz w:val="21"/>
          <w:szCs w:val="21"/>
        </w:rPr>
        <w:t xml:space="preserve">The reserve manager is the on-chain embodiment of Sections 14.1 and 14.2: it holds the haircut constants, recomputes the prudential reserve state from balances and oracle prices, and exposes NAV, RR, LCR and the protocol status to every other contract. The listing below adapts BP §4.4 substantially complete: it carries the immutable haircut constants (BP §4.4.1), the core reserve state and its update routine (BP §4.4.2), the getter functions (BP §4.4.3) and the safety modifiers (BP §4.4.4), plus the event emissions of BP §4.5. The LCR getter is reconciled with the Section 13.4 definition: the numerator is the net stablecoin layer only (tokenized gold counts 0% liquid), and the denominator uses the 25%-of-liability-in-30-days stress-demand assumption (STRESS_REDEMPTION_RATE).</w:t>
      </w:r>
    </w:p>
    <w:p>
      <w:pPr>
        <w:pStyle w:val="Heading3"/>
        <w:keepNext/>
        <w:spacing w:after="120" w:before="300" w:line="312"/>
      </w:pPr>
      <w:bookmarkStart w:id="100157" w:name="_Toc100157"/>
      <w:r>
        <w:rPr>
          <w:rFonts w:ascii="Calibri" w:eastAsia="Microsoft YaHei" w:hAnsi="Calibri"/>
          <w:b/>
          <w:bCs/>
          <w:color w:val="333333"/>
          <w:sz w:val="24"/>
          <w:szCs w:val="24"/>
        </w:rPr>
        <w:t xml:space="preserve">14.6.1 The Contract</w:t>
      </w:r>
      <w:bookmarkEnd w:id="100157"/>
    </w:p>
    <w:p>
      <w:pPr>
        <w:keepNext/>
        <w:spacing w:after="80" w:before="280" w:line="312"/>
      </w:pPr>
      <w:r>
        <w:rPr>
          <w:rFonts w:ascii="Calibri" w:eastAsia="SimSun" w:hAnsi="Calibri"/>
          <w:b/>
          <w:bCs/>
          <w:color w:val="8A6D1F"/>
          <w:sz w:val="19"/>
          <w:szCs w:val="19"/>
        </w:rPr>
        <w:t xml:space="preserve">Listing 6 — Reserve manager: NAV, haircuts, RR and LCR state (adapts BP §4.4)</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@title ReserveManager — prudential NAV, reserve ratio and LCR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@dev Adapts BP §4.4. Prices come from the multi-source oracle layer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(Chapter 17); instruments from the Asset Admission Registry (Ch 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ReserveManager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IMMUTABLE HAIRCUT AND FLOOR CONSTANTS (§14.1, §14.2)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Haircuts scaled to 1e18 (e.g., 0.5% = 0.005e18)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HAIRCUT_USDC = 0.005e18;  // USD stablecoin class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HAIRCUT_EURC = 0.007e18;  // EUR stablecoin class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HAIRCUT_GBP  = 0.010e18;  // GBP registry-resolved class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HAIRCUT_JPY  = 0.010e18;  // JPY registry-resolved class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HAIRCUT_CNY  = 0.015e18;  // CNY offshore (CNH) class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HAIRCUT_PAXG = 0.010e18;  // tokenized gold (PAXG, XAUT)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Constitutional floor constants (§14.2.1)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RR_TARGET = 1.10e18;               // 110% target buffer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RR_STRESS = 1.05e18;               // 105% stress floor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RR_HARD   = 1.00e18;               // 100% hard solvency floor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LCR_TARGET = 1.00e18;              // liquidity coverage floor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STRESS_REDEMPTION_RATE = 0.25e18;  // 25% of liability (§13.4)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RECOVERY_CONFIRMATION_PERIOD = 48 hours;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CORE STATE (BP §4.4.2)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ReserveState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fiatValue;    // net USD value of all stablecoins (post-haircut)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goldValue;    // net USD value of tokenized gold (post-haircut)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liquidValue;  // net stablecoin value — the LCR numerator (§13.4)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grossFiat;    // gross stablecoin value (monitoring only)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grossGold;    // gross gold value (monitoring only)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ReserveState public 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public recoveryMode;        // set on EMERGENCY entry (§14.2.2)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recoveryStartedAt;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instruments; the registry (Chapter 15) is the canonical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source of admitted instruments in production.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usdcToken;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eurcToken;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paxgToken;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ICoreToken public core;      // MTQ core contract (Listing 1, §2.7)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IPriceOracle public oracle;  // multi-source price consensus (Chapter 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_core,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_eurc,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core = ICoreToken(_core);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 = IPriceOracle(_oracle);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usdcToken = _usdc;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eurcToken = _eurc;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paxgToken = _paxg;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STATE UPDATE (BP §4.4.2)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Recomputes reserve values from balances and oracle 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Called after every mint, redeem, rebalance or price update.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updateReserveState()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Fetch asset balances and oracle consensus 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usdcBalance = IERC20(usdcToken).balanceOf(address(this));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eurcBalance = IERC20(eurcToken).balanceOf(address(this));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paxgBalance = IERC20(paxgToken).balanceOf(address(this));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usdcPrice = oracle.getPrice(usdcToken);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eurcPrice = oracle.getPrice(eurcToken);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paxgPrice = getMinGoldPrice();  // min(reference, executable)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grossFiat = usdcBalance * usdcPrice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eurcBalance * eurcPrice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grossGold = paxgBalance * paxgPrice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Apply haircuts per asset (invariant I4). Production iterates over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all registry-admitted instruments (Chapter 15); the genesis 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is written out explicitly here.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netUsdc = usdcBalance * usdcPrice / 1e18 * (1e18 - HAIRCUT_USDC)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netEurc = eurcBalance * eurcPrice / 1e18 * (1e18 - HAIRCUT_EURC)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netGold = grossGold * (1e18 - HAIRCUT_PAXG)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netFiat = netUsdc + netEurc;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reserveState.grossFiat = grossFiat;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reserveState.grossGold = grossGold;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reserveState.fiatValue = netFiat;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reserveState.goldValue = netGold;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reserveState.liquidValue = netFiat;  // stablecoins are the liquid layer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_publishMetrics();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Conservative gold price for NAV (§14.1): the lower of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reference (LBMA spot consensus) and executable (PAXG market).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getMinGoldPrice()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pReference = oracle.getGoldReferencePrice();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pExecutable = oracle.getGoldExecutablePrice();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pReference &lt; pExecutable ? pReference : pExecutable;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GETTER FUNCTIONS (BP §4.4.3)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Net Asset Value (NAV) in USD, 18 decimals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net of asset-specific haircuts (invariant I4).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getNAV()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reserveState.fiatValue + reserveState.goldValue;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Reserve Ratio (RR) scaled to 1e18: V_net,t / L_t.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getReserveRatio()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nav = getNAV();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liability = core.getLiability();  // L_t = S_circ,t × P_MTQ,t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(nav * 1e18) / liability;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Liquidity Coverage Ratio (LCR) scaled to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Implements the §13.4 definition: liquid assets are the net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stablecoin layer (tokenized gold counts 0% liquid), and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stress demand assumes 25% of the USD liability redeemable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within a 30-day stress period.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getLCR()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liquidAssets = reserveState.liquidValue;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 = core.getMTQPrice();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circSupply = core.getCirculatingSupply();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stressDemand = (circSupply * price / 1e18) * STRESS_REDEMPTION_RATE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(liquidAssets * 1e18) / stressDemand;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current protocol status (§14.2.2). The full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machine, including hysteresis and recovery exits, is Chapter 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getProtocolStatus() public view returns (string memory)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rr = getReserveRatio();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lcr = getLCR();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(rr &lt; RR_HARD) return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(recoveryMode)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RECOVERY: RR &gt;= 1.05 (rising), LCR &gt;= 0.95, sustained for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confirmation period; governance then clears the flag.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(rr &gt;= RR_STRESS &amp;&amp; lcr &gt;= 0.95e18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&amp;&amp; block.timestamp &gt;= recoveryStartedAt + RECOVERY_CONFIRMATION_PERIOD)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"RECOVERY";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"DEFENSIVE";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(rr &gt;= RR_TARGET &amp;&amp; lcr &gt;= LCR_TARGET) return "NORMAL";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(rr &gt;= RR_STRESS &amp;&amp; lcr &gt;= 0.90e18) return "CAUTION";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"DEFENSIVE";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SAFETY MODIFIERS (BP §4.4.4)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onlyIfSolvent()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require(getReserveRatio() &gt;= RR_HARD, "MTQ: Insolvent - operations paused");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onlyIfLiquid()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require(getLCR() &gt;= LCR_TARGET, "MTQ: Illiquid - minting paused");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Used for minting (mint/redeem economics are specified in Chapter 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mint(uint256 amount) external onlyIfSolvent onlyIfLiquid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Minting logic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EVENT EMISSIONS (BP §4.5)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ReserveMetricsUpdated(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nav,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reserveRatio,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liquidityRatio,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status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_publishMetrics()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nav = getNAV();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rr = getReserveRatio();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lcr = getLCR();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ReserveMetricsUpdated(nav, rr, lcr, getProtocolStatus());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ICoreToken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getLiability()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getMTQPrice()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getCirculatingSupply()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IPriceOracle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getPrice(address token)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getGoldReferencePrice()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getGoldExecutablePrice()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IERC20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balanceOf(address account) external view returns (uint256);</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(BP §4.4 → Listing 6): (1) BP applied a blended stablecoin haircut 'for simplicity' and stored gross values, which its own illustrative getNAV then returned; this listing applies per-asset haircuts and stores net values so invariant I4 (Section 2.6) holds by construction — gross values are retained only as monitoring fields. (2) getLCR() is reconciled with the Section 13.4 LiquidityCoverage definition: the numerator is the net stablecoin layer and the denominator embeds the 25%-of-liability, 30-day stress-demand assumption via STRESS_REDEMPTION_RATE. (3) BP's illustrative getProtocolStatus could never return RECOVERY (the branch was unreachable); the recoveryMode flag plus RECOVERY_CONFIRMATION_PERIOD (48 hours, Listing 1) restore the Section 14.2.2 row, with the full machine in Chapter 18. (4) The genesis instruments are written explicitly; production iterates over registry-admitted instruments, including XAUT-class instruments, which carry the tokenized-gold haircut of 1.0%.</w:t>
      </w:r>
    </w:p>
    <w:p>
      <w:pPr>
        <w:pStyle w:val="Heading3"/>
        <w:keepNext/>
        <w:spacing w:after="120" w:before="300" w:line="312"/>
      </w:pPr>
      <w:bookmarkStart w:id="100158" w:name="_Toc100158"/>
      <w:r>
        <w:rPr>
          <w:rFonts w:ascii="Calibri" w:eastAsia="Microsoft YaHei" w:hAnsi="Calibri"/>
          <w:b/>
          <w:bCs/>
          <w:color w:val="333333"/>
          <w:sz w:val="24"/>
          <w:szCs w:val="24"/>
        </w:rPr>
        <w:t xml:space="preserve">14.6.2 Event Emissions</w:t>
      </w:r>
      <w:bookmarkEnd w:id="100158"/>
    </w:p>
    <w:p>
      <w:pPr>
        <w:spacing w:after="120" w:line="312"/>
        <w:jc w:val="both"/>
      </w:pPr>
      <w:r>
        <w:rPr>
          <w:rFonts w:ascii="Calibri" w:eastAsia="SimSun" w:hAnsi="Calibri"/>
          <w:b w:val="false"/>
          <w:bCs w:val="false"/>
          <w:color w:val="1A1A1A"/>
          <w:sz w:val="21"/>
          <w:szCs w:val="21"/>
        </w:rPr>
        <w:t xml:space="preserve">The reserve manager emits a single consolidated health event, ReserveMetricsUpdated(nav, reserveRatio, liquidityRatio, status), published from _publishMetrics() at the end of every reserve-state recomputation [BP §4.5]. Because updateReserveState() runs after every mint, redeem, rebalance and price update, the event fires exactly when any input to RR or LCR could have changed — there is no path by which the metrics move silently. The three numeric fields are indexed so that off-chain indexers and the transparency layer (Chapter 24) can filter the full history of reserve health cheaply, and the status string makes each emission self-describing for the risk-state model of Chapter 21 and the monitoring dashboards of Chapter 25. A missing or stale event sequence is itself an alarm condition: metric liveness is checked by the validation gates (Section 23.11) and the failure-mode analysis of Chapter 21.</w:t>
      </w:r>
    </w:p>
    <w:p>
      <w:pPr>
        <w:pStyle w:val="Heading3"/>
        <w:keepNext/>
        <w:spacing w:after="120" w:before="300" w:line="312"/>
      </w:pPr>
      <w:bookmarkStart w:id="100159" w:name="_Toc100159"/>
      <w:r>
        <w:rPr>
          <w:rFonts w:ascii="Calibri" w:eastAsia="Microsoft YaHei" w:hAnsi="Calibri"/>
          <w:b/>
          <w:bCs/>
          <w:color w:val="333333"/>
          <w:sz w:val="24"/>
          <w:szCs w:val="24"/>
        </w:rPr>
        <w:t xml:space="preserve">14.6.3 Developer-Facing Constants</w:t>
      </w:r>
      <w:bookmarkEnd w:id="100159"/>
    </w:p>
    <w:p>
      <w:pPr>
        <w:spacing w:after="120" w:line="312"/>
        <w:jc w:val="both"/>
      </w:pPr>
      <w:r>
        <w:rPr>
          <w:rFonts w:ascii="Calibri" w:eastAsia="SimSun" w:hAnsi="Calibri"/>
          <w:b w:val="false"/>
          <w:bCs w:val="false"/>
          <w:color w:val="1A1A1A"/>
          <w:sz w:val="21"/>
          <w:szCs w:val="21"/>
        </w:rPr>
        <w:t xml:space="preserve">The developer-facing constant set of the reserve manager is carried from BP §4.6. Values are 1e18-scaled; governance scopes follow the layered hierarchy of Chapter 22 (constitutional changes require the 7/7 Multi-Sig with the 90-day timelock; Risk-Council changes require 4/7 with the 24-hour timelock).</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Constant</w:t>
            </w:r>
          </w:p>
        </w:tc>
        <w:tc>
          <w:tcPr>
            <w:tcW w:type="pct" w:w="2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Scope</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Haircut</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HAIRCUT_USDC</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0.005e18 (0.5%)</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 (Risk Council)</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 Haircut</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HAIRCUT_EURC</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0.007e18 (0.7%)</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 (Risk Council)</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GBP/JPY/CNY Haircut</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HAIRCUT_OTHER</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0.010e18 / 0.015e18</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 (Risk Council)</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Haircut</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HAIRCUT_PAXG</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0.010e18 (1.0%)</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 (Risk Council)</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Target</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RR_TARGET</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1.10e18 (110%)</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(7/7 Multi-Sig)</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Stress Floor</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RR_STRESS</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1.05e18 (105%)</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Hard Floor</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RR_HARD</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1.00e18 (100%)</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 Redemption Rate</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STRESS_REDEMPTION_RATE</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0.25e18 (25%)</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bl>
    <w:p>
      <w:pPr>
        <w:spacing w:after="120"/>
      </w:pPr>
    </w:p>
    <w:p>
      <w:pPr>
        <w:spacing w:after="120" w:line="312"/>
        <w:jc w:val="both"/>
      </w:pPr>
      <w:r>
        <w:rPr>
          <w:rFonts w:ascii="Calibri" w:eastAsia="SimSun" w:hAnsi="Calibri"/>
          <w:b w:val="false"/>
          <w:bCs w:val="false"/>
          <w:color w:val="1A1A1A"/>
          <w:sz w:val="21"/>
          <w:szCs w:val="21"/>
        </w:rPr>
        <w:t xml:space="preserve">Two constants complete the set from the core registry of Section 2.9: LCR_TARGET = 1.00 (Risk Council, 4/7) and RECOVERY_CONFIRMATION_PERIOD = 48 hours (DAO vote). The haircut constants are immutable in the contract but remain Risk-Council-adjustable at the parameter-registry level (Section 22.3) under the material-change standard of Section 14.1.1 — meaning an adjustment is a governed redeployment or parameter transaction with a 24-hour timelock and public disclosure, never a silent edit. This closing loop matters: Sections 14.1 and 14.2 are referenced by invariants I4 and I2 respectively, so every constant that participates in those computations must itself be under constitutional-grade change control.</w:t>
      </w:r>
    </w:p>
    <w:p>
      <w:pPr>
        <w:pStyle w:val="Heading1"/>
        <w:keepNext/>
        <w:pBdr>
          <w:bottom w:val="single" w:color="C9A84C" w:sz="12" w:space="6"/>
        </w:pBdr>
        <w:spacing w:after="220" w:before="480" w:line="380" w:lineRule="atLeast"/>
      </w:pPr>
      <w:bookmarkStart w:id="100160" w:name="_Toc100160"/>
      <w:r>
        <w:rPr>
          <w:rFonts w:ascii="Calibri" w:eastAsia="Microsoft YaHei" w:hAnsi="Calibri"/>
          <w:b/>
          <w:bCs/>
          <w:color w:val="1A1A1A"/>
          <w:sz w:val="32"/>
          <w:szCs w:val="32"/>
        </w:rPr>
        <w:t xml:space="preserve">15. The Asset Admission Registry</w:t>
      </w:r>
      <w:bookmarkEnd w:id="100160"/>
    </w:p>
    <w:p>
      <w:pPr>
        <w:pStyle w:val="Heading2"/>
        <w:keepNext/>
        <w:spacing w:after="160" w:before="360" w:line="340" w:lineRule="atLeast"/>
      </w:pPr>
      <w:bookmarkStart w:id="100161" w:name="_Toc100161"/>
      <w:r>
        <w:rPr>
          <w:rFonts w:ascii="Calibri" w:eastAsia="Microsoft YaHei" w:hAnsi="Calibri"/>
          <w:b/>
          <w:bCs/>
          <w:color w:val="1A1A1A"/>
          <w:sz w:val="28"/>
          <w:szCs w:val="28"/>
        </w:rPr>
        <w:t xml:space="preserve">15.1 Purpose and Scope</w:t>
      </w:r>
      <w:bookmarkEnd w:id="100161"/>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Asset Admission Registry is the canonical source of truth for </w:t>
      </w:r>
      <w:r>
        <w:rPr>
          <w:rFonts w:ascii="Calibri" w:eastAsia="SimSun" w:hAnsi="Calibri"/>
          <w:b/>
          <w:bCs/>
          <w:color w:val="2A2A2A"/>
          <w:sz w:val="22"/>
          <w:szCs w:val="22"/>
        </w:rPr>
        <w:t xml:space="preserve">which on-chain instruments are eligible to be held in the Reserve Vault</w:t>
      </w:r>
      <w:r>
        <w:rPr>
          <w:rFonts w:ascii="Calibri" w:eastAsia="SimSun" w:hAnsi="Calibri"/>
          <w:b w:val="false"/>
          <w:bCs w:val="false"/>
          <w:color w:val="2A2A2A"/>
          <w:sz w:val="22"/>
          <w:szCs w:val="22"/>
        </w:rPr>
        <w:t xml:space="preserve"> [BP §5.1]. It decouples the reference index — which is defined in currencies — from the implementation assets (stablecoins, gold tokens, tokenized T-bills) that actually back it, allowing the protocol to adapt to changes in the stablecoin and gold-token ecosystem without rebuilding the core monetary logic.</w:t>
      </w:r>
    </w:p>
    <w:p>
      <w:pPr>
        <w:spacing w:after="120" w:line="312"/>
        <w:jc w:val="both"/>
      </w:pPr>
      <w:r>
        <w:rPr>
          <w:rFonts w:ascii="Calibri" w:eastAsia="SimSun" w:hAnsi="Calibri"/>
          <w:b w:val="false"/>
          <w:bCs w:val="false"/>
          <w:color w:val="1A1A1A"/>
          <w:sz w:val="21"/>
          <w:szCs w:val="21"/>
        </w:rPr>
        <w:t xml:space="preserve">The scope boundary must be stated precisely, because it is the most easily confused distinction in the reserve architecture. The registry governs </w:t>
      </w:r>
      <w:r>
        <w:rPr>
          <w:rFonts w:ascii="Calibri" w:eastAsia="SimSun" w:hAnsi="Calibri"/>
          <w:b/>
          <w:bCs/>
          <w:color w:val="1A1A1A"/>
          <w:sz w:val="21"/>
          <w:szCs w:val="21"/>
        </w:rPr>
        <w:t xml:space="preserve">instrument eligibility</w:t>
      </w:r>
      <w:r>
        <w:rPr>
          <w:rFonts w:ascii="Calibri" w:eastAsia="SimSun" w:hAnsi="Calibri"/>
          <w:b w:val="false"/>
          <w:bCs w:val="false"/>
          <w:color w:val="1A1A1A"/>
          <w:sz w:val="21"/>
          <w:szCs w:val="21"/>
        </w:rPr>
        <w:t xml:space="preserve">; the Constituency Engine (Chapter 4) governs </w:t>
      </w:r>
      <w:r>
        <w:rPr>
          <w:rFonts w:ascii="Calibri" w:eastAsia="SimSun" w:hAnsi="Calibri"/>
          <w:b/>
          <w:bCs/>
          <w:color w:val="1A1A1A"/>
          <w:sz w:val="21"/>
          <w:szCs w:val="21"/>
        </w:rPr>
        <w:t xml:space="preserve">currency eligibility</w:t>
      </w:r>
      <w:r>
        <w:rPr>
          <w:rFonts w:ascii="Calibri" w:eastAsia="SimSun" w:hAnsi="Calibri"/>
          <w:b w:val="false"/>
          <w:bCs w:val="false"/>
          <w:color w:val="1A1A1A"/>
          <w:sz w:val="21"/>
          <w:szCs w:val="21"/>
        </w:rPr>
        <w:t xml:space="preserve">. These are different questions answered by different mechanisms:</w:t>
      </w:r>
    </w:p>
    <w:p>
      <w:pPr>
        <w:spacing w:after="120" w:before="120" w:line="312"/>
        <w:jc w:val="center"/>
      </w:pPr>
      <w:r>
        <w:rPr>
          <w:rFonts w:ascii="Cambria" w:eastAsia="SimSun" w:hAnsi="Cambria"/>
          <w:i w:val="false"/>
          <w:iCs w:val="false"/>
          <w:color w:val="1A1A1A"/>
          <w:sz w:val="22"/>
          <w:szCs w:val="22"/>
        </w:rPr>
        <w:t xml:space="preserve">Constituency Engine (Chapter 4): which currencies are in the index</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Asset Admission Registry (Chapter 15): which instruments may back the reserve</w:t>
      </w:r>
    </w:p>
    <w:p>
      <w:pPr>
        <w:spacing w:after="120" w:line="312"/>
        <w:jc w:val="both"/>
      </w:pPr>
      <w:r>
        <w:rPr>
          <w:rFonts w:ascii="Calibri" w:eastAsia="SimSun" w:hAnsi="Calibri"/>
          <w:b w:val="false"/>
          <w:bCs w:val="false"/>
          <w:color w:val="1A1A1A"/>
          <w:sz w:val="21"/>
          <w:szCs w:val="21"/>
        </w:rPr>
        <w:t xml:space="preserve">A currency can be a reference-basket member with no admitted instrument yet (GBP and JPY at genesis, until a suitable regulated instrument emerges), and an instrument can be admitted for a currency that later exits the basket — in which case the reserve runs the instrument down through rebalancing rather than by registry decree. The index references currency exposure and resolves the implementing token through the registry; the reserve holds only registry-admitted instruments; neither layer can silently redefine the other. This is the reserve-side complement of the two-system separation of Section 2.4 (W^{Index} ≠ W^{Reserve}).</w:t>
      </w:r>
    </w:p>
    <w:p>
      <w:pPr>
        <w:spacing w:after="120" w:line="312"/>
        <w:jc w:val="both"/>
      </w:pPr>
      <w:r>
        <w:rPr>
          <w:rFonts w:ascii="Calibri" w:eastAsia="SimSun" w:hAnsi="Calibri"/>
          <w:b w:val="false"/>
          <w:bCs w:val="false"/>
          <w:color w:val="1A1A1A"/>
          <w:sz w:val="21"/>
          <w:szCs w:val="21"/>
        </w:rPr>
        <w:t xml:space="preserve">The registry is consumed by three systems [BP §5.1]: the </w:t>
      </w:r>
      <w:r>
        <w:rPr>
          <w:rFonts w:ascii="Calibri" w:eastAsia="SimSun" w:hAnsi="Calibri"/>
          <w:b/>
          <w:bCs/>
          <w:color w:val="1A1A1A"/>
          <w:sz w:val="21"/>
          <w:szCs w:val="21"/>
        </w:rPr>
        <w:t xml:space="preserve">Minting Engine</w:t>
      </w:r>
      <w:r>
        <w:rPr>
          <w:rFonts w:ascii="Calibri" w:eastAsia="SimSun" w:hAnsi="Calibri"/>
          <w:b w:val="false"/>
          <w:bCs w:val="false"/>
          <w:color w:val="1A1A1A"/>
          <w:sz w:val="21"/>
          <w:szCs w:val="21"/>
        </w:rPr>
        <w:t xml:space="preserve">, to know which assets to buy when a user deposits (Chapter 19); the </w:t>
      </w:r>
      <w:r>
        <w:rPr>
          <w:rFonts w:ascii="Calibri" w:eastAsia="SimSun" w:hAnsi="Calibri"/>
          <w:b/>
          <w:bCs/>
          <w:color w:val="1A1A1A"/>
          <w:sz w:val="21"/>
          <w:szCs w:val="21"/>
        </w:rPr>
        <w:t xml:space="preserve">Rebalancing Engine</w:t>
      </w:r>
      <w:r>
        <w:rPr>
          <w:rFonts w:ascii="Calibri" w:eastAsia="SimSun" w:hAnsi="Calibri"/>
          <w:b w:val="false"/>
          <w:bCs w:val="false"/>
          <w:color w:val="1A1A1A"/>
          <w:sz w:val="21"/>
          <w:szCs w:val="21"/>
        </w:rPr>
        <w:t xml:space="preserve">, to know which assets are eligible for trading (Chapters 10–11); and the </w:t>
      </w:r>
      <w:r>
        <w:rPr>
          <w:rFonts w:ascii="Calibri" w:eastAsia="SimSun" w:hAnsi="Calibri"/>
          <w:b/>
          <w:bCs/>
          <w:color w:val="1A1A1A"/>
          <w:sz w:val="21"/>
          <w:szCs w:val="21"/>
        </w:rPr>
        <w:t xml:space="preserve">Risk State Machine</w:t>
      </w:r>
      <w:r>
        <w:rPr>
          <w:rFonts w:ascii="Calibri" w:eastAsia="SimSun" w:hAnsi="Calibri"/>
          <w:b w:val="false"/>
          <w:bCs w:val="false"/>
          <w:color w:val="1A1A1A"/>
          <w:sz w:val="21"/>
          <w:szCs w:val="21"/>
        </w:rPr>
        <w:t xml:space="preserve">, to determine if an asset should be suspended or ejected (Chapters 18 and 21). Each consumer reads the registry at decision time rather than caching instrument lists, so a state change (Section 15.3) takes effect at the next decision, not at the next redeployment.</w:t>
      </w:r>
    </w:p>
    <w:p>
      <w:pPr>
        <w:pStyle w:val="Heading2"/>
        <w:keepNext/>
        <w:spacing w:after="160" w:before="360" w:line="340" w:lineRule="atLeast"/>
      </w:pPr>
      <w:bookmarkStart w:id="100162" w:name="_Toc100162"/>
      <w:r>
        <w:rPr>
          <w:rFonts w:ascii="Calibri" w:eastAsia="Microsoft YaHei" w:hAnsi="Calibri"/>
          <w:b/>
          <w:bCs/>
          <w:color w:val="1A1A1A"/>
          <w:sz w:val="28"/>
          <w:szCs w:val="28"/>
        </w:rPr>
        <w:t xml:space="preserve">15.2 The Eligibility Standard</w:t>
      </w:r>
      <w:bookmarkEnd w:id="100162"/>
    </w:p>
    <w:p>
      <w:pPr>
        <w:spacing w:after="120" w:line="312"/>
        <w:jc w:val="both"/>
      </w:pPr>
      <w:r>
        <w:rPr>
          <w:rFonts w:ascii="Calibri" w:eastAsia="SimSun" w:hAnsi="Calibri"/>
          <w:b w:val="false"/>
          <w:bCs w:val="false"/>
          <w:color w:val="1A1A1A"/>
          <w:sz w:val="21"/>
          <w:szCs w:val="21"/>
        </w:rPr>
        <w:t xml:space="preserve">An asset must satisfy </w:t>
      </w:r>
      <w:r>
        <w:rPr>
          <w:rFonts w:ascii="Calibri" w:eastAsia="SimSun" w:hAnsi="Calibri"/>
          <w:b/>
          <w:bCs/>
          <w:color w:val="1A1A1A"/>
          <w:sz w:val="21"/>
          <w:szCs w:val="21"/>
        </w:rPr>
        <w:t xml:space="preserve">all eight criteria</w:t>
      </w:r>
      <w:r>
        <w:rPr>
          <w:rFonts w:ascii="Calibri" w:eastAsia="SimSun" w:hAnsi="Calibri"/>
          <w:b w:val="false"/>
          <w:bCs w:val="false"/>
          <w:color w:val="1A1A1A"/>
          <w:sz w:val="21"/>
          <w:szCs w:val="21"/>
        </w:rPr>
        <w:t xml:space="preserve"> to be admitted as an eligible reserve asset; there is no scoring trade-off at admission, only pass/fail on each criterion [BP §5.2]. The criteria are enforced by the Risk Council (4-of-7 Multi-Sig) before an asset is added, and each has a named verification method so that admission is an evidence process, not an opinion: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Criterion</w:t>
            </w:r>
          </w:p>
        </w:tc>
        <w:tc>
          <w:tcPr>
            <w:tcW w:type="pct" w:w="4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c>
          <w:tcPr>
            <w:tcW w:type="pct" w:w="3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Verification Method</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Issuer Authorization</w:t>
            </w:r>
          </w:p>
        </w:tc>
        <w:tc>
          <w:tcPr>
            <w:tcW w:type="pct" w:w="4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issuer is a regulated entity or subject to an enforceable legal framework.</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Regulatory registration number; legal opinion on file.</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 Right</w:t>
            </w:r>
          </w:p>
        </w:tc>
        <w:tc>
          <w:tcPr>
            <w:tcW w:type="pct" w:w="4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holder has a verifiable right to redeem the token at par (for stablecoins) or for physical gold.</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Public attestations; smart contract audit confirms redeem function.</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Custody Structure</w:t>
            </w:r>
          </w:p>
        </w:tc>
        <w:tc>
          <w:tcPr>
            <w:tcW w:type="pct" w:w="4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Underlying assets (for gold) are audited, segregated, and held by a qualified custodian.</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Custodian attestation; independent audit report.</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Sanctions Policy</w:t>
            </w:r>
          </w:p>
        </w:tc>
        <w:tc>
          <w:tcPr>
            <w:tcW w:type="pct" w:w="4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Issuer complies with OFAC, EU, and UN sanctions lists.</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Sanctions compliance statement; no known enforcement actions.</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Smart Contract Audit</w:t>
            </w:r>
          </w:p>
        </w:tc>
        <w:tc>
          <w:tcPr>
            <w:tcW w:type="pct" w:w="4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token contracts have been audited by a top-tier firm (e.g., CertiK, Hacken) within the last 12 months.</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Audit report; no critical vulnerabilities.</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Minimum</w:t>
            </w:r>
          </w:p>
        </w:tc>
        <w:tc>
          <w:tcPr>
            <w:tcW w:type="pct" w:w="4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asset has a 24-hour on-chain trading volume of at least $1,000,000 on major DEXs.</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On-chain volume data (7-day rolling average).</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Availability</w:t>
            </w:r>
          </w:p>
        </w:tc>
        <w:tc>
          <w:tcPr>
            <w:tcW w:type="pct" w:w="4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At least two independent price feeds (Chainlink, Pyth, Chronicle) provide a reliable price.</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addresses registered in the system; feeds are live.</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Concentration Limit</w:t>
            </w:r>
          </w:p>
        </w:tc>
        <w:tc>
          <w:tcPr>
            <w:tcW w:type="pct" w:w="4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single issuer can represent more than 30% of the total reserve value.</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Calculated during rebalancing; enforced by the Risk Engine.</w:t>
            </w:r>
          </w:p>
        </w:tc>
      </w:tr>
    </w:tbl>
    <w:p>
      <w:pPr>
        <w:spacing w:after="120"/>
      </w:pPr>
    </w:p>
    <w:p>
      <w:pPr>
        <w:spacing w:after="120" w:line="312"/>
        <w:jc w:val="both"/>
      </w:pPr>
      <w:r>
        <w:rPr>
          <w:rFonts w:ascii="Calibri" w:eastAsia="SimSun" w:hAnsi="Calibri"/>
          <w:b w:val="false"/>
          <w:bCs w:val="false"/>
          <w:color w:val="1A1A1A"/>
          <w:sz w:val="21"/>
          <w:szCs w:val="21"/>
        </w:rPr>
        <w:t xml:space="preserve">The registry does </w:t>
      </w:r>
      <w:r>
        <w:rPr>
          <w:rFonts w:ascii="Calibri" w:eastAsia="SimSun" w:hAnsi="Calibri"/>
          <w:b/>
          <w:bCs/>
          <w:color w:val="1A1A1A"/>
          <w:sz w:val="21"/>
          <w:szCs w:val="21"/>
        </w:rPr>
        <w:t xml:space="preserve">not</w:t>
      </w:r>
      <w:r>
        <w:rPr>
          <w:rFonts w:ascii="Calibri" w:eastAsia="SimSun" w:hAnsi="Calibri"/>
          <w:b w:val="false"/>
          <w:bCs w:val="false"/>
          <w:color w:val="1A1A1A"/>
          <w:sz w:val="21"/>
          <w:szCs w:val="21"/>
        </w:rPr>
        <w:t xml:space="preserve"> automatically admit assets [BP §5.2]. Each addition requires a governance proposal and a 48-hour timelock (4-of-7 Risk Council approval) to ensure thorough review, so an instrument that passes all eight checks on paper still waits two days of public scrutiny before it can touch the vault. For gold instruments, the eligibility score E_j of Section 14.3 is the quantitative expression of criteria 2, 3, 5 and 7 — a tokenized-gold instrument that fails the redemption-right or custody criteria fails the score, and an admitted instrument's residual risks are priced through its haircut (Section 14.1.1) rather than ignored.</w:t>
      </w:r>
    </w:p>
    <w:p>
      <w:pPr>
        <w:spacing w:after="120" w:line="312"/>
        <w:jc w:val="both"/>
      </w:pPr>
      <w:r>
        <w:rPr>
          <w:rFonts w:ascii="Calibri" w:eastAsia="SimSun" w:hAnsi="Calibri"/>
          <w:b w:val="false"/>
          <w:bCs w:val="false"/>
          <w:color w:val="1A1A1A"/>
          <w:sz w:val="21"/>
          <w:szCs w:val="21"/>
        </w:rPr>
        <w:t xml:space="preserve">The eight criteria are deliberately instrument-level, not issuer-level compliments. An issuer may operate several tokens of differing quality (for example, a well-audited USD stablecoin and a thinner-liquidity EUR instrument), and each token is judged on its own evidence. Conversely, criterion 8 ensures that even individually excellent instruments cannot collectively create dependence on one issuer — the concentration analysis of Section 15.6 aggregates across instruments by issuerId after admission.</w:t>
      </w:r>
    </w:p>
    <w:p>
      <w:pPr>
        <w:pStyle w:val="Heading2"/>
        <w:keepNext/>
        <w:spacing w:after="160" w:before="360" w:line="340" w:lineRule="atLeast"/>
      </w:pPr>
      <w:bookmarkStart w:id="100163" w:name="_Toc100163"/>
      <w:r>
        <w:rPr>
          <w:rFonts w:ascii="Calibri" w:eastAsia="Microsoft YaHei" w:hAnsi="Calibri"/>
          <w:b/>
          <w:bCs/>
          <w:color w:val="1A1A1A"/>
          <w:sz w:val="28"/>
          <w:szCs w:val="28"/>
        </w:rPr>
        <w:t xml:space="preserve">15.3 Asset States</w:t>
      </w:r>
      <w:bookmarkEnd w:id="100163"/>
    </w:p>
    <w:p>
      <w:pPr>
        <w:spacing w:after="120" w:line="312"/>
        <w:jc w:val="both"/>
      </w:pPr>
      <w:r>
        <w:rPr>
          <w:rFonts w:ascii="Calibri" w:eastAsia="SimSun" w:hAnsi="Calibri"/>
          <w:b w:val="false"/>
          <w:bCs w:val="false"/>
          <w:color w:val="1A1A1A"/>
          <w:sz w:val="21"/>
          <w:szCs w:val="21"/>
        </w:rPr>
        <w:t xml:space="preserve">Each registered asset exists in one of four states, forming an escalation machine from fully eligible to fully exited [BP §5.3]. The states are ordered: an asset moves down the ladder as evidence deteriorates and up only through governance review, and every transition is an emitted event (Section 15.7) so the reserve's instrument history is fully reconstructible.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State</w:t>
            </w:r>
          </w:p>
        </w:tc>
        <w:tc>
          <w:tcPr>
            <w:tcW w:type="pct" w:w="4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c>
          <w:tcPr>
            <w:tcW w:type="pct" w:w="4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Trigger</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ACTIVE</w:t>
            </w:r>
          </w:p>
        </w:tc>
        <w:tc>
          <w:tcPr>
            <w:tcW w:type="pct" w:w="4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asset is eligible for purchase, rebalancing, and collateral.</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Default state after admission.</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WATCH</w:t>
            </w:r>
          </w:p>
        </w:tc>
        <w:tc>
          <w:tcPr>
            <w:tcW w:type="pct" w:w="4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new purchases; existing holdings are maintained.</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Triggered when a criterion is about to fail (e.g., liquidity drops below $1M for 3 days).</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RESTRICTED</w:t>
            </w:r>
          </w:p>
        </w:tc>
        <w:tc>
          <w:tcPr>
            <w:tcW w:type="pct" w:w="4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asset cannot be used for new collateral; the protocol will sell it during the next rebalancing cycle.</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Triggered when a criterion is violated (e.g., issuer is sanctioned).</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EJECTED</w:t>
            </w:r>
          </w:p>
        </w:tc>
        <w:tc>
          <w:tcPr>
            <w:tcW w:type="pct" w:w="4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sells 100% of the asset via the staged liquidation ladder (Chapter 11).</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Triggered when the asset is confirmed de-pegged or issuer redemption is frozen.</w:t>
            </w:r>
          </w:p>
        </w:tc>
      </w:tr>
    </w:tbl>
    <w:p>
      <w:pPr>
        <w:spacing w:after="120"/>
      </w:pPr>
    </w:p>
    <w:p>
      <w:pPr>
        <w:spacing w:after="120" w:line="312"/>
        <w:jc w:val="both"/>
      </w:pPr>
      <w:r>
        <w:rPr>
          <w:rFonts w:ascii="Calibri" w:eastAsia="SimSun" w:hAnsi="Calibri"/>
          <w:b w:val="false"/>
          <w:bCs w:val="false"/>
          <w:color w:val="1A1A1A"/>
          <w:sz w:val="21"/>
          <w:szCs w:val="21"/>
        </w:rPr>
        <w:t xml:space="preserve">The WATCH state is the machine's early-warning layer: it freezes new accumulation without forcing disposal, which prevents panic-selling an instrument whose criterion dip may be transient (a three-day liquidity slump is not a depeg). RESTRICTED converts concern into scheduled exit — the instrument stops being collateral immediately but is sold through the ordinary rebalancing cycle rather than in a fire sale, and MARP's execution gates still apply to the disposal itself. EJECTED is the terminal state: confirmed failure (depeg or frozen redemption) removes the instrument from all uses, and disposal proceeds through the staged liquidation ladder of Chapter 11, which sizes and paces the exit to market depth.</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BP §5.3's four-state machine (ACTIVE / WATCH / RESTRICTED / EJECTED) is retained verbatim. The intermediate WATCH and RESTRICTED states perform the suspend function and EJECTED the delist function, with an explicit quarantine step that a coarser ACTIVE/SUSPENDED/DELISTED machine would lack — the quarantine is what stops a three-day liquidity dip from becoming either an ignored warning or a forced liquidation.</w:t>
      </w:r>
    </w:p>
    <w:p>
      <w:pPr>
        <w:pStyle w:val="Heading2"/>
        <w:keepNext/>
        <w:spacing w:after="160" w:before="360" w:line="340" w:lineRule="atLeast"/>
      </w:pPr>
      <w:bookmarkStart w:id="100164" w:name="_Toc100164"/>
      <w:r>
        <w:rPr>
          <w:rFonts w:ascii="Calibri" w:eastAsia="Microsoft YaHei" w:hAnsi="Calibri"/>
          <w:b/>
          <w:bCs/>
          <w:color w:val="1A1A1A"/>
          <w:sz w:val="28"/>
          <w:szCs w:val="28"/>
        </w:rPr>
        <w:t xml:space="preserve">15.4 Registry Data Structures</w:t>
      </w:r>
      <w:bookmarkEnd w:id="100164"/>
    </w:p>
    <w:p>
      <w:pPr>
        <w:spacing w:after="120" w:line="312"/>
        <w:jc w:val="both"/>
      </w:pPr>
      <w:r>
        <w:rPr>
          <w:rFonts w:ascii="Calibri" w:eastAsia="SimSun" w:hAnsi="Calibri"/>
          <w:b w:val="false"/>
          <w:bCs w:val="false"/>
          <w:color w:val="1A1A1A"/>
          <w:sz w:val="21"/>
          <w:szCs w:val="21"/>
        </w:rPr>
        <w:t xml:space="preserve">The registry stores one record per admitted instrument and one mapping per currency code. The record is the unit of governance (admission, state changes, parameter updates); the mapping is the unit of resolution (which token currently implements a currency exposure) [BP §5.4].</w:t>
      </w:r>
    </w:p>
    <w:p>
      <w:pPr>
        <w:pStyle w:val="Heading3"/>
        <w:keepNext/>
        <w:spacing w:after="120" w:before="300" w:line="312"/>
      </w:pPr>
      <w:bookmarkStart w:id="100165" w:name="_Toc100165"/>
      <w:r>
        <w:rPr>
          <w:rFonts w:ascii="Calibri" w:eastAsia="Microsoft YaHei" w:hAnsi="Calibri"/>
          <w:b/>
          <w:bCs/>
          <w:color w:val="333333"/>
          <w:sz w:val="24"/>
          <w:szCs w:val="24"/>
        </w:rPr>
        <w:t xml:space="preserve">15.4.1 Asset Record</w:t>
      </w:r>
      <w:bookmarkEnd w:id="100165"/>
    </w:p>
    <w:p>
      <w:pPr>
        <w:spacing w:after="120" w:line="312"/>
        <w:jc w:val="both"/>
      </w:pPr>
      <w:r>
        <w:rPr>
          <w:rFonts w:ascii="Calibri" w:eastAsia="SimSun" w:hAnsi="Calibri"/>
          <w:b w:val="false"/>
          <w:bCs w:val="false"/>
          <w:color w:val="1A1A1A"/>
          <w:sz w:val="21"/>
          <w:szCs w:val="21"/>
        </w:rPr>
        <w:t xml:space="preserve">Each instrument is described by a fixed field set [BP §5.4.1]:</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Field</w:t>
            </w:r>
          </w:p>
        </w:tc>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Type</w:t>
            </w:r>
          </w:p>
        </w:tc>
        <w:tc>
          <w:tcPr>
            <w:tcW w:type="pct" w:w="6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currencyCode</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bytes3</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currency the instrument implements, e.g., USD, EUR, GBP, JPY, CNY, XAU (for gold).</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tokenAddress</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address</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on-chain token address.</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name</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string</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Human-readable name (e.g., USDC, PAXG).</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Asset-specific haircut (1e18 scale), approved at admission (§14.1.1).</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liquidityThreshold</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Minimum 24h volume in USD (1e18 scale) — the WATCH trigger level.</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admissionDate</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Timestamp of when the asset was added.</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state</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AssetState</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Current state (ACTIVE / WATCH / RESTRICTED / EJECTED).</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isStablecoin</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bool</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True if fiat-pegged; false for gold and commodities — drives the LCR liquid classification (§13.4).</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issuerId</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bytes32</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Hash of the issuer identifier, for concentration tracking (§15.6).</w:t>
            </w:r>
          </w:p>
        </w:tc>
      </w:tr>
    </w:tbl>
    <w:p>
      <w:pPr>
        <w:spacing w:after="120"/>
      </w:pPr>
    </w:p>
    <w:p>
      <w:pPr>
        <w:spacing w:after="120" w:line="312"/>
        <w:jc w:val="both"/>
      </w:pPr>
      <w:r>
        <w:rPr>
          <w:rFonts w:ascii="Calibri" w:eastAsia="SimSun" w:hAnsi="Calibri"/>
          <w:b w:val="false"/>
          <w:bCs w:val="false"/>
          <w:color w:val="1A1A1A"/>
          <w:sz w:val="21"/>
          <w:szCs w:val="21"/>
        </w:rPr>
        <w:t xml:space="preserve">Two fields deserve comment. The haircut lives in the record, not only in the reserve manager's constants, because the registry is the point of admission where the Risk Council approves instrument and price together (Section 14.1.1); the reserve manager consumes the admitted value. The issuerId is deliberately a hash rather than a string so that concentration accounting can aggregate by issuer on-chain without maintaining a parallel issuer directory, and so that a renamed or rebranded issuer cannot shed its concentration history.</w:t>
      </w:r>
    </w:p>
    <w:p>
      <w:pPr>
        <w:pStyle w:val="Heading3"/>
        <w:keepNext/>
        <w:spacing w:after="120" w:before="300" w:line="312"/>
      </w:pPr>
      <w:bookmarkStart w:id="100166" w:name="_Toc100166"/>
      <w:r>
        <w:rPr>
          <w:rFonts w:ascii="Calibri" w:eastAsia="Microsoft YaHei" w:hAnsi="Calibri"/>
          <w:b/>
          <w:bCs/>
          <w:color w:val="333333"/>
          <w:sz w:val="24"/>
          <w:szCs w:val="24"/>
        </w:rPr>
        <w:t xml:space="preserve">15.4.2 Currency-to-Asset Mapping</w:t>
      </w:r>
      <w:bookmarkEnd w:id="100166"/>
    </w:p>
    <w:p>
      <w:pPr>
        <w:spacing w:after="120" w:line="312"/>
        <w:jc w:val="both"/>
      </w:pPr>
      <w:r>
        <w:rPr>
          <w:rFonts w:ascii="Calibri" w:eastAsia="SimSun" w:hAnsi="Calibri"/>
          <w:b w:val="false"/>
          <w:bCs w:val="false"/>
          <w:color w:val="1A1A1A"/>
          <w:sz w:val="21"/>
          <w:szCs w:val="21"/>
        </w:rPr>
        <w:t xml:space="preserve">To support the index, the registry maintains a mapping from </w:t>
      </w:r>
      <w:r>
        <w:rPr>
          <w:rFonts w:ascii="Calibri" w:eastAsia="SimSun" w:hAnsi="Calibri"/>
          <w:b/>
          <w:bCs/>
          <w:color w:val="1A1A1A"/>
          <w:sz w:val="21"/>
          <w:szCs w:val="21"/>
        </w:rPr>
        <w:t xml:space="preserve">currency code</w:t>
      </w:r>
      <w:r>
        <w:rPr>
          <w:rFonts w:ascii="Calibri" w:eastAsia="SimSun" w:hAnsi="Calibri"/>
          <w:b w:val="false"/>
          <w:bCs w:val="false"/>
          <w:color w:val="1A1A1A"/>
          <w:sz w:val="21"/>
          <w:szCs w:val="21"/>
        </w:rPr>
        <w:t xml:space="preserve"> to the </w:t>
      </w:r>
      <w:r>
        <w:rPr>
          <w:rFonts w:ascii="Calibri" w:eastAsia="SimSun" w:hAnsi="Calibri"/>
          <w:b/>
          <w:bCs/>
          <w:color w:val="1A1A1A"/>
          <w:sz w:val="21"/>
          <w:szCs w:val="21"/>
        </w:rPr>
        <w:t xml:space="preserve">active token address</w:t>
      </w:r>
      <w:r>
        <w:rPr>
          <w:rFonts w:ascii="Calibri" w:eastAsia="SimSun" w:hAnsi="Calibri"/>
          <w:b w:val="false"/>
          <w:bCs w:val="false"/>
          <w:color w:val="1A1A1A"/>
          <w:sz w:val="21"/>
          <w:szCs w:val="21"/>
        </w:rPr>
        <w:t xml:space="preserve">. This allows the index and the engines to call getAssetForCurrency("EUR") and always obtain the current canonical asset [BP §5.4.2]:</w:t>
      </w:r>
    </w:p>
    <w:p>
      <w:pPr>
        <w:spacing w:after="120" w:before="120" w:line="312"/>
        <w:jc w:val="center"/>
      </w:pPr>
      <w:r>
        <w:rPr>
          <w:rFonts w:ascii="Cambria" w:eastAsia="SimSun" w:hAnsi="Cambria"/>
          <w:i/>
          <w:iCs/>
          <w:color w:val="1A1A1A"/>
          <w:sz w:val="22"/>
          <w:szCs w:val="22"/>
        </w:rPr>
        <w:t xml:space="preserve">currencyToAsset:</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bytes3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address</w:t>
      </w:r>
    </w:p>
    <w:p>
      <w:pPr>
        <w:spacing w:after="120" w:line="312"/>
        <w:jc w:val="both"/>
      </w:pPr>
      <w:r>
        <w:rPr>
          <w:rFonts w:ascii="Calibri" w:eastAsia="SimSun" w:hAnsi="Calibri"/>
          <w:b w:val="false"/>
          <w:bCs w:val="false"/>
          <w:color w:val="1A1A1A"/>
          <w:sz w:val="21"/>
          <w:szCs w:val="21"/>
        </w:rPr>
        <w:t xml:space="preserve">The genesis mapping is set at deployment [BP §5.4.2], extended to the seven-component basket of Section 3.4:</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Currency Code</w:t>
            </w:r>
          </w:p>
        </w:tc>
        <w:tc>
          <w:tcPr>
            <w:tcW w:type="pct" w:w="2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Initial Asset</w:t>
            </w:r>
          </w:p>
        </w:tc>
        <w:tc>
          <w:tcPr>
            <w:tcW w:type="pct" w:w="6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Why</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(Circle)</w:t>
            </w:r>
          </w:p>
        </w:tc>
        <w:tc>
          <w:tcPr>
            <w:tcW w:type="pct" w:w="6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Largest regulated USD stablecoin.</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 (Circle)</w:t>
            </w:r>
          </w:p>
        </w:tc>
        <w:tc>
          <w:tcPr>
            <w:tcW w:type="pct" w:w="6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Largest regulated EUR stablecoin.</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TBD (governance-approved)</w:t>
            </w:r>
          </w:p>
        </w:tc>
        <w:tc>
          <w:tcPr>
            <w:tcW w:type="pct" w:w="6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Will be set once a suitable regulated GBP stablecoin emerges.</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TBD (governance-approved)</w:t>
            </w:r>
          </w:p>
        </w:tc>
        <w:tc>
          <w:tcPr>
            <w:tcW w:type="pct" w:w="6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Will be set once a suitable regulated JPY stablecoin emerges.</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TBD (governance-approved)</w:t>
            </w:r>
          </w:p>
        </w:tc>
        <w:tc>
          <w:tcPr>
            <w:tcW w:type="pct" w:w="6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Will be set once a suitable regulated CNY stablecoin emerges (offshore CNH).</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CHF</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TBD (governance-approved)</w:t>
            </w:r>
          </w:p>
        </w:tc>
        <w:tc>
          <w:tcPr>
            <w:tcW w:type="pct" w:w="6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 at genesis per Section 3.4; set upon admission of a qualified CHF instrument.</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XAU</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 / XAUT (registry-resolved)</w:t>
            </w:r>
          </w:p>
        </w:tc>
        <w:tc>
          <w:tcPr>
            <w:tcW w:type="pct" w:w="6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Tokenized gold implementation, admitted under the Section 14.3 score; physical bullion compared under the same framework.</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BP's genesis mapping table predates the seven-component v2.0 basket and listed only USD, EUR, GBP, JPY and CNY; the CHF and XAU rows are added to match the genesis snapshot of Section 3.4. The mapping stores the </w:t>
      </w:r>
      <w:r>
        <w:rPr>
          <w:rFonts w:ascii="Calibri" w:eastAsia="SimSun" w:hAnsi="Calibri"/>
          <w:b/>
          <w:bCs/>
          <w:color w:val="404040"/>
          <w:sz w:val="20"/>
          <w:szCs w:val="20"/>
        </w:rPr>
        <w:t xml:space="preserve">canonical</w:t>
      </w:r>
      <w:r>
        <w:rPr>
          <w:rFonts w:ascii="Calibri" w:eastAsia="SimSun" w:hAnsi="Calibri"/>
          <w:b w:val="false"/>
          <w:bCs w:val="false"/>
          <w:color w:val="404040"/>
          <w:sz w:val="20"/>
          <w:szCs w:val="20"/>
        </w:rPr>
        <w:t xml:space="preserve"> instrument per currency; a successor instrument replaces the mapping through governance (delist and re-add), and issuer-level diversification across multiple gold instruments is governed by the concentration limits of Section 15.6 rather than by parallel mappings.</w:t>
      </w:r>
    </w:p>
    <w:p>
      <w:pPr>
        <w:pStyle w:val="Heading2"/>
        <w:keepNext/>
        <w:spacing w:after="160" w:before="360" w:line="340" w:lineRule="atLeast"/>
      </w:pPr>
      <w:bookmarkStart w:id="100167" w:name="_Toc100167"/>
      <w:r>
        <w:rPr>
          <w:rFonts w:ascii="Calibri" w:eastAsia="Microsoft YaHei" w:hAnsi="Calibri"/>
          <w:b/>
          <w:bCs/>
          <w:color w:val="1A1A1A"/>
          <w:sz w:val="28"/>
          <w:szCs w:val="28"/>
        </w:rPr>
        <w:t xml:space="preserve">15.5 Core Registry Functions</w:t>
      </w:r>
      <w:bookmarkEnd w:id="100167"/>
    </w:p>
    <w:p>
      <w:pPr>
        <w:spacing w:after="120" w:line="312"/>
        <w:jc w:val="both"/>
      </w:pPr>
      <w:r>
        <w:rPr>
          <w:rFonts w:ascii="Calibri" w:eastAsia="SimSun" w:hAnsi="Calibri"/>
          <w:b w:val="false"/>
          <w:bCs w:val="false"/>
          <w:color w:val="1A1A1A"/>
          <w:sz w:val="21"/>
          <w:szCs w:val="21"/>
        </w:rPr>
        <w:t xml:space="preserve">The registry exposes a small, deliberately boring function set: two governance-gated mutators and three public queries [BP §5.5]. All mutation flows through the Risk Council modifier; the 48-hour timelock of Section 15.2 is enforced by the timelock controller (Chapter 22) around these entry points, not inside them.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Function</w:t>
            </w:r>
          </w:p>
        </w:tc>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Access</w:t>
            </w:r>
          </w:p>
        </w:tc>
        <w:tc>
          <w:tcPr>
            <w:tcW w:type="pct" w:w="5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Purpose</w:t>
            </w:r>
          </w:p>
        </w:tc>
      </w:tr>
      <w:tr>
        <w:trPr>
          <w:cantSplit/>
        </w:trPr>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addAsset(...)</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 + 48h timelock)</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Admits a new instrument: sets code, address, name, haircut, liquidity threshold, stablecoin flag and issuer hash.</w:t>
            </w:r>
          </w:p>
        </w:tc>
      </w:tr>
      <w:tr>
        <w:trPr>
          <w:cantSplit/>
        </w:trPr>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updateAssetState(...)</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Transitions the instrument's state (ACTIVE → WATCH → RESTRICTED → EJECTED).</w:t>
            </w:r>
          </w:p>
        </w:tc>
      </w:tr>
      <w:tr>
        <w:trPr>
          <w:cantSplit/>
        </w:trPr>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getAssetForCurrency(bytes3)</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public view</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Resolves the canonical token address implementing a currency exposure.</w:t>
            </w:r>
          </w:p>
        </w:tc>
      </w:tr>
      <w:tr>
        <w:trPr>
          <w:cantSplit/>
        </w:trPr>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getAssetRecord(bytes3)</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public view</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Returns the full asset record for audit and risk engines.</w:t>
            </w:r>
          </w:p>
        </w:tc>
      </w:tr>
      <w:tr>
        <w:trPr>
          <w:cantSplit/>
        </w:trPr>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getActiveAssets()</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public view</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Lists all ACTIVE instruments — the eligible set for minting and rebalancing.</w:t>
            </w:r>
          </w:p>
        </w:tc>
      </w:tr>
    </w:tbl>
    <w:p>
      <w:pPr>
        <w:spacing w:after="120"/>
      </w:pPr>
    </w:p>
    <w:p>
      <w:pPr>
        <w:spacing w:after="120" w:line="312"/>
        <w:jc w:val="both"/>
      </w:pPr>
      <w:r>
        <w:rPr>
          <w:rFonts w:ascii="Calibri" w:eastAsia="SimSun" w:hAnsi="Calibri"/>
          <w:b w:val="false"/>
          <w:bCs w:val="false"/>
          <w:color w:val="1A1A1A"/>
          <w:sz w:val="21"/>
          <w:szCs w:val="21"/>
        </w:rPr>
        <w:t xml:space="preserve">addAsset validates before it writes: the currency slot must be free (no instrument already mapped), the token address must be non-zero, the haircut must lie within the admissible range of 0.5%–10%, and the liquidity threshold must meet the $1,000,000 minimum of criterion 6. These bounds make the registry self-defending against governance error — a proposal that attempts to admit an instrument with a 0.2% haircut or a token at the zero address fails at the contract, not merely at review. The full Solidity implementation of all five functions, with the modifiers and events, is Listing 7 in Section 15.8.</w:t>
      </w:r>
    </w:p>
    <w:p>
      <w:pPr>
        <w:spacing w:after="120" w:line="312"/>
        <w:jc w:val="both"/>
      </w:pPr>
      <w:r>
        <w:rPr>
          <w:rFonts w:ascii="Calibri" w:eastAsia="SimSun" w:hAnsi="Calibri"/>
          <w:b w:val="false"/>
          <w:bCs w:val="false"/>
          <w:color w:val="1A1A1A"/>
          <w:sz w:val="21"/>
          <w:szCs w:val="21"/>
        </w:rPr>
        <w:t xml:space="preserve">updateAssetState is intentionally narrow: it moves an instrument along the state machine of Section 15.3 and does nothing else. Haircut and liquidity-threshold revisions are separate parameter transactions (carried in Listing 7 as updateAssetParameters) so that a state demotion can never smuggle in a valuation change, and a valuation change can never silently rescue an instrument from RESTRICTED. Every mutator emits the corresponding event of Section 15.7, and the record's admissionDate is immutable after admission — the audit trail of who was admitted when is never editable.</w:t>
      </w:r>
    </w:p>
    <w:p>
      <w:pPr>
        <w:pStyle w:val="Heading2"/>
        <w:keepNext/>
        <w:spacing w:after="160" w:before="360" w:line="340" w:lineRule="atLeast"/>
      </w:pPr>
      <w:bookmarkStart w:id="100168" w:name="_Toc100168"/>
      <w:r>
        <w:rPr>
          <w:rFonts w:ascii="Calibri" w:eastAsia="Microsoft YaHei" w:hAnsi="Calibri"/>
          <w:b/>
          <w:bCs/>
          <w:color w:val="1A1A1A"/>
          <w:sz w:val="28"/>
          <w:szCs w:val="28"/>
        </w:rPr>
        <w:t xml:space="preserve">15.6 Concentration Limits and Chain Diversification</w:t>
      </w:r>
      <w:bookmarkEnd w:id="100168"/>
    </w:p>
    <w:p>
      <w:pPr>
        <w:spacing w:after="120" w:line="312"/>
        <w:jc w:val="both"/>
      </w:pPr>
      <w:r>
        <w:rPr>
          <w:rFonts w:ascii="Calibri" w:eastAsia="SimSun" w:hAnsi="Calibri"/>
          <w:b w:val="false"/>
          <w:bCs w:val="false"/>
          <w:color w:val="1A1A1A"/>
          <w:sz w:val="21"/>
          <w:szCs w:val="21"/>
        </w:rPr>
        <w:t xml:space="preserve">Concentration is the failure mode the registry exists to prevent: a reserve of individually excellent instruments can still be fragile if they share an issuer, a custodian, a chain or a venue. This section carries the issuer and asset caps of the blueprint, merged with the reserve- and currency-concentration rules of the modification specification [MS §62–63].</w:t>
      </w:r>
    </w:p>
    <w:p>
      <w:pPr>
        <w:pStyle w:val="Heading3"/>
        <w:keepNext/>
        <w:spacing w:after="120" w:before="300" w:line="312"/>
      </w:pPr>
      <w:bookmarkStart w:id="100169" w:name="_Toc100169"/>
      <w:r>
        <w:rPr>
          <w:rFonts w:ascii="Calibri" w:eastAsia="Microsoft YaHei" w:hAnsi="Calibri"/>
          <w:b/>
          <w:bCs/>
          <w:color w:val="333333"/>
          <w:sz w:val="24"/>
          <w:szCs w:val="24"/>
        </w:rPr>
        <w:t xml:space="preserve">15.6.1 Issuer Concentration</w:t>
      </w:r>
      <w:bookmarkEnd w:id="100169"/>
    </w:p>
    <w:p>
      <w:pPr>
        <w:spacing w:after="120" w:line="312"/>
        <w:jc w:val="both"/>
      </w:pPr>
      <w:r>
        <w:rPr>
          <w:rFonts w:ascii="Calibri" w:eastAsia="SimSun" w:hAnsi="Calibri"/>
          <w:b w:val="false"/>
          <w:bCs w:val="false"/>
          <w:color w:val="1A1A1A"/>
          <w:sz w:val="21"/>
          <w:szCs w:val="21"/>
        </w:rPr>
        <w:t xml:space="preserve">To prevent over-reliance on a single issuer (for example, Circle), the protocol enforces [BP §5.6]:</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Value of assets issued by issuer</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Total Reserve Value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30</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Enforcement happens before execution, not after: the Rebalancing Engine checks this constraint before executing any trade that would increase exposure to an issuer that already exceeds 25% of the reserve, and any trade that would breach 30% is blocked outright [BP §5.6]. The 25% soft checkpoint and 30% hard block create a warning band in which accumulation is possible only in the direction of reduction. A 4-of-7 Risk Council vote can temporarily raise the limit to 35% during a liquidity crisis, but the override requires a 24-hour timelock and public disclosure — a crisis exception that is visible, bounded and reversible, not a discretion.</w:t>
      </w:r>
    </w:p>
    <w:p>
      <w:pPr>
        <w:pStyle w:val="Heading3"/>
        <w:keepNext/>
        <w:spacing w:after="120" w:before="300" w:line="312"/>
      </w:pPr>
      <w:bookmarkStart w:id="100170" w:name="_Toc100170"/>
      <w:r>
        <w:rPr>
          <w:rFonts w:ascii="Calibri" w:eastAsia="Microsoft YaHei" w:hAnsi="Calibri"/>
          <w:b/>
          <w:bCs/>
          <w:color w:val="333333"/>
          <w:sz w:val="24"/>
          <w:szCs w:val="24"/>
        </w:rPr>
        <w:t xml:space="preserve">15.6.2 Reserve Concentration by Asset</w:t>
      </w:r>
      <w:bookmarkEnd w:id="100170"/>
    </w:p>
    <w:p>
      <w:pPr>
        <w:spacing w:after="120" w:line="312"/>
        <w:jc w:val="both"/>
      </w:pPr>
      <w:r>
        <w:rPr>
          <w:rFonts w:ascii="Calibri" w:eastAsia="SimSun" w:hAnsi="Calibri"/>
          <w:b w:val="false"/>
          <w:bCs w:val="false"/>
          <w:color w:val="1A1A1A"/>
          <w:sz w:val="21"/>
          <w:szCs w:val="21"/>
        </w:rPr>
        <w:t xml:space="preserve">For any reserve asset j, its share of the total reserve value is [MS §62]:</w:t>
      </w:r>
    </w:p>
    <w:p>
      <w:pPr>
        <w:spacing w:after="120" w:before="120" w:line="312"/>
        <w:jc w:val="center"/>
      </w:pPr>
      <w:r>
        <w:rPr>
          <w:rFonts w:ascii="Cambria" w:eastAsia="SimSun" w:hAnsi="Cambria"/>
          <w:i/>
          <w:iCs/>
          <w:color w:val="1A1A1A"/>
          <w:sz w:val="22"/>
          <w:szCs w:val="22"/>
        </w:rPr>
        <w:t xml:space="preserve">C</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 (ReserveValue</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)/(TotalReserveValue)</w:t>
      </w:r>
    </w:p>
    <w:p>
      <w:pPr>
        <w:spacing w:after="120" w:before="120" w:line="312"/>
        <w:jc w:val="center"/>
      </w:pPr>
      <w:r>
        <w:rPr>
          <w:rFonts w:ascii="Cambria" w:eastAsia="SimSun" w:hAnsi="Cambria"/>
          <w:i/>
          <w:iCs/>
          <w:color w:val="1A1A1A"/>
          <w:sz w:val="22"/>
          <w:szCs w:val="22"/>
        </w:rPr>
        <w:t xml:space="preserve">C</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C</w:t>
      </w:r>
      <w:r>
        <w:rPr>
          <w:rFonts w:ascii="Cambria" w:eastAsia="SimSun" w:hAnsi="Cambria"/>
          <w:i/>
          <w:iCs/>
          <w:color w:val="1A1A1A"/>
          <w:sz w:val="22"/>
          <w:szCs w:val="22"/>
          <w:vertAlign w:val="subscript"/>
        </w:rPr>
        <w:t xml:space="preserve">max</w:t>
      </w:r>
    </w:p>
    <w:p>
      <w:pPr>
        <w:spacing w:after="120" w:line="312"/>
        <w:jc w:val="both"/>
      </w:pPr>
      <w:r>
        <w:rPr>
          <w:rFonts w:ascii="Calibri" w:eastAsia="SimSun" w:hAnsi="Calibri"/>
          <w:b w:val="false"/>
          <w:bCs w:val="false"/>
          <w:color w:val="1A1A1A"/>
          <w:sz w:val="21"/>
          <w:szCs w:val="21"/>
        </w:rPr>
        <w:t xml:space="preserve">The same principle is applied beyond instruments, to every dependency of the reserve architecture [MS §62]:</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stablecoin issuers — capped by the 30% issuer limit of Section 15.6.1;</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custodians — no single custodian may hold a dominant share of gold or fiat holdings;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gold issuers — tokenized-gold exposure is capped per issuer, with rotation to physical bullion as the release valve (Section 14.3);</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liquidity venues — execution is diversified across venues so no single DEX or CEX failure can trap the exit path (Chapter 11);</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oracle providers — price feeds are diversified so that no single provider failure can corrupt valuation (Chapter 17, invariant I9).</w:t>
      </w:r>
    </w:p>
    <w:p>
      <w:pPr>
        <w:spacing w:after="120" w:line="312"/>
        <w:jc w:val="both"/>
      </w:pPr>
      <w:r>
        <w:rPr>
          <w:rFonts w:ascii="Calibri" w:eastAsia="SimSun" w:hAnsi="Calibri"/>
          <w:b w:val="false"/>
          <w:bCs w:val="false"/>
          <w:color w:val="1A1A1A"/>
          <w:sz w:val="21"/>
          <w:szCs w:val="21"/>
        </w:rPr>
        <w:t xml:space="preserve">The concentration stack is thus uniform in principle but layered in enforcement: issuer caps are checked at trade time by the rebalancing engine, custodian and venue caps are governance-monitored risk limits, and oracle diversity is a structural property of the multi-source architecture rather than a tunable number. What is common is the accounting: every layer computes a share of a total and compares it to a published maximum, so concentration risk is always a measured quantity, never a narrative one.</w:t>
      </w:r>
    </w:p>
    <w:p>
      <w:pPr>
        <w:pStyle w:val="Heading3"/>
        <w:keepNext/>
        <w:spacing w:after="120" w:before="300" w:line="312"/>
      </w:pPr>
      <w:bookmarkStart w:id="100171" w:name="_Toc100171"/>
      <w:r>
        <w:rPr>
          <w:rFonts w:ascii="Calibri" w:eastAsia="Microsoft YaHei" w:hAnsi="Calibri"/>
          <w:b/>
          <w:bCs/>
          <w:color w:val="333333"/>
          <w:sz w:val="24"/>
          <w:szCs w:val="24"/>
        </w:rPr>
        <w:t xml:space="preserve">15.6.3 Currency Concentration</w:t>
      </w:r>
      <w:bookmarkEnd w:id="100171"/>
    </w:p>
    <w:p>
      <w:pPr>
        <w:spacing w:after="120" w:line="312"/>
        <w:jc w:val="both"/>
      </w:pPr>
      <w:r>
        <w:rPr>
          <w:rFonts w:ascii="Calibri" w:eastAsia="SimSun" w:hAnsi="Calibri"/>
          <w:b w:val="false"/>
          <w:bCs w:val="false"/>
          <w:color w:val="1A1A1A"/>
          <w:sz w:val="21"/>
          <w:szCs w:val="21"/>
        </w:rPr>
        <w:t xml:space="preserve">On the currency axis, the modification specification requires [MS §63]:</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i,max</w:t>
      </w:r>
    </w:p>
    <w:p>
      <w:pPr>
        <w:spacing w:after="120" w:line="312"/>
        <w:jc w:val="both"/>
      </w:pPr>
      <w:r>
        <w:rPr>
          <w:rFonts w:ascii="Calibri" w:eastAsia="SimSun" w:hAnsi="Calibri"/>
          <w:b w:val="false"/>
          <w:bCs w:val="false"/>
          <w:color w:val="1A1A1A"/>
          <w:sz w:val="21"/>
          <w:szCs w:val="21"/>
        </w:rPr>
        <w:t xml:space="preserve">but the maximum should be a </w:t>
      </w:r>
      <w:r>
        <w:rPr>
          <w:rFonts w:ascii="Calibri" w:eastAsia="SimSun" w:hAnsi="Calibri"/>
          <w:b/>
          <w:bCs/>
          <w:color w:val="1A1A1A"/>
          <w:sz w:val="21"/>
          <w:szCs w:val="21"/>
        </w:rPr>
        <w:t xml:space="preserve">constitutional envelope rather than a fixed live allocation</w:t>
      </w:r>
      <w:r>
        <w:rPr>
          <w:rFonts w:ascii="Calibri" w:eastAsia="SimSun" w:hAnsi="Calibri"/>
          <w:b w:val="false"/>
          <w:bCs w:val="false"/>
          <w:color w:val="1A1A1A"/>
          <w:sz w:val="21"/>
          <w:szCs w:val="21"/>
        </w:rPr>
        <w:t xml:space="preserve"> [MS §63]. This is the same principle as the reference basket's admissibility bounds (Section 8.1): the envelope caps what any single currency's weight may reach (for example, the USD upper bound of 32%), while the live weight within the envelope is an adaptive output of the MASE pipeline. The distinction matters in both directions — the envelope prevents the optimizer from concentrating the basket or the reserve in one currency no matter how good its current score, and it equally prevents anyone from quoting the current weight as a structural entitlement. On the index side the envelopes are enforced by the weight verification contract (Listing 2, Section 7.7); on the reserve side, currency exposure is bounded by the same envelopes through the rebalancing engine's constraint set (Section 14.4).</w:t>
      </w:r>
    </w:p>
    <w:p>
      <w:pPr>
        <w:pStyle w:val="Heading3"/>
        <w:keepNext/>
        <w:spacing w:after="120" w:before="300" w:line="312"/>
      </w:pPr>
      <w:bookmarkStart w:id="100172" w:name="_Toc100172"/>
      <w:r>
        <w:rPr>
          <w:rFonts w:ascii="Calibri" w:eastAsia="Microsoft YaHei" w:hAnsi="Calibri"/>
          <w:b/>
          <w:bCs/>
          <w:color w:val="333333"/>
          <w:sz w:val="24"/>
          <w:szCs w:val="24"/>
        </w:rPr>
        <w:t xml:space="preserve">15.6.4 Chain Diversification Policy</w:t>
      </w:r>
      <w:bookmarkEnd w:id="100172"/>
    </w:p>
    <w:p>
      <w:pPr>
        <w:spacing w:after="120" w:line="312"/>
        <w:jc w:val="both"/>
      </w:pPr>
      <w:r>
        <w:rPr>
          <w:rFonts w:ascii="Calibri" w:eastAsia="SimSun" w:hAnsi="Calibri"/>
          <w:b w:val="false"/>
          <w:bCs w:val="false"/>
          <w:color w:val="1A1A1A"/>
          <w:sz w:val="21"/>
          <w:szCs w:val="21"/>
        </w:rPr>
        <w:t xml:space="preserve">To minimize blockchain-specific risk (L2 downtime, bridge exploits), the protocol follows four rules [BP §5.7]:</w:t>
      </w:r>
    </w:p>
    <w:p>
      <w:pPr>
        <w:pStyle w:val="ListParagraph"/>
        <w:numPr>
          <w:ilvl w:val="0"/>
          <w:numId w:val="2"/>
        </w:numPr>
        <w:spacing w:after="60" w:line="312"/>
        <w:jc w:val="left"/>
      </w:pPr>
      <w:r>
        <w:rPr>
          <w:rFonts w:ascii="Calibri" w:eastAsia="SimSun" w:hAnsi="Calibri"/>
          <w:b/>
          <w:bCs/>
          <w:color w:val="1A1A1A"/>
          <w:sz w:val="21"/>
          <w:szCs w:val="21"/>
        </w:rPr>
        <w:t xml:space="preserve">Primary chain:</w:t>
      </w:r>
      <w:r>
        <w:rPr>
          <w:rFonts w:ascii="Calibri" w:eastAsia="SimSun" w:hAnsi="Calibri"/>
          <w:b w:val="false"/>
          <w:bCs w:val="false"/>
          <w:color w:val="1A1A1A"/>
          <w:sz w:val="21"/>
          <w:szCs w:val="21"/>
        </w:rPr>
        <w:t xml:space="preserve"> the Reserve Vault holds assets only on the mainnet of the deployed chain (e.g., Arbitrum, Ethereum).</w:t>
      </w:r>
    </w:p>
    <w:p>
      <w:pPr>
        <w:pStyle w:val="ListParagraph"/>
        <w:numPr>
          <w:ilvl w:val="0"/>
          <w:numId w:val="2"/>
        </w:numPr>
        <w:spacing w:after="60" w:line="312"/>
        <w:jc w:val="left"/>
      </w:pPr>
      <w:r>
        <w:rPr>
          <w:rFonts w:ascii="Calibri" w:eastAsia="SimSun" w:hAnsi="Calibri"/>
          <w:b/>
          <w:bCs/>
          <w:color w:val="1A1A1A"/>
          <w:sz w:val="21"/>
          <w:szCs w:val="21"/>
        </w:rPr>
        <w:t xml:space="preserve">No wrapped assets:</w:t>
      </w:r>
      <w:r>
        <w:rPr>
          <w:rFonts w:ascii="Calibri" w:eastAsia="SimSun" w:hAnsi="Calibri"/>
          <w:b w:val="false"/>
          <w:bCs w:val="false"/>
          <w:color w:val="1A1A1A"/>
          <w:sz w:val="21"/>
          <w:szCs w:val="21"/>
        </w:rPr>
        <w:t xml:space="preserve"> the protocol does not hold wrapped versions of assets that are native to another chain (e.g., wormhole USDC); only the native token is allowed.</w:t>
      </w:r>
    </w:p>
    <w:p>
      <w:pPr>
        <w:pStyle w:val="ListParagraph"/>
        <w:numPr>
          <w:ilvl w:val="0"/>
          <w:numId w:val="2"/>
        </w:numPr>
        <w:spacing w:after="60" w:line="312"/>
        <w:jc w:val="left"/>
      </w:pPr>
      <w:r>
        <w:rPr>
          <w:rFonts w:ascii="Calibri" w:eastAsia="SimSun" w:hAnsi="Calibri"/>
          <w:b/>
          <w:bCs/>
          <w:color w:val="1A1A1A"/>
          <w:sz w:val="21"/>
          <w:szCs w:val="21"/>
        </w:rPr>
        <w:t xml:space="preserve">Canonical token preference:</w:t>
      </w:r>
      <w:r>
        <w:rPr>
          <w:rFonts w:ascii="Calibri" w:eastAsia="SimSun" w:hAnsi="Calibri"/>
          <w:b w:val="false"/>
          <w:bCs w:val="false"/>
          <w:color w:val="1A1A1A"/>
          <w:sz w:val="21"/>
          <w:szCs w:val="21"/>
        </w:rPr>
        <w:t xml:space="preserve"> for each asset, the registry must specify the canonical token address for the deployed chain; alternative bridges are not accepted.</w:t>
      </w:r>
    </w:p>
    <w:p>
      <w:pPr>
        <w:pStyle w:val="ListParagraph"/>
        <w:numPr>
          <w:ilvl w:val="0"/>
          <w:numId w:val="2"/>
        </w:numPr>
        <w:spacing w:after="60" w:line="312"/>
        <w:jc w:val="left"/>
      </w:pPr>
      <w:r>
        <w:rPr>
          <w:rFonts w:ascii="Calibri" w:eastAsia="SimSun" w:hAnsi="Calibri"/>
          <w:b/>
          <w:bCs/>
          <w:color w:val="1A1A1A"/>
          <w:sz w:val="21"/>
          <w:szCs w:val="21"/>
        </w:rPr>
        <w:t xml:space="preserve">Chain-specific risk:</w:t>
      </w:r>
      <w:r>
        <w:rPr>
          <w:rFonts w:ascii="Calibri" w:eastAsia="SimSun" w:hAnsi="Calibri"/>
          <w:b w:val="false"/>
          <w:bCs w:val="false"/>
          <w:color w:val="1A1A1A"/>
          <w:sz w:val="21"/>
          <w:szCs w:val="21"/>
        </w:rPr>
        <w:t xml:space="preserve"> if the Risk Council determines that the deployed chain poses elevated risk (e.g., repeated sequencer failures), it may pause minting and rebalancing until the issue is resolved.</w:t>
      </w:r>
    </w:p>
    <w:p>
      <w:pPr>
        <w:spacing w:after="120" w:line="312"/>
        <w:jc w:val="both"/>
      </w:pPr>
      <w:r>
        <w:rPr>
          <w:rFonts w:ascii="Calibri" w:eastAsia="SimSun" w:hAnsi="Calibri"/>
          <w:b w:val="false"/>
          <w:bCs w:val="false"/>
          <w:color w:val="1A1A1A"/>
          <w:sz w:val="21"/>
          <w:szCs w:val="21"/>
        </w:rPr>
        <w:t xml:space="preserve">The registry enforces canonicality structurally: new assets must be the canonical version for the chain (the IS_CANONICAL flag in Listing 7), and the admission review confirms the token's provenance. This policy accepts a real cost — reserve mobility is confined to one chain's liquidity — in exchange for eliminating an entire class of bridge risk from the backing of the unit, which is the correct trade for a reserve whose purpose is obligation coverage rather than capital efficiency.</w:t>
      </w:r>
    </w:p>
    <w:p>
      <w:pPr>
        <w:pStyle w:val="Heading2"/>
        <w:keepNext/>
        <w:spacing w:after="160" w:before="360" w:line="340" w:lineRule="atLeast"/>
      </w:pPr>
      <w:bookmarkStart w:id="100173" w:name="_Toc100173"/>
      <w:r>
        <w:rPr>
          <w:rFonts w:ascii="Calibri" w:eastAsia="Microsoft YaHei" w:hAnsi="Calibri"/>
          <w:b/>
          <w:bCs/>
          <w:color w:val="1A1A1A"/>
          <w:sz w:val="28"/>
          <w:szCs w:val="28"/>
        </w:rPr>
        <w:t xml:space="preserve">15.7 Integration and Events</w:t>
      </w:r>
      <w:bookmarkEnd w:id="100173"/>
    </w:p>
    <w:p>
      <w:pPr>
        <w:spacing w:after="120" w:line="312"/>
        <w:jc w:val="both"/>
      </w:pPr>
      <w:r>
        <w:rPr>
          <w:rFonts w:ascii="Calibri" w:eastAsia="SimSun" w:hAnsi="Calibri"/>
          <w:b w:val="false"/>
          <w:bCs w:val="false"/>
          <w:color w:val="1A1A1A"/>
          <w:sz w:val="21"/>
          <w:szCs w:val="21"/>
        </w:rPr>
        <w:t xml:space="preserve">The index and the engines use </w:t>
      </w:r>
      <w:r>
        <w:rPr>
          <w:rFonts w:ascii="Calibri" w:eastAsia="SimSun" w:hAnsi="Calibri"/>
          <w:b/>
          <w:bCs/>
          <w:color w:val="1A1A1A"/>
          <w:sz w:val="21"/>
          <w:szCs w:val="21"/>
        </w:rPr>
        <w:t xml:space="preserve">currency exposure, not token addresses</w:t>
      </w:r>
      <w:r>
        <w:rPr>
          <w:rFonts w:ascii="Calibri" w:eastAsia="SimSun" w:hAnsi="Calibri"/>
          <w:b w:val="false"/>
          <w:bCs w:val="false"/>
          <w:color w:val="1A1A1A"/>
          <w:sz w:val="21"/>
          <w:szCs w:val="21"/>
        </w:rPr>
        <w:t xml:space="preserve"> [BP §5.8]. The registry provides the mapping so that every consumer resolves instruments at decision time. Two flows illustrate the pattern:</w:t>
      </w:r>
    </w:p>
    <w:p>
      <w:pPr>
        <w:spacing w:after="120" w:line="312"/>
        <w:jc w:val="both"/>
      </w:pPr>
      <w:r>
        <w:rPr>
          <w:rFonts w:ascii="Calibri" w:eastAsia="SimSun" w:hAnsi="Calibri"/>
          <w:b/>
          <w:bCs/>
          <w:color w:val="1A1A1A"/>
          <w:sz w:val="21"/>
          <w:szCs w:val="21"/>
        </w:rPr>
        <w:t xml:space="preserve">Minting flow (simplified)</w:t>
      </w:r>
      <w:r>
        <w:rPr>
          <w:rFonts w:ascii="Calibri" w:eastAsia="SimSun" w:hAnsi="Calibri"/>
          <w:b w:val="false"/>
          <w:bCs w:val="false"/>
          <w:color w:val="1A1A1A"/>
          <w:sz w:val="21"/>
          <w:szCs w:val="21"/>
        </w:rPr>
        <w:t xml:space="preserve"> [BP §5.8]:</w:t>
      </w:r>
    </w:p>
    <w:p>
      <w:pPr>
        <w:pStyle w:val="ListParagraph"/>
        <w:numPr>
          <w:ilvl w:val="0"/>
          <w:numId w:val="11"/>
        </w:numPr>
        <w:spacing w:after="60" w:line="312"/>
        <w:jc w:val="left"/>
      </w:pPr>
      <w:r>
        <w:rPr>
          <w:rFonts w:ascii="Calibri" w:eastAsia="SimSun" w:hAnsi="Calibri"/>
          <w:b w:val="false"/>
          <w:bCs w:val="false"/>
          <w:color w:val="1A1A1A"/>
          <w:sz w:val="21"/>
          <w:szCs w:val="21"/>
        </w:rPr>
        <w:t xml:space="preserve">User deposits USDC.</w:t>
      </w:r>
    </w:p>
    <w:p>
      <w:pPr>
        <w:pStyle w:val="ListParagraph"/>
        <w:numPr>
          <w:ilvl w:val="0"/>
          <w:numId w:val="11"/>
        </w:numPr>
        <w:spacing w:after="60" w:line="312"/>
        <w:jc w:val="left"/>
      </w:pPr>
      <w:r>
        <w:rPr>
          <w:rFonts w:ascii="Calibri" w:eastAsia="SimSun" w:hAnsi="Calibri"/>
          <w:b w:val="false"/>
          <w:bCs w:val="false"/>
          <w:color w:val="1A1A1A"/>
          <w:sz w:val="21"/>
          <w:szCs w:val="21"/>
        </w:rPr>
        <w:t xml:space="preserve">The contract calls getAssetForCurrency("EUR") to get the current EURC address.</w:t>
      </w:r>
    </w:p>
    <w:p>
      <w:pPr>
        <w:pStyle w:val="ListParagraph"/>
        <w:numPr>
          <w:ilvl w:val="0"/>
          <w:numId w:val="11"/>
        </w:numPr>
        <w:spacing w:after="60" w:line="312"/>
        <w:jc w:val="left"/>
      </w:pPr>
      <w:r>
        <w:rPr>
          <w:rFonts w:ascii="Calibri" w:eastAsia="SimSun" w:hAnsi="Calibri"/>
          <w:b w:val="false"/>
          <w:bCs w:val="false"/>
          <w:color w:val="1A1A1A"/>
          <w:sz w:val="21"/>
          <w:szCs w:val="21"/>
        </w:rPr>
        <w:t xml:space="preserve">The atomic swap uses that address to buy EURC.</w:t>
      </w:r>
    </w:p>
    <w:p>
      <w:pPr>
        <w:spacing w:after="120" w:line="312"/>
        <w:jc w:val="both"/>
      </w:pPr>
      <w:r>
        <w:rPr>
          <w:rFonts w:ascii="Calibri" w:eastAsia="SimSun" w:hAnsi="Calibri"/>
          <w:b/>
          <w:bCs/>
          <w:color w:val="1A1A1A"/>
          <w:sz w:val="21"/>
          <w:szCs w:val="21"/>
        </w:rPr>
        <w:t xml:space="preserve">Rebalancing flow</w:t>
      </w:r>
      <w:r>
        <w:rPr>
          <w:rFonts w:ascii="Calibri" w:eastAsia="SimSun" w:hAnsi="Calibri"/>
          <w:b w:val="false"/>
          <w:bCs w:val="false"/>
          <w:color w:val="1A1A1A"/>
          <w:sz w:val="21"/>
          <w:szCs w:val="21"/>
        </w:rPr>
        <w:t xml:space="preserve"> [BP §5.8]:</w:t>
      </w:r>
    </w:p>
    <w:p>
      <w:pPr>
        <w:pStyle w:val="ListParagraph"/>
        <w:numPr>
          <w:ilvl w:val="0"/>
          <w:numId w:val="12"/>
        </w:numPr>
        <w:spacing w:after="60" w:line="312"/>
        <w:jc w:val="left"/>
      </w:pPr>
      <w:r>
        <w:rPr>
          <w:rFonts w:ascii="Calibri" w:eastAsia="SimSun" w:hAnsi="Calibri"/>
          <w:b w:val="false"/>
          <w:bCs w:val="false"/>
          <w:color w:val="1A1A1A"/>
          <w:sz w:val="21"/>
          <w:szCs w:val="21"/>
        </w:rPr>
        <w:t xml:space="preserve">The engine determines the target weights (e.g., 27.8% EUR exposure).</w:t>
      </w:r>
    </w:p>
    <w:p>
      <w:pPr>
        <w:pStyle w:val="ListParagraph"/>
        <w:numPr>
          <w:ilvl w:val="0"/>
          <w:numId w:val="12"/>
        </w:numPr>
        <w:spacing w:after="60" w:line="312"/>
        <w:jc w:val="left"/>
      </w:pPr>
      <w:r>
        <w:rPr>
          <w:rFonts w:ascii="Calibri" w:eastAsia="SimSun" w:hAnsi="Calibri"/>
          <w:b w:val="false"/>
          <w:bCs w:val="false"/>
          <w:color w:val="1A1A1A"/>
          <w:sz w:val="21"/>
          <w:szCs w:val="21"/>
        </w:rPr>
        <w:t xml:space="preserve">It calls getAssetForCurrency("EUR") to know which token to buy or sell.</w:t>
      </w:r>
    </w:p>
    <w:p>
      <w:pPr>
        <w:spacing w:after="120" w:line="312"/>
        <w:jc w:val="both"/>
      </w:pPr>
      <w:r>
        <w:rPr>
          <w:rFonts w:ascii="Calibri" w:eastAsia="SimSun" w:hAnsi="Calibri"/>
          <w:b w:val="false"/>
          <w:bCs w:val="false"/>
          <w:color w:val="1A1A1A"/>
          <w:sz w:val="21"/>
          <w:szCs w:val="21"/>
        </w:rPr>
        <w:t xml:space="preserve">In both flows the monetary decision is made in currency space (weights, exposures) and only the execution resolves into instrument space. If the registry replaces the EUR instrument — a governance event with a 48-hour timelock — every subsequent decision automatically uses the successor token, and the retirement of the old instrument proceeds through the RESTRICTED state's scheduled disposal rather than through any special-case code path. The minting economics themselves are specified in Chapter 19; the execution mechanics in Chapters 10–11.</w:t>
      </w:r>
    </w:p>
    <w:p>
      <w:pPr>
        <w:spacing w:after="120" w:line="312"/>
        <w:jc w:val="both"/>
      </w:pPr>
      <w:r>
        <w:rPr>
          <w:rFonts w:ascii="Calibri" w:eastAsia="SimSun" w:hAnsi="Calibri"/>
          <w:b w:val="false"/>
          <w:bCs w:val="false"/>
          <w:color w:val="1A1A1A"/>
          <w:sz w:val="21"/>
          <w:szCs w:val="21"/>
        </w:rPr>
        <w:t xml:space="preserve">The registry emits four events [BP §5.9]: AssetAdded(currencyCode, tokenAddress, name) on admission; AssetStateChanged(currencyCode, newState) on every state transition; AssetRemoved(currencyCode) on delisting; and AssetUpdated(currencyCode, field, newValue) on parameter revisions. Together these events form the complete instrument history of the reserve — the transparency layer (Chapter 24) reconstructs the eligible set at any past block from them, and the risk-state model (Chapter 21) consumes state transitions as inputs, since a WATCH or RESTRICTED event is itself risk evidence about the reserve's composition.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4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4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Governance</w:t>
            </w:r>
          </w:p>
        </w:tc>
      </w:tr>
      <w:tr>
        <w:trPr>
          <w:cantSplit/>
        </w:trPr>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 Issuer Concentration</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30%</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(Risk Council)</w:t>
            </w:r>
          </w:p>
        </w:tc>
      </w:tr>
      <w:tr>
        <w:trPr>
          <w:cantSplit/>
        </w:trPr>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 24h Volume</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$1,000,000</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 Range</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 – 10%</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Timelock for Asset Changes</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48 hours</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(7/7)</w:t>
            </w:r>
          </w:p>
        </w:tc>
      </w:tr>
    </w:tbl>
    <w:p>
      <w:pPr>
        <w:spacing w:after="120"/>
      </w:pPr>
    </w:p>
    <w:p>
      <w:pPr>
        <w:pStyle w:val="Heading2"/>
        <w:keepNext/>
        <w:spacing w:after="160" w:before="360" w:line="340" w:lineRule="atLeast"/>
      </w:pPr>
      <w:bookmarkStart w:id="100174" w:name="_Toc100174"/>
      <w:r>
        <w:rPr>
          <w:rFonts w:ascii="Calibri" w:eastAsia="Microsoft YaHei" w:hAnsi="Calibri"/>
          <w:b/>
          <w:bCs/>
          <w:color w:val="1A1A1A"/>
          <w:sz w:val="28"/>
          <w:szCs w:val="28"/>
        </w:rPr>
        <w:t xml:space="preserve">15.8 Smart Contract Implementation — Asset Admission Registry</w:t>
      </w:r>
      <w:bookmarkEnd w:id="100174"/>
    </w:p>
    <w:p>
      <w:pPr>
        <w:spacing w:after="120" w:line="312"/>
        <w:jc w:val="both"/>
      </w:pPr>
      <w:r>
        <w:rPr>
          <w:rFonts w:ascii="Calibri" w:eastAsia="SimSun" w:hAnsi="Calibri"/>
          <w:b w:val="false"/>
          <w:bCs w:val="false"/>
          <w:color w:val="1A1A1A"/>
          <w:sz w:val="21"/>
          <w:szCs w:val="21"/>
        </w:rPr>
        <w:t xml:space="preserve">The listing below assembles the registry contract from BP §5.5: the state machine, the asset record, the currency-to-asset mapping, the two governance-gated mutators, the three public queries and the parameter-revision function, with the events of BP §5.9 and the canonical-token flag of BP §5.7. Access control is the onlyRiskCouncil modifier, which in production must be backed by the 4/7 Multi-Sig (for example, a Gnosis Safe) with the 48-hour timelock enforced by the governance layer of Chapter 22.</w:t>
      </w:r>
    </w:p>
    <w:p>
      <w:pPr>
        <w:keepNext/>
        <w:spacing w:after="80" w:before="280" w:line="312"/>
      </w:pPr>
      <w:r>
        <w:rPr>
          <w:rFonts w:ascii="Calibri" w:eastAsia="SimSun" w:hAnsi="Calibri"/>
          <w:b/>
          <w:bCs/>
          <w:color w:val="8A6D1F"/>
          <w:sz w:val="19"/>
          <w:szCs w:val="19"/>
        </w:rPr>
        <w:t xml:space="preserve">Listing 7 — Asset admission registry (adapts BP §5.5)</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@title AssetAdmissionRegistry — canonical source of truth for which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on-chain instruments may back the reserve (§15.1).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AssetAdmissionRegistry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Governance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 (e.g., Gnosis Safe)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Developer-facing bounds (§15.7)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MAX_ISSUER_CONCENTRATION = 0.30e18;    // 30%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MIN_LIQUIDITY_THRESHOLD  = 1000000e18; // $1M, 1e18 USD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HAIRCUT_FLOOR            = 0.005e18;   // 0.5%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HAIRCUT_CEILING          = 0.10e18;    // 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 flag to indicate if the asset is the canonical version for this chain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public constant IS_CANONICAL = true;  // Hardcoded; new assets must be canonical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Asset states (§15.3)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enum AssetState { ACTIVE, WATCH, RESTRICTED, EJECTED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Asset record (§15.4.1)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AssetRecord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 currencyCode;        // e.g., "USD", "EUR", "GBP", "JPY", "CNY", "XAU"</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tokenAddress;       // the on-chain token 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name;                // human-readable name (e.g., "USDC", "PAXG")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haircut;            // asset-specific haircut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liquidityThreshold; // minimum 24h volume in USD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admissionDate;      // timestamp of when the asset was added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AssetState state;           // current state (enum)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isStablecoin;          // true if fiat-pegged, false for gold/commodities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issuerId;           // hash of issuer identifier (concentration tracking)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AssetRecord[] public assets;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 =&gt; address) public currencyToAsset;  // §15.4.2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riskCouncil, "Only Risk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Events (§15.7, BP §5.9)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AssetAdded(bytes3 indexed currencyCode, address indexed tokenAddress, string name);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AssetStateChanged(bytes3 indexed currencyCode, AssetState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AssetRemoved(bytes3 indexed 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AssetUpdated(bytes3 indexed currencyCode, string field, uint256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constructor(address _riskCouncil)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riskCouncil = _riskCouncil;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ADD ASSET — governance only (BP §5.5.1)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addAsset(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 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memory name,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haircut,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liquidityThreshold,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isStablecoin,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issuerId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require(currencyToAsset[currencyCode] == address(0), "Asset already exists");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require(tokenAddress != address(0), "Invalid 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require(haircut &gt;= HAIRCUT_FLOOR &amp;&amp; haircut &lt;= HAIRCUT_CEILING, "Haircut out of bounds");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require(liquidityThreshold &gt;= MIN_LIQUIDITY_THRESHOLD, "Liquidity threshold too low");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require(IS_CANONICAL, "Only canonical tokens admitted");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AssetRecord memory newAsset = AssetRecord({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currencyCode: 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tokenAddress: tokenAddress,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name: name,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haircut: haircut,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liquidityThreshold: liquidityThreshold,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admissionDate: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state: AssetState.ACTIVE,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isStablecoin: isStablecoin,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issuerId: issuerId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assets.push(newAsset);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currencyToAsset[currencyCode] = tokenAddress;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AssetAdded(currencyCode, tokenAddress, name);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UPDATE ASSET STATE — Risk Council (BP §5.5.2)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updateAssetState(bytes3 currencyCode, AssetState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onlyRiskCouncil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 = getAssetIndex(currencyCode);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assets[index].state =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AssetStateChanged(currencyCode,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QUERIES (BP §5.5.3 – §5.5.5)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getAssetForCurrency(bytes3 currencyCode) public view returns (address)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 = currencyToAsset[currencyCode];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require(token != address(0), "Currency not supported");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getAssetRecord(bytes3 currencyCode) public view returns (AssetRecord memory)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 = getAssetIndex(currencyCode);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assets[index];</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getActiveAssets() public view returns (AssetRecord[] memory)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count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assets.length;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(assets[i].state == AssetState.ACTIVE) count++;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AssetRecord[] memory active = new AssetRecord[](count);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idx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assets.length;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(assets[i].state == AssetState.ACTIVE)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active[idx] = assets[i];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idx++;</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active;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REGISTRY MAINTENANCE (supports §14.1.1 haircut rule)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Revise an admitted instrument's haircut and liquidity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threshold. Haircut changes are parameter transactions,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strictly separated from state transitions.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updateAssetParameters(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 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haircut,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liquidityThreshold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 = getAssetIndex(currencyCode);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require(haircut &gt;= HAIRCUT_FLOOR &amp;&amp; haircut &lt;= HAIRCUT_CEILING, "Haircut out of bounds");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assets[index].haircut = haircut;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assets[index].liquidityThreshold = liquidityThreshold;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AssetUpdated(currencyCode, "haircut", haircut);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Delist an instrument: set EJECTED and free the currency slot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so a successor can be mapped. The record is retained for audit.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removeAsset(bytes3 currencyCode)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 = getAssetIndex(currencyCode);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assets[index].state = AssetState.EJECTED;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currencyToAsset[currencyCode] = address(0);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AssetRemoved(currencyCode);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Internal index lookup (linear scan; registry is small)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getAssetIndex(bytes3 currencyCode)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 = currencyToAsset[currencyCode];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require(token != address(0), "Currency not supported");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assets.length;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(assets[i].tokenAddress == token) return 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revert("Asset record not found");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(BP §5.5 → Listing 7): (1) BP carried the registry functions as separate fragments; they are assembled here into one contract with the BP §5.9 events and the BP §5.7 canonical-token flag. (2) The liquidity-threshold floor is expressed as MIN_LIQUIDITY_THRESHOLD = 1000000e18, the $1M minimum of eligibility criterion 6; BP's illustrative literal (0.5e18) was inconsistent with the 1e18 USD scale. (3) AssetRemoved, declared but never implemented in BP, is realized as delisting — the record is marked EJECTED and the currency slot is freed for a successor, while the record itself is retained for audit. (4) The one-instrument-per-currency mapping is the BP design; multiple implementations of one exposure (e.g., PAXG and XAUT) are handled by governance succession plus issuer-level concentration limits (§15.6), not by parallel mappings. (5) The 48-hour timelock for asset changes is enforced by the governance layer (Chapter 22) around these entry points.</w:t>
      </w:r>
    </w:p>
    <w:p>
      <w:pPr>
        <w:pStyle w:val="Heading1"/>
        <w:keepNext/>
        <w:pBdr>
          <w:bottom w:val="single" w:color="C9A84C" w:sz="12" w:space="6"/>
        </w:pBdr>
        <w:spacing w:after="220" w:before="480" w:line="380" w:lineRule="atLeast"/>
      </w:pPr>
      <w:bookmarkStart w:id="100175" w:name="_Toc100175"/>
      <w:r>
        <w:rPr>
          <w:rFonts w:ascii="Calibri" w:eastAsia="Microsoft YaHei" w:hAnsi="Calibri"/>
          <w:b/>
          <w:bCs/>
          <w:color w:val="1A1A1A"/>
          <w:sz w:val="32"/>
          <w:szCs w:val="32"/>
        </w:rPr>
        <w:t xml:space="preserve">16. The Dynamic Buffer</w:t>
      </w:r>
      <w:bookmarkEnd w:id="100175"/>
    </w:p>
    <w:p>
      <w:pPr>
        <w:pStyle w:val="Heading2"/>
        <w:keepNext/>
        <w:spacing w:after="160" w:before="360" w:line="340" w:lineRule="atLeast"/>
      </w:pPr>
      <w:bookmarkStart w:id="100176" w:name="_Toc100176"/>
      <w:r>
        <w:rPr>
          <w:rFonts w:ascii="Calibri" w:eastAsia="Microsoft YaHei" w:hAnsi="Calibri"/>
          <w:b/>
          <w:bCs/>
          <w:color w:val="1A1A1A"/>
          <w:sz w:val="28"/>
          <w:szCs w:val="28"/>
        </w:rPr>
        <w:t xml:space="preserve">16.1 Purpose</w:t>
      </w:r>
      <w:bookmarkEnd w:id="100176"/>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Dynamic Buffer is the multi-layer safety cushion that sits on top of the 100% core reserve. It absorbs market volatility, provides a first line of defence against devaluation, and adjusts its composition based on the current health of the protocol [BP §8.1].</w:t>
      </w:r>
    </w:p>
    <w:p>
      <w:pPr>
        <w:spacing w:after="120" w:line="312"/>
        <w:jc w:val="both"/>
      </w:pPr>
      <w:r>
        <w:rPr>
          <w:rFonts w:ascii="Calibri" w:eastAsia="SimSun" w:hAnsi="Calibri"/>
          <w:b w:val="false"/>
          <w:bCs w:val="false"/>
          <w:color w:val="1A1A1A"/>
          <w:sz w:val="21"/>
          <w:szCs w:val="21"/>
        </w:rPr>
        <w:t xml:space="preserve">The buffer is </w:t>
      </w:r>
      <w:r>
        <w:rPr>
          <w:rFonts w:ascii="Calibri" w:eastAsia="SimSun" w:hAnsi="Calibri"/>
          <w:b/>
          <w:bCs/>
          <w:color w:val="1A1A1A"/>
          <w:sz w:val="21"/>
          <w:szCs w:val="21"/>
        </w:rPr>
        <w:t xml:space="preserve">not a separate vault</w:t>
      </w:r>
      <w:r>
        <w:rPr>
          <w:rFonts w:ascii="Calibri" w:eastAsia="SimSun" w:hAnsi="Calibri"/>
          <w:b w:val="false"/>
          <w:bCs w:val="false"/>
          <w:color w:val="1A1A1A"/>
          <w:sz w:val="21"/>
          <w:szCs w:val="21"/>
        </w:rPr>
        <w:t xml:space="preserve"> — it is an </w:t>
      </w:r>
      <w:r>
        <w:rPr>
          <w:rFonts w:ascii="Calibri" w:eastAsia="SimSun" w:hAnsi="Calibri"/>
          <w:b/>
          <w:bCs/>
          <w:color w:val="1A1A1A"/>
          <w:sz w:val="21"/>
          <w:szCs w:val="21"/>
        </w:rPr>
        <w:t xml:space="preserve">accounting construct</w:t>
      </w:r>
      <w:r>
        <w:rPr>
          <w:rFonts w:ascii="Calibri" w:eastAsia="SimSun" w:hAnsi="Calibri"/>
          <w:b w:val="false"/>
          <w:bCs w:val="false"/>
          <w:color w:val="1A1A1A"/>
          <w:sz w:val="21"/>
          <w:szCs w:val="21"/>
        </w:rPr>
        <w:t xml:space="preserve"> that distinguishes two layers of the same reserve [BP §8.1]:</w:t>
      </w:r>
    </w:p>
    <w:p>
      <w:pPr>
        <w:pStyle w:val="ListParagraph"/>
        <w:numPr>
          <w:ilvl w:val="0"/>
          <w:numId w:val="2"/>
        </w:numPr>
        <w:spacing w:after="60" w:line="312"/>
        <w:jc w:val="left"/>
      </w:pPr>
      <w:r>
        <w:rPr>
          <w:rFonts w:ascii="Calibri" w:eastAsia="SimSun" w:hAnsi="Calibri"/>
          <w:b/>
          <w:bCs/>
          <w:color w:val="1A1A1A"/>
          <w:sz w:val="21"/>
          <w:szCs w:val="21"/>
        </w:rPr>
        <w:t xml:space="preserve">Core Reserve:</w:t>
      </w:r>
      <w:r>
        <w:rPr>
          <w:rFonts w:ascii="Calibri" w:eastAsia="SimSun" w:hAnsi="Calibri"/>
          <w:b w:val="false"/>
          <w:bCs w:val="false"/>
          <w:color w:val="1A1A1A"/>
          <w:sz w:val="21"/>
          <w:szCs w:val="21"/>
        </w:rPr>
        <w:t xml:space="preserve"> the 100% liability coverage — sacred, never touched for profit.</w:t>
      </w:r>
    </w:p>
    <w:p>
      <w:pPr>
        <w:pStyle w:val="ListParagraph"/>
        <w:numPr>
          <w:ilvl w:val="0"/>
          <w:numId w:val="2"/>
        </w:numPr>
        <w:spacing w:after="60" w:line="312"/>
        <w:jc w:val="left"/>
      </w:pPr>
      <w:r>
        <w:rPr>
          <w:rFonts w:ascii="Calibri" w:eastAsia="SimSun" w:hAnsi="Calibri"/>
          <w:b/>
          <w:bCs/>
          <w:color w:val="1A1A1A"/>
          <w:sz w:val="21"/>
          <w:szCs w:val="21"/>
        </w:rPr>
        <w:t xml:space="preserve">Buffer Reserve:</w:t>
      </w:r>
      <w:r>
        <w:rPr>
          <w:rFonts w:ascii="Calibri" w:eastAsia="SimSun" w:hAnsi="Calibri"/>
          <w:b w:val="false"/>
          <w:bCs w:val="false"/>
          <w:color w:val="1A1A1A"/>
          <w:sz w:val="21"/>
          <w:szCs w:val="21"/>
        </w:rPr>
        <w:t xml:space="preserve"> the additional 10% excess collateral that is actively managed to protect solvency.</w:t>
      </w:r>
    </w:p>
    <w:p>
      <w:pPr>
        <w:spacing w:after="120" w:line="312"/>
        <w:jc w:val="both"/>
      </w:pPr>
      <w:r>
        <w:rPr>
          <w:rFonts w:ascii="Calibri" w:eastAsia="SimSun" w:hAnsi="Calibri"/>
          <w:b w:val="false"/>
          <w:bCs w:val="false"/>
          <w:color w:val="1A1A1A"/>
          <w:sz w:val="21"/>
          <w:szCs w:val="21"/>
        </w:rPr>
        <w:t xml:space="preserve">The purpose of the separation is to make the target tier of Section 14.2.1 operational rather than decorative. A reserve ratio of 1.10 means the vault holds 10% more than its liabilities; the buffer is that 10%, identified and managed as a distinct defensive layer. When losses arrive — a stablecoin depeg, a gold correction, an oracle-true repricing — the buffer absorbs them before the core is impaired, which is precisely what keeps invariant I2 (RR_t ≥ 1.00) from being tested by ordinary volatility. The consumption mechanics are the first-loss waterfall of Section 16.4; the state-dependent composition is Sections 16.2 and 16.3.</w:t>
      </w:r>
    </w:p>
    <w:p>
      <w:pPr>
        <w:spacing w:after="120" w:line="312"/>
        <w:jc w:val="both"/>
      </w:pPr>
      <w:r>
        <w:rPr>
          <w:rFonts w:ascii="Calibri" w:eastAsia="SimSun" w:hAnsi="Calibri"/>
          <w:b w:val="false"/>
          <w:bCs w:val="false"/>
          <w:color w:val="1A1A1A"/>
          <w:sz w:val="21"/>
          <w:szCs w:val="21"/>
        </w:rPr>
        <w:t xml:space="preserve">Because the buffer is an accounting construct, every buffer figure in this chapter is computed from the same measured quantities as the reserve manager's state (Listing 6): haircut-adjusted instrument values, oracle-consensus prices, and the liability L_t. Nothing about the buffer changes how assets are custodyed or where they live; it changes how losses are attributed, and therefore which actions the architecture takes as health deteriorates.</w:t>
      </w:r>
    </w:p>
    <w:p>
      <w:pPr>
        <w:pStyle w:val="Heading2"/>
        <w:keepNext/>
        <w:spacing w:after="160" w:before="360" w:line="340" w:lineRule="atLeast"/>
      </w:pPr>
      <w:bookmarkStart w:id="100177" w:name="_Toc100177"/>
      <w:r>
        <w:rPr>
          <w:rFonts w:ascii="Calibri" w:eastAsia="Microsoft YaHei" w:hAnsi="Calibri"/>
          <w:b/>
          <w:bCs/>
          <w:color w:val="1A1A1A"/>
          <w:sz w:val="28"/>
          <w:szCs w:val="28"/>
        </w:rPr>
        <w:t xml:space="preserve">16.2 The Three Buffer States</w:t>
      </w:r>
      <w:bookmarkEnd w:id="100177"/>
    </w:p>
    <w:p>
      <w:pPr>
        <w:spacing w:after="120" w:line="312"/>
        <w:jc w:val="both"/>
      </w:pPr>
      <w:r>
        <w:rPr>
          <w:rFonts w:ascii="Calibri" w:eastAsia="SimSun" w:hAnsi="Calibri"/>
          <w:b w:val="false"/>
          <w:bCs w:val="false"/>
          <w:color w:val="1A1A1A"/>
          <w:sz w:val="21"/>
          <w:szCs w:val="21"/>
        </w:rPr>
        <w:t xml:space="preserve">The buffer has three distinct layers, each with a different gold/fiat split, triggered by the Reserve Ratio [BP §8.2]:</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gridCol w:w="100"/>
      </w:tblGrid>
      <w:tr>
        <w:trPr>
          <w:cantSplit/>
          <w:tblHeader/>
        </w:trPr>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State</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RR Range</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Buffer Gold Ratio (B_gold)</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Buffer Fiat Ratio</w:t>
            </w:r>
          </w:p>
        </w:tc>
        <w:tc>
          <w:tcPr>
            <w:tcW w:type="pct" w:w="5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BASE (Normal)</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1.10</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62.5%</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37.5%</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Normal operations. Buffer is 62.5% gold, 37.5% fiat. This is the optimal split derived from simulations (Pareto-frontier).</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 ≤ RR &lt; 1.10</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85%</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15%</w:t>
            </w:r>
          </w:p>
        </w:tc>
        <w:tc>
          <w:tcPr>
            <w:tcW w:type="pct" w:w="5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Defensive posture. Buffer shifts heavily to gold to protect against further devaluation. Minting is throttled (50% capacity).</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&lt; 1.05</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Maximum defence. Buffer is 100% gold. Minting is paused. Emergency rebalancing is triggered. Redemption is still allowed (with increased fee).</w:t>
            </w:r>
          </w:p>
        </w:tc>
      </w:tr>
    </w:tbl>
    <w:p>
      <w:pPr>
        <w:spacing w:after="120"/>
      </w:pPr>
    </w:p>
    <w:p>
      <w:pPr>
        <w:spacing w:after="120" w:line="312"/>
        <w:jc w:val="both"/>
      </w:pPr>
      <w:r>
        <w:rPr>
          <w:rFonts w:ascii="Calibri" w:eastAsia="SimSun" w:hAnsi="Calibri"/>
          <w:b w:val="false"/>
          <w:bCs w:val="false"/>
          <w:color w:val="1A1A1A"/>
          <w:sz w:val="21"/>
          <w:szCs w:val="21"/>
        </w:rPr>
        <w:t xml:space="preserve">A key clarification avoids the most common misreading of this table [BP §8.2]: "100% gold" means the </w:t>
      </w:r>
      <w:r>
        <w:rPr>
          <w:rFonts w:ascii="Calibri" w:eastAsia="SimSun" w:hAnsi="Calibri"/>
          <w:b/>
          <w:bCs/>
          <w:color w:val="1A1A1A"/>
          <w:sz w:val="21"/>
          <w:szCs w:val="21"/>
        </w:rPr>
        <w:t xml:space="preserve">entire 10% buffer</w:t>
      </w:r>
      <w:r>
        <w:rPr>
          <w:rFonts w:ascii="Calibri" w:eastAsia="SimSun" w:hAnsi="Calibri"/>
          <w:b w:val="false"/>
          <w:bCs w:val="false"/>
          <w:color w:val="1A1A1A"/>
          <w:sz w:val="21"/>
          <w:szCs w:val="21"/>
        </w:rPr>
        <w:t xml:space="preserve"> is held in gold — never that the whole reserve becomes gold. The total reserve gold weight is: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gold,total</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gold,core</w:t>
      </w:r>
      <w:r>
        <w:rPr>
          <w:rFonts w:ascii="Cambria" w:eastAsia="SimSun" w:hAnsi="Cambria"/>
          <w:i/>
          <w:iCs/>
          <w:color w:val="1A1A1A"/>
          <w:sz w:val="22"/>
          <w:szCs w:val="22"/>
        </w:rPr>
        <w:t xml:space="preserve"> + (0.10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B</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With the v1.2 baseline core gold weight of 20%, the three states produce: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in BASE (62.5% buffer gold): W_{gold,total} = 0.20 + (0.10 × 0.625) = 26.25%;</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in STRESS (85% buffer gold): W_{gold,total} = 0.20 + (0.10 × 0.85) = 28.5%;</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in EMERGENCY (100% buffer gold): W_{gold,total} = 0.20 + (0.10 × 1.00) = 30.0%.</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This is the maximum gold exposure (30%). The buffer never makes the reserve 100% gold [BP §8.2].</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(v1.2 → v2.0): the fixed core gold weight of 20% (and hence the 26.25%/28.5%/30.0% totals) is a v1.2 constant tied to the fixed gold allocation; under v2.0 the core reserve's gold share is an output of the reserve optimization (Section 14.4) bounded by the liquidity classification of Section 13.4, and the gold reference allocation is separate (invariant I12). The buffer-layer mechanics — the three states, the defensive tilts toward gold as RR deteriorates, the ramps and the waterfall — are retained unchanged, with the v1.2-simulated 62.5% BASE split retained as a validation-stage initialization value to be re-derived under the stress program of Section 23.11. The general form W_{gold,total} = W_{gold,core,t} + (0.10 × B_{gold}) holds with the adaptive core share.</w:t>
      </w:r>
    </w:p>
    <w:p>
      <w:pPr>
        <w:pStyle w:val="Heading2"/>
        <w:keepNext/>
        <w:spacing w:after="160" w:before="360" w:line="340" w:lineRule="atLeast"/>
      </w:pPr>
      <w:bookmarkStart w:id="100178" w:name="_Toc100178"/>
      <w:r>
        <w:rPr>
          <w:rFonts w:ascii="Calibri" w:eastAsia="Microsoft YaHei" w:hAnsi="Calibri"/>
          <w:b/>
          <w:bCs/>
          <w:color w:val="1A1A1A"/>
          <w:sz w:val="28"/>
          <w:szCs w:val="28"/>
        </w:rPr>
        <w:t xml:space="preserve">16.3 Buffer Allocation and State Transitions</w:t>
      </w:r>
      <w:bookmarkEnd w:id="100178"/>
    </w:p>
    <w:p>
      <w:pPr>
        <w:spacing w:after="120" w:line="312"/>
        <w:jc w:val="both"/>
      </w:pPr>
      <w:r>
        <w:rPr>
          <w:rFonts w:ascii="Calibri" w:eastAsia="SimSun" w:hAnsi="Calibri"/>
          <w:b w:val="false"/>
          <w:bCs w:val="false"/>
          <w:color w:val="1A1A1A"/>
          <w:sz w:val="21"/>
          <w:szCs w:val="21"/>
        </w:rPr>
        <w:t xml:space="preserve">The total reserve is decomposed as [BP §8.3]:</w:t>
      </w:r>
    </w:p>
    <w:p>
      <w:pPr>
        <w:spacing w:after="120" w:before="120" w:line="312"/>
        <w:jc w:val="center"/>
      </w:pP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core,t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buffer,t</w:t>
      </w:r>
    </w:p>
    <w:p>
      <w:pPr>
        <w:spacing w:after="120" w:line="312"/>
        <w:jc w:val="both"/>
      </w:pPr>
      <w:r>
        <w:rPr>
          <w:rFonts w:ascii="Calibri" w:eastAsia="SimSun" w:hAnsi="Calibri"/>
          <w:b w:val="false"/>
          <w:bCs w:val="false"/>
          <w:color w:val="1A1A1A"/>
          <w:sz w:val="21"/>
          <w:szCs w:val="21"/>
        </w:rPr>
        <w:t xml:space="preserve">where V_{core,t} = S_{circ,t} × P_{MTQ,t} is the 100% liability coverage — always exactly equal to liabilities — and V_{buffer,t} = 0.10 × S_{circ,t} × P_{MTQ,t} is the 10% excess collateral. The buffer's internal split follows the state table of Section 16.2:</w:t>
      </w:r>
    </w:p>
    <w:p>
      <w:pPr>
        <w:spacing w:after="120" w:before="120" w:line="312"/>
        <w:jc w:val="center"/>
      </w:pP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buffer,gold,t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buffer,t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B</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buffer,fiat,t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buffer,t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B</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and the total gold holding is the sum of the core and buffer gold layers:</w:t>
      </w:r>
    </w:p>
    <w:p>
      <w:pPr>
        <w:spacing w:after="120" w:before="120" w:line="312"/>
        <w:jc w:val="center"/>
      </w:pP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gold,total,t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core,gold,t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buffer,gold,t</w:t>
      </w:r>
    </w:p>
    <w:p>
      <w:pPr>
        <w:spacing w:after="120" w:line="312"/>
        <w:jc w:val="both"/>
      </w:pPr>
      <w:r>
        <w:rPr>
          <w:rFonts w:ascii="Calibri" w:eastAsia="SimSun" w:hAnsi="Calibri"/>
          <w:b w:val="false"/>
          <w:bCs w:val="false"/>
          <w:color w:val="1A1A1A"/>
          <w:sz w:val="21"/>
          <w:szCs w:val="21"/>
        </w:rPr>
        <w:t xml:space="preserve">The buffer state is re-evaluated </w:t>
      </w:r>
      <w:r>
        <w:rPr>
          <w:rFonts w:ascii="Calibri" w:eastAsia="SimSun" w:hAnsi="Calibri"/>
          <w:b/>
          <w:bCs/>
          <w:color w:val="1A1A1A"/>
          <w:sz w:val="21"/>
          <w:szCs w:val="21"/>
        </w:rPr>
        <w:t xml:space="preserve">every time the Reserve Ratio is updated</w:t>
      </w:r>
      <w:r>
        <w:rPr>
          <w:rFonts w:ascii="Calibri" w:eastAsia="SimSun" w:hAnsi="Calibri"/>
          <w:b w:val="false"/>
          <w:bCs w:val="false"/>
          <w:color w:val="1A1A1A"/>
          <w:sz w:val="21"/>
          <w:szCs w:val="21"/>
        </w:rPr>
        <w:t xml:space="preserve"> — after every mint, redeem, rebalance or price update [BP §8.4] — so the buffer is always consistent with the freshest solvency measurement rather than with a stale snapshot. State transitions follow fixed rules with hysteresis on the way back up:</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From → To</w:t>
            </w:r>
          </w:p>
        </w:tc>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Trigger</w:t>
            </w:r>
          </w:p>
        </w:tc>
        <w:tc>
          <w:tcPr>
            <w:tcW w:type="pct" w:w="6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BASE → STRESS</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&lt; 1.10</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ratio increases from 62.5% to 85% over 24 hours (linear ramp to avoid sudden market impact).</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 → BASE</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1.10 for 24 consecutive hours</w:t>
            </w:r>
          </w:p>
        </w:tc>
        <w:tc>
          <w:tcPr>
            <w:tcW w:type="pct" w:w="6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ratio decreases from 85% to 62.5% over 24 hours.</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 → EMERGENCY</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&lt; 1.05</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ratio jumps to 100% </w:t>
            </w:r>
            <w:r>
              <w:rPr>
                <w:rFonts w:ascii="Calibri" w:eastAsia="SimSun" w:hAnsi="Calibri"/>
                <w:b w:val="false"/>
                <w:bCs w:val="false"/>
                <w:color w:val="1A1A1A"/>
                <w:sz w:val="19"/>
                <w:szCs w:val="19"/>
              </w:rPr>
              <w:t xml:space="preserve">immediately</w:t>
            </w:r>
            <w:r>
              <w:rPr>
                <w:rFonts w:ascii="Calibri" w:eastAsia="SimSun" w:hAnsi="Calibri"/>
                <w:b w:val="false"/>
                <w:bCs w:val="false"/>
                <w:color w:val="1A1A1A"/>
                <w:sz w:val="19"/>
                <w:szCs w:val="19"/>
              </w:rPr>
              <w:t xml:space="preserve">. Minting paused. Emergency rebalance triggered.</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 → STRESS</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1.05 for 48 consecutive hours</w:t>
            </w:r>
          </w:p>
        </w:tc>
        <w:tc>
          <w:tcPr>
            <w:tcW w:type="pct" w:w="6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ratio decreases from 100% to 85%. Minting resumes at 50% capacity.</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 → BASE</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1.10 for 48 consecutive hours</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ratio decreases from 100% to 62.5%. Minting resumes at 100% capacity.</w:t>
            </w:r>
          </w:p>
        </w:tc>
      </w:tr>
    </w:tbl>
    <w:p>
      <w:pPr>
        <w:spacing w:after="120"/>
      </w:pPr>
    </w:p>
    <w:p>
      <w:pPr>
        <w:spacing w:after="120" w:line="312"/>
        <w:jc w:val="both"/>
      </w:pPr>
      <w:r>
        <w:rPr>
          <w:rFonts w:ascii="Calibri" w:eastAsia="SimSun" w:hAnsi="Calibri"/>
          <w:b w:val="false"/>
          <w:bCs w:val="false"/>
          <w:color w:val="1A1A1A"/>
          <w:sz w:val="21"/>
          <w:szCs w:val="21"/>
        </w:rPr>
        <w:t xml:space="preserve">The asymmetry is deliberate: deterioration acts immediately or on short ramps, while recovery requires sustained evidence (24 or 48 consecutive hours above the threshold) before the buffer relaxes [BP §8.4]. This is the same anti-oscillation philosophy as the constituency hysteresis of Section 4.7 and the recovery directionality of Section 14.2.2 — a buffer that relaxed on the first uptick would oscillate between states and trade the market impact it was designed to avoid. The minting throttles and pauses referenced in the table are executed by the state machine of Chapter 18, which consumes the buffer state as an input.</w:t>
      </w:r>
    </w:p>
    <w:p>
      <w:pPr>
        <w:spacing w:after="120" w:line="312"/>
        <w:jc w:val="both"/>
      </w:pPr>
      <w:r>
        <w:rPr>
          <w:rFonts w:ascii="Calibri" w:eastAsia="SimSun" w:hAnsi="Calibri"/>
          <w:b w:val="false"/>
          <w:bCs w:val="false"/>
          <w:color w:val="1A1A1A"/>
          <w:sz w:val="21"/>
          <w:szCs w:val="21"/>
        </w:rPr>
        <w:t xml:space="preserve">To avoid market impact, transitions between BASE and STRESS are </w:t>
      </w:r>
      <w:r>
        <w:rPr>
          <w:rFonts w:ascii="Calibri" w:eastAsia="SimSun" w:hAnsi="Calibri"/>
          <w:b/>
          <w:bCs/>
          <w:color w:val="1A1A1A"/>
          <w:sz w:val="21"/>
          <w:szCs w:val="21"/>
        </w:rPr>
        <w:t xml:space="preserve">ramped linearly</w:t>
      </w:r>
      <w:r>
        <w:rPr>
          <w:rFonts w:ascii="Calibri" w:eastAsia="SimSun" w:hAnsi="Calibri"/>
          <w:b w:val="false"/>
          <w:bCs w:val="false"/>
          <w:color w:val="1A1A1A"/>
          <w:sz w:val="21"/>
          <w:szCs w:val="21"/>
        </w:rPr>
        <w:t xml:space="preserve"> over 24 hours, allowing the rebalancing engine to execute small trades gradually rather than a single large one [BP §8.4]. For a BASE → STRESS transition:</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at t = 0: B_{gold} = 0.625;</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at t = 24h: B_{gold} = 0.85;</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target is updated every hour along the linear path:</w:t>
      </w:r>
    </w:p>
    <w:p>
      <w:pPr>
        <w:spacing w:after="120" w:before="120" w:line="312"/>
        <w:jc w:val="center"/>
      </w:pPr>
      <w:r>
        <w:rPr>
          <w:rFonts w:ascii="Cambria" w:eastAsia="SimSun" w:hAnsi="Cambria"/>
          <w:i/>
          <w:iCs/>
          <w:color w:val="1A1A1A"/>
          <w:sz w:val="22"/>
          <w:szCs w:val="22"/>
        </w:rPr>
        <w:t xml:space="preserve">B</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rPr>
        <w:t xml:space="preserve"> = 0.625 + (0.85 - 0.625)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t/(24)</w:t>
      </w:r>
    </w:p>
    <w:p>
      <w:pPr>
        <w:spacing w:after="120" w:line="312"/>
        <w:jc w:val="both"/>
      </w:pPr>
      <w:r>
        <w:rPr>
          <w:rFonts w:ascii="Calibri" w:eastAsia="SimSun" w:hAnsi="Calibri"/>
          <w:b w:val="false"/>
          <w:bCs w:val="false"/>
          <w:color w:val="1A1A1A"/>
          <w:sz w:val="21"/>
          <w:szCs w:val="21"/>
        </w:rPr>
        <w:t xml:space="preserve">Only the STRESS → EMERGENCY edge is unramped: when the hard region is approached, defensive composition is assumed at once and the (bounded) market impact of the shift is accepted as the smaller risk. Every hourly step of a ramp, and every immediate transition, is itself executed through the MARP gates of Chapters 10–11 — the buffer sets the target; it does not bypass the executor.</w:t>
      </w:r>
    </w:p>
    <w:p>
      <w:pPr>
        <w:pStyle w:val="Heading2"/>
        <w:keepNext/>
        <w:spacing w:after="160" w:before="360" w:line="340" w:lineRule="atLeast"/>
      </w:pPr>
      <w:bookmarkStart w:id="100179" w:name="_Toc100179"/>
      <w:r>
        <w:rPr>
          <w:rFonts w:ascii="Calibri" w:eastAsia="Microsoft YaHei" w:hAnsi="Calibri"/>
          <w:b/>
          <w:bCs/>
          <w:color w:val="1A1A1A"/>
          <w:sz w:val="28"/>
          <w:szCs w:val="28"/>
        </w:rPr>
        <w:t xml:space="preserve">16.4 Buffer Consumption — The First-Loss Waterfall</w:t>
      </w:r>
      <w:bookmarkEnd w:id="100179"/>
    </w:p>
    <w:p>
      <w:pPr>
        <w:spacing w:after="120" w:line="312"/>
        <w:jc w:val="both"/>
      </w:pPr>
      <w:r>
        <w:rPr>
          <w:rFonts w:ascii="Calibri" w:eastAsia="SimSun" w:hAnsi="Calibri"/>
          <w:b w:val="false"/>
          <w:bCs w:val="false"/>
          <w:color w:val="1A1A1A"/>
          <w:sz w:val="21"/>
          <w:szCs w:val="21"/>
        </w:rPr>
        <w:t xml:space="preserve">The buffer exists to be </w:t>
      </w:r>
      <w:r>
        <w:rPr>
          <w:rFonts w:ascii="Calibri" w:eastAsia="SimSun" w:hAnsi="Calibri"/>
          <w:b/>
          <w:bCs/>
          <w:color w:val="1A1A1A"/>
          <w:sz w:val="21"/>
          <w:szCs w:val="21"/>
        </w:rPr>
        <w:t xml:space="preserve">consumed before the core reserve</w:t>
      </w:r>
      <w:r>
        <w:rPr>
          <w:rFonts w:ascii="Calibri" w:eastAsia="SimSun" w:hAnsi="Calibri"/>
          <w:b w:val="false"/>
          <w:bCs w:val="false"/>
          <w:color w:val="1A1A1A"/>
          <w:sz w:val="21"/>
          <w:szCs w:val="21"/>
        </w:rPr>
        <w:t xml:space="preserve"> in a crisis. The protocol defines a first-loss waterfall for absorbing losses [BP §8.5]:</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Layer</w:t>
            </w:r>
          </w:p>
        </w:tc>
        <w:tc>
          <w:tcPr>
            <w:tcW w:type="pct" w:w="2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w:t>
            </w:r>
          </w:p>
        </w:tc>
        <w:tc>
          <w:tcPr>
            <w:tcW w:type="pct" w:w="5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Purpose</w:t>
            </w:r>
          </w:p>
        </w:tc>
      </w:tr>
      <w:tr>
        <w:trPr>
          <w:cantSplit/>
        </w:trPr>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Operational Surplus</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Fee revenue</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Absorbs small, temporary deviations.</w:t>
            </w:r>
          </w:p>
        </w:tc>
      </w:tr>
      <w:tr>
        <w:trPr>
          <w:cantSplit/>
        </w:trPr>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 Buffer Fiat</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37.5% / 15% of buffer</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Absorbs medium-sized losses (stablecoin depegs).</w:t>
            </w:r>
          </w:p>
        </w:tc>
      </w:tr>
      <w:tr>
        <w:trPr>
          <w:cantSplit/>
        </w:trPr>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 Buffer Gold</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62.5% / 85% / 100% of buffer</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Absorbs larger losses (gold market corrections).</w:t>
            </w:r>
          </w:p>
        </w:tc>
      </w:tr>
      <w:tr>
        <w:trPr>
          <w:cantSplit/>
        </w:trPr>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 Core Fiat</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80% of core</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Absorbs severe losses (last line before gold).</w:t>
            </w:r>
          </w:p>
        </w:tc>
      </w:tr>
      <w:tr>
        <w:trPr>
          <w:cantSplit/>
        </w:trPr>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 Core Gold</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 of core</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Absolute last resort.</w:t>
            </w:r>
            <w:r>
              <w:rPr>
                <w:rFonts w:ascii="Calibri" w:eastAsia="SimSun" w:hAnsi="Calibri"/>
                <w:b w:val="false"/>
                <w:bCs w:val="false"/>
                <w:color w:val="1A1A1A"/>
                <w:sz w:val="19"/>
                <w:szCs w:val="19"/>
              </w:rPr>
              <w:t xml:space="preserve"> Protected by Exhaustion Certificate (requires 4/7 Multi-Sig).</w:t>
            </w:r>
          </w:p>
        </w:tc>
      </w:tr>
    </w:tbl>
    <w:p>
      <w:pPr>
        <w:spacing w:after="120"/>
      </w:pPr>
    </w:p>
    <w:p>
      <w:pPr>
        <w:spacing w:after="120" w:line="312"/>
        <w:jc w:val="both"/>
      </w:pPr>
      <w:r>
        <w:rPr>
          <w:rFonts w:ascii="Calibri" w:eastAsia="SimSun" w:hAnsi="Calibri"/>
          <w:b w:val="false"/>
          <w:bCs w:val="false"/>
          <w:color w:val="1A1A1A"/>
          <w:sz w:val="21"/>
          <w:szCs w:val="21"/>
        </w:rPr>
        <w:t xml:space="preserve">When a loss occurs (for example, a stablecoin depegs by 1%) [BP §8.5]:</w:t>
      </w:r>
    </w:p>
    <w:p>
      <w:pPr>
        <w:pStyle w:val="ListParagraph"/>
        <w:numPr>
          <w:ilvl w:val="0"/>
          <w:numId w:val="13"/>
        </w:numPr>
        <w:spacing w:after="60" w:line="312"/>
        <w:jc w:val="left"/>
      </w:pPr>
      <w:r>
        <w:rPr>
          <w:rFonts w:ascii="Calibri" w:eastAsia="SimSun" w:hAnsi="Calibri"/>
          <w:b w:val="false"/>
          <w:bCs w:val="false"/>
          <w:color w:val="1A1A1A"/>
          <w:sz w:val="21"/>
          <w:szCs w:val="21"/>
        </w:rPr>
        <w:t xml:space="preserve">The loss is first deducted from the </w:t>
      </w:r>
      <w:r>
        <w:rPr>
          <w:rFonts w:ascii="Calibri" w:eastAsia="SimSun" w:hAnsi="Calibri"/>
          <w:b/>
          <w:bCs/>
          <w:color w:val="1A1A1A"/>
          <w:sz w:val="21"/>
          <w:szCs w:val="21"/>
        </w:rPr>
        <w:t xml:space="preserve">Operational Surplus</w:t>
      </w:r>
      <w:r>
        <w:rPr>
          <w:rFonts w:ascii="Calibri" w:eastAsia="SimSun" w:hAnsi="Calibri"/>
          <w:b w:val="false"/>
          <w:bCs w:val="false"/>
          <w:color w:val="1A1A1A"/>
          <w:sz w:val="21"/>
          <w:szCs w:val="21"/>
        </w:rPr>
        <w:t xml:space="preserve"> (fee revenue).</w:t>
      </w:r>
    </w:p>
    <w:p>
      <w:pPr>
        <w:pStyle w:val="ListParagraph"/>
        <w:numPr>
          <w:ilvl w:val="0"/>
          <w:numId w:val="13"/>
        </w:numPr>
        <w:spacing w:after="60" w:line="312"/>
        <w:jc w:val="left"/>
      </w:pPr>
      <w:r>
        <w:rPr>
          <w:rFonts w:ascii="Calibri" w:eastAsia="SimSun" w:hAnsi="Calibri"/>
          <w:b w:val="false"/>
          <w:bCs w:val="false"/>
          <w:color w:val="1A1A1A"/>
          <w:sz w:val="21"/>
          <w:szCs w:val="21"/>
        </w:rPr>
        <w:t xml:space="preserve">If surplus is insufficient, the loss is deducted from the </w:t>
      </w:r>
      <w:r>
        <w:rPr>
          <w:rFonts w:ascii="Calibri" w:eastAsia="SimSun" w:hAnsi="Calibri"/>
          <w:b/>
          <w:bCs/>
          <w:color w:val="1A1A1A"/>
          <w:sz w:val="21"/>
          <w:szCs w:val="21"/>
        </w:rPr>
        <w:t xml:space="preserve">Buffer Fiat</w:t>
      </w:r>
      <w:r>
        <w:rPr>
          <w:rFonts w:ascii="Calibri" w:eastAsia="SimSun" w:hAnsi="Calibri"/>
          <w:b w:val="false"/>
          <w:bCs w:val="false"/>
          <w:color w:val="1A1A1A"/>
          <w:sz w:val="21"/>
          <w:szCs w:val="21"/>
        </w:rPr>
        <w:t xml:space="preserve"> (stablecoins).</w:t>
      </w:r>
    </w:p>
    <w:p>
      <w:pPr>
        <w:pStyle w:val="ListParagraph"/>
        <w:numPr>
          <w:ilvl w:val="0"/>
          <w:numId w:val="13"/>
        </w:numPr>
        <w:spacing w:after="60" w:line="312"/>
        <w:jc w:val="left"/>
      </w:pPr>
      <w:r>
        <w:rPr>
          <w:rFonts w:ascii="Calibri" w:eastAsia="SimSun" w:hAnsi="Calibri"/>
          <w:b w:val="false"/>
          <w:bCs w:val="false"/>
          <w:color w:val="1A1A1A"/>
          <w:sz w:val="21"/>
          <w:szCs w:val="21"/>
        </w:rPr>
        <w:t xml:space="preserve">If buffer fiat is insufficient, the loss is deducted from the </w:t>
      </w:r>
      <w:r>
        <w:rPr>
          <w:rFonts w:ascii="Calibri" w:eastAsia="SimSun" w:hAnsi="Calibri"/>
          <w:b/>
          <w:bCs/>
          <w:color w:val="1A1A1A"/>
          <w:sz w:val="21"/>
          <w:szCs w:val="21"/>
        </w:rPr>
        <w:t xml:space="preserve">Buffer Gold</w:t>
      </w:r>
      <w:r>
        <w:rPr>
          <w:rFonts w:ascii="Calibri" w:eastAsia="SimSun" w:hAnsi="Calibri"/>
          <w:b w:val="false"/>
          <w:bCs w:val="false"/>
          <w:color w:val="1A1A1A"/>
          <w:sz w:val="21"/>
          <w:szCs w:val="21"/>
        </w:rPr>
        <w:t xml:space="preserve">.</w:t>
      </w:r>
    </w:p>
    <w:p>
      <w:pPr>
        <w:pStyle w:val="ListParagraph"/>
        <w:numPr>
          <w:ilvl w:val="0"/>
          <w:numId w:val="13"/>
        </w:numPr>
        <w:spacing w:after="60" w:line="312"/>
        <w:jc w:val="left"/>
      </w:pPr>
      <w:r>
        <w:rPr>
          <w:rFonts w:ascii="Calibri" w:eastAsia="SimSun" w:hAnsi="Calibri"/>
          <w:b w:val="false"/>
          <w:bCs w:val="false"/>
          <w:color w:val="1A1A1A"/>
          <w:sz w:val="21"/>
          <w:szCs w:val="21"/>
        </w:rPr>
        <w:t xml:space="preserve">If buffer gold is insufficient, the loss is deducted from the </w:t>
      </w:r>
      <w:r>
        <w:rPr>
          <w:rFonts w:ascii="Calibri" w:eastAsia="SimSun" w:hAnsi="Calibri"/>
          <w:b/>
          <w:bCs/>
          <w:color w:val="1A1A1A"/>
          <w:sz w:val="21"/>
          <w:szCs w:val="21"/>
        </w:rPr>
        <w:t xml:space="preserve">Core Fiat</w:t>
      </w:r>
      <w:r>
        <w:rPr>
          <w:rFonts w:ascii="Calibri" w:eastAsia="SimSun" w:hAnsi="Calibri"/>
          <w:b w:val="false"/>
          <w:bCs w:val="false"/>
          <w:color w:val="1A1A1A"/>
          <w:sz w:val="21"/>
          <w:szCs w:val="21"/>
        </w:rPr>
        <w:t xml:space="preserve">.</w:t>
      </w:r>
    </w:p>
    <w:p>
      <w:pPr>
        <w:pStyle w:val="ListParagraph"/>
        <w:numPr>
          <w:ilvl w:val="0"/>
          <w:numId w:val="13"/>
        </w:numPr>
        <w:spacing w:after="60" w:line="312"/>
        <w:jc w:val="left"/>
      </w:pPr>
      <w:r>
        <w:rPr>
          <w:rFonts w:ascii="Calibri" w:eastAsia="SimSun" w:hAnsi="Calibri"/>
          <w:b w:val="false"/>
          <w:bCs w:val="false"/>
          <w:color w:val="1A1A1A"/>
          <w:sz w:val="21"/>
          <w:szCs w:val="21"/>
        </w:rPr>
        <w:t xml:space="preserve">If core fiat is insufficient, the loss is deducted from the </w:t>
      </w:r>
      <w:r>
        <w:rPr>
          <w:rFonts w:ascii="Calibri" w:eastAsia="SimSun" w:hAnsi="Calibri"/>
          <w:b/>
          <w:bCs/>
          <w:color w:val="1A1A1A"/>
          <w:sz w:val="21"/>
          <w:szCs w:val="21"/>
        </w:rPr>
        <w:t xml:space="preserve">Core Gold</w:t>
      </w:r>
      <w:r>
        <w:rPr>
          <w:rFonts w:ascii="Calibri" w:eastAsia="SimSun" w:hAnsi="Calibri"/>
          <w:b w:val="false"/>
          <w:bCs w:val="false"/>
          <w:color w:val="1A1A1A"/>
          <w:sz w:val="21"/>
          <w:szCs w:val="21"/>
        </w:rPr>
        <w:t xml:space="preserve"> (requires governance approval).</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This waterfall ensures the core reserve is protected for as long as possible [BP §8.5].</w:t>
      </w:r>
    </w:p>
    <w:p>
      <w:pPr>
        <w:spacing w:after="120" w:line="312"/>
        <w:jc w:val="both"/>
      </w:pPr>
      <w:r>
        <w:rPr>
          <w:rFonts w:ascii="Calibri" w:eastAsia="SimSun" w:hAnsi="Calibri"/>
          <w:b w:val="false"/>
          <w:bCs w:val="false"/>
          <w:color w:val="1A1A1A"/>
          <w:sz w:val="21"/>
          <w:szCs w:val="21"/>
        </w:rPr>
        <w:t xml:space="preserve">Two properties of the waterfall deserve emphasis. First, it is loss accounting, not a trading program: attributing a depeg loss to the buffer fiat layer does not by itself sell anything — it reclassifies which layer the loss has consumed, and the rebalancing engine then restores the layer boundaries through the ordinary, gated process. Second, the ordering is risk-logical rather than value-logical: fiat layers absorb before gold layers at the same seniority because fiat is the liquid, redemption-facing side of the reserve (Section 13.4), and gold — the strategic, illiquid-when-stressed asset — is spent last at every level. The final layer, core gold, is protected by the Exhaustion Certificate: a 4/7 Multi-Sig approval required before any consumption, which makes core-gold use a visible, accountable governance event. This is the sharpest expression of the gold-cost rule of Section 14.4 — core-gold consumption is the exceptional condition par excellence, and it composes with invariant I12 (no reserve asset used for secondary-market price support).</w:t>
      </w:r>
    </w:p>
    <w:p>
      <w:pPr>
        <w:pStyle w:val="Heading3"/>
        <w:keepNext/>
        <w:spacing w:after="120" w:before="300" w:line="312"/>
      </w:pPr>
      <w:bookmarkStart w:id="100180" w:name="_Toc100180"/>
      <w:r>
        <w:rPr>
          <w:rFonts w:ascii="Calibri" w:eastAsia="Microsoft YaHei" w:hAnsi="Calibri"/>
          <w:b/>
          <w:bCs/>
          <w:color w:val="333333"/>
          <w:sz w:val="24"/>
          <w:szCs w:val="24"/>
        </w:rPr>
        <w:t xml:space="preserve">16.4.1 Integration with the Rebalancing Engine</w:t>
      </w:r>
      <w:bookmarkEnd w:id="100180"/>
    </w:p>
    <w:p>
      <w:pPr>
        <w:spacing w:after="120" w:line="312"/>
        <w:jc w:val="both"/>
      </w:pPr>
      <w:r>
        <w:rPr>
          <w:rFonts w:ascii="Calibri" w:eastAsia="SimSun" w:hAnsi="Calibri"/>
          <w:b w:val="false"/>
          <w:bCs w:val="false"/>
          <w:color w:val="1A1A1A"/>
          <w:sz w:val="21"/>
          <w:szCs w:val="21"/>
        </w:rPr>
        <w:t xml:space="preserve">The Rebalancing Engine uses the </w:t>
      </w:r>
      <w:r>
        <w:rPr>
          <w:rFonts w:ascii="Calibri" w:eastAsia="SimSun" w:hAnsi="Calibri"/>
          <w:b/>
          <w:bCs/>
          <w:color w:val="1A1A1A"/>
          <w:sz w:val="21"/>
          <w:szCs w:val="21"/>
        </w:rPr>
        <w:t xml:space="preserve">effective total weights</w:t>
      </w:r>
      <w:r>
        <w:rPr>
          <w:rFonts w:ascii="Calibri" w:eastAsia="SimSun" w:hAnsi="Calibri"/>
          <w:b w:val="false"/>
          <w:bCs w:val="false"/>
          <w:color w:val="1A1A1A"/>
          <w:sz w:val="21"/>
          <w:szCs w:val="21"/>
        </w:rPr>
        <w:t xml:space="preserve"> computed from the buffer state [BP §8.6]. In the v1.2 parameterization:</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vertAlign w:val="subscript"/>
        </w:rPr>
        <w:t xml:space="preserve">gold,total,t</w:t>
      </w:r>
      <w:r>
        <w:rPr>
          <w:rFonts w:ascii="Cambria" w:eastAsia="SimSun" w:hAnsi="Cambria"/>
          <w:i/>
          <w:iCs/>
          <w:color w:val="1A1A1A"/>
          <w:sz w:val="22"/>
          <w:szCs w:val="22"/>
        </w:rPr>
        <w:t xml:space="preserve"> = 0.20 + (0.10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B</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vertAlign w:val="subscript"/>
        </w:rPr>
        <w:t xml:space="preserve">fiat,total,t</w:t>
      </w:r>
      <w:r>
        <w:rPr>
          <w:rFonts w:ascii="Cambria" w:eastAsia="SimSun" w:hAnsi="Cambria"/>
          <w:i/>
          <w:iCs/>
          <w:color w:val="1A1A1A"/>
          <w:sz w:val="22"/>
          <w:szCs w:val="22"/>
        </w:rPr>
        <w:t xml:space="preserve"> = 0.80 + (0.10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B</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Under v2.0 the same composition rule holds with the adaptive core split — W^{target}_{gold,total,t} = W^{core}_{gold,t} + 0.10 × B_{gold}(RR_t) and its complement for fiat — per the fidelity note of Section 16.2. These values are the gold and fiat targets handed to the rebalancing engine. The flow is tightly coupled by construction [BP §8.6]:</w:t>
      </w:r>
    </w:p>
    <w:p>
      <w:pPr>
        <w:pStyle w:val="ListParagraph"/>
        <w:numPr>
          <w:ilvl w:val="0"/>
          <w:numId w:val="14"/>
        </w:numPr>
        <w:spacing w:after="60" w:line="312"/>
        <w:jc w:val="left"/>
      </w:pPr>
      <w:r>
        <w:rPr>
          <w:rFonts w:ascii="Calibri" w:eastAsia="SimSun" w:hAnsi="Calibri"/>
          <w:b w:val="false"/>
          <w:bCs w:val="false"/>
          <w:color w:val="1A1A1A"/>
          <w:sz w:val="21"/>
          <w:szCs w:val="21"/>
        </w:rPr>
        <w:t xml:space="preserve">The Reserve Ratio is updated (Listing 6).</w:t>
      </w:r>
    </w:p>
    <w:p>
      <w:pPr>
        <w:pStyle w:val="ListParagraph"/>
        <w:numPr>
          <w:ilvl w:val="0"/>
          <w:numId w:val="14"/>
        </w:numPr>
        <w:spacing w:after="60" w:line="312"/>
        <w:jc w:val="left"/>
      </w:pPr>
      <w:r>
        <w:rPr>
          <w:rFonts w:ascii="Calibri" w:eastAsia="SimSun" w:hAnsi="Calibri"/>
          <w:b w:val="false"/>
          <w:bCs w:val="false"/>
          <w:color w:val="1A1A1A"/>
          <w:sz w:val="21"/>
          <w:szCs w:val="21"/>
        </w:rPr>
        <w:t xml:space="preserve">The buffer state is evaluated (BASE / STRESS / EMERGENCY).</w:t>
      </w:r>
    </w:p>
    <w:p>
      <w:pPr>
        <w:pStyle w:val="ListParagraph"/>
        <w:numPr>
          <w:ilvl w:val="0"/>
          <w:numId w:val="14"/>
        </w:numPr>
        <w:spacing w:after="60" w:line="312"/>
        <w:jc w:val="left"/>
      </w:pPr>
      <w:r>
        <w:rPr>
          <w:rFonts w:ascii="Calibri" w:eastAsia="SimSun" w:hAnsi="Calibri"/>
          <w:b w:val="false"/>
          <w:bCs w:val="false"/>
          <w:color w:val="1A1A1A"/>
          <w:sz w:val="21"/>
          <w:szCs w:val="21"/>
        </w:rPr>
        <w:t xml:space="preserve">The total target gold weight is computed.</w:t>
      </w:r>
    </w:p>
    <w:p>
      <w:pPr>
        <w:pStyle w:val="ListParagraph"/>
        <w:numPr>
          <w:ilvl w:val="0"/>
          <w:numId w:val="14"/>
        </w:numPr>
        <w:spacing w:after="60" w:line="312"/>
        <w:jc w:val="left"/>
      </w:pPr>
      <w:r>
        <w:rPr>
          <w:rFonts w:ascii="Calibri" w:eastAsia="SimSun" w:hAnsi="Calibri"/>
          <w:b w:val="false"/>
          <w:bCs w:val="false"/>
          <w:color w:val="1A1A1A"/>
          <w:sz w:val="21"/>
          <w:szCs w:val="21"/>
        </w:rPr>
        <w:t xml:space="preserve">The Rebalancing Engine compares observed versus target and executes trades if needed.</w:t>
      </w:r>
    </w:p>
    <w:p>
      <w:pPr>
        <w:spacing w:after="120" w:line="312"/>
        <w:jc w:val="both"/>
      </w:pPr>
      <w:r>
        <w:rPr>
          <w:rFonts w:ascii="Calibri" w:eastAsia="SimSun" w:hAnsi="Calibri"/>
          <w:b w:val="false"/>
          <w:bCs w:val="false"/>
          <w:color w:val="1A1A1A"/>
          <w:sz w:val="21"/>
          <w:szCs w:val="21"/>
        </w:rPr>
        <w:t xml:space="preserve">This coupling means the buffer is automatically rebalanced as the protocol's health changes — there is no separate buffer-keeper or discretionary rebalance. Every waterfall consumption or state transition changes the observed-versus-target gap, and the engine's response flows through the same MARP gates, cost tests and concentration checks (Chapters 10–11) as any other adjustment, so buffer defence never becomes an ungated flow of trades. The execution side additionally honors the crisis-mode restrictions of Section 14.5 whenever CrisisScore_t is elevated, since buffer transitions and crisis posture are most likely to co-occur.</w:t>
      </w:r>
    </w:p>
    <w:p>
      <w:pPr>
        <w:pStyle w:val="Heading2"/>
        <w:keepNext/>
        <w:spacing w:after="160" w:before="360" w:line="340" w:lineRule="atLeast"/>
      </w:pPr>
      <w:bookmarkStart w:id="100181" w:name="_Toc100181"/>
      <w:r>
        <w:rPr>
          <w:rFonts w:ascii="Calibri" w:eastAsia="Microsoft YaHei" w:hAnsi="Calibri"/>
          <w:b/>
          <w:bCs/>
          <w:color w:val="1A1A1A"/>
          <w:sz w:val="28"/>
          <w:szCs w:val="28"/>
        </w:rPr>
        <w:t xml:space="preserve">16.5 Smart Contract Implementation — Dynamic Buffer</w:t>
      </w:r>
      <w:bookmarkEnd w:id="100181"/>
    </w:p>
    <w:p>
      <w:pPr>
        <w:spacing w:after="120" w:line="312"/>
        <w:jc w:val="both"/>
      </w:pPr>
      <w:r>
        <w:rPr>
          <w:rFonts w:ascii="Calibri" w:eastAsia="SimSun" w:hAnsi="Calibri"/>
          <w:b w:val="false"/>
          <w:bCs w:val="false"/>
          <w:color w:val="1A1A1A"/>
          <w:sz w:val="21"/>
          <w:szCs w:val="21"/>
        </w:rPr>
        <w:t xml:space="preserve">The listing below adapts BP §8.7 substantially complete: the constants (BP §8.7.1), the state-machine and ramp logic (BP §8.7.2), the first-loss waterfall (BP §8.7.3) and the events (BP §8.7.4). The buffer contract reads the Reserve Ratio from the reserve manager (Listing 6), drives minting pauses and emergency rebalances through the state machine (Chapter 18), and tracks the five waterfall layers as explicit accounting state. Core-gold consumption is gated by the Exhaustion Certificate — a pre-approved amount issued by the 4/7 Emergency Council (Section 16.4).</w:t>
      </w:r>
    </w:p>
    <w:p>
      <w:pPr>
        <w:pStyle w:val="Heading3"/>
        <w:keepNext/>
        <w:spacing w:after="120" w:before="300" w:line="312"/>
      </w:pPr>
      <w:bookmarkStart w:id="100182" w:name="_Toc100182"/>
      <w:r>
        <w:rPr>
          <w:rFonts w:ascii="Calibri" w:eastAsia="Microsoft YaHei" w:hAnsi="Calibri"/>
          <w:b/>
          <w:bCs/>
          <w:color w:val="333333"/>
          <w:sz w:val="24"/>
          <w:szCs w:val="24"/>
        </w:rPr>
        <w:t xml:space="preserve">16.5.1 The Contract</w:t>
      </w:r>
      <w:bookmarkEnd w:id="100182"/>
    </w:p>
    <w:p>
      <w:pPr>
        <w:keepNext/>
        <w:spacing w:after="80" w:before="280" w:line="312"/>
      </w:pPr>
      <w:r>
        <w:rPr>
          <w:rFonts w:ascii="Calibri" w:eastAsia="SimSun" w:hAnsi="Calibri"/>
          <w:b/>
          <w:bCs/>
          <w:color w:val="8A6D1F"/>
          <w:sz w:val="19"/>
          <w:szCs w:val="19"/>
        </w:rPr>
        <w:t xml:space="preserve">Listing 8 — Dynamic buffer: states, transitions and first-loss waterfall (adapts BP §8.7)</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@title DynamicBuffer — three defensive layers over the 100% core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 with ramped state transitions and the first-loss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waterfall (§16.1–§16.4).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DynamicBuffer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Governance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emergencyCouncil;  //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CONSTANTS (BP §8.7.1)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 constants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BUFFER_SIZE = 0.10e18;       // 10% of liability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CORE_GOLD_WEIGHT = 0.20e18;  // 20% of core is gold (v1.2 baseline)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 state thresholds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RR_BASE_THRESHOLD = 1.10e18;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RR_STRESS_THRESHOLD = 1.05e18;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 gold ratios for each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BUFFER_GOLD_BASE = 0.625e18;      // 62.5%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BUFFER_GOLD_STRESS = 0.85e18;     // 85%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BUFFER_GOLD_EMERGENCY = 1.00e18;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Ramp duration (seconds)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RAMP_DURATION = 24 hours;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State tracking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enum BufferState { BASE, STRESS, EMERGENCY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BufferState public currentBufferState;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Ramp tracking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rampStartTime;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rampStartGoldRatio;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rampTargetGoldRatio;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Waterfall layer accounting (USD values, 1e18 scale)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Written by the reserve-accounting integration after every mint,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redeem, rebalance or price update (§16.3).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operationalSurplus;  // layer 1 — fee revenue retained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bufferFiatValue;     // layer 2 — buffer fiat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bufferGoldValue;     // layer 3 — buffer 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coreFiatValue;       // layer 4 — core fiat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coreGoldValue;       // layer 5 — core 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Core-gold Exhaustion Certificate (§16.4)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coreGoldExhaustionCertificate;  // pre-approved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External integrations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IReserveManager public reserveManager;  // Listing 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IStateMachine public stateMachine;      // Chapter 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constructor(address _emergencyCouncil, address _reserveManager, address _stateMachine)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emergencyCouncil = _emergencyCouncil;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reserveManager = IReserveManager(_reserveManager);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stateMachine = IStateMachine(_stateMachine);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CORE LOGIC (BP §8.7.2)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Updates the buffer state based on the current Reserve 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Called after every mint, redeem, rebalance, or price update.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updateBufferState()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rr = reserveManager.getReserveRatio();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BufferState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(rr &gt;= RR_BASE_THRESHOLD)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BufferState.BASE;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(rr &gt;= RR_STRESS_THRESHOLD)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BufferState.STRESS;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BufferState.EMERGENCY;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Handle state transitions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(newState != currentBufferState)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(newState == BufferState.EMERGENCY)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Immediate transition to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currentBufferState =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rampStartTime = 0;  // no ramp for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BufferStateChanged(newState, "EMERGENCY",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Pause minting; force the emergency gold target (§16.4.1)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pauseMinting();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triggerEmergencyRebalance();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Ramp between BASE and STRESS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rampStartTime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rampStartGoldRatio = getCurrentBufferGoldRatio();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rampTargetGoldRatio = (newState == BufferState.BASE)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BUFFER_GOLD_BASE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BUFFER_GOLD_STRESS;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currentBufferState =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BufferStateChanged(newState, "RAMPING",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current buffer gold ratio (considering ramps).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getCurrentBufferGoldRatio()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(currentBufferState == BufferState.EMERGENCY)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BUFFER_GOLD_EMERGENCY;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(rampStartTime ==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(currentBufferState == BufferState.BASE)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BUFFER_GOLD_BASE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BUFFER_GOLD_STRESS;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Check if ramp is complete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(block.timestamp &gt;= rampStartTime + RAMP_DURATION)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rampTargetGoldRatio;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Compute progress (0 to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elapsed = block.timestamp - rampStartTime;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progress = (elapsed * 1e18) / RAMP_DURATION;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Interpolate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diff = (rampTargetGoldRatio &gt; rampStartGoldRatio)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rampTargetGoldRatio - rampStartGoldRatio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rampStartGoldRatio - rampTargetGoldRatio;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adjustment = (diff * progress)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(rampTargetGoldRatio &gt; rampStartGoldRatio)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rampStartGoldRatio + adjustment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rampStartGoldRatio - adjustment;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total target gold weight (core + buffer).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This is the value used by the Rebalancing Engine (Ch 10-11).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getTotalTargetGoldWeight()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bufferGoldRatio = getCurrentBufferGoldRatio();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CORE_GOLD_WEIGHT + (BUFFER_SIZE * bufferGoldRatio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total target fiat weight.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getTotalTargetFiatWeight()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1e18 - getTotalTargetGoldWeight();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Emergency function to force the buffer to 100% 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(Emergency State). Only callable by the 4/7 Emergency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forceEmergencyBuffer() external onlyEmergencyCouncil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currentBufferState = BufferState.EMERGENCY;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rampStartTime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pauseMinting();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triggerEmergencyRebalance();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BufferStateChanged(BufferState.EMERGENCY, "FORCED",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BUFFER CONSUMPTION (BP §8.7.3)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Applies a loss using the first-loss waterfall (§16.4).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Called when a loss is detected (e.g., stablecoin depeg,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oracle correction).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applyLoss(uint256 lossAmount)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remainingLoss = lossAmount;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Consume operational surplus (fee revenue)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(operationalSurplus &gt;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consumed = (operationalSurplus &gt;=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operationalSurplus;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remainingLoss -= 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consumeSurplus(consumed);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BufferConsumed("operationalSurplus", consumed,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(remainingLoss == 0) return;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Consume buffer fiat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(bufferFiatValue &gt;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consumed = (bufferFiatValue &gt;=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bufferFiatValue;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remainingLoss -= 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consumeBufferFiat(consumed);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BufferConsumed("bufferFiat", consumed,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(remainingLoss == 0) return;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Consume buffer 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(bufferGoldValue &gt;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consumed = (bufferGoldValue &gt;=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bufferGoldValue;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remainingLoss -= 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consumeBufferGold(consumed);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BufferConsumed("bufferGold", consumed,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(remainingLoss == 0) return;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Consume core fiat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(coreFiatValue &gt;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consumed = (coreFiatValue &gt;=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coreFiatValue;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remainingLoss -= 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consumeCoreFiat(consumed);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BufferConsumed("coreFiat", consumed,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(remainingLoss == 0) return;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Consume core gold (requires governance approval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Exhaustion Certificate, §16.4)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(remainingLoss &gt;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requireGovernanceApprovalForCoreGoldConsumption(remainingLoss);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consumeCoreGold(remainingLoss);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BufferConsumed("coreGold", remainingLoss,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Layer consumption helpers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consumeSurplus(uint256 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operationalSurplus -=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consumeBufferFiat(uint256 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bufferFiatValue -=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consumeBufferGold(uint256 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bufferGoldValue -=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consumeCoreFiat(uint256 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coreFiatValue -=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consumeCoreGold(uint256 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coreGoldValue -=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Core-gold consumption requires the Exhaustion Certificate: 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pre-registered 4/7 Emergency-Council approval (§16.4).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requireGovernanceApprovalForCoreGoldConsumption(uint256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view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coreGoldExhaustionCertificate &gt;=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"Core gold: no exhaustion certificate"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Issue the core-gold Exhaustion Certificate (4/7).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issueCoreGoldExhaustionCertificate(uint256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onlyEmergencyCouncil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coreGoldExhaustionCertificate =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State machine hooks (Chapter 18)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pauseMinting()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stateMachine.pauseMinting();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triggerEmergencyRebalance()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stateMachine.triggerEmergencyRebalance();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onlyEmergencyCouncil()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emergencyCouncil, "Only Emergency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EVENT EMISSIONS (BP §8.7.4)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BufferStateChanged(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BufferState indexed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action,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BufferRampUpdated(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startRatio,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targetRatio,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progress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BufferConsumed(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layer,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IReserveManager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getReserveRatio()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IStateMachine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pauseMinting() external;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triggerEmergencyRebalance() external;</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(BP §8.7 → Listing 8): (1) BP §8.7.3 referenced undefined accounting hooks (getBufferFiatValue, consumeSurplus, and so on); this listing realizes them as explicit layer state with decrement helpers, and emits BufferConsumed at each waterfall step — BP declared the event but never showed its emission. (2) The core-gold governance approval is implemented as the Exhaustion Certificate: a pre-approved amount issued by the 4/7 Emergency Council, matching the §16.4 protection of the core-gold layer. (3) pauseMinting and triggerEmergencyRebalance are routed through the Chapter 18 state machine interface rather than left dangling. (4) CORE_GOLD_WEIGHT = 0.20e18 and the 62.5%/85%/100% ratios are v1.2 constants retained as validation-stage initialization values; under v2.0 the core gold share is adaptive per the Section 16.2 fidelity note, and the buffer constants remain Risk-Council parameters under the scopes of the table below. (5) BufferRampUpdated is emitted by the hourly keeper that advances ramps (§16.3); the ramp interpolation itself is pure view logic carried verbatim from BP §8.7.2.</w:t>
      </w:r>
    </w:p>
    <w:p>
      <w:pPr>
        <w:pStyle w:val="Heading3"/>
        <w:keepNext/>
        <w:spacing w:after="120" w:before="300" w:line="312"/>
      </w:pPr>
      <w:bookmarkStart w:id="100183" w:name="_Toc100183"/>
      <w:r>
        <w:rPr>
          <w:rFonts w:ascii="Calibri" w:eastAsia="Microsoft YaHei" w:hAnsi="Calibri"/>
          <w:b/>
          <w:bCs/>
          <w:color w:val="333333"/>
          <w:sz w:val="24"/>
          <w:szCs w:val="24"/>
        </w:rPr>
        <w:t xml:space="preserve">16.5.2 Developer-Facing Constants</w:t>
      </w:r>
      <w:bookmarkEnd w:id="100183"/>
    </w:p>
    <w:p>
      <w:pPr>
        <w:spacing w:after="120" w:line="312"/>
        <w:jc w:val="both"/>
      </w:pPr>
      <w:r>
        <w:rPr>
          <w:rFonts w:ascii="Calibri" w:eastAsia="SimSun" w:hAnsi="Calibri"/>
          <w:b w:val="false"/>
          <w:bCs w:val="false"/>
          <w:color w:val="1A1A1A"/>
          <w:sz w:val="21"/>
          <w:szCs w:val="21"/>
        </w:rPr>
        <w:t xml:space="preserve">The buffer's developer-facing constants are carried from BP §8.8. The constitutional items — buffer size, core gold weight and the two RR thresholds — bind the buffer's geometry and can change only through the 7/7 process; the defensive gold ratios and the ramp duration are Risk-Council parameters within that geometry, so the council can tune how defensively the buffer behaves but not whether it exists or how large it is.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2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1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3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Governance</w:t>
            </w:r>
          </w:p>
        </w:tc>
      </w:tr>
      <w:tr>
        <w:trPr>
          <w:cantSplit/>
        </w:trPr>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Size</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BUFFER_SIZE</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 of liability</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Core Gold Weight</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CORE_GOLD_WEIGHT</w:t>
            </w:r>
          </w:p>
        </w:tc>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(BASE)</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BUFFER_GOLD_BASE</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62.5%</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(STRESS)</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BUFFER_GOLD_STRESS</w:t>
            </w:r>
          </w:p>
        </w:tc>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85%</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(EMERGENCY)</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BUFFER_GOLD_EMERGENCY</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BASE Threshold</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RR_BASE_THRESHOLD</w:t>
            </w:r>
          </w:p>
        </w:tc>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 Threshold</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RR_STRESS_THRESHOLD</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Ramp Duration</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RAMP_DURATION</w:t>
            </w:r>
          </w:p>
        </w:tc>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 hours</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bl>
    <w:p>
      <w:pPr>
        <w:spacing w:after="120"/>
      </w:pPr>
    </w:p>
    <w:p>
      <w:pPr>
        <w:spacing w:after="120" w:line="312"/>
        <w:jc w:val="both"/>
      </w:pPr>
      <w:r>
        <w:rPr>
          <w:rFonts w:ascii="Calibri" w:eastAsia="SimSun" w:hAnsi="Calibri"/>
          <w:b w:val="false"/>
          <w:bCs w:val="false"/>
          <w:color w:val="1A1A1A"/>
          <w:sz w:val="21"/>
          <w:szCs w:val="21"/>
        </w:rPr>
        <w:t xml:space="preserve">Deployment wiring: set emergencyCouncil to the 4/7 Multi-Sig, reserveManager to the Listing 6 deployment, and stateMachine to the Chapter 18 machine; initialize the layer values from the first reserve-state snapshot; and leave the Exhaustion Certificate at zero so that core-gold consumption is impossible until the Emergency Council affirmatively issues one. The buffer's thresholds deliberately mirror the RR tiers of Section 14.2.1 — the same 1.10 and 1.05 values appear as the constitutional constants of both contracts — so the solvency ladder and the buffer ladder are two readings of one measurement, and the stress program of Section 23.11 validates them jointly rather than per-contract.</w:t>
      </w:r>
    </w:p>
    <w:p>
      <w:pPr>
        <w:pStyle w:val="Heading1"/>
        <w:keepNext/>
        <w:pBdr>
          <w:bottom w:val="single" w:color="C9A84C" w:sz="12" w:space="6"/>
        </w:pBdr>
        <w:spacing w:after="220" w:before="480" w:line="380" w:lineRule="atLeast"/>
      </w:pPr>
      <w:bookmarkStart w:id="100184" w:name="_Toc100184"/>
      <w:r>
        <w:rPr>
          <w:rFonts w:ascii="Calibri" w:eastAsia="Microsoft YaHei" w:hAnsi="Calibri"/>
          <w:b/>
          <w:bCs/>
          <w:color w:val="1A1A1A"/>
          <w:sz w:val="32"/>
          <w:szCs w:val="32"/>
        </w:rPr>
        <w:t xml:space="preserve">17. Oracle Architecture and the Canonical Gold Price</w:t>
      </w:r>
      <w:bookmarkEnd w:id="100184"/>
    </w:p>
    <w:p>
      <w:pPr>
        <w:pStyle w:val="Heading2"/>
        <w:keepNext/>
        <w:spacing w:after="160" w:before="360" w:line="340" w:lineRule="atLeast"/>
      </w:pPr>
      <w:bookmarkStart w:id="100185" w:name="_Toc100185"/>
      <w:r>
        <w:rPr>
          <w:rFonts w:ascii="Calibri" w:eastAsia="Microsoft YaHei" w:hAnsi="Calibri"/>
          <w:b/>
          <w:bCs/>
          <w:color w:val="1A1A1A"/>
          <w:sz w:val="28"/>
          <w:szCs w:val="28"/>
        </w:rPr>
        <w:t xml:space="preserve">17.1 Purpose and Design Principles</w:t>
      </w:r>
      <w:bookmarkEnd w:id="100185"/>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Oracle Architecture is the data ingestion layer of the protocol [BP §9.1]. It provides reliable, tamper-resistant price data for every asset in the reference basket, the reference index, and the macro signals (VIX, DXY) — and, in v2.0, for the canonical gold price that defines the gold component's reference-unit value. Everything upstream in this document is only as trustworthy as this layer: the index of Chapter 9, the MARP execution gates of Chapter 11, the reserve valuation of Chapters 13–14, the instrument eligibility of Chapter 15 and the mint/redemption pricing of Chapter 19 all consume oracle outputs directly.</w:t>
      </w:r>
    </w:p>
    <w:p>
      <w:pPr>
        <w:spacing w:after="120" w:line="312"/>
        <w:jc w:val="both"/>
      </w:pPr>
      <w:r>
        <w:rPr>
          <w:rFonts w:ascii="Calibri" w:eastAsia="SimSun" w:hAnsi="Calibri"/>
          <w:b w:val="false"/>
          <w:bCs w:val="false"/>
          <w:color w:val="1A1A1A"/>
          <w:sz w:val="21"/>
          <w:szCs w:val="21"/>
        </w:rPr>
        <w:t xml:space="preserve">The architecture is designed to be defense-in-depth: no single oracle failure can corrupt the system [BP §9.1]. It uses multiple independent sources, validates each data point against strict criteria, and implements fallback logic so that the protocol remains operational during partial outages. The governing principle is carried verbatim from the v1.2 blueprint:</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Trust, but verify. And never trust a single source.</w:t>
      </w:r>
    </w:p>
    <w:p>
      <w:pPr>
        <w:spacing w:after="120" w:line="312"/>
        <w:jc w:val="both"/>
      </w:pPr>
      <w:r>
        <w:rPr>
          <w:rFonts w:ascii="Calibri" w:eastAsia="SimSun" w:hAnsi="Calibri"/>
          <w:b w:val="false"/>
          <w:bCs w:val="false"/>
          <w:color w:val="1A1A1A"/>
          <w:sz w:val="21"/>
          <w:szCs w:val="21"/>
        </w:rPr>
        <w:t xml:space="preserve">One rule from the Modification Specification sharpens this principle for gold. MTQ Σ must not use a single MTQ-native AMM as the canonical gold-price source [MS §53]. The earlier architecture relied heavily on its own SGTX-G market to generate the gold price — a circular arrangement in which the protocol's own token market defined the value of the gold it was supposed to be measuring, so that thin trading or manipulation in one pool could move the unit definition itself. MTQ Σ instead aggregates independent sources: external benchmarks, derivatives venues and tokenized-gold feeds whose errors are, at best, weakly correlated with the protocol's own activity.</w:t>
      </w:r>
    </w:p>
    <w:p>
      <w:pPr>
        <w:spacing w:after="120" w:line="312"/>
        <w:jc w:val="both"/>
      </w:pPr>
      <w:r>
        <w:rPr>
          <w:rFonts w:ascii="Calibri" w:eastAsia="SimSun" w:hAnsi="Calibri"/>
          <w:b w:val="false"/>
          <w:bCs w:val="false"/>
          <w:color w:val="1A1A1A"/>
          <w:sz w:val="21"/>
          <w:szCs w:val="21"/>
        </w:rPr>
        <w:t xml:space="preserve">This chapter is the enforcement point of Invariant I9 (Section 2.6): all oracle prices must pass timestamp, confidence and deviation checks, and the canonical gold price requires an independent-source quorum. Sections 17.3 through 17.7 — validation criteria, the canonical gold price, aggregation logic, confidence mathematics and degradation modes — are pinned sections that the constitution references directly. The chapter closes with the staleness/heartbeat regime (Section 17.8), correlation detection (Section 17.9), the address and constant inventories (Sections 17.10–17.11) and the reference implementation (Listing 9, Section 17.12).</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Consumer</w:t>
            </w:r>
          </w:p>
        </w:tc>
        <w:tc>
          <w:tcPr>
            <w:tcW w:type="pct" w:w="3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Data Consumed</w:t>
            </w:r>
          </w:p>
        </w:tc>
        <w:tc>
          <w:tcPr>
            <w:tcW w:type="pct" w:w="4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Consequence of Oracle Failure</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Reference index I_t (Chapter 9)</w:t>
            </w:r>
          </w:p>
        </w:tc>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FX pairs and the canonical gold price</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An index error propagates directly into P_{MTQ,t} and every downstream price.</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and MARP (Chapters 6–11)</w:t>
            </w:r>
          </w:p>
        </w:tc>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Validated price histories for covariance, regime and execution signals</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Corrupted inputs would distort weights and justify uneconomic trades.</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valuation (Chapters 13–14)</w:t>
            </w:r>
          </w:p>
        </w:tc>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Asset prices, conservative gold price</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NAV, RR_t and haircuts misstate solvency.</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and redemption (Chapter 19)</w:t>
            </w:r>
          </w:p>
        </w:tc>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Guarded reference price</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Mispriced mints and redemptions transfer value between users and the reserve.</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states (Chapter 21)</w:t>
            </w:r>
          </w:p>
        </w:tc>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health, confidence scores, warnings</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Degradation must drive WATCH/ALERT escalation, not silent operation.</w:t>
            </w:r>
          </w:p>
        </w:tc>
      </w:tr>
    </w:tbl>
    <w:p>
      <w:pPr>
        <w:spacing w:after="120"/>
      </w:pPr>
    </w:p>
    <w:p>
      <w:pPr>
        <w:pStyle w:val="Heading2"/>
        <w:keepNext/>
        <w:spacing w:after="160" w:before="360" w:line="340" w:lineRule="atLeast"/>
      </w:pPr>
      <w:bookmarkStart w:id="100186" w:name="_Toc100186"/>
      <w:r>
        <w:rPr>
          <w:rFonts w:ascii="Calibri" w:eastAsia="Microsoft YaHei" w:hAnsi="Calibri"/>
          <w:b/>
          <w:bCs/>
          <w:color w:val="1A1A1A"/>
          <w:sz w:val="28"/>
          <w:szCs w:val="28"/>
        </w:rPr>
        <w:t xml:space="preserve">17.2 The Three-Source Consensus Model</w:t>
      </w:r>
      <w:bookmarkEnd w:id="100186"/>
    </w:p>
    <w:p>
      <w:pPr>
        <w:spacing w:after="120" w:line="312"/>
        <w:jc w:val="both"/>
      </w:pPr>
      <w:r>
        <w:rPr>
          <w:rFonts w:ascii="Calibri" w:eastAsia="SimSun" w:hAnsi="Calibri"/>
          <w:b w:val="false"/>
          <w:bCs w:val="false"/>
          <w:color w:val="1A1A1A"/>
          <w:sz w:val="21"/>
          <w:szCs w:val="21"/>
        </w:rPr>
        <w:t xml:space="preserve">For every price feed, the protocol queries three independent oracle providers [BP §9.2]. The v1.2 deployment standard — retained in v2.0 as the reference configuration — is the Chainlink / Pyth / Chronicle triad:</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Provider</w:t>
            </w:r>
          </w:p>
        </w:tc>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Type</w:t>
            </w:r>
          </w:p>
        </w:tc>
        <w:tc>
          <w:tcPr>
            <w:tcW w:type="pct" w:w="3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Update Mechanism</w:t>
            </w:r>
          </w:p>
        </w:tc>
        <w:tc>
          <w:tcPr>
            <w:tcW w:type="pct" w:w="4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Key Strength</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Push-based</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Aggregator contract, updated on deviation or heartbeat</w:t>
            </w:r>
          </w:p>
        </w:tc>
        <w:tc>
          <w:tcPr>
            <w:tcW w:type="pct" w:w="4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Industry standard; proven reliability; wide asset coverage.</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Pyth Network</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Pull-based</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On-demand price updates with confidence intervals</w:t>
            </w:r>
          </w:p>
        </w:tc>
        <w:tc>
          <w:tcPr>
            <w:tcW w:type="pct" w:w="4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High frequency; sub-second updates; confidence scores.</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Chronicle Protocol</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Verifiable</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Signed price statements from independent reporters</w:t>
            </w:r>
          </w:p>
        </w:tc>
        <w:tc>
          <w:tcPr>
            <w:tcW w:type="pct" w:w="4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Oracle-agnostic; verifiable via Schnorr signatures; MCD compatible.</w:t>
            </w:r>
          </w:p>
        </w:tc>
      </w:tr>
    </w:tbl>
    <w:p>
      <w:pPr>
        <w:spacing w:after="120"/>
      </w:pPr>
    </w:p>
    <w:p>
      <w:pPr>
        <w:spacing w:after="120" w:line="312"/>
        <w:jc w:val="both"/>
      </w:pPr>
      <w:r>
        <w:rPr>
          <w:rFonts w:ascii="Calibri" w:eastAsia="SimSun" w:hAnsi="Calibri"/>
          <w:b w:val="false"/>
          <w:bCs w:val="false"/>
          <w:color w:val="1A1A1A"/>
          <w:sz w:val="21"/>
          <w:szCs w:val="21"/>
        </w:rPr>
        <w:t xml:space="preserve">The three providers are deliberately heterogeneous in delivery model. Chainlink pushes updates through aggregator contracts, Pyth serves on-demand pull updates carrying confidence intervals, and Chronicle publishes signed statements from independent reporters that anyone can verify. Heterogeneity is the point: push, pull and signed-statement architectures fail in different ways, so a compromise or outage in one family rarely propagates to the others. Provider substitution (for example, a Redstone-style verifiable-data source in place of Chronicle) is permitted by governance without changing the model, provided the source-family independence test of Section 17.3.4 still passes.</w:t>
      </w:r>
    </w:p>
    <w:p>
      <w:pPr>
        <w:spacing w:after="120" w:line="312"/>
        <w:jc w:val="both"/>
      </w:pPr>
      <w:r>
        <w:rPr>
          <w:rFonts w:ascii="Calibri" w:eastAsia="SimSun" w:hAnsi="Calibri"/>
          <w:b w:val="false"/>
          <w:bCs w:val="false"/>
          <w:color w:val="1A1A1A"/>
          <w:sz w:val="21"/>
          <w:szCs w:val="21"/>
        </w:rPr>
        <w:t xml:space="preserve">The consensus rule for combining the available feeds is [BP §9.2]:</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all three are available: use the </w:t>
      </w:r>
      <w:r>
        <w:rPr>
          <w:rFonts w:ascii="Calibri" w:eastAsia="SimSun" w:hAnsi="Calibri"/>
          <w:b/>
          <w:bCs/>
          <w:color w:val="1A1A1A"/>
          <w:sz w:val="21"/>
          <w:szCs w:val="21"/>
        </w:rPr>
        <w:t xml:space="preserve">median</w:t>
      </w:r>
      <w:r>
        <w:rPr>
          <w:rFonts w:ascii="Calibri" w:eastAsia="SimSun" w:hAnsi="Calibri"/>
          <w:b w:val="false"/>
          <w:bCs w:val="false"/>
          <w:color w:val="1A1A1A"/>
          <w:sz w:val="21"/>
          <w:szCs w:val="21"/>
        </w:rPr>
        <w:t xml:space="preserve"> price.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only two are available: use the </w:t>
      </w:r>
      <w:r>
        <w:rPr>
          <w:rFonts w:ascii="Calibri" w:eastAsia="SimSun" w:hAnsi="Calibri"/>
          <w:b/>
          <w:bCs/>
          <w:color w:val="1A1A1A"/>
          <w:sz w:val="21"/>
          <w:szCs w:val="21"/>
        </w:rPr>
        <w:t xml:space="preserve">average</w:t>
      </w:r>
      <w:r>
        <w:rPr>
          <w:rFonts w:ascii="Calibri" w:eastAsia="SimSun" w:hAnsi="Calibri"/>
          <w:b w:val="false"/>
          <w:bCs w:val="false"/>
          <w:color w:val="1A1A1A"/>
          <w:sz w:val="21"/>
          <w:szCs w:val="21"/>
        </w:rPr>
        <w:t xml:space="preserve"> of the two, with a sanity check.</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fewer than two are available: </w:t>
      </w:r>
      <w:r>
        <w:rPr>
          <w:rFonts w:ascii="Calibri" w:eastAsia="SimSun" w:hAnsi="Calibri"/>
          <w:b/>
          <w:bCs/>
          <w:color w:val="1A1A1A"/>
          <w:sz w:val="21"/>
          <w:szCs w:val="21"/>
        </w:rPr>
        <w:t xml:space="preserve">pause minting and rebalancing</w:t>
      </w:r>
      <w:r>
        <w:rPr>
          <w:rFonts w:ascii="Calibri" w:eastAsia="SimSun" w:hAnsi="Calibri"/>
          <w:b w:val="false"/>
          <w:bCs w:val="false"/>
          <w:color w:val="1A1A1A"/>
          <w:sz w:val="21"/>
          <w:szCs w:val="21"/>
        </w:rPr>
        <w:t xml:space="preserve"> until feeds are restored.</w:t>
      </w:r>
    </w:p>
    <w:p>
      <w:pPr>
        <w:spacing w:after="120" w:line="312"/>
        <w:jc w:val="both"/>
      </w:pPr>
      <w:r>
        <w:rPr>
          <w:rFonts w:ascii="Calibri" w:eastAsia="SimSun" w:hAnsi="Calibri"/>
          <w:b w:val="false"/>
          <w:bCs w:val="false"/>
          <w:color w:val="1A1A1A"/>
          <w:sz w:val="21"/>
          <w:szCs w:val="21"/>
        </w:rPr>
        <w:t xml:space="preserve">Why median over average with three sources: the median is robust to a single outlier (for example, one oracle manipulated), whereas an average can be skewed by an extreme value even when two sources agree. The median sacrifices a little statistical efficiency — it ignores some information the average uses — in exchange for a bounded worst case: one fully compromised feed can move the median by at most the gap between the two honest feeds. That asymmetry is exactly the trade a monetary protocol should make.</w:t>
      </w:r>
    </w:p>
    <w:p>
      <w:pPr>
        <w:spacing w:after="120" w:line="312"/>
        <w:jc w:val="both"/>
      </w:pPr>
      <w:r>
        <w:rPr>
          <w:rFonts w:ascii="Calibri" w:eastAsia="SimSun" w:hAnsi="Calibri"/>
          <w:b w:val="false"/>
          <w:bCs w:val="false"/>
          <w:color w:val="1A1A1A"/>
          <w:sz w:val="21"/>
          <w:szCs w:val="21"/>
        </w:rPr>
        <w:t xml:space="preserve">This rule defines the oracle quorum, the term used throughout this document for the minimum number of valid, independent feeds required before any price may be published or consumed:</w:t>
      </w:r>
    </w:p>
    <w:p>
      <w:pPr>
        <w:spacing w:after="120" w:before="120" w:line="312"/>
        <w:jc w:val="center"/>
      </w:pPr>
      <w:r>
        <w:rPr>
          <w:rFonts w:ascii="Cambria" w:eastAsia="SimSun" w:hAnsi="Cambria"/>
          <w:i/>
          <w:iCs/>
          <w:color w:val="1A1A1A"/>
          <w:sz w:val="22"/>
          <w:szCs w:val="22"/>
        </w:rPr>
        <w:t xml:space="preserve">N</w:t>
      </w:r>
      <w:r>
        <w:rPr>
          <w:rFonts w:ascii="Cambria" w:eastAsia="SimSun" w:hAnsi="Cambria"/>
          <w:i/>
          <w:iCs/>
          <w:color w:val="1A1A1A"/>
          <w:sz w:val="22"/>
          <w:szCs w:val="22"/>
          <w:vertAlign w:val="subscript"/>
        </w:rPr>
        <w:t xml:space="preserve">valid</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2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and</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source families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2</w:t>
      </w:r>
    </w:p>
    <w:p>
      <w:pPr>
        <w:spacing w:after="120" w:line="312"/>
        <w:jc w:val="both"/>
      </w:pPr>
      <w:r>
        <w:rPr>
          <w:rFonts w:ascii="Calibri" w:eastAsia="SimSun" w:hAnsi="Calibri"/>
          <w:b w:val="false"/>
          <w:bCs w:val="false"/>
          <w:color w:val="1A1A1A"/>
          <w:sz w:val="21"/>
          <w:szCs w:val="21"/>
        </w:rPr>
        <w:t xml:space="preserve">The quorum threshold — at least two feeds, drawn from at least two different source families — is a constitutional constant (Section 17.10) changeable only by the 7/7 Constitutional Multi-Sig with the 90-day timelock. The quorum is deliberately expressed independently of the number of configured sources: if a future methodology version configures five providers, the quorum rule is re-derived by governance and re-published, never silently recomputed.</w:t>
      </w:r>
    </w:p>
    <w:p>
      <w:pPr>
        <w:pStyle w:val="Heading2"/>
        <w:keepNext/>
        <w:spacing w:after="160" w:before="360" w:line="340" w:lineRule="atLeast"/>
      </w:pPr>
      <w:bookmarkStart w:id="100187" w:name="_Toc100187"/>
      <w:r>
        <w:rPr>
          <w:rFonts w:ascii="Calibri" w:eastAsia="Microsoft YaHei" w:hAnsi="Calibri"/>
          <w:b/>
          <w:bCs/>
          <w:color w:val="1A1A1A"/>
          <w:sz w:val="28"/>
          <w:szCs w:val="28"/>
        </w:rPr>
        <w:t xml:space="preserve">17.3 Validation Criteria</w:t>
      </w:r>
      <w:bookmarkEnd w:id="100187"/>
    </w:p>
    <w:p>
      <w:pPr>
        <w:spacing w:after="120" w:line="312"/>
        <w:jc w:val="both"/>
      </w:pPr>
      <w:r>
        <w:rPr>
          <w:rFonts w:ascii="Calibri" w:eastAsia="SimSun" w:hAnsi="Calibri"/>
          <w:b w:val="false"/>
          <w:bCs w:val="false"/>
          <w:color w:val="1A1A1A"/>
          <w:sz w:val="21"/>
          <w:szCs w:val="21"/>
        </w:rPr>
        <w:t xml:space="preserve">Each price point must pass four independent checks before it is considered valid [BP §9.3]. The four checks — timestamp freshness (17.3.1), confidence interval (17.3.2), deviation circuit breaker (17.3.3) and source independence (17.3.4) — are jointly the timestamp, confidence and deviation checks of Invariant I9 (Section 2.6). A feed that fails any applicable check is discarded for the round; it is not averaged in at reduced weight, because reduced weight is reserved for the correlation regime of Section 17.9. The four checks are independent in the sense that each catches a distinct failure mode: stale data, uncertain data, manipulated data and correlated data.</w:t>
      </w:r>
    </w:p>
    <w:p>
      <w:pPr>
        <w:pStyle w:val="Heading3"/>
        <w:keepNext/>
        <w:spacing w:after="120" w:before="300" w:line="312"/>
      </w:pPr>
      <w:bookmarkStart w:id="100188" w:name="_Toc100188"/>
      <w:r>
        <w:rPr>
          <w:rFonts w:ascii="Calibri" w:eastAsia="Microsoft YaHei" w:hAnsi="Calibri"/>
          <w:b/>
          <w:bCs/>
          <w:color w:val="333333"/>
          <w:sz w:val="24"/>
          <w:szCs w:val="24"/>
        </w:rPr>
        <w:t xml:space="preserve">17.3.1 Timestamp Freshness</w:t>
      </w:r>
      <w:bookmarkEnd w:id="100188"/>
    </w:p>
    <w:p>
      <w:pPr>
        <w:spacing w:after="120" w:line="312"/>
        <w:jc w:val="both"/>
      </w:pPr>
      <w:r>
        <w:rPr>
          <w:rFonts w:ascii="Calibri" w:eastAsia="SimSun" w:hAnsi="Calibri"/>
          <w:b w:val="false"/>
          <w:bCs w:val="false"/>
          <w:color w:val="1A1A1A"/>
          <w:sz w:val="21"/>
          <w:szCs w:val="21"/>
        </w:rPr>
        <w:t xml:space="preserve">The price must be updated within a predefined staleness threshold [BP §9.3.1]. Staleness is measured against the provider's own update timestamp, not the time of the on-chain read, so that a contract cannot launder an old price into apparent freshness by querying it late:</w:t>
      </w:r>
    </w:p>
    <w:p>
      <w:pPr>
        <w:spacing w:after="120" w:before="120" w:line="312"/>
        <w:jc w:val="center"/>
      </w:pPr>
      <w:r>
        <w:rPr>
          <w:rFonts w:ascii="Cambria" w:eastAsia="SimSun" w:hAnsi="Cambria"/>
          <w:i/>
          <w:iCs/>
          <w:color w:val="1A1A1A"/>
          <w:sz w:val="22"/>
          <w:szCs w:val="22"/>
        </w:rPr>
        <w:t xml:space="preserve">t</w:t>
      </w:r>
      <w:r>
        <w:rPr>
          <w:rFonts w:ascii="Cambria" w:eastAsia="SimSun" w:hAnsi="Cambria"/>
          <w:i/>
          <w:iCs/>
          <w:color w:val="1A1A1A"/>
          <w:sz w:val="22"/>
          <w:szCs w:val="22"/>
          <w:vertAlign w:val="subscript"/>
        </w:rPr>
        <w:t xml:space="preserve">now</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stale</w:t>
      </w:r>
      <w:r>
        <w:rPr>
          <w:rFonts w:ascii="Cambria" w:eastAsia="SimSun" w:hAnsi="Cambria"/>
          <w:i/>
          <w:iCs/>
          <w:color w:val="1A1A1A"/>
          <w:sz w:val="22"/>
          <w:szCs w:val="22"/>
        </w:rPr>
        <w:t xml:space="preserve">(feed)</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5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Feed Type</w:t>
            </w:r>
          </w:p>
        </w:tc>
        <w:tc>
          <w:tcPr>
            <w:tcW w:type="pct" w:w="2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Maximum Age</w:t>
            </w:r>
          </w:p>
        </w:tc>
        <w:tc>
          <w:tcPr>
            <w:tcW w:type="pct" w:w="2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 if Stale</w:t>
            </w:r>
          </w:p>
        </w:tc>
      </w:tr>
      <w:tr>
        <w:trPr>
          <w:cantSplit/>
        </w:trPr>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Major FX (EUR/USD, GBP/USD)</w:t>
            </w:r>
          </w:p>
        </w:tc>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 seconds</w:t>
            </w:r>
          </w:p>
        </w:tc>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 feed</w:t>
            </w:r>
          </w:p>
        </w:tc>
      </w:tr>
      <w:tr>
        <w:trPr>
          <w:cantSplit/>
        </w:trPr>
        <w:tc>
          <w:tcPr>
            <w:tcW w:type="pct" w:w="5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Minor FX (JPY/USD, CNY/USD)</w:t>
            </w:r>
          </w:p>
        </w:tc>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120 seconds</w:t>
            </w:r>
          </w:p>
        </w:tc>
        <w:tc>
          <w:tcPr>
            <w:tcW w:type="pct" w:w="2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 feed</w:t>
            </w:r>
          </w:p>
        </w:tc>
      </w:tr>
      <w:tr>
        <w:trPr>
          <w:cantSplit/>
        </w:trPr>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(PAXG/XAU)</w:t>
            </w:r>
          </w:p>
        </w:tc>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 seconds</w:t>
            </w:r>
          </w:p>
        </w:tc>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 feed</w:t>
            </w:r>
          </w:p>
        </w:tc>
      </w:tr>
      <w:tr>
        <w:trPr>
          <w:cantSplit/>
        </w:trPr>
        <w:tc>
          <w:tcPr>
            <w:tcW w:type="pct" w:w="5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VIX, DXY</w:t>
            </w:r>
          </w:p>
        </w:tc>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120 seconds</w:t>
            </w:r>
          </w:p>
        </w:tc>
        <w:tc>
          <w:tcPr>
            <w:tcW w:type="pct" w:w="2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 feed</w:t>
            </w:r>
          </w:p>
        </w:tc>
      </w:tr>
    </w:tbl>
    <w:p>
      <w:pPr>
        <w:spacing w:after="120"/>
      </w:pPr>
    </w:p>
    <w:p>
      <w:pPr>
        <w:spacing w:after="120" w:line="312"/>
        <w:jc w:val="both"/>
      </w:pPr>
      <w:r>
        <w:rPr>
          <w:rFonts w:ascii="Calibri" w:eastAsia="SimSun" w:hAnsi="Calibri"/>
          <w:b w:val="false"/>
          <w:bCs w:val="false"/>
          <w:color w:val="1A1A1A"/>
          <w:sz w:val="21"/>
          <w:szCs w:val="21"/>
        </w:rPr>
        <w:t xml:space="preserve">The bounds differ by feed class because the underlying markets update at different cadences: deep major-FX pairs and gold reprice continuously, while minor pairs and index-like signals move on slightly coarser schedules. The 60-second bound for gold matches the major-FX class because the canonical gold price must never be older than the currencies it is aggregated with in the index (Chapter 9). Both bounds are constitutional constants (Section 17.10); the implementation is the require-style guard carried in Listing 9.</w:t>
      </w:r>
    </w:p>
    <w:p>
      <w:pPr>
        <w:pStyle w:val="Heading3"/>
        <w:keepNext/>
        <w:spacing w:after="120" w:before="300" w:line="312"/>
      </w:pPr>
      <w:bookmarkStart w:id="100189" w:name="_Toc100189"/>
      <w:r>
        <w:rPr>
          <w:rFonts w:ascii="Calibri" w:eastAsia="Microsoft YaHei" w:hAnsi="Calibri"/>
          <w:b/>
          <w:bCs/>
          <w:color w:val="333333"/>
          <w:sz w:val="24"/>
          <w:szCs w:val="24"/>
        </w:rPr>
        <w:t xml:space="preserve">17.3.2 Confidence Interval (Pyth-Specific)</w:t>
      </w:r>
      <w:bookmarkEnd w:id="100189"/>
    </w:p>
    <w:p>
      <w:pPr>
        <w:spacing w:after="120" w:line="312"/>
        <w:jc w:val="both"/>
      </w:pPr>
      <w:r>
        <w:rPr>
          <w:rFonts w:ascii="Calibri" w:eastAsia="SimSun" w:hAnsi="Calibri"/>
          <w:b w:val="false"/>
          <w:bCs w:val="false"/>
          <w:color w:val="1A1A1A"/>
          <w:sz w:val="21"/>
          <w:szCs w:val="21"/>
        </w:rPr>
        <w:t xml:space="preserve">Pyth provides a confidence interval around each price. The contract discards Pyth prices where the interval is too wide, because a wide interval indicates low liquidity or high volatility in the underlying aggregation — the price is formally present but materially uncertain [BP §9.3.2]:</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4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w:t>
            </w:r>
          </w:p>
        </w:tc>
        <w:tc>
          <w:tcPr>
            <w:tcW w:type="pct" w:w="5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Max Confidence Width (as % of price)</w:t>
            </w:r>
          </w:p>
        </w:tc>
      </w:tr>
      <w:tr>
        <w:trPr>
          <w:cantSplit/>
        </w:trPr>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Major FX (EUR/USD)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w:t>
            </w:r>
          </w:p>
        </w:tc>
      </w:tr>
      <w:tr>
        <w:trPr>
          <w:cantSplit/>
        </w:trPr>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Minor FX (JPY/USD, CNY/USD)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r>
      <w:tr>
        <w:trPr>
          <w:cantSplit/>
        </w:trPr>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(PAXG)</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r>
      <w:tr>
        <w:trPr>
          <w:cantSplit/>
        </w:trPr>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VIX, DXY</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w:t>
            </w:r>
          </w:p>
        </w:tc>
      </w:tr>
    </w:tbl>
    <w:p>
      <w:pPr>
        <w:spacing w:after="120"/>
      </w:pPr>
    </w:p>
    <w:p>
      <w:pPr>
        <w:spacing w:after="120" w:line="312"/>
        <w:jc w:val="both"/>
      </w:pPr>
      <w:r>
        <w:rPr>
          <w:rFonts w:ascii="Calibri" w:eastAsia="SimSun" w:hAnsi="Calibri"/>
          <w:b w:val="false"/>
          <w:bCs w:val="false"/>
          <w:color w:val="1A1A1A"/>
          <w:sz w:val="21"/>
          <w:szCs w:val="21"/>
        </w:rPr>
        <w:t xml:space="preserve">Providers that do not publish a confidence interval are not exempt from uncertainty; they simply express it differently. Chainlink feeds carry deviation thresholds and heartbeats that bound how stale or how moved a price can be before the aggregator itself updates, and Chronicle's signed statements carry the reporter's timestamp, which feeds the freshness check of 17.3.1. The Pyth check is retained as an explicit, quantitative gate because the interval is the most direct on-chain expression of price uncertainty available. The width caps are Risk-Council parameters (4/7) with the initial values above.</w:t>
      </w:r>
    </w:p>
    <w:p>
      <w:pPr>
        <w:pStyle w:val="Heading3"/>
        <w:keepNext/>
        <w:spacing w:after="120" w:before="300" w:line="312"/>
      </w:pPr>
      <w:bookmarkStart w:id="100190" w:name="_Toc100190"/>
      <w:r>
        <w:rPr>
          <w:rFonts w:ascii="Calibri" w:eastAsia="Microsoft YaHei" w:hAnsi="Calibri"/>
          <w:b/>
          <w:bCs/>
          <w:color w:val="333333"/>
          <w:sz w:val="24"/>
          <w:szCs w:val="24"/>
        </w:rPr>
        <w:t xml:space="preserve">17.3.3 Deviation Circuit Breaker</w:t>
      </w:r>
      <w:bookmarkEnd w:id="100190"/>
    </w:p>
    <w:p>
      <w:pPr>
        <w:spacing w:after="120" w:line="312"/>
        <w:jc w:val="both"/>
      </w:pPr>
      <w:r>
        <w:rPr>
          <w:rFonts w:ascii="Calibri" w:eastAsia="SimSun" w:hAnsi="Calibri"/>
          <w:b w:val="false"/>
          <w:bCs w:val="false"/>
          <w:color w:val="1A1A1A"/>
          <w:sz w:val="21"/>
          <w:szCs w:val="21"/>
        </w:rPr>
        <w:t xml:space="preserve">If any feed deviates by more than 2.5% from the median of the available feeds, it is discarded as anomalous [BP §9.3.3]:</w:t>
      </w:r>
    </w:p>
    <w:p>
      <w:pPr>
        <w:spacing w:after="120" w:before="120" w:line="312"/>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P̃|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0.025</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w:t>
      </w:r>
    </w:p>
    <w:p>
      <w:pPr>
        <w:spacing w:after="120" w:line="312"/>
        <w:jc w:val="both"/>
      </w:pPr>
      <w:r>
        <w:rPr>
          <w:rFonts w:ascii="Calibri" w:eastAsia="SimSun" w:hAnsi="Calibri"/>
          <w:b w:val="false"/>
          <w:bCs w:val="false"/>
          <w:color w:val="1A1A1A"/>
          <w:sz w:val="21"/>
          <w:szCs w:val="21"/>
        </w:rPr>
        <w:t xml:space="preserve">Worked example from the v1.2 blueprint: Feed 1 = 1.00, Feed 2 = 1.02, Feed 3 = 1.25. The median of the available feeds is 1.01, so the maximum tolerated deviation is 0.0253; Feed 3 deviates by 0.24 and is discarded, and the protocol proceeds on Feeds 1 and 2. The breaker runs after per-feed validation, so a price must be fresh, confident and non-anomalous simultaneously to count. The 2.5% threshold is a Risk-Council parameter (4/7): wide enough that ordinary FX and gold noise never fires it, narrow enough that a manipulation attempt large enough to matter cannot survive it.</w:t>
      </w:r>
    </w:p>
    <w:p>
      <w:pPr>
        <w:pStyle w:val="Heading3"/>
        <w:keepNext/>
        <w:spacing w:after="120" w:before="300" w:line="312"/>
      </w:pPr>
      <w:bookmarkStart w:id="100191" w:name="_Toc100191"/>
      <w:r>
        <w:rPr>
          <w:rFonts w:ascii="Calibri" w:eastAsia="Microsoft YaHei" w:hAnsi="Calibri"/>
          <w:b/>
          <w:bCs/>
          <w:color w:val="333333"/>
          <w:sz w:val="24"/>
          <w:szCs w:val="24"/>
        </w:rPr>
        <w:t xml:space="preserve">17.3.4 Source Independence Check</w:t>
      </w:r>
      <w:bookmarkEnd w:id="100191"/>
    </w:p>
    <w:p>
      <w:pPr>
        <w:spacing w:after="120" w:line="312"/>
        <w:jc w:val="both"/>
      </w:pPr>
      <w:r>
        <w:rPr>
          <w:rFonts w:ascii="Calibri" w:eastAsia="SimSun" w:hAnsi="Calibri"/>
          <w:b w:val="false"/>
          <w:bCs w:val="false"/>
          <w:color w:val="1A1A1A"/>
          <w:sz w:val="21"/>
          <w:szCs w:val="21"/>
        </w:rPr>
        <w:t xml:space="preserve">To prevent correlated failure — for example, Chainlink and Pyth both sourcing from the same underlying liquidity pool — the protocol verifies that at least two feeds come from different source families [BP §9.3.4]. If all feeds are derived from the same primary source, the protocol flags SOURCE_CORRELATION_WARNING and uses a weighted average based on historical reliability. The family registry, which maps each configured provider to a source family, is maintained by governance so that a new provider cannot silently join a family that is already over-represented.</w:t>
      </w:r>
    </w:p>
    <w:p>
      <w:pPr>
        <w:spacing w:after="120" w:line="312"/>
        <w:jc w:val="both"/>
      </w:pPr>
      <w:r>
        <w:rPr>
          <w:rFonts w:ascii="Calibri" w:eastAsia="SimSun" w:hAnsi="Calibri"/>
          <w:b w:val="false"/>
          <w:bCs w:val="false"/>
          <w:color w:val="1A1A1A"/>
          <w:sz w:val="21"/>
          <w:szCs w:val="21"/>
        </w:rPr>
        <w:t xml:space="preserve">For the canonical gold price the independence requirement is stricter, because gold sources cluster more than FX sources. The quorum of Section 17.4 requires at least two distinct source classes — LBMA-basis benchmarks, derivatives venues, tokenized-gold markets — among the valid feeds. A quorum drawn only from tokenized-gold pools fails the independence test even if three separate feeds agree, because all three measure the same market microstructure and can fail together.</w:t>
      </w:r>
    </w:p>
    <w:p>
      <w:pPr>
        <w:pStyle w:val="Heading2"/>
        <w:keepNext/>
        <w:spacing w:after="160" w:before="360" w:line="340" w:lineRule="atLeast"/>
      </w:pPr>
      <w:bookmarkStart w:id="100192" w:name="_Toc100192"/>
      <w:r>
        <w:rPr>
          <w:rFonts w:ascii="Calibri" w:eastAsia="Microsoft YaHei" w:hAnsi="Calibri"/>
          <w:b/>
          <w:bCs/>
          <w:color w:val="1A1A1A"/>
          <w:sz w:val="28"/>
          <w:szCs w:val="28"/>
        </w:rPr>
        <w:t xml:space="preserve">17.4 The Gold Price Reference Unit and Canonical Gold Price</w:t>
      </w:r>
      <w:bookmarkEnd w:id="100192"/>
    </w:p>
    <w:p>
      <w:pPr>
        <w:spacing w:after="120" w:line="312"/>
        <w:jc w:val="both"/>
      </w:pPr>
      <w:r>
        <w:rPr>
          <w:rFonts w:ascii="Calibri" w:eastAsia="SimSun" w:hAnsi="Calibri"/>
          <w:b w:val="false"/>
          <w:bCs w:val="false"/>
          <w:color w:val="1A1A1A"/>
          <w:sz w:val="21"/>
          <w:szCs w:val="21"/>
        </w:rPr>
        <w:t xml:space="preserve">The gold component of the reference basket is defined on the gold price reference unit: the USD price of one reference unit of gold — an investment-grade, deliverable troy-ounce-equivalent quantity struck on the LBMA spot basis [MS §54, BP §9.8]. The reference unit is a price concept, not a token: no specific token's market price defines the unit, and gold exposure in the reference basket is denominated in the reference unit rather than in PAXG, XAUT or any future MTQ-native instrument. This is the decoupling specified in Section 4.8 — SGTX-G is not inherited — and it is what allows the canonical gold price to be source-independent.</w:t>
      </w:r>
    </w:p>
    <w:p>
      <w:pPr>
        <w:spacing w:after="120" w:line="312"/>
        <w:jc w:val="both"/>
      </w:pPr>
      <w:r>
        <w:rPr>
          <w:rFonts w:ascii="Calibri" w:eastAsia="SimSun" w:hAnsi="Calibri"/>
          <w:b w:val="false"/>
          <w:bCs w:val="false"/>
          <w:color w:val="1A1A1A"/>
          <w:sz w:val="21"/>
          <w:szCs w:val="21"/>
        </w:rPr>
        <w:t xml:space="preserve">The canonical gold price is constructed by robust aggregation over independent sources P_1, P_2, ..., P_n [MS §54]:</w:t>
      </w:r>
    </w:p>
    <w:p>
      <w:pPr>
        <w:spacing w:after="120" w:before="120" w:line="312"/>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vertAlign w:val="superscript"/>
        </w:rPr>
        <w:t xml:space="preserve">raw</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Median</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1</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n</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or a robust weighted median, with weights reflecting per-source reliability. Both forms are admissible under a methodology version; the plain median is the default because it requires no reliability weights to be trusted, and the weighted median is the perturbation alternative (Section 23.6). The raw aggregate then passes through the canonical filter before it may be consumed:</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vertAlign w:val="superscript"/>
        </w:rPr>
        <w:t xml:space="preserve">canonical</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Filter</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vertAlign w:val="superscript"/>
        </w:rPr>
        <w:t xml:space="preserve">raw</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Staleness</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Liquidity</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Outlier</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Filter applies, in order: the staleness criteria of Section 17.3.1 (stale sources are dropped before aggregation), the liquidity-quality screen, the outlier deviation breaker of Section 17.3.3, and finally the confidence gate of Section 17.6 — a filtered price whose confidence falls below C_min is not published as canonical at all. The three independent source classes feeding the aggregation are: (i) LBMA-basis spot benchmarks and their distributor feeds (the reference class); (ii) derivatives venues — COMEX-style futures rolled to spot and OTC benchmarks; and (iii) tokenized-gold market prices (PAXG/XAUT spot). The independent-source quorum requires at least two distinct classes among the valid feeds, per Section 17.3.4.</w:t>
      </w:r>
    </w:p>
    <w:p>
      <w:pPr>
        <w:spacing w:after="120" w:line="312"/>
        <w:jc w:val="both"/>
      </w:pPr>
      <w:r>
        <w:rPr>
          <w:rFonts w:ascii="Calibri" w:eastAsia="SimSun" w:hAnsi="Calibri"/>
          <w:b w:val="false"/>
          <w:bCs w:val="false"/>
          <w:color w:val="1A1A1A"/>
          <w:sz w:val="21"/>
          <w:szCs w:val="21"/>
        </w:rPr>
        <w:t xml:space="preserve">Gold also receives special handling because tokenized gold trades continuously while issuer redemption does not [BP §9.8]. PAXG may trade 24/7 on secondary markets, but direct issuer redemption is only available during London gold market hours. The protocol therefore distinguishes the reference gold price (LBMA spot basis, used for index valuation — Chapter 9) from the executable gold price (tokenized-gold market price, used for rebalancing execution — Chapter 11). For reserve valuation the protocol uses the more conservative of the two:</w:t>
      </w:r>
    </w:p>
    <w:p>
      <w:pPr>
        <w:spacing w:after="120" w:before="120" w:line="312"/>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min</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reference,t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executable,t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conservative minimum prices the reserve at what it could actually realize at the valuation instant, not at the benchmark it would prefer to believe; Chapters 13–14 apply their haircuts on top of this floor, and MARP execution trades against the executable price (Chapter 11). The min rule is deliberately asymmetric — it can only reduce NAV, never inflate it — so it is safe to apply in exactly the states (feed degradation, market stress) where the two price classes are most likely to diverge. The canonical gold price then feeds the gold fixing of the index (Chapter 9) and stands in the same relation to the genesis base fixing BASE_GOLD_USD (Section 2.7) that the FX base fixings stand to their pairs.</w:t>
      </w:r>
    </w:p>
    <w:p>
      <w:pPr>
        <w:pStyle w:val="Heading2"/>
        <w:keepNext/>
        <w:spacing w:after="160" w:before="360" w:line="340" w:lineRule="atLeast"/>
      </w:pPr>
      <w:bookmarkStart w:id="100193" w:name="_Toc100193"/>
      <w:r>
        <w:rPr>
          <w:rFonts w:ascii="Calibri" w:eastAsia="Microsoft YaHei" w:hAnsi="Calibri"/>
          <w:b/>
          <w:bCs/>
          <w:color w:val="1A1A1A"/>
          <w:sz w:val="28"/>
          <w:szCs w:val="28"/>
        </w:rPr>
        <w:t xml:space="preserve">17.5 Price Aggregation Logic</w:t>
      </w:r>
      <w:bookmarkEnd w:id="100193"/>
    </w:p>
    <w:p>
      <w:pPr>
        <w:spacing w:after="120" w:line="312"/>
        <w:jc w:val="both"/>
      </w:pPr>
      <w:r>
        <w:rPr>
          <w:rFonts w:ascii="Calibri" w:eastAsia="SimSun" w:hAnsi="Calibri"/>
          <w:b w:val="false"/>
          <w:bCs w:val="false"/>
          <w:color w:val="1A1A1A"/>
          <w:sz w:val="21"/>
          <w:szCs w:val="21"/>
        </w:rPr>
        <w:t xml:space="preserve">The aggregation pipeline of Listing 9 implements three functions — getPrice(), validatePrice() and getMedian() — specified in BP §9.4 and described here in prose [BP §9.4]. The getPrice() path runs in six steps:</w:t>
      </w:r>
    </w:p>
    <w:p>
      <w:pPr>
        <w:pStyle w:val="ListParagraph"/>
        <w:numPr>
          <w:ilvl w:val="0"/>
          <w:numId w:val="15"/>
        </w:numPr>
        <w:spacing w:after="60" w:line="312"/>
        <w:jc w:val="left"/>
      </w:pPr>
      <w:r>
        <w:rPr>
          <w:rFonts w:ascii="Calibri" w:eastAsia="SimSun" w:hAnsi="Calibri"/>
          <w:b w:val="false"/>
          <w:bCs w:val="false"/>
          <w:color w:val="1A1A1A"/>
          <w:sz w:val="21"/>
          <w:szCs w:val="21"/>
        </w:rPr>
        <w:t xml:space="preserve">Fetch: query all three providers for the feed identifier (Chainlink, Pyth, Chronicle).</w:t>
      </w:r>
    </w:p>
    <w:p>
      <w:pPr>
        <w:pStyle w:val="ListParagraph"/>
        <w:numPr>
          <w:ilvl w:val="0"/>
          <w:numId w:val="15"/>
        </w:numPr>
        <w:spacing w:after="60" w:line="312"/>
        <w:jc w:val="left"/>
      </w:pPr>
      <w:r>
        <w:rPr>
          <w:rFonts w:ascii="Calibri" w:eastAsia="SimSun" w:hAnsi="Calibri"/>
          <w:b w:val="false"/>
          <w:bCs w:val="false"/>
          <w:color w:val="1A1A1A"/>
          <w:sz w:val="21"/>
          <w:szCs w:val="21"/>
        </w:rPr>
        <w:t xml:space="preserve">Validate: run validatePrice() (or validatePricePyth()) on each feed — see below.</w:t>
      </w:r>
    </w:p>
    <w:p>
      <w:pPr>
        <w:pStyle w:val="ListParagraph"/>
        <w:numPr>
          <w:ilvl w:val="0"/>
          <w:numId w:val="15"/>
        </w:numPr>
        <w:spacing w:after="60" w:line="312"/>
        <w:jc w:val="left"/>
      </w:pPr>
      <w:r>
        <w:rPr>
          <w:rFonts w:ascii="Calibri" w:eastAsia="SimSun" w:hAnsi="Calibri"/>
          <w:b w:val="false"/>
          <w:bCs w:val="false"/>
          <w:color w:val="1A1A1A"/>
          <w:sz w:val="21"/>
          <w:szCs w:val="21"/>
        </w:rPr>
        <w:t xml:space="preserve">Quorum: require at least two valid feeds (constitutional, Invariant I9).</w:t>
      </w:r>
    </w:p>
    <w:p>
      <w:pPr>
        <w:pStyle w:val="ListParagraph"/>
        <w:numPr>
          <w:ilvl w:val="0"/>
          <w:numId w:val="15"/>
        </w:numPr>
        <w:spacing w:after="60" w:line="312"/>
        <w:jc w:val="left"/>
      </w:pPr>
      <w:r>
        <w:rPr>
          <w:rFonts w:ascii="Calibri" w:eastAsia="SimSun" w:hAnsi="Calibri"/>
          <w:b w:val="false"/>
          <w:bCs w:val="false"/>
          <w:color w:val="1A1A1A"/>
          <w:sz w:val="21"/>
          <w:szCs w:val="21"/>
        </w:rPr>
        <w:t xml:space="preserve">Deviation breaker: compute the median of the valid prices and discard any feed more than 2.5% away from it.</w:t>
      </w:r>
    </w:p>
    <w:p>
      <w:pPr>
        <w:pStyle w:val="ListParagraph"/>
        <w:numPr>
          <w:ilvl w:val="0"/>
          <w:numId w:val="15"/>
        </w:numPr>
        <w:spacing w:after="60" w:line="312"/>
        <w:jc w:val="left"/>
      </w:pPr>
      <w:r>
        <w:rPr>
          <w:rFonts w:ascii="Calibri" w:eastAsia="SimSun" w:hAnsi="Calibri"/>
          <w:b w:val="false"/>
          <w:bCs w:val="false"/>
          <w:color w:val="1A1A1A"/>
          <w:sz w:val="21"/>
          <w:szCs w:val="21"/>
        </w:rPr>
        <w:t xml:space="preserve">Cache: store the last-known-good price, append the aggregate to price history and emit PriceUpdated.</w:t>
      </w:r>
    </w:p>
    <w:p>
      <w:pPr>
        <w:pStyle w:val="ListParagraph"/>
        <w:numPr>
          <w:ilvl w:val="0"/>
          <w:numId w:val="15"/>
        </w:numPr>
        <w:spacing w:after="60" w:line="312"/>
        <w:jc w:val="left"/>
      </w:pPr>
      <w:r>
        <w:rPr>
          <w:rFonts w:ascii="Calibri" w:eastAsia="SimSun" w:hAnsi="Calibri"/>
          <w:b w:val="false"/>
          <w:bCs w:val="false"/>
          <w:color w:val="1A1A1A"/>
          <w:sz w:val="21"/>
          <w:szCs w:val="21"/>
        </w:rPr>
        <w:t xml:space="preserve">Aggregate: return the average of the validated, non-outlier prices.</w:t>
      </w:r>
    </w:p>
    <w:p>
      <w:pPr>
        <w:spacing w:after="120" w:line="312"/>
        <w:jc w:val="both"/>
      </w:pPr>
      <w:r>
        <w:rPr>
          <w:rFonts w:ascii="Calibri" w:eastAsia="SimSun" w:hAnsi="Calibri"/>
          <w:b w:val="false"/>
          <w:bCs w:val="false"/>
          <w:color w:val="1A1A1A"/>
          <w:sz w:val="21"/>
          <w:szCs w:val="21"/>
        </w:rPr>
        <w:t xml:space="preserve">A feed is valid when it satisfies the three per-feed conditions of validatePrice() — positivity, freshness and plausible range [BP §9.4.2]:</w:t>
      </w:r>
    </w:p>
    <w:p>
      <w:pPr>
        <w:spacing w:after="120" w:before="120" w:line="312"/>
        <w:jc w:val="center"/>
      </w:pPr>
      <w:r>
        <w:rPr>
          <w:rFonts w:ascii="Cambria" w:eastAsia="SimSun" w:hAnsi="Cambria"/>
          <w:i/>
          <w:iCs/>
          <w:color w:val="1A1A1A"/>
          <w:sz w:val="22"/>
          <w:szCs w:val="22"/>
        </w:rPr>
        <w:t xml:space="preserve">valid</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&gt; 0)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wedge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(t</w:t>
      </w:r>
      <w:r>
        <w:rPr>
          <w:rFonts w:ascii="Cambria" w:eastAsia="SimSun" w:hAnsi="Cambria"/>
          <w:i/>
          <w:iCs/>
          <w:color w:val="1A1A1A"/>
          <w:sz w:val="22"/>
          <w:szCs w:val="22"/>
          <w:vertAlign w:val="subscript"/>
        </w:rPr>
        <w:t xml:space="preserve">now</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stale,i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wedge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min,i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max,i</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plausible range [P_min, P_max] is a coarse sanity band set far wider than the deviation breaker; it exists to catch gross errors — wrong decimal scaling, a compromised feed returning garbage — before they can even participate in a median. For Pyth feeds the confidence-interval check of Section 17.3.2 is added on top. The deviation anchor is computed by getMedian():</w:t>
      </w:r>
    </w:p>
    <w:p>
      <w:pPr>
        <w:spacing w:after="120" w:before="120" w:line="312"/>
        <w:jc w:val="center"/>
      </w:pPr>
      <w:r>
        <w:rPr>
          <w:rFonts w:ascii="Cambria" w:eastAsia="SimSun" w:hAnsi="Cambria"/>
          <w:i/>
          <w:iCs/>
          <w:color w:val="1A1A1A"/>
          <w:sz w:val="22"/>
          <w:szCs w:val="22"/>
        </w:rPr>
        <w:t xml:space="preserve">P̃ = </w:t>
      </w:r>
      <w:r>
        <w:rPr>
          <w:rFonts w:ascii="Cambria" w:eastAsia="SimSun" w:hAnsi="Cambria"/>
          <w:i w:val="false"/>
          <w:iCs w:val="false"/>
          <w:color w:val="1A1A1A"/>
          <w:sz w:val="22"/>
          <w:szCs w:val="22"/>
        </w:rPr>
        <w:t xml:space="preserve">Median</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valid</w:t>
      </w:r>
      <w:r>
        <w:rPr>
          <w:rFonts w:ascii="Cambria" w:eastAsia="SimSun" w:hAnsi="Cambria"/>
          <w:i/>
          <w:iCs/>
          <w:color w:val="1A1A1A"/>
          <w:sz w:val="22"/>
          <w:szCs w:val="22"/>
          <w:vertAlign w:val="subscript"/>
        </w:rPr>
        <w:t xml:space="preserve">i</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P</w:t>
      </w:r>
      <w:r>
        <w:rPr>
          <w:rFonts w:ascii="Cambria" w:eastAsia="SimSun" w:hAnsi="Cambria"/>
          <w:i/>
          <w:iCs/>
          <w:color w:val="1A1A1A"/>
          <w:sz w:val="22"/>
          <w:szCs w:val="22"/>
          <w:vertAlign w:val="superscript"/>
        </w:rPr>
        <w:t xml:space="preserve">agg</w:t>
      </w:r>
      <w:r>
        <w:rPr>
          <w:rFonts w:ascii="Cambria" w:eastAsia="SimSun" w:hAnsi="Cambria"/>
          <w:i/>
          <w:iCs/>
          <w:color w:val="1A1A1A"/>
          <w:sz w:val="22"/>
          <w:szCs w:val="22"/>
        </w:rPr>
        <w:t xml:space="preserve"> = 1/(|S|)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 </w:t>
      </w:r>
      <w:r>
        <w:rPr>
          <w:rFonts w:ascii="Cambria" w:eastAsia="SimSun" w:hAnsi="Cambria"/>
          <w:i w:val="false"/>
          <w:iCs w:val="false"/>
          <w:color w:val="1A1A1A"/>
          <w:sz w:val="22"/>
          <w:szCs w:val="22"/>
          <w:vertAlign w:val="subscript"/>
        </w:rPr>
        <w:t xml:space="preserve">∈</w:t>
      </w:r>
      <w:r>
        <w:rPr>
          <w:rFonts w:ascii="Cambria" w:eastAsia="SimSun" w:hAnsi="Cambria"/>
          <w:i/>
          <w:iCs/>
          <w:color w:val="1A1A1A"/>
          <w:sz w:val="22"/>
          <w:szCs w:val="22"/>
          <w:vertAlign w:val="subscript"/>
        </w:rPr>
        <w:t xml:space="preserve"> S</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i</w:t>
      </w:r>
    </w:p>
    <w:p>
      <w:pPr>
        <w:spacing w:after="120" w:line="312"/>
        <w:jc w:val="both"/>
      </w:pPr>
      <w:r>
        <w:rPr>
          <w:rFonts w:ascii="Calibri" w:eastAsia="SimSun" w:hAnsi="Calibri"/>
          <w:b w:val="false"/>
          <w:bCs w:val="false"/>
          <w:color w:val="1A1A1A"/>
          <w:sz w:val="21"/>
          <w:szCs w:val="21"/>
        </w:rPr>
        <w:t xml:space="preserve">where S is the set of feeds that survived both validation and the breaker. Two conventions should be noted. First, the returned aggregate is the outlier-filtered mean, and the median is the validity anchor: the breaker measures deviations from the median even when the published number is the filtered mean, so the median governs what may count while the mean extracts the information from what does count. When all three feeds survive and cluster tightly, the two statistics coincide to within tolerance, which is why the consensus rule of Section 17.2 (median of three) and the implementation agree in the normal case. Second, getMedian() takes the upper middle element for even-length arrays — the BP convention, carried deliberately in Listing 9.</w:t>
      </w:r>
    </w:p>
    <w:p>
      <w:pPr>
        <w:spacing w:after="120" w:line="312"/>
        <w:jc w:val="both"/>
      </w:pPr>
      <w:r>
        <w:rPr>
          <w:rFonts w:ascii="Calibri" w:eastAsia="SimSun" w:hAnsi="Calibri"/>
          <w:b w:val="false"/>
          <w:bCs w:val="false"/>
          <w:color w:val="1A1A1A"/>
          <w:sz w:val="21"/>
          <w:szCs w:val="21"/>
        </w:rPr>
        <w:t xml:space="preserve">The full Solidity implementation, including the gold special handling of Section 17.4 and the confidence hook of Section 17.6, is Listing 9 in Section 17.12.</w:t>
      </w:r>
    </w:p>
    <w:p>
      <w:pPr>
        <w:pStyle w:val="Heading2"/>
        <w:keepNext/>
        <w:spacing w:after="160" w:before="360" w:line="340" w:lineRule="atLeast"/>
      </w:pPr>
      <w:bookmarkStart w:id="100194" w:name="_Toc100194"/>
      <w:r>
        <w:rPr>
          <w:rFonts w:ascii="Calibri" w:eastAsia="Microsoft YaHei" w:hAnsi="Calibri"/>
          <w:b/>
          <w:bCs/>
          <w:color w:val="1A1A1A"/>
          <w:sz w:val="28"/>
          <w:szCs w:val="28"/>
        </w:rPr>
        <w:t xml:space="preserve">17.6 Gold Oracle Confidence Mathematics</w:t>
      </w:r>
      <w:bookmarkEnd w:id="100194"/>
    </w:p>
    <w:p>
      <w:pPr>
        <w:spacing w:after="120" w:line="312"/>
        <w:jc w:val="both"/>
      </w:pPr>
      <w:r>
        <w:rPr>
          <w:rFonts w:ascii="Calibri" w:eastAsia="SimSun" w:hAnsi="Calibri"/>
          <w:b w:val="false"/>
          <w:bCs w:val="false"/>
          <w:color w:val="1A1A1A"/>
          <w:sz w:val="21"/>
          <w:szCs w:val="21"/>
        </w:rPr>
        <w:t xml:space="preserve">The v1.2 blueprint supplied the oracle architecture but not the confidence calculation; COO Review item 20 closes that gap [COO-20]. The gold oracle publishes not just a price but a confidence score — a number in [0, 1] stating how much the protocol should trust the canonical gold price at this instant. The review's key point is that a confidence function is much better than relying on a simple source count: three agreeing sources can still be stale, illiquid or mutually correlated, and a single high-quality source can be more trustworthy than two degraded ones. The count is an input; the function is the judgment.</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Confidence</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 = f(</w:t>
      </w:r>
      <w:r>
        <w:rPr>
          <w:rFonts w:ascii="Cambria" w:eastAsia="SimSun" w:hAnsi="Cambria"/>
          <w:i w:val="false"/>
          <w:iCs w:val="false"/>
          <w:color w:val="1A1A1A"/>
          <w:sz w:val="22"/>
          <w:szCs w:val="22"/>
        </w:rPr>
        <w:t xml:space="preserve">SourceAgreement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Freshness</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Liquidity</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Deviation</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SourceCoverage</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val="false"/>
          <w:iCs w:val="false"/>
          <w:color w:val="1A1A1A"/>
          <w:sz w:val="22"/>
          <w:szCs w:val="22"/>
        </w:rPr>
        <w:t xml:space="preserve">Confidence</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 &lt; C</w:t>
      </w:r>
      <w:r>
        <w:rPr>
          <w:rFonts w:ascii="Cambria" w:eastAsia="SimSun" w:hAnsi="Cambria"/>
          <w:i/>
          <w:iCs/>
          <w:color w:val="1A1A1A"/>
          <w:sz w:val="22"/>
          <w:szCs w:val="22"/>
          <w:vertAlign w:val="subscript"/>
        </w:rPr>
        <w:t xml:space="preserve">min</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OracleDegraded</w:t>
      </w:r>
    </w:p>
    <w:p>
      <w:pPr>
        <w:spacing w:after="120" w:line="312"/>
        <w:jc w:val="both"/>
      </w:pPr>
      <w:r>
        <w:rPr>
          <w:rFonts w:ascii="Calibri" w:eastAsia="SimSun" w:hAnsi="Calibri"/>
          <w:b w:val="false"/>
          <w:bCs w:val="false"/>
          <w:color w:val="1A1A1A"/>
          <w:sz w:val="21"/>
          <w:szCs w:val="21"/>
        </w:rPr>
        <w:t xml:space="preserve">Each input factor is itself a normalized quantity in [0, 1], computed from the current round state of the gold feeds:</w:t>
      </w:r>
    </w:p>
    <w:p>
      <w:pPr>
        <w:spacing w:after="120" w:line="312"/>
        <w:jc w:val="both"/>
      </w:pPr>
      <w:r>
        <w:rPr>
          <w:rFonts w:ascii="Calibri" w:eastAsia="SimSun" w:hAnsi="Calibri"/>
          <w:b/>
          <w:bCs/>
          <w:color w:val="1A1A1A"/>
          <w:sz w:val="21"/>
          <w:szCs w:val="21"/>
        </w:rPr>
        <w:t xml:space="preserve">SourceAgreement.</w:t>
      </w:r>
      <w:r>
        <w:rPr>
          <w:rFonts w:ascii="Calibri" w:eastAsia="SimSun" w:hAnsi="Calibri"/>
          <w:b w:val="false"/>
          <w:bCs w:val="false"/>
          <w:color w:val="1A1A1A"/>
          <w:sz w:val="21"/>
          <w:szCs w:val="21"/>
        </w:rPr>
        <w:t xml:space="preserve"> The dispersion of the currently valid source prices around their median. High agreement means the sources cluster tightly, so the canonical price is well identified; a wide spread means the true price is ambiguous and every downstream calculation inherits that ambiguity. Agreement is the earliest symptom of one bad or manipulated feed, appearing before any single check formally fails.</w:t>
      </w:r>
    </w:p>
    <w:p>
      <w:pPr>
        <w:spacing w:after="120" w:line="312"/>
        <w:jc w:val="both"/>
      </w:pPr>
      <w:r>
        <w:rPr>
          <w:rFonts w:ascii="Calibri" w:eastAsia="SimSun" w:hAnsi="Calibri"/>
          <w:b/>
          <w:bCs/>
          <w:color w:val="1A1A1A"/>
          <w:sz w:val="21"/>
          <w:szCs w:val="21"/>
        </w:rPr>
        <w:t xml:space="preserve">Freshness.</w:t>
      </w:r>
      <w:r>
        <w:rPr>
          <w:rFonts w:ascii="Calibri" w:eastAsia="SimSun" w:hAnsi="Calibri"/>
          <w:b w:val="false"/>
          <w:bCs w:val="false"/>
          <w:color w:val="1A1A1A"/>
          <w:sz w:val="21"/>
          <w:szCs w:val="21"/>
        </w:rPr>
        <w:t xml:space="preserve"> The age of the newest valid source updates, decayed linearly to zero at the staleness thresholds of Section 17.3.1. A price that is technically valid but drifting toward staleness deserves less trust than one just published, and Freshness encodes that gradient continuously instead of as a cliff. In Listing 9 the factor decays with the age of the last aggregation round relative to the feed's staleness threshold.</w:t>
      </w:r>
    </w:p>
    <w:p>
      <w:pPr>
        <w:spacing w:after="120" w:line="312"/>
        <w:jc w:val="both"/>
      </w:pPr>
      <w:r>
        <w:rPr>
          <w:rFonts w:ascii="Calibri" w:eastAsia="SimSun" w:hAnsi="Calibri"/>
          <w:b/>
          <w:bCs/>
          <w:color w:val="1A1A1A"/>
          <w:sz w:val="21"/>
          <w:szCs w:val="21"/>
        </w:rPr>
        <w:t xml:space="preserve">Liquidity.</w:t>
      </w:r>
      <w:r>
        <w:rPr>
          <w:rFonts w:ascii="Calibri" w:eastAsia="SimSun" w:hAnsi="Calibri"/>
          <w:b w:val="false"/>
          <w:bCs w:val="false"/>
          <w:color w:val="1A1A1A"/>
          <w:sz w:val="21"/>
          <w:szCs w:val="21"/>
        </w:rPr>
        <w:t xml:space="preserve"> The depth and quality of the underlying markets the sources measure — LBMA session state for the reference class, pool depth and spread quality for tokenized gold. A price quoted on thin markets is easier to manipulate and harder to realize, so liquidity enters the trust calculation directly rather than being treated as an execution-only concern. The input is posted by the approved keeper and is Risk-Council bounded.</w:t>
      </w:r>
    </w:p>
    <w:p>
      <w:pPr>
        <w:spacing w:after="120" w:line="312"/>
        <w:jc w:val="both"/>
      </w:pPr>
      <w:r>
        <w:rPr>
          <w:rFonts w:ascii="Calibri" w:eastAsia="SimSun" w:hAnsi="Calibri"/>
          <w:b/>
          <w:bCs/>
          <w:color w:val="1A1A1A"/>
          <w:sz w:val="21"/>
          <w:szCs w:val="21"/>
        </w:rPr>
        <w:t xml:space="preserve">Deviation.</w:t>
      </w:r>
      <w:r>
        <w:rPr>
          <w:rFonts w:ascii="Calibri" w:eastAsia="SimSun" w:hAnsi="Calibri"/>
          <w:b w:val="false"/>
          <w:bCs w:val="false"/>
          <w:color w:val="1A1A1A"/>
          <w:sz w:val="21"/>
          <w:szCs w:val="21"/>
        </w:rPr>
        <w:t xml:space="preserve"> The magnitude of the latest aggregate move relative to the recent band. A canonical price that has just jumped several percent in one update is either genuinely important news or a feed problem, and until the sources confirm each other, confidence is reduced. This factor makes the score dynamic in fast markets, not only in outages — exactly when the protocol most needs to know whether it can trust its gold price.</w:t>
      </w:r>
    </w:p>
    <w:p>
      <w:pPr>
        <w:spacing w:after="120" w:line="312"/>
        <w:jc w:val="both"/>
      </w:pPr>
      <w:r>
        <w:rPr>
          <w:rFonts w:ascii="Calibri" w:eastAsia="SimSun" w:hAnsi="Calibri"/>
          <w:b/>
          <w:bCs/>
          <w:color w:val="1A1A1A"/>
          <w:sz w:val="21"/>
          <w:szCs w:val="21"/>
        </w:rPr>
        <w:t xml:space="preserve">SourceCoverage.</w:t>
      </w:r>
      <w:r>
        <w:rPr>
          <w:rFonts w:ascii="Calibri" w:eastAsia="SimSun" w:hAnsi="Calibri"/>
          <w:b w:val="false"/>
          <w:bCs w:val="false"/>
          <w:color w:val="1A1A1A"/>
          <w:sz w:val="21"/>
          <w:szCs w:val="21"/>
        </w:rPr>
        <w:t xml:space="preserve"> The fraction of configured independent sources — and, more importantly, independent source families — currently valid. This is the old source count, demoted from a binary gate to one weighted input among five: three agreeing sources from one family contribute less than two from distinct families, because family diversity is what makes errors independent. Coverage therefore internalizes the independence check of Section 17.3.4 into the score itself.</w:t>
      </w:r>
    </w:p>
    <w:p>
      <w:pPr>
        <w:spacing w:after="120" w:line="312"/>
        <w:jc w:val="both"/>
      </w:pPr>
      <w:r>
        <w:rPr>
          <w:rFonts w:ascii="Calibri" w:eastAsia="SimSun" w:hAnsi="Calibri"/>
          <w:b w:val="false"/>
          <w:bCs w:val="false"/>
          <w:color w:val="1A1A1A"/>
          <w:sz w:val="21"/>
          <w:szCs w:val="21"/>
        </w:rPr>
        <w:t xml:space="preserve">The default functional form, pending the validation program, is the bounded geometric aggregate of the five factors:</w:t>
      </w:r>
    </w:p>
    <w:p>
      <w:pPr>
        <w:spacing w:after="120" w:before="120" w:line="312"/>
        <w:jc w:val="center"/>
      </w:pPr>
      <w:r>
        <w:rPr>
          <w:rFonts w:ascii="Cambria" w:eastAsia="SimSun" w:hAnsi="Cambria"/>
          <w:i w:val="false"/>
          <w:iCs w:val="false"/>
          <w:color w:val="1A1A1A"/>
          <w:sz w:val="22"/>
          <w:szCs w:val="22"/>
        </w:rPr>
        <w:t xml:space="preserve">Confidence</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 = A</w:t>
      </w:r>
      <w:r>
        <w:rPr>
          <w:rFonts w:ascii="Cambria" w:eastAsia="SimSun" w:hAnsi="Cambria"/>
          <w:i w:val="false"/>
          <w:iCs w:val="false"/>
          <w:color w:val="1A1A1A"/>
          <w:sz w:val="22"/>
          <w:szCs w:val="22"/>
          <w:vertAlign w:val="superscript"/>
        </w:rPr>
        <w:t xml:space="preserve">β</w:t>
      </w:r>
      <w:r>
        <w:rPr>
          <w:rFonts w:ascii="Cambria" w:eastAsia="SimSun" w:hAnsi="Cambria"/>
          <w:i/>
          <w:iCs/>
          <w:color w:val="1A1A1A"/>
          <w:sz w:val="22"/>
          <w:szCs w:val="22"/>
          <w:vertAlign w:val="subscript"/>
        </w:rPr>
        <w:t xml:space="preserve">A</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w:t>
      </w:r>
      <w:r>
        <w:rPr>
          <w:rFonts w:ascii="Cambria" w:eastAsia="SimSun" w:hAnsi="Cambria"/>
          <w:i w:val="false"/>
          <w:iCs w:val="false"/>
          <w:color w:val="1A1A1A"/>
          <w:sz w:val="22"/>
          <w:szCs w:val="22"/>
          <w:vertAlign w:val="superscript"/>
        </w:rPr>
        <w:t xml:space="preserve">β</w:t>
      </w:r>
      <w:r>
        <w:rPr>
          <w:rFonts w:ascii="Cambria" w:eastAsia="SimSun" w:hAnsi="Cambria"/>
          <w:i/>
          <w:iCs/>
          <w:color w:val="1A1A1A"/>
          <w:sz w:val="22"/>
          <w:szCs w:val="22"/>
          <w:vertAlign w:val="subscript"/>
        </w:rPr>
        <w:t xml:space="preserve">F</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w:t>
      </w:r>
      <w:r>
        <w:rPr>
          <w:rFonts w:ascii="Cambria" w:eastAsia="SimSun" w:hAnsi="Cambria"/>
          <w:i w:val="false"/>
          <w:iCs w:val="false"/>
          <w:color w:val="1A1A1A"/>
          <w:sz w:val="22"/>
          <w:szCs w:val="22"/>
          <w:vertAlign w:val="superscript"/>
        </w:rPr>
        <w:t xml:space="preserve">β</w:t>
      </w:r>
      <w:r>
        <w:rPr>
          <w:rFonts w:ascii="Cambria" w:eastAsia="SimSun" w:hAnsi="Cambria"/>
          <w:i/>
          <w:iCs/>
          <w:color w:val="1A1A1A"/>
          <w:sz w:val="22"/>
          <w:szCs w:val="22"/>
          <w:vertAlign w:val="subscript"/>
        </w:rPr>
        <w:t xml:space="preserve">L</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D</w:t>
      </w:r>
      <w:r>
        <w:rPr>
          <w:rFonts w:ascii="Cambria" w:eastAsia="SimSun" w:hAnsi="Cambria"/>
          <w:i w:val="false"/>
          <w:iCs w:val="false"/>
          <w:color w:val="1A1A1A"/>
          <w:sz w:val="22"/>
          <w:szCs w:val="22"/>
          <w:vertAlign w:val="superscript"/>
        </w:rPr>
        <w:t xml:space="preserve">β</w:t>
      </w:r>
      <w:r>
        <w:rPr>
          <w:rFonts w:ascii="Cambria" w:eastAsia="SimSun" w:hAnsi="Cambria"/>
          <w:i/>
          <w:iCs/>
          <w:color w:val="1A1A1A"/>
          <w:sz w:val="22"/>
          <w:szCs w:val="22"/>
          <w:vertAlign w:val="subscript"/>
        </w:rPr>
        <w:t xml:space="preserve">D</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C</w:t>
      </w:r>
      <w:r>
        <w:rPr>
          <w:rFonts w:ascii="Cambria" w:eastAsia="SimSun" w:hAnsi="Cambria"/>
          <w:i w:val="false"/>
          <w:iCs w:val="false"/>
          <w:color w:val="1A1A1A"/>
          <w:sz w:val="22"/>
          <w:szCs w:val="22"/>
          <w:vertAlign w:val="superscript"/>
        </w:rPr>
        <w:t xml:space="preserve">β</w:t>
      </w:r>
      <w:r>
        <w:rPr>
          <w:rFonts w:ascii="Cambria" w:eastAsia="SimSun" w:hAnsi="Cambria"/>
          <w:i/>
          <w:iCs/>
          <w:color w:val="1A1A1A"/>
          <w:sz w:val="22"/>
          <w:szCs w:val="22"/>
          <w:vertAlign w:val="subscript"/>
        </w:rPr>
        <w:t xml:space="preserve">C</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k</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β</w:t>
      </w:r>
      <w:r>
        <w:rPr>
          <w:rFonts w:ascii="Cambria" w:eastAsia="SimSun" w:hAnsi="Cambria"/>
          <w:i/>
          <w:iCs/>
          <w:color w:val="1A1A1A"/>
          <w:sz w:val="22"/>
          <w:szCs w:val="22"/>
          <w:vertAlign w:val="subscript"/>
        </w:rPr>
        <w:t xml:space="preserve">k</w:t>
      </w:r>
      <w:r>
        <w:rPr>
          <w:rFonts w:ascii="Cambria" w:eastAsia="SimSun" w:hAnsi="Cambria"/>
          <w:i/>
          <w:iCs/>
          <w:color w:val="1A1A1A"/>
          <w:sz w:val="22"/>
          <w:szCs w:val="22"/>
        </w:rPr>
        <w:t xml:space="preserve"> = 1</w:t>
      </w:r>
    </w:p>
    <w:p>
      <w:pPr>
        <w:spacing w:after="120" w:line="312"/>
        <w:jc w:val="both"/>
      </w:pPr>
      <w:r>
        <w:rPr>
          <w:rFonts w:ascii="Calibri" w:eastAsia="SimSun" w:hAnsi="Calibri"/>
          <w:b w:val="false"/>
          <w:bCs w:val="false"/>
          <w:color w:val="1A1A1A"/>
          <w:sz w:val="21"/>
          <w:szCs w:val="21"/>
        </w:rPr>
        <w:t xml:space="preserve">The geometric form is chosen because it is pessimistic: any factor that collapses to zero collapses the whole score, so three perfectly agreeing sources that are one second from staleness do not produce a publishable price. A linear weighted mean is the perturbation alternative (Section 23.6). The exponents, the factor transforms and the threshold C_min (validation-stage default 0.60) are Risk-Council parameters within constitutional envelopes, published with each methodology version. The Modification Specification states the same function with five arguments, naming the last factor Coverage rather than SourceCoverage [MS §55]; the COO-20 naming is adopted as normative here, and the two formulations are otherwise identical.</w:t>
      </w:r>
    </w:p>
    <w:p>
      <w:pPr>
        <w:spacing w:after="120" w:line="312"/>
        <w:jc w:val="both"/>
      </w:pPr>
      <w:r>
        <w:rPr>
          <w:rFonts w:ascii="Calibri" w:eastAsia="SimSun" w:hAnsi="Calibri"/>
          <w:b w:val="false"/>
          <w:bCs w:val="false"/>
          <w:color w:val="1A1A1A"/>
          <w:sz w:val="21"/>
          <w:szCs w:val="21"/>
        </w:rPr>
        <w:t xml:space="preserve">The consequence rule is constitutional (Invariant I9): if Confidence_G falls below C_min, the affected calculation enters degraded mode rather than allowing bad data to rewrite the basket [MS §55]. The score flows to the state machine of Section 17.7, into the daily state vector as OracleConfidence_t (Section 18.3), into the crisis-score inputs (Section 5.5) and into the daily publication (Section 24.3), so every consumer of the gold price can see exactly how much trust it carried.</w:t>
      </w:r>
    </w:p>
    <w:p>
      <w:pPr>
        <w:pStyle w:val="Heading2"/>
        <w:keepNext/>
        <w:spacing w:after="160" w:before="360" w:line="340" w:lineRule="atLeast"/>
      </w:pPr>
      <w:bookmarkStart w:id="100195" w:name="_Toc100195"/>
      <w:r>
        <w:rPr>
          <w:rFonts w:ascii="Calibri" w:eastAsia="Microsoft YaHei" w:hAnsi="Calibri"/>
          <w:b/>
          <w:bCs/>
          <w:color w:val="1A1A1A"/>
          <w:sz w:val="28"/>
          <w:szCs w:val="28"/>
        </w:rPr>
        <w:t xml:space="preserve">17.7 Oracle States and Degradation Modes</w:t>
      </w:r>
      <w:bookmarkEnd w:id="100195"/>
    </w:p>
    <w:p>
      <w:pPr>
        <w:spacing w:after="120" w:line="312"/>
        <w:jc w:val="both"/>
      </w:pPr>
      <w:r>
        <w:rPr>
          <w:rFonts w:ascii="Calibri" w:eastAsia="SimSun" w:hAnsi="Calibri"/>
          <w:b w:val="false"/>
          <w:bCs w:val="false"/>
          <w:color w:val="1A1A1A"/>
          <w:sz w:val="21"/>
          <w:szCs w:val="21"/>
        </w:rPr>
        <w:t xml:space="preserve">The oracle layer tracks state at two levels: per-source state, describing each provider feed, and the aggregate oracle state, describing the layer as a whole [MS §56, BP §9.7]. Each source may be in one of five states:</w:t>
      </w:r>
    </w:p>
    <w:p>
      <w:pPr>
        <w:spacing w:after="120" w:before="120" w:line="312"/>
        <w:jc w:val="center"/>
      </w:pPr>
      <w:r>
        <w:rPr>
          <w:rFonts w:ascii="Cambria" w:eastAsia="SimSun" w:hAnsi="Cambria"/>
          <w:i/>
          <w:iCs/>
          <w:color w:val="1A1A1A"/>
          <w:sz w:val="22"/>
          <w:szCs w:val="22"/>
        </w:rPr>
        <w:t xml:space="preserve">s</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VALID,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DEGRADED,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STALE,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OUTLIER,</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HALTED</w:t>
      </w:r>
      <w:r>
        <w:rPr>
          <w:rFonts w:ascii="Cambria" w:eastAsia="SimSun" w:hAnsi="Cambria"/>
          <w:i w:val="false"/>
          <w:iCs w:val="false"/>
          <w:color w:val="1A1A1A"/>
          <w:sz w:val="22"/>
          <w:szCs w:val="22"/>
        </w:rPr>
        <w:t xml:space="preser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Source State</w:t>
            </w:r>
          </w:p>
        </w:tc>
        <w:tc>
          <w:tcPr>
            <w:tcW w:type="pct" w:w="5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4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Treatment in Aggregation</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Passed all four checks of Section 17.3 in the current round.</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Included.</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DEGRADED</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Fresh enough to be usable but weak — missed heartbeat, wide confidence interval, or decaying reliability.</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Included, but drags the Freshness and SourceCoverage factors down; warning emitted.</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STALE</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Timestamp older than the staleness threshold (Section 17.3.1).</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Discarded for the round.</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OUTLIER</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 but beyond the 2.5% deviation breaker (Section 17.3.3).</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Discarded for the round.</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HALTED</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Dead — age beyond twice staleness (Section 17.8) — or explicitly halted by governance.</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Discarded; alert escalated to risk states (Chapter 21).</w:t>
            </w:r>
          </w:p>
        </w:tc>
      </w:tr>
    </w:tbl>
    <w:p>
      <w:pPr>
        <w:spacing w:after="120"/>
      </w:pPr>
    </w:p>
    <w:p>
      <w:pPr>
        <w:spacing w:after="120" w:line="312"/>
        <w:jc w:val="both"/>
      </w:pPr>
      <w:r>
        <w:rPr>
          <w:rFonts w:ascii="Calibri" w:eastAsia="SimSun" w:hAnsi="Calibri"/>
          <w:b w:val="false"/>
          <w:bCs w:val="false"/>
          <w:color w:val="1A1A1A"/>
          <w:sz w:val="21"/>
          <w:szCs w:val="21"/>
        </w:rPr>
        <w:t xml:space="preserve">The system needs a minimum independent-source quorum at all times [MS §56], and the aggregate state summarizes whether it has one:</w:t>
      </w:r>
    </w:p>
    <w:p>
      <w:pPr>
        <w:spacing w:after="120" w:before="120" w:line="312"/>
        <w:jc w:val="center"/>
      </w:pPr>
      <w:r>
        <w:rPr>
          <w:rFonts w:ascii="Cambria" w:eastAsia="SimSun" w:hAnsi="Cambria"/>
          <w:i w:val="false"/>
          <w:iCs w:val="false"/>
          <w:color w:val="1A1A1A"/>
          <w:sz w:val="22"/>
          <w:szCs w:val="22"/>
        </w:rPr>
        <w:t xml:space="preserve">OracleState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NORMAL,</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DEGRADED,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FAILED</w:t>
      </w:r>
      <w:r>
        <w:rPr>
          <w:rFonts w:ascii="Cambria" w:eastAsia="SimSun" w:hAnsi="Cambria"/>
          <w:i w:val="false"/>
          <w:iCs w:val="false"/>
          <w:color w:val="1A1A1A"/>
          <w:sz w:val="22"/>
          <w:szCs w:val="22"/>
        </w:rPr>
        <w:t xml:space="preserve">}</w:t>
      </w:r>
    </w:p>
    <w:p>
      <w:pPr>
        <w:pStyle w:val="ListParagraph"/>
        <w:numPr>
          <w:ilvl w:val="0"/>
          <w:numId w:val="2"/>
        </w:numPr>
        <w:spacing w:after="60" w:line="312"/>
        <w:jc w:val="left"/>
      </w:pPr>
      <w:r>
        <w:rPr>
          <w:rFonts w:ascii="Calibri" w:eastAsia="SimSun" w:hAnsi="Calibri"/>
          <w:b/>
          <w:bCs/>
          <w:color w:val="1A1A1A"/>
          <w:sz w:val="21"/>
          <w:szCs w:val="21"/>
        </w:rPr>
        <w:t xml:space="preserve">NORMAL</w:t>
      </w:r>
      <w:r>
        <w:rPr>
          <w:rFonts w:ascii="Calibri" w:eastAsia="SimSun" w:hAnsi="Calibri"/>
          <w:b w:val="false"/>
          <w:bCs w:val="false"/>
          <w:color w:val="1A1A1A"/>
          <w:sz w:val="21"/>
          <w:szCs w:val="21"/>
        </w:rPr>
        <w:t xml:space="preserve"> — the quorum is met, Confidence_G is at or above C_min, and no unresolved correlation warnings stand.</w:t>
      </w:r>
    </w:p>
    <w:p>
      <w:pPr>
        <w:pStyle w:val="ListParagraph"/>
        <w:numPr>
          <w:ilvl w:val="0"/>
          <w:numId w:val="2"/>
        </w:numPr>
        <w:spacing w:after="60" w:line="312"/>
        <w:jc w:val="left"/>
      </w:pPr>
      <w:r>
        <w:rPr>
          <w:rFonts w:ascii="Calibri" w:eastAsia="SimSun" w:hAnsi="Calibri"/>
          <w:b/>
          <w:bCs/>
          <w:color w:val="1A1A1A"/>
          <w:sz w:val="21"/>
          <w:szCs w:val="21"/>
        </w:rPr>
        <w:t xml:space="preserve">DEGRADED</w:t>
      </w:r>
      <w:r>
        <w:rPr>
          <w:rFonts w:ascii="Calibri" w:eastAsia="SimSun" w:hAnsi="Calibri"/>
          <w:b w:val="false"/>
          <w:bCs w:val="false"/>
          <w:color w:val="1A1A1A"/>
          <w:sz w:val="21"/>
          <w:szCs w:val="21"/>
        </w:rPr>
        <w:t xml:space="preserve"> — the quorum is met but Confidence_G &lt; C_min (or coverage has collapsed to a single source family). Affected calculations use last-known-good values and may not rewrite the basket [MS §55]; minting and rebalancing pause per the fallback rules below.</w:t>
      </w:r>
    </w:p>
    <w:p>
      <w:pPr>
        <w:pStyle w:val="ListParagraph"/>
        <w:numPr>
          <w:ilvl w:val="0"/>
          <w:numId w:val="2"/>
        </w:numPr>
        <w:spacing w:after="60" w:line="312"/>
        <w:jc w:val="left"/>
      </w:pPr>
      <w:r>
        <w:rPr>
          <w:rFonts w:ascii="Calibri" w:eastAsia="SimSun" w:hAnsi="Calibri"/>
          <w:b/>
          <w:bCs/>
          <w:color w:val="1A1A1A"/>
          <w:sz w:val="21"/>
          <w:szCs w:val="21"/>
        </w:rPr>
        <w:t xml:space="preserve">FAILED</w:t>
      </w:r>
      <w:r>
        <w:rPr>
          <w:rFonts w:ascii="Calibri" w:eastAsia="SimSun" w:hAnsi="Calibri"/>
          <w:b w:val="false"/>
          <w:bCs w:val="false"/>
          <w:color w:val="1A1A1A"/>
          <w:sz w:val="21"/>
          <w:szCs w:val="21"/>
        </w:rPr>
        <w:t xml:space="preserve"> — the quorum is lost (fewer than two valid independent feeds). All operations, including redemption, pause until feeds are restored.</w:t>
      </w:r>
    </w:p>
    <w:p>
      <w:pPr>
        <w:spacing w:after="120" w:line="312"/>
        <w:jc w:val="both"/>
      </w:pPr>
      <w:r>
        <w:rPr>
          <w:rFonts w:ascii="Calibri" w:eastAsia="SimSun" w:hAnsi="Calibri"/>
          <w:b w:val="false"/>
          <w:bCs w:val="false"/>
          <w:color w:val="1A1A1A"/>
          <w:sz w:val="21"/>
          <w:szCs w:val="21"/>
        </w:rPr>
        <w:t xml:space="preserve">The state machine is intentionally asymmetric: entering DEGRADED is automatic on any confidence breach, but leaving it requires confidence to recover above C_min on a subsequent round — the same recovery-confirmation discipline the reserve rules apply to solvency (Chapter 14). Degradation is a risk state (Chapter 21), not an error to be retried silently. The fallback behavior by scenario is carried from the v1.2 blueprint [BP §9.7]:</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3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Scenario</w:t>
            </w:r>
          </w:p>
        </w:tc>
        <w:tc>
          <w:tcPr>
            <w:tcW w:type="pct" w:w="7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One feed stale</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 it; use the other two.</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Two feeds stale</w:t>
            </w:r>
          </w:p>
        </w:tc>
        <w:tc>
          <w:tcPr>
            <w:tcW w:type="pct" w:w="7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 minting and rebalancing</w:t>
            </w:r>
            <w:r>
              <w:rPr>
                <w:rFonts w:ascii="Calibri" w:eastAsia="SimSun" w:hAnsi="Calibri"/>
                <w:b w:val="false"/>
                <w:bCs w:val="false"/>
                <w:color w:val="1A1A1A"/>
                <w:sz w:val="19"/>
                <w:szCs w:val="19"/>
              </w:rPr>
              <w:t xml:space="preserve">; use last known good price for viewing.</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 three feeds stale</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 ALL operations</w:t>
            </w:r>
            <w:r>
              <w:rPr>
                <w:rFonts w:ascii="Calibri" w:eastAsia="SimSun" w:hAnsi="Calibri"/>
                <w:b w:val="false"/>
                <w:bCs w:val="false"/>
                <w:color w:val="1A1A1A"/>
                <w:sz w:val="19"/>
                <w:szCs w:val="19"/>
              </w:rPr>
              <w:t xml:space="preserve"> (including redemption) until feeds are restored.</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One feed deviates &gt; 2.5%</w:t>
            </w:r>
          </w:p>
        </w:tc>
        <w:tc>
          <w:tcPr>
            <w:tcW w:type="pct" w:w="7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 it; use the other two.</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 feeds deviate &gt; 2.5%</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Use the </w:t>
            </w:r>
            <w:r>
              <w:rPr>
                <w:rFonts w:ascii="Calibri" w:eastAsia="SimSun" w:hAnsi="Calibri"/>
                <w:b w:val="false"/>
                <w:bCs w:val="false"/>
                <w:color w:val="1A1A1A"/>
                <w:sz w:val="19"/>
                <w:szCs w:val="19"/>
              </w:rPr>
              <w:t xml:space="preserve">geometric mean</w:t>
            </w:r>
            <w:r>
              <w:rPr>
                <w:rFonts w:ascii="Calibri" w:eastAsia="SimSun" w:hAnsi="Calibri"/>
                <w:b w:val="false"/>
                <w:bCs w:val="false"/>
                <w:color w:val="1A1A1A"/>
                <w:sz w:val="19"/>
                <w:szCs w:val="19"/>
              </w:rPr>
              <w:t xml:space="preserve"> of the three as a conservative fallback, but flag ORACLE_DISPUTE.</w:t>
            </w:r>
          </w:p>
        </w:tc>
      </w:tr>
    </w:tbl>
    <w:p>
      <w:pPr>
        <w:spacing w:after="120"/>
      </w:pPr>
    </w:p>
    <w:p>
      <w:pPr>
        <w:spacing w:after="120" w:before="120" w:line="312"/>
        <w:jc w:val="center"/>
      </w:pPr>
      <w:r>
        <w:rPr>
          <w:rFonts w:ascii="Cambria" w:eastAsia="SimSun" w:hAnsi="Cambria"/>
          <w:i/>
          <w:iCs/>
          <w:color w:val="1A1A1A"/>
          <w:sz w:val="22"/>
          <w:szCs w:val="22"/>
        </w:rPr>
        <w:t xml:space="preserve">P̄ = (P</w:t>
      </w:r>
      <w:r>
        <w:rPr>
          <w:rFonts w:ascii="Cambria" w:eastAsia="SimSun" w:hAnsi="Cambria"/>
          <w:i/>
          <w:iCs/>
          <w:color w:val="1A1A1A"/>
          <w:sz w:val="22"/>
          <w:szCs w:val="22"/>
          <w:vertAlign w:val="subscript"/>
        </w:rPr>
        <w:t xml:space="preserve">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2</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3</w:t>
      </w:r>
      <w:r>
        <w:rPr>
          <w:rFonts w:ascii="Cambria" w:eastAsia="SimSun" w:hAnsi="Cambria"/>
          <w:i/>
          <w:iCs/>
          <w:color w:val="1A1A1A"/>
          <w:sz w:val="22"/>
          <w:szCs w:val="22"/>
        </w:rPr>
        <w:t xml:space="preserve">)</w:t>
      </w:r>
      <w:r>
        <w:rPr>
          <w:rFonts w:ascii="Cambria" w:eastAsia="SimSun" w:hAnsi="Cambria"/>
          <w:i/>
          <w:iCs/>
          <w:color w:val="1A1A1A"/>
          <w:sz w:val="22"/>
          <w:szCs w:val="22"/>
          <w:vertAlign w:val="superscript"/>
        </w:rPr>
        <w:t xml:space="preserve">1/3</w:t>
      </w:r>
    </w:p>
    <w:p>
      <w:pPr>
        <w:spacing w:after="120" w:line="312"/>
        <w:jc w:val="both"/>
      </w:pPr>
      <w:r>
        <w:rPr>
          <w:rFonts w:ascii="Calibri" w:eastAsia="SimSun" w:hAnsi="Calibri"/>
          <w:b w:val="false"/>
          <w:bCs w:val="false"/>
          <w:color w:val="1A1A1A"/>
          <w:sz w:val="21"/>
          <w:szCs w:val="21"/>
        </w:rPr>
        <w:t xml:space="preserve">The geometric-mean fallback exists for the pathological case in which all feeds are live but mutually inconsistent — a dispute, not an outage. It is conservative because the geometric mean never exceeds the arithmetic mean, so the fallback cannot inflate the aggregate above what the sources jointly support; the ORACLE_DISPUTE flag forces escalation into the risk states of Chapter 21 and blocks state-changing consumption of the price. Degraded mode propagates predictably downstream: the index uses last-known-good values and flags them (Chapter 9), MARP gates hold execution (Chapter 11), reserve valuation applies conservative prices (Chapters 13–14), minting pauses while redemption remains available in DEGRADED (users can exit at the prevailing price — Chapter 19), and the daily publication reports the degraded state rather than hiding it (Section 24.3).</w:t>
      </w:r>
    </w:p>
    <w:p>
      <w:pPr>
        <w:pStyle w:val="Heading2"/>
        <w:keepNext/>
        <w:spacing w:after="160" w:before="360" w:line="340" w:lineRule="atLeast"/>
      </w:pPr>
      <w:bookmarkStart w:id="100196" w:name="_Toc100196"/>
      <w:r>
        <w:rPr>
          <w:rFonts w:ascii="Calibri" w:eastAsia="Microsoft YaHei" w:hAnsi="Calibri"/>
          <w:b/>
          <w:bCs/>
          <w:color w:val="1A1A1A"/>
          <w:sz w:val="28"/>
          <w:szCs w:val="28"/>
        </w:rPr>
        <w:t xml:space="preserve">17.8 Staleness and Heartbeat Management</w:t>
      </w:r>
      <w:bookmarkEnd w:id="100196"/>
    </w:p>
    <w:p>
      <w:pPr>
        <w:spacing w:after="120" w:line="312"/>
        <w:jc w:val="both"/>
      </w:pPr>
      <w:r>
        <w:rPr>
          <w:rFonts w:ascii="Calibri" w:eastAsia="SimSun" w:hAnsi="Calibri"/>
          <w:b w:val="false"/>
          <w:bCs w:val="false"/>
          <w:color w:val="1A1A1A"/>
          <w:sz w:val="21"/>
          <w:szCs w:val="21"/>
        </w:rPr>
        <w:t xml:space="preserve">Each feed has a staleness threshold (its maximum age, the hard validity bound of Section 17.3.1) and a heartbeat (its expected update frequency) [BP §9.6]. The two are deliberately distinct instruments: staleness is a constitutional binary gate — a feed older than its threshold is discarded — while the heartbeat is an operational expectation against which feed health is continuously monitored. A feed that keeps missing its expected cadence while remaining within staleness is DEGRADED, not yet STALE, so the state machine of Section 17.7 raises warnings before the feed actually fails: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3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Feed Type</w:t>
            </w:r>
          </w:p>
        </w:tc>
        <w:tc>
          <w:tcPr>
            <w:tcW w:type="pct" w:w="3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Staleness (max age)</w:t>
            </w:r>
          </w:p>
        </w:tc>
        <w:tc>
          <w:tcPr>
            <w:tcW w:type="pct" w:w="3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Heartbeat (expected)</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EUR/USD, GBP/USD, PAXG</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60s</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15s</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JPY/USD, CNY/USD</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120s</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30s</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VIX, DXY</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120s</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60s</w:t>
            </w:r>
          </w:p>
        </w:tc>
      </w:tr>
    </w:tbl>
    <w:p>
      <w:pPr>
        <w:spacing w:after="120"/>
      </w:pPr>
    </w:p>
    <w:p>
      <w:pPr>
        <w:spacing w:after="120" w:before="120" w:line="312"/>
        <w:jc w:val="center"/>
      </w:pPr>
      <w:r>
        <w:rPr>
          <w:rFonts w:ascii="Cambria" w:eastAsia="SimSun" w:hAnsi="Cambria"/>
          <w:i w:val="false"/>
          <w:iCs w:val="false"/>
          <w:color w:val="1A1A1A"/>
          <w:sz w:val="22"/>
          <w:szCs w:val="22"/>
        </w:rPr>
        <w:t xml:space="preserve">alive</w:t>
      </w:r>
      <w:r>
        <w:rPr>
          <w:rFonts w:ascii="Cambria" w:eastAsia="SimSun" w:hAnsi="Cambria"/>
          <w:i/>
          <w:iCs/>
          <w:color w:val="1A1A1A"/>
          <w:sz w:val="22"/>
          <w:szCs w:val="22"/>
        </w:rPr>
        <w:t xml:space="preserve">(i)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t</w:t>
      </w:r>
      <w:r>
        <w:rPr>
          <w:rFonts w:ascii="Cambria" w:eastAsia="SimSun" w:hAnsi="Cambria"/>
          <w:i/>
          <w:iCs/>
          <w:color w:val="1A1A1A"/>
          <w:sz w:val="22"/>
          <w:szCs w:val="22"/>
          <w:vertAlign w:val="subscript"/>
        </w:rPr>
        <w:t xml:space="preserve">now</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2</w:t>
      </w:r>
      <w:r>
        <w:rPr>
          <w:rFonts w:ascii="Cambria" w:eastAsia="SimSun" w:hAnsi="Cambria"/>
          <w:i w:val="false"/>
          <w:iCs w:val="false"/>
          <w:color w:val="1A1A1A"/>
          <w:sz w:val="22"/>
          <w:szCs w:val="22"/>
        </w:rPr>
        <w:t xml:space="preserve"> θ</w:t>
      </w:r>
      <w:r>
        <w:rPr>
          <w:rFonts w:ascii="Cambria" w:eastAsia="SimSun" w:hAnsi="Cambria"/>
          <w:i/>
          <w:iCs/>
          <w:color w:val="1A1A1A"/>
          <w:sz w:val="22"/>
          <w:szCs w:val="22"/>
          <w:vertAlign w:val="subscript"/>
        </w:rPr>
        <w:t xml:space="preserve">stale,i</w:t>
      </w:r>
    </w:p>
    <w:p>
      <w:pPr>
        <w:spacing w:after="120" w:line="312"/>
        <w:jc w:val="both"/>
      </w:pPr>
      <w:r>
        <w:rPr>
          <w:rFonts w:ascii="Calibri" w:eastAsia="SimSun" w:hAnsi="Calibri"/>
          <w:b w:val="false"/>
          <w:bCs w:val="false"/>
          <w:color w:val="1A1A1A"/>
          <w:sz w:val="21"/>
          <w:szCs w:val="21"/>
        </w:rPr>
        <w:t xml:space="preserve">The liveness rule above is the isFeedAlive() convention: a feed is considered dead when its age exceeds twice the staleness threshold [BP §9.6]. The factor of two separates DEGRADED territory (between the heartbeat and staleness) from HALTED territory (beyond twice staleness), giving the operators a full degradation interval in which to intervene. Heartbeat misses also feed the Freshness factor of the confidence score (Section 17.6): a feed publishing at three times its heartbeat drags confidence down even while it is formally valid, which is precisely the behavior a trust function should have. Staleness bounds are constitutional constants (Section 17.10); heartbeats are Risk-Council operational parameters, because expected update cadences are properties of the providers, not of the monetary constitution.</w:t>
      </w:r>
    </w:p>
    <w:p>
      <w:pPr>
        <w:pStyle w:val="Heading2"/>
        <w:keepNext/>
        <w:spacing w:after="160" w:before="360" w:line="340" w:lineRule="atLeast"/>
      </w:pPr>
      <w:bookmarkStart w:id="100197" w:name="_Toc100197"/>
      <w:r>
        <w:rPr>
          <w:rFonts w:ascii="Calibri" w:eastAsia="Microsoft YaHei" w:hAnsi="Calibri"/>
          <w:b/>
          <w:bCs/>
          <w:color w:val="1A1A1A"/>
          <w:sz w:val="28"/>
          <w:szCs w:val="28"/>
        </w:rPr>
        <w:t xml:space="preserve">17.9 Cross-Source Correlation Detection</w:t>
      </w:r>
      <w:bookmarkEnd w:id="100197"/>
    </w:p>
    <w:p>
      <w:pPr>
        <w:spacing w:after="120" w:line="312"/>
        <w:jc w:val="both"/>
      </w:pPr>
      <w:r>
        <w:rPr>
          <w:rFonts w:ascii="Calibri" w:eastAsia="SimSun" w:hAnsi="Calibri"/>
          <w:b w:val="false"/>
          <w:bCs w:val="false"/>
          <w:color w:val="1A1A1A"/>
          <w:sz w:val="21"/>
          <w:szCs w:val="21"/>
        </w:rPr>
        <w:t xml:space="preserve">To detect correlated failures, the protocol tracks the historical deviation between sources [BP §9.9]. The rule: if two sources deviate by more than 1.5% from each other for 3 consecutive updates, the protocol flags SOURCE_CORRELATION_WARNING and temporarily switches to using the median of all three — even if one is an outlier — to avoid market-manipulation exploits:</w:t>
      </w:r>
    </w:p>
    <w:p>
      <w:pPr>
        <w:spacing w:after="120" w:before="120" w:line="312"/>
        <w:jc w:val="center"/>
      </w:pP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ij,t</w:t>
      </w:r>
      <w:r>
        <w:rPr>
          <w:rFonts w:ascii="Cambria" w:eastAsia="SimSun" w:hAnsi="Cambria"/>
          <w:i/>
          <w:iCs/>
          <w:color w:val="1A1A1A"/>
          <w:sz w:val="22"/>
          <w:szCs w:val="22"/>
        </w:rPr>
        <w:t xml:space="preserve"> &gt; 1.5</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for 3 consecutive updates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SOURCE\_CORRELATION\_WARNING</w:t>
      </w:r>
    </w:p>
    <w:p>
      <w:pPr>
        <w:spacing w:after="120" w:line="312"/>
        <w:jc w:val="both"/>
      </w:pPr>
      <w:r>
        <w:rPr>
          <w:rFonts w:ascii="Calibri" w:eastAsia="SimSun" w:hAnsi="Calibri"/>
          <w:b w:val="false"/>
          <w:bCs w:val="false"/>
          <w:color w:val="1A1A1A"/>
          <w:sz w:val="21"/>
          <w:szCs w:val="21"/>
        </w:rPr>
        <w:t xml:space="preserve">The logic composes with the deviation breaker of Section 17.3.3 rather than duplicating it. The breaker protects against one bad feed when the other two agree; the correlation detector fires when agreement itself breaks down persistently — the pattern produced either by two feeds drifting into a shared bad source or by an attacker moving one market that several feeds reference. Switching to the all-three median during the warning is deliberately anti-fragile: it refuses to discard any source while the sources dispute each other, so an attacker cannot shape the aggregate by getting one honest feed outlier-censored. The correlation warning counter resets to zero whenever the pair deviation falls back inside the threshold.</w:t>
      </w:r>
    </w:p>
    <w:p>
      <w:pPr>
        <w:spacing w:after="120" w:line="312"/>
        <w:jc w:val="both"/>
      </w:pPr>
      <w:r>
        <w:rPr>
          <w:rFonts w:ascii="Calibri" w:eastAsia="SimSun" w:hAnsi="Calibri"/>
          <w:b w:val="false"/>
          <w:bCs w:val="false"/>
          <w:color w:val="1A1A1A"/>
          <w:sz w:val="21"/>
          <w:szCs w:val="21"/>
        </w:rPr>
        <w:t xml:space="preserve">Warnings feed three consumers: the source-independence check of Section 17.3.4 (a warned feed pair is treated as same-family until proven otherwise), the SourceCoverage factor of the confidence score (Section 17.6), and the risk-state escalation path of Chapter 21, where persistent warnings hold MARP rebalancing paused until the correlation resolves. The 1.5% threshold and the 3-update persistence requirement are Risk-Council parameters (4/7), with the initial values above; both are published with the methodology version so that the detection rule is reproducible.</w:t>
      </w:r>
    </w:p>
    <w:p>
      <w:pPr>
        <w:pStyle w:val="Heading2"/>
        <w:keepNext/>
        <w:spacing w:after="160" w:before="360" w:line="340" w:lineRule="atLeast"/>
      </w:pPr>
      <w:bookmarkStart w:id="100198" w:name="_Toc100198"/>
      <w:r>
        <w:rPr>
          <w:rFonts w:ascii="Calibri" w:eastAsia="Microsoft YaHei" w:hAnsi="Calibri"/>
          <w:b/>
          <w:bCs/>
          <w:color w:val="1A1A1A"/>
          <w:sz w:val="28"/>
          <w:szCs w:val="28"/>
        </w:rPr>
        <w:t xml:space="preserve">17.10 Asset-Specific Oracle Addresses</w:t>
      </w:r>
      <w:bookmarkEnd w:id="100198"/>
    </w:p>
    <w:p>
      <w:pPr>
        <w:spacing w:after="120" w:line="312"/>
        <w:jc w:val="both"/>
      </w:pPr>
      <w:r>
        <w:rPr>
          <w:rFonts w:ascii="Calibri" w:eastAsia="SimSun" w:hAnsi="Calibri"/>
          <w:b w:val="false"/>
          <w:bCs w:val="false"/>
          <w:color w:val="1A1A1A"/>
          <w:sz w:val="21"/>
          <w:szCs w:val="21"/>
        </w:rPr>
        <w:t xml:space="preserve">The aggregator must be deployed with the correct oracle addresses for the target chain [BP §9.5]. The v1.2 reference deployment targeted Arbitrum Mainnet; the entries below are placeholder identifiers of the deployment form, to be replaced with the correct addresses for the chosen target chain at deployment time. Each row becomes one OracleFeed configuration record — the Chainlink aggregator address, the Pyth feed identifier, the Chronicle read address, plus the per-feed staleness threshold and plausible-range bounds (the struct is carried in Listing 9):</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3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 / Pair</w:t>
            </w:r>
          </w:p>
        </w:tc>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Chainlink Feed</w:t>
            </w:r>
          </w:p>
        </w:tc>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Pyth Feed ID</w:t>
            </w:r>
          </w:p>
        </w:tc>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Chronicle Feed</w:t>
            </w:r>
          </w:p>
        </w:tc>
      </w:tr>
      <w:tr>
        <w:trPr>
          <w:cantSplit/>
        </w:trPr>
        <w:tc>
          <w:tcPr>
            <w:tcW w:type="pct" w:w="3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EUR/USD</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0x...EURUSD</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0x...EURUSD_Pyth</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0x...EURUSD_Chronicle</w:t>
            </w:r>
          </w:p>
        </w:tc>
      </w:tr>
      <w:tr>
        <w:trPr>
          <w:cantSplit/>
        </w:trPr>
        <w:tc>
          <w:tcPr>
            <w:tcW w:type="pct" w:w="3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GBP/USD</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0x...GBPUSD</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0x...GBPUSD_Pyth</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0x...GBPUSD_Chronicle</w:t>
            </w:r>
          </w:p>
        </w:tc>
      </w:tr>
      <w:tr>
        <w:trPr>
          <w:cantSplit/>
        </w:trPr>
        <w:tc>
          <w:tcPr>
            <w:tcW w:type="pct" w:w="3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JPY/USD</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0x...JPYUSD</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0x...JPYUSD_Pyth</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0x...JPYUSD_Chronicle</w:t>
            </w:r>
          </w:p>
        </w:tc>
      </w:tr>
      <w:tr>
        <w:trPr>
          <w:cantSplit/>
        </w:trPr>
        <w:tc>
          <w:tcPr>
            <w:tcW w:type="pct" w:w="3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CNY/USD (CNH)</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0x...CNYUSD</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0x...CNYUSD_Pyth</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0x...CNYUSD_Chronicle</w:t>
            </w:r>
          </w:p>
        </w:tc>
      </w:tr>
      <w:tr>
        <w:trPr>
          <w:cantSplit/>
        </w:trPr>
        <w:tc>
          <w:tcPr>
            <w:tcW w:type="pct" w:w="3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 (Gold)</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0x...PAXG</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0x...PAXG_Pyth</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0x...PAXG_Chronicle</w:t>
            </w:r>
          </w:p>
        </w:tc>
      </w:tr>
      <w:tr>
        <w:trPr>
          <w:cantSplit/>
        </w:trPr>
        <w:tc>
          <w:tcPr>
            <w:tcW w:type="pct" w:w="3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GOLD_REF (reference unit, v2.0)</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0x...GOLDREF</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0x...GOLDREF_Pyth</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0x...GOLDREF_Chronicle</w:t>
            </w:r>
          </w:p>
        </w:tc>
      </w:tr>
      <w:tr>
        <w:trPr>
          <w:cantSplit/>
        </w:trPr>
        <w:tc>
          <w:tcPr>
            <w:tcW w:type="pct" w:w="3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VIX</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0x...VIX</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0x...VIX_Pyth</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0x...VIX_Chronicle</w:t>
            </w:r>
          </w:p>
        </w:tc>
      </w:tr>
      <w:tr>
        <w:trPr>
          <w:cantSplit/>
        </w:trPr>
        <w:tc>
          <w:tcPr>
            <w:tcW w:type="pct" w:w="3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DXY</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0x...DXY</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0x...DXY_Pyth</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0x...DXY_Chronicle</w:t>
            </w:r>
          </w:p>
        </w:tc>
      </w:tr>
    </w:tbl>
    <w:p>
      <w:pPr>
        <w:spacing w:after="120"/>
      </w:pPr>
    </w:p>
    <w:p>
      <w:pPr>
        <w:spacing w:after="120" w:line="312"/>
        <w:jc w:val="both"/>
      </w:pPr>
      <w:r>
        <w:rPr>
          <w:rFonts w:ascii="Calibri" w:eastAsia="SimSun" w:hAnsi="Calibri"/>
          <w:b w:val="false"/>
          <w:bCs w:val="false"/>
          <w:color w:val="1A1A1A"/>
          <w:sz w:val="21"/>
          <w:szCs w:val="21"/>
        </w:rPr>
        <w:t xml:space="preserve">The two gold rows implement the reference/executable split of Section 17.4: GOLD_REF is the LBMA-basis reference-unit feed consumed by the index and the canonical price, while PAXG is the tokenized-gold market feed consumed by execution and the conservative minimum rule. Feed identifiers are keyed by bytes32 (for example EUR/USD, PAXG, GOLD_REF) so that the same aggregation path serves every row. Address configuration changes are Risk-Council actions (setFeed in Listing 9) and are emitted as events; a misconfigured or rotated address is therefore an auditable governance fact, never a silent deployment detail.</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Testnet deployments use simulated oracles and simulated assets; the full testnet address sets, chain identifiers and simulation parameters live in Appendix D and must never be mixed with mainnet configuration. The address table above is mainnet-form and carries no secrets — only identifiers to be resolved at deployment.</w:t>
      </w:r>
    </w:p>
    <w:p>
      <w:pPr>
        <w:spacing w:after="120" w:line="312"/>
        <w:jc w:val="both"/>
      </w:pPr>
      <w:r>
        <w:rPr>
          <w:rFonts w:ascii="Calibri" w:eastAsia="SimSun" w:hAnsi="Calibri"/>
          <w:b w:val="false"/>
          <w:bCs w:val="false"/>
          <w:color w:val="1A1A1A"/>
          <w:sz w:val="21"/>
          <w:szCs w:val="21"/>
        </w:rPr>
        <w:t xml:space="preserve">The developer-facing constants of the oracle layer, with their governance classes, are [BP §9.11]:</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3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4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Governance</w:t>
            </w:r>
          </w:p>
        </w:tc>
      </w:tr>
      <w:tr>
        <w:trPr>
          <w:cantSplit/>
        </w:trPr>
        <w:tc>
          <w:tcPr>
            <w:tcW w:type="pct" w:w="3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Staleness (Major FX)</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60s</w:t>
            </w:r>
          </w:p>
        </w:tc>
        <w:tc>
          <w:tcPr>
            <w:tcW w:type="pct" w:w="4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3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Staleness (Minor FX)</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120s</w:t>
            </w:r>
          </w:p>
        </w:tc>
        <w:tc>
          <w:tcPr>
            <w:tcW w:type="pct" w:w="4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3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Pyth Max Confidence (Major FX)</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w:t>
            </w:r>
          </w:p>
        </w:tc>
        <w:tc>
          <w:tcPr>
            <w:tcW w:type="pct" w:w="4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Pyth Max Confidence (Minor FX)</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4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Deviation Circuit Breaker</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w:t>
            </w:r>
          </w:p>
        </w:tc>
        <w:tc>
          <w:tcPr>
            <w:tcW w:type="pct" w:w="4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Correlation Warning Threshold</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1.5%</w:t>
            </w:r>
          </w:p>
        </w:tc>
        <w:tc>
          <w:tcPr>
            <w:tcW w:type="pct" w:w="4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 Feeds Required (quorum)</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4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3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Confidence threshold C_min (v2.0, §17.6)</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0.60 (validation-stage)</w:t>
            </w:r>
          </w:p>
        </w:tc>
        <w:tc>
          <w:tcPr>
            <w:tcW w:type="pct" w:w="4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 constitutional envelope</w:t>
            </w:r>
          </w:p>
        </w:tc>
      </w:tr>
    </w:tbl>
    <w:p>
      <w:pPr>
        <w:spacing w:after="120"/>
      </w:pPr>
    </w:p>
    <w:p>
      <w:pPr>
        <w:pStyle w:val="Heading2"/>
        <w:keepNext/>
        <w:spacing w:after="160" w:before="360" w:line="340" w:lineRule="atLeast"/>
      </w:pPr>
      <w:bookmarkStart w:id="100199" w:name="_Toc100199"/>
      <w:r>
        <w:rPr>
          <w:rFonts w:ascii="Calibri" w:eastAsia="Microsoft YaHei" w:hAnsi="Calibri"/>
          <w:b/>
          <w:bCs/>
          <w:color w:val="1A1A1A"/>
          <w:sz w:val="28"/>
          <w:szCs w:val="28"/>
        </w:rPr>
        <w:t xml:space="preserve">17.11 Contract State and Events</w:t>
      </w:r>
      <w:bookmarkEnd w:id="100199"/>
    </w:p>
    <w:p>
      <w:pPr>
        <w:spacing w:after="120" w:line="312"/>
        <w:jc w:val="both"/>
      </w:pPr>
      <w:r>
        <w:rPr>
          <w:rFonts w:ascii="Calibri" w:eastAsia="SimSun" w:hAnsi="Calibri"/>
          <w:b w:val="false"/>
          <w:bCs w:val="false"/>
          <w:color w:val="1A1A1A"/>
          <w:sz w:val="21"/>
          <w:szCs w:val="21"/>
        </w:rPr>
        <w:t xml:space="preserve">The aggregator's persistent state is deliberately small — configuration, history, warning counters and fallback caches — so that the trust-critical surface stays auditable [BP §9.10.1]:</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Variable</w:t>
            </w:r>
          </w:p>
        </w:tc>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Type</w:t>
            </w:r>
          </w:p>
        </w:tc>
        <w:tc>
          <w:tcPr>
            <w:tcW w:type="pct" w:w="5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Purpose</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oracleFeeds</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mapping(bytes32 =&gt; OracleFeed)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Per-feed configuration: provider addresses, staleness, confidence cap, plausible range.</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priceHistory</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mapping(bytes32 =&gt; uint256[])</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Historical aggregates per feed (feeds the Deviation factor and the research series).</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correlationWarnings</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mapping(bytes32 =&gt; uint256)</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Consecutive cross-source deviation counters (Section 17.9).</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lastKnownPrice</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mapping(bytes32 =&gt; uint256)</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Last known good price for degraded-mode fallback (Section 17.7).</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lastKnownTimestamp</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mapping(bytes32 =&gt; uint256)</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Timestamp of the last known good price.</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oracleHealthy</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bool</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Global health flag maintained by the health sweep.</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lastOracleCheck</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Timestamp of the last health sweep.</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goldConfidence, oracleState (v2.0)</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 enum</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confidence score and aggregate state machine (Sections 17.6–17.7).</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sourceStates, rounds (v2.0)</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mappings</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Per-source states and last-round records — the confidence inputs (Section 17.6).</w:t>
            </w:r>
          </w:p>
        </w:tc>
      </w:tr>
    </w:tbl>
    <w:p>
      <w:pPr>
        <w:spacing w:after="120"/>
      </w:pPr>
    </w:p>
    <w:p>
      <w:pPr>
        <w:spacing w:after="120" w:line="312"/>
        <w:jc w:val="both"/>
      </w:pPr>
      <w:r>
        <w:rPr>
          <w:rFonts w:ascii="Calibri" w:eastAsia="SimSun" w:hAnsi="Calibri"/>
          <w:b w:val="false"/>
          <w:bCs w:val="false"/>
          <w:color w:val="1A1A1A"/>
          <w:sz w:val="21"/>
          <w:szCs w:val="21"/>
        </w:rPr>
        <w:t xml:space="preserve">The event set is equally small and machine-parseable [BP §9.10.2], because the transparency layer of Chapter 24 consumes these events directly for dashboards and alerting:</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Event</w:t>
            </w:r>
          </w:p>
        </w:tc>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Fields</w:t>
            </w:r>
          </w:p>
        </w:tc>
        <w:tc>
          <w:tcPr>
            <w:tcW w:type="pct" w:w="5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Emitted When</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PriceUpdated</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feedId, price, timestamp, sourceCount</w:t>
            </w:r>
          </w:p>
        </w:tc>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Every published aggregate (Section 17.5).</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OracleWarning</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feedId, reason, timestamp</w:t>
            </w:r>
          </w:p>
        </w:tc>
        <w:tc>
          <w:tcPr>
            <w:tcW w:type="pct" w:w="5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Staleness, deviation breaker, quorum loss or halted feed.</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OracleRestored</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feedId, reason, timestamp</w:t>
            </w:r>
          </w:p>
        </w:tc>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feed or the confidence path returns to NORMAL.</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CorrelationWarning</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feedId, deviation, timestamp</w:t>
            </w:r>
          </w:p>
        </w:tc>
        <w:tc>
          <w:tcPr>
            <w:tcW w:type="pct" w:w="5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Pair deviation &gt; 1.5% for 3 consecutive updates (Section 17.9).</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OracleDegraded (v2.0)</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confidence, timestamp</w:t>
            </w:r>
          </w:p>
        </w:tc>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Confidence_G falls below C_min (Section 17.6).</w:t>
            </w:r>
          </w:p>
        </w:tc>
      </w:tr>
    </w:tbl>
    <w:p>
      <w:pPr>
        <w:spacing w:after="120"/>
      </w:pPr>
    </w:p>
    <w:p>
      <w:pPr>
        <w:spacing w:after="120" w:line="312"/>
        <w:jc w:val="both"/>
      </w:pPr>
      <w:r>
        <w:rPr>
          <w:rFonts w:ascii="Calibri" w:eastAsia="SimSun" w:hAnsi="Calibri"/>
          <w:b w:val="false"/>
          <w:bCs w:val="false"/>
          <w:color w:val="1A1A1A"/>
          <w:sz w:val="21"/>
          <w:szCs w:val="21"/>
        </w:rPr>
        <w:t xml:space="preserve">The daily publication (Section 24.3) cites this event stream as the evidence base for OracleConfidence_t, so the on-chain log and the published state vector can never disagree without the discrepancy itself being visible. Storage growth is bounded by design: priceHistory is pruned on a governed retention window, and all mappings key on the fixed feed identifier set rather than on user addresses, so state grows linearly in time and feed count only.</w:t>
      </w:r>
    </w:p>
    <w:p>
      <w:pPr>
        <w:pStyle w:val="Heading2"/>
        <w:keepNext/>
        <w:spacing w:after="160" w:before="360" w:line="340" w:lineRule="atLeast"/>
      </w:pPr>
      <w:bookmarkStart w:id="100200" w:name="_Toc100200"/>
      <w:r>
        <w:rPr>
          <w:rFonts w:ascii="Calibri" w:eastAsia="Microsoft YaHei" w:hAnsi="Calibri"/>
          <w:b/>
          <w:bCs/>
          <w:color w:val="1A1A1A"/>
          <w:sz w:val="28"/>
          <w:szCs w:val="28"/>
        </w:rPr>
        <w:t xml:space="preserve">17.12 Smart Contract Implementation — Oracle Aggregator</w:t>
      </w:r>
      <w:bookmarkEnd w:id="100200"/>
    </w:p>
    <w:p>
      <w:pPr>
        <w:spacing w:after="120" w:line="312"/>
        <w:jc w:val="both"/>
      </w:pPr>
      <w:r>
        <w:rPr>
          <w:rFonts w:ascii="Calibri" w:eastAsia="SimSun" w:hAnsi="Calibri"/>
          <w:b w:val="false"/>
          <w:bCs w:val="false"/>
          <w:color w:val="1A1A1A"/>
          <w:sz w:val="21"/>
          <w:szCs w:val="21"/>
        </w:rPr>
        <w:t xml:space="preserve">Listing 9 carries the BP §9.4 aggregation contract substantially complete and cleaned: getPrice() (fetch, validate, quorum, deviation breaker, aggregate), validatePrice() and validatePricePyth() (per-feed checks), and getMedian() with its sort helper. The v2.0 additions are the gold special handling of Section 17.4 (getGoldPrice with the conservative minimum and the GOLD_REF/PAXG split), the Confidence_G computation hook of Section 17.6 (updateGoldConfidence with the five factors and the C_min state transition), the per-source and aggregate state machines of Section 17.7, and the correlation detection of Section 17.9. The provider adapters are interface shims: production adapters handle provider-specific decimal scaling, revert paths and multi-round reads per the provider SDKs, without altering the aggregation logic.</w:t>
      </w:r>
    </w:p>
    <w:p>
      <w:pPr>
        <w:keepNext/>
        <w:spacing w:after="80" w:before="280" w:line="312"/>
      </w:pPr>
      <w:r>
        <w:rPr>
          <w:rFonts w:ascii="Calibri" w:eastAsia="SimSun" w:hAnsi="Calibri"/>
          <w:b/>
          <w:bCs/>
          <w:color w:val="8A6D1F"/>
          <w:sz w:val="19"/>
          <w:szCs w:val="19"/>
        </w:rPr>
        <w:t xml:space="preserve">Listing 9 — Multi-source oracle aggregator: getPrice, validatePrice, getMedian (adapts BP §9.4)</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@title OracleAggregator — three-source consensus with confidence scoring.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@dev Adapts BP §9.4 (getPrice / validatePrice / getMedian); adds the 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reference-unit handling of §17.4, the confidence mathematics of §17.6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and the state machine of §17.7. Provider adapters are interface shims.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OracleAggregator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FEED CONFIGURATION (§17.10)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OracleFeed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chainlink;           // Chainlink aggregator (push)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pyth;               // Pyth feed id (pull)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chronicle;           // Chronicle read address (verifiable)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stalenessThreshold;  // seconds (§17.3.1)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maxConfidenceWidth;  // Pyth interval cap, 1e18 scale (§17.3.2)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minPrice;            // plausible-range floor, 1e18 (§17.5)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maxPrice;            // plausible-range ceiling,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OracleFeed) public oracleFeeds;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STATE (§17.11)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uint256[]) public priceHistory;        // aggregate history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uint256)   public correlationWarnings; // §17.9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uint256)   public lastKnownPrice;      // §17.7 fallback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uint256)   public lastKnownTimestamp;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public oracleHealthy =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lastOracleCheck;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Per-source states (MS §56 / §17.7)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enum SourceState { VALID, DEGRADED, STALE, OUTLIER, HALTED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uint8[3]) public sourceStates;  // 0=CL 1=Pyth 2=Chronicle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Last aggregation round (confidence inputs, §17.6)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RoundState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uint256[3] prices;      // raw provider prices of the round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uint256[3] timestamps;  // provider timestamps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median;      // median of the valid 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uint8      validCount;  // feeds surviving validation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updatedAt;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RoundState) internal rounds;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Aggregate oracle state (§17.7)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enum OracleState { NORMAL, DEGRADED, FAILED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OracleState public oracleState = OracleState.NORMAL;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CONSTANTS, ROLES, EVENTS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Constitutional (Invariant I9): quorum and breakers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MIN_FEEDS_REQUIRED = 2;           // oracle quorum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DEVIATION_BPS = 250;              // 2.5% breaker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CORRELATION_THRESHOLD = 0.015e18; // 1.5% (§17.9)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Gold confidence (§17.6 / COO-20) — validation-stage defaults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C_MIN = 0.60e18;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goldConfidence;             //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liquidityInput = 0.90e18;   // keeper-posted (§17.6)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 (feed configuration)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keeper;        // approved poster of liquidity inputs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pythContract;  // Pyth oracle contract (pull model)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PriceUpdated(bytes32 indexed feedId, uint256 price, uint256 timestamp, uint8 sourceCount);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OracleWarning(bytes32 indexed feedId, string reason,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OracleRestored(bytes32 indexed feedId, string reason,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CorrelationWarning(bytes32 indexed feedId, uint256 deviation,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OracleDegraded(uint256 confidence, uint256 timestamp);   // §17.6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constructor(address _riskCouncil, address _keeper, address _pyth)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riskCouncil = _riskCouncil;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keeper = _keeper;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pythContract = _pyth;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Register or replace a feed configuration (§17.10).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setFeed(bytes32 feedId, OracleFeed calldata f)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riskCouncil, "Only Risk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oracleFeeds[feedId] = 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Keeper-posted liquidity quality input for Confidence_G (§17.6).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setLiquidityInput(uint256 v)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keeper, "Only keeper");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require(v &lt;= 1e18, "Out of range");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liquidityInput = 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PRICE AGGREGATION (adapts BP §9.4.1)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aggregated price for a feed, with all validation checks.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feedId Asset identifier, e.g. "EUR/USD", "PAXG", "GOLD_REF".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 price The validated, aggregated price (18 decimals).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getPrice(bytes32 feedId) public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Fetch prices from all three sources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priceCL, uint256 tsCL) = getChainlinkPrice(feedId);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pricePyth, uint256 tsPyth, uint256 confPyth) = getPythPrice(feedId);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priceChronicle, uint256 tsChronicle) = getChroniclePrice(feedId);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Validate each feed (§17.5) and record per-source states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validCL = validatePrice(priceCL, tsCL, 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validPyth = validatePricePyth(pricePyth, tsPyth, confPyth, 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validChronicle = validatePrice(priceChronicle, tsChronicle, 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sourceStates[feedId][0] = validCL ? uint8(SourceState.VALID) : uint8(SourceState.STALE);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sourceStates[feedId][1] = validPyth ? uint8(SourceState.VALID) : uint8(SourceState.STALE);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sourceStates[feedId][2] = validChronicle ? uint8(SourceState.VALID) : uint8(SourceState.STALE);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Count valid feeds — constitutional quorum (Invariant I9)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validCount = (validCL ? 1 : 0) + (validPyth ? 1 : 0) + (validChronicle ? 1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require(validCount &gt;= MIN_FEEDS_REQUIRED, "Oracle: Insufficient valid feeds");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Deviation circuit breaker (§17.3.3): discard &gt; 2.5% from median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uint256[3] memory candidates = [priceCL, pricePyth, priceChronicle];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bool[3] memory valids = [validCL, validPyth, validChronicle];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median = getMedianOf(candidates, valids);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maxDeviation = (median * DEVIATION_BPS) / 10000;   // 2.5%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sum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count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3;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(!valids[i]) continue;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diff = candidates[i] &gt; median ? candidates[i] - median : median - candidates[i];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(diff &lt;= maxDeviation)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sum += candidates[i];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sourceStates[feedId][i] = uint8(SourceState.OUTLIER);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OracleWarning(feedId, "Deviation breaker",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require(count &gt;= MIN_FEEDS_REQUIRED, "Oracle: Too many outliers");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Cache the round (confidence inputs, §17.6) and last-known-good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RoundState memory 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r.prices = candidates;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r.timestamps = [tsCL, tsPyth, tsChronicle];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r.median = median;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r.validCount = uint8(count);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r.updatedAt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rounds[feedId] = 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Publish the aggregate: filtered mean of surviving 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aggregated = sum / count;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lastKnownPrice[feedId] = aggregated;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lastKnownTimestamp[feedId]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priceHistory[feedId].push(aggregated);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PriceUpdated(feedId, aggregated, block.timestamp, uint8(count));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Cross-source correlation detection (§17.9)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checkCorrelation(feedId, (maxDeviation * 1e18) / median);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aggregated;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VALIDATION AND MEDIAN (adapts BP §9.4.2 / §9.4.3)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Validates a single price feed (BP §9.4.2).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validatePrice(uint256 price, uint256 timestamp, bytes32 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view returns (bool)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OracleFeed memory feed = oracleFeeds[feedId];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Price must be &gt;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(price == 0)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Timestamp must be fresh (§17.3.1)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(block.timestamp - timestamp &gt; feed.stalenessThreshold)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Price must be within plausible range (sanity check, §17.5)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(price &lt; feed.minPrice || price &gt; feed.maxPrice)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Pyth validation adds the confidence-interval check (§17.3.2).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validatePricePyth(uint256 price, uint256 timestamp, uint256 confidence, bytes32 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view returns (bool)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(!validatePrice(price, timestamp, feedId))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Confidence width (same scale as price) within the per-asset cap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(price &gt; 0 &amp;&amp; (confidence * 1e18) / price &gt; oracleFeeds[feedId].maxConfidenceWidth)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median of an array of prices (BP §9.4.3).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getMedian(uint256[] memory prices) internal pure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require(prices.length &gt; 0, "Empty array");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memory sorted = sort(prices);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sorted[sorted.length /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Median of the valid candidates (fixed-length round form).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getMedianOf(uint256[3] memory c, bool[3] memory 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pure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3; i++) if (v[i]) 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require(n &gt; 0, "No valid 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memory arr = new uint256[](n);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k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3; i++) if (v[i]) arr[k++] = c[i];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getMedian(arr);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Insertion sort; round arrays hold at most three elements.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sort(uint256[] memory arr) internal pure returns (uint256[] memory)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1; i &lt; arr.length;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key = arr[i];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j = 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while (j &gt; 0 &amp;&amp; arr[j - 1] &gt; key)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arr[j] = arr[j - 1];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j--;</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arr[j] = key;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arr;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GOLD SPECIAL HANDLING (§17.4 / BP §9.8)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Canonical gold price: conservative min of reference and executable.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GOLD_REF is the LBMA-basis reference-unit feed; PAXG is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tokenized-gold market used for execution (Chapter 11).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getGoldPrice() public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refPrice = getPrice("GOLD_REF");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execPrice = getPrice("PAXG");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updateGoldConfidence();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(refPrice &lt; execPrice) ? refPrice :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GOLD ORACLE CONFIDENCE (§17.6 / COO-20)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Confidence_G = f(SourceAgreement, Freshness, Liquidity, Deviation,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SourceCoverage): bounded geometric aggregate of five factors 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[0, 1e18], so a single collapsed factor collapses the score.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updateGoldConfidence()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feedId = "GOLD_REF";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agreement = computeSourceAgreement(feedId);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freshness = computeFreshness(feedId);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liquidity = liquidityInput;                 // keeper-posted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deviation = computeDeviationFactor(feedId);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coverage = computeCoverage(feedId);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goldConfidence = mul18(mul18(mul18(mul18(agreement, freshness),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liquidity), deviation), coverage);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State machine (§17.7): Confidence_G &lt; C_min =&gt; OracleDegraded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(goldConfidence &lt; C_MIN &amp;&amp; oracleState != OracleState.DEGRADED)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oracleState = OracleState.DEGRADED;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OracleDegraded(goldConfidence,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(goldConfidence &gt;= C_MIN &amp;&amp; oracleState == OracleState.DEGRADED)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oracleState = OracleState.NORMAL;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OracleRestored("GOLD_REF", "Confidence recovered",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mul18(uint256 a, uint256 b) internal pure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 * b)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(a) SourceAgreement: 1 - max deviation of valid sources from median.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computeSourceAgreement(bytes32 feedId)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RoundState memory r = rounds[feedId];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(r.validCount &lt; 2 || r.median == 0) return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spread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3;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(sourceStates[feedId][i] != uint8(SourceState.VALID)) continue;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 = r.prices[i] &gt; r.median ? r.prices[i] - r.median : r.median - r.prices[i];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(d &gt; spread) spread = 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rel = (spread * 1e18) / r.median;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rel &gt;= 1e18 ? 0 : 1e18 - rel;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(b) Freshness: linear decay of round age to the staleness bound.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computeFreshness(bytes32 feedId)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RoundState memory r = rounds[feedId];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threshold = oracleFeeds[feedId].stalenessThreshold;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(threshold == 0 || r.updatedAt == 0) return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age = block.timestamp - r.updatedAt;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age &gt;= threshold ? 0 : 1e18 - (age * 1e18) / 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(d) Deviation: latest aggregate move vs the 2.5% breaker 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computeDeviationFactor(bytes32 feedId)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memory h = priceHistory[feedId];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(h.length &lt; 2) return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last = h[h.length - 2];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cur = h[h.length - 1];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(last == 0) return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 = cur &gt; last ? cur - last : last - cur;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band = (last * DEVIATION_BPS) / 10000;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(d &gt;= band) return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1e18 - (d * 1e18) / 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 SourceCoverage: valid feeds / configured feeds. Family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diversity is enforced separately by the independence check §17.3.4.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computeCoverage(bytes32 feedId)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(uint256(rounds[feedId].validCount) * 1e18) / 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8. STALENESS, CORRELATION AND HEALTH (§17.8, §17.9, §17.7)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Feed liveness: 2x staleness = dead (BP §9.6 / §17.8).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isFeedAlive(bytes32 feedId) public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uint256 timestamp) = getChainlinkPrice(feedId);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block.timestamp - timestamp &lt;= oracleFeeds[feedId].stalenessThreshold *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Cross-source correlation detection (BP §9.9 / §17.9).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checkCorrelation(bytes32 feedId, uint256 relDeviation)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(relDeviation &gt; CORRELATION_THRESHOLD)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correlationWarnings[feedId]++;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(correlationWarnings[feedId] &gt;= 3)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CorrelationWarning(feedId, relDeviation,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Circuit breaker: rebalancing pauses until the correlation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resolves (risk states, Chapter 21; MARP gates, Chapter 11).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correlationWarnings[feedId]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Health sweep: any keeper may call; sets FAILED on quorum 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healthCheck(bytes32[] calldata feedIds)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k = 0; k &lt; feedIds.length; k++)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(rounds[feedIds[k]].validCount &lt; MIN_FEEDS_REQUIRED)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oracleState = OracleState.FAILED;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oracleHealthy =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OracleWarning(feedIds[k], "Quorum lost",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lastOracleCheck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9. PROVIDER ADAPTERS (interface shims; §17.2)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getChainlinkPrice(bytes32 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view returns (uint256 price,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int256 answer,, uint256 ts,)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AggregatorV3Interface(oracleFeeds[feedId].chainlink).latestRoundData();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price = uint256(answer);   // 8 decimals; production adapter scales to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timestamp = 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getPythPrice(bytes32 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view returns (uint256 price, uint256 timestamp, uint256 confidence)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IPyth.Price memory p = IPyth(pythContract).getPrice(oracleFeeds[feedId].pyth);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price = scaleTo18(uint256(uint64(p.price)), p.expo);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timestamp = p.publishTime;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confidence = scaleTo18(uint256(uint64(p.conf)), p.expo);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getChroniclePrice(bytes32 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view returns (uint256 price,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val, uint256 age) = IChronicle(oracleFeeds[feedId].chronicle).readWithAge();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price = val;                        // 18 decimals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timestamp = block.timestamp - age;  // reconstruct publish time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Decimal normalisation for exponent-carrying pull feeds.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scaleTo18(uint256 v, int32 expo) internal pure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(expo &gt;= 0) return v * (10 ** uint256(uint32(expo)));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v / (10 ** uint256(uint32(-expo)));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Provider adapter interfaces (production adapters handle scaling)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AggregatorV3Interface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latestRoundData()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view returns (uint80 roundId, int256 answer, uint256 startedAt, uint256 updatedAt, uint80 answeredInRound);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IPyth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Price { int64 price; uint64 conf; int32 expo; uint64 publishTime;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getPrice(bytes32 id) external view returns (Price memory);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IChronicle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readWithAge() external view returns (uint256 val, uint256 age);</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notes: (i) getPrice, validatePrice, validatePricePyth and getMedian follow BP §9.4.1–§9.4.3 with the deviation constant expressed in basis points; BP's outlier-filtered mean return is preserved, and the median remains the deviation anchor (Section 17.5 explains the relationship to the §17.2 consensus rule and the §17.4 robust median). (ii) The gold special handling adapts BP §9.8's min rule to the GOLD_REF/PAXG split of Section 17.4. (iii) The confidence computation, the state machine, per-source states, round caching and the health sweep are v2.0 additions implementing Sections 17.6–17.7 and COO-20; the geometric aggregate implements the default form of Section 17.6 with equal implicit exponents pending validation. (iv) BP §9.9's illustrative constant 1.5e18 is re-scaled to 0.015e18 so that the 1.5% rule of Section 17.9 is enforced on the 1e18 relative-deviation scale. (v) C_min = 0.60 and liquidityInput = 0.90 are validation-stage defaults (Risk-Council parameters within constitutional envelopes). (vi) Provider adapters are shims — production integrations resolve decimal scaling and revert paths per provider SDKs.</w:t>
      </w:r>
    </w:p>
    <w:p>
      <w:pPr>
        <w:pStyle w:val="Heading1"/>
        <w:keepNext/>
        <w:pBdr>
          <w:bottom w:val="single" w:color="C9A84C" w:sz="12" w:space="6"/>
        </w:pBdr>
        <w:spacing w:after="220" w:before="480" w:line="380" w:lineRule="atLeast"/>
      </w:pPr>
      <w:bookmarkStart w:id="100201" w:name="_Toc100201"/>
      <w:r>
        <w:rPr>
          <w:rFonts w:ascii="Calibri" w:eastAsia="Microsoft YaHei" w:hAnsi="Calibri"/>
          <w:b/>
          <w:bCs/>
          <w:color w:val="1A1A1A"/>
          <w:sz w:val="32"/>
          <w:szCs w:val="32"/>
        </w:rPr>
        <w:t xml:space="preserve">18. The Monetary Unit, Daily State Vector and Monitoring</w:t>
      </w:r>
      <w:bookmarkEnd w:id="100201"/>
    </w:p>
    <w:p>
      <w:pPr>
        <w:pStyle w:val="Heading2"/>
        <w:keepNext/>
        <w:spacing w:after="160" w:before="360" w:line="340" w:lineRule="atLeast"/>
      </w:pPr>
      <w:bookmarkStart w:id="100202" w:name="_Toc100202"/>
      <w:r>
        <w:rPr>
          <w:rFonts w:ascii="Calibri" w:eastAsia="Microsoft YaHei" w:hAnsi="Calibri"/>
          <w:b/>
          <w:bCs/>
          <w:color w:val="1A1A1A"/>
          <w:sz w:val="28"/>
          <w:szCs w:val="28"/>
        </w:rPr>
        <w:t xml:space="preserve">18.1 The MTQ Reference Price and PAR</w:t>
      </w:r>
      <w:bookmarkEnd w:id="100202"/>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This chapter defines the monetary unit: the USD-equivalent value of one MTQ Σ at any moment, the total USD-denominated liability the reserve must collateralise, and the daily state vector — the single published snapshot from which every protocol decision derives [BP §3, MS §64]. Section 18.1 is the enforcement point of Invariant I1: PAR = 1.00 basket-unit is immutable (Section 2.6).</w:t>
      </w:r>
    </w:p>
    <w:p>
      <w:pPr>
        <w:spacing w:after="120" w:line="312"/>
        <w:jc w:val="both"/>
      </w:pPr>
      <w:r>
        <w:rPr>
          <w:rFonts w:ascii="Calibri" w:eastAsia="SimSun" w:hAnsi="Calibri"/>
          <w:b w:val="false"/>
          <w:bCs w:val="false"/>
          <w:color w:val="1A1A1A"/>
          <w:sz w:val="21"/>
          <w:szCs w:val="21"/>
        </w:rPr>
        <w:t xml:space="preserve">The Reference Price of 1 MTQ Σ at time t is the normalized value of the adaptive reference index [BP §3.1]:</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 (I</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)/(I</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I_t is the current reference index value (USD-equivalent; Chapter 9) and I_base is the index value at the genesis base date. The v1.2 blueprint wrote this as GFB_t / GFB_base over the fixed-quantity GFB index; v2.0 substitutes the adaptive chain-linked reference index of Chapter 9, so the formula's shape is unchanged while the construction behind I_t is now the adaptive basket. I_base is fixed at the genesis snapshot (Section 3.4), so P_{MTQ,genesis} = 1.00 exactly.</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Index Level</w:t>
            </w:r>
          </w:p>
        </w:tc>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Reference Price</w:t>
            </w:r>
          </w:p>
        </w:tc>
        <w:tc>
          <w:tcPr>
            <w:tcW w:type="pct" w:w="6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I_t = 1.12</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MTQ = $1.12</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basket appreciated 12% against USD since genesis.</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I_t = 0.92</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MTQ = $0.92</w:t>
            </w:r>
          </w:p>
        </w:tc>
        <w:tc>
          <w:tcPr>
            <w:tcW w:type="pct" w:w="6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basket depreciated 8% against USD since genesis.</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I_t = 1.00</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MTQ = $1.00</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basket sits exactly at its genesis value.</w:t>
            </w:r>
          </w:p>
        </w:tc>
      </w:tr>
    </w:tbl>
    <w:p>
      <w:pPr>
        <w:spacing w:after="120"/>
      </w:pPr>
    </w:p>
    <w:p>
      <w:pPr>
        <w:spacing w:after="120" w:line="312"/>
        <w:jc w:val="both"/>
      </w:pPr>
      <w:r>
        <w:rPr>
          <w:rFonts w:ascii="Calibri" w:eastAsia="SimSun" w:hAnsi="Calibri"/>
          <w:b w:val="false"/>
          <w:bCs w:val="false"/>
          <w:color w:val="1A1A1A"/>
          <w:sz w:val="21"/>
          <w:szCs w:val="21"/>
        </w:rPr>
        <w:t xml:space="preserve">The constitutional invariant is that the contract does not contain any function to set P_{MTQ,t} directly [BP §3.1]. The price is entirely derived from on-chain oracle data via the index formula, which prevents any manual manipulation of the token price; the only writes into the price path are oracle aggregate updates, themselves protected by the validation and quorum machinery of Chapter 17. In degraded oracle states the price path uses last-known-good aggregates and is gated by the sanity band of Section 18.4 before consumption.</w:t>
      </w:r>
    </w:p>
    <w:p>
      <w:pPr>
        <w:spacing w:after="120" w:line="312"/>
        <w:jc w:val="both"/>
      </w:pPr>
      <w:r>
        <w:rPr>
          <w:rFonts w:ascii="Calibri" w:eastAsia="SimSun" w:hAnsi="Calibri"/>
          <w:b w:val="false"/>
          <w:bCs w:val="false"/>
          <w:color w:val="1A1A1A"/>
          <w:sz w:val="21"/>
          <w:szCs w:val="21"/>
        </w:rPr>
        <w:t xml:space="preserve">PAR = 1.00 basket-unit is immutable — Invariant I1, enforced here and hard-coded with no setter in Listing 1 (Section 2.7). PAR is the denomination constant: one MTQ Σ is one unit of the reference basket at genesis. PAR is not a peg and not a price promise — the reference price moves with the index, not with a fixed 1:1 USD rate, which is the Not-a-Dollar principle; the denomination is a normalization choice whose user-facing consequences are specified in Section 3.5. Minting and redemption are always priced against the reference price or NAV respectively (Invariants I5 and I6): a user depositing X USDC receives approximately X·(1 − f_mint)/P_{MTQ,t} tokens, and a user burning Y MTQ receives approximately Y·P_{MTQ,t}·(1 − f_redeem) in value — fewer tokens per USD when the index is high, reinforcing the purchasing-power equivalence claim. The full fee mechanics, guards and edge cases are specified in Chapter 19 and are not duplicated here.</w:t>
      </w:r>
    </w:p>
    <w:p>
      <w:pPr>
        <w:pStyle w:val="Heading2"/>
        <w:keepNext/>
        <w:spacing w:after="160" w:before="360" w:line="340" w:lineRule="atLeast"/>
      </w:pPr>
      <w:bookmarkStart w:id="100203" w:name="_Toc100203"/>
      <w:r>
        <w:rPr>
          <w:rFonts w:ascii="Calibri" w:eastAsia="Microsoft YaHei" w:hAnsi="Calibri"/>
          <w:b/>
          <w:bCs/>
          <w:color w:val="1A1A1A"/>
          <w:sz w:val="28"/>
          <w:szCs w:val="28"/>
        </w:rPr>
        <w:t xml:space="preserve">18.2 The Liability and Solvency Identity</w:t>
      </w:r>
      <w:bookmarkEnd w:id="100203"/>
    </w:p>
    <w:p>
      <w:pPr>
        <w:spacing w:after="120" w:line="312"/>
        <w:jc w:val="both"/>
      </w:pPr>
      <w:r>
        <w:rPr>
          <w:rFonts w:ascii="Calibri" w:eastAsia="SimSun" w:hAnsi="Calibri"/>
          <w:b w:val="false"/>
          <w:bCs w:val="false"/>
          <w:color w:val="1A1A1A"/>
          <w:sz w:val="21"/>
          <w:szCs w:val="21"/>
        </w:rPr>
        <w:t xml:space="preserve">The total liability of the protocol is the total USD value of all circulating MTQ Σ tokens [BP §3.2]:</w:t>
      </w:r>
    </w:p>
    <w:p>
      <w:pPr>
        <w:spacing w:after="120" w:before="120" w:line="312"/>
        <w:jc w:val="center"/>
      </w:pPr>
      <w:r>
        <w:rPr>
          <w:rFonts w:ascii="Cambria" w:eastAsia="SimSun" w:hAnsi="Cambria"/>
          <w:i/>
          <w:iCs/>
          <w:color w:val="1A1A1A"/>
          <w:sz w:val="22"/>
          <w:szCs w:val="22"/>
        </w:rPr>
        <w:t xml:space="preserve">L</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S</w:t>
      </w:r>
      <w:r>
        <w:rPr>
          <w:rFonts w:ascii="Cambria" w:eastAsia="SimSun" w:hAnsi="Cambria"/>
          <w:i/>
          <w:iCs/>
          <w:color w:val="1A1A1A"/>
          <w:sz w:val="22"/>
          <w:szCs w:val="22"/>
          <w:vertAlign w:val="subscript"/>
        </w:rPr>
        <w:t xml:space="preserve">circ,t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MTQ,t</w:t>
      </w:r>
    </w:p>
    <w:p>
      <w:pPr>
        <w:spacing w:after="120" w:line="312"/>
        <w:jc w:val="both"/>
      </w:pPr>
      <w:r>
        <w:rPr>
          <w:rFonts w:ascii="Calibri" w:eastAsia="SimSun" w:hAnsi="Calibri"/>
          <w:b w:val="false"/>
          <w:bCs w:val="false"/>
          <w:color w:val="1A1A1A"/>
          <w:sz w:val="21"/>
          <w:szCs w:val="21"/>
        </w:rPr>
        <w:t xml:space="preserve">where S_{circ,t} is the circulating supply — tokens held by users, excluding the Genesis Reserve Account and protocol-owned locked balances. The distinction between total and circulating supply is critical. totalSupply() (ERC-20) includes the Genesis Reserve locked in the protocol vault; circulatingSupply is used for liability calculations. The Genesis Reserve is a protocol asset, not a user liability: it is excluded from S_{circ,t} to prevent the protocol from collateralising its own locked tokens [BP §3.2].</w:t>
      </w:r>
    </w:p>
    <w:p>
      <w:pPr>
        <w:spacing w:after="120" w:line="312"/>
        <w:jc w:val="both"/>
      </w:pPr>
      <w:r>
        <w:rPr>
          <w:rFonts w:ascii="Calibri" w:eastAsia="SimSun" w:hAnsi="Calibri"/>
          <w:b w:val="false"/>
          <w:bCs w:val="false"/>
          <w:color w:val="1A1A1A"/>
          <w:sz w:val="21"/>
          <w:szCs w:val="21"/>
        </w:rPr>
        <w:t xml:space="preserve">The solvency identity is the reserve ratio — net asset value over liability:</w:t>
      </w:r>
    </w:p>
    <w:p>
      <w:pPr>
        <w:spacing w:after="120" w:before="120" w:line="312"/>
        <w:jc w:val="center"/>
      </w:pP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)/(L</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with V_{net,t} the haircut-adjusted net asset value (Section 14.1; Invariant I4). The target operating point is RR_t ≥ 1.10 — the reserve must always be at least 110% collateralised — with a stress floor of 1.05 and the constitutional hard floor of 1.00 (Invariant I2; the full solvency mechanics, recovery rules and confirmation periods are carried in Section 14.2). Both sides of the identity use canonical prices: the numerator values reserve assets with their haircuts, including the conservative gold minimum of Section 17.4, while the denominator prices the unit through I_t. The identity is therefore oracle-honest by construction — degraded oracle confidence lowers both sides consistently rather than flattering one of them.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Identity</w:t>
            </w:r>
          </w:p>
        </w:tc>
        <w:tc>
          <w:tcPr>
            <w:tcW w:type="pct" w:w="3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Formula</w:t>
            </w:r>
          </w:p>
        </w:tc>
        <w:tc>
          <w:tcPr>
            <w:tcW w:type="pct" w:w="4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Primary Enforcement</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Reference price</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P_{MTQ,t} = I_t / I_{base}</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18.1; getMTQPrice (Listing 1, normative)</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Liability</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L_t = S_{circ,t} × P_{MTQ,t}</w:t>
            </w:r>
          </w:p>
        </w:tc>
        <w:tc>
          <w:tcPr>
            <w:tcW w:type="pct" w:w="4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18.2; getLiability</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ratio</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 = V_{net,t} / L_t</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14.2; Invariant I2 (hard floor 1.00)</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coverage</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LCR_t = V_{liquid,t} / D_{stress,t}</w:t>
            </w:r>
          </w:p>
        </w:tc>
        <w:tc>
          <w:tcPr>
            <w:tcW w:type="pct" w:w="4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14; Risk-Council minimum LCR_min</w:t>
            </w:r>
          </w:p>
        </w:tc>
      </w:tr>
    </w:tbl>
    <w:p>
      <w:pPr>
        <w:spacing w:after="120"/>
      </w:pPr>
    </w:p>
    <w:p>
      <w:pPr>
        <w:spacing w:after="120" w:line="312"/>
        <w:jc w:val="both"/>
      </w:pPr>
      <w:r>
        <w:rPr>
          <w:rFonts w:ascii="Calibri" w:eastAsia="SimSun" w:hAnsi="Calibri"/>
          <w:b w:val="false"/>
          <w:bCs w:val="false"/>
          <w:color w:val="1A1A1A"/>
          <w:sz w:val="21"/>
          <w:szCs w:val="21"/>
        </w:rPr>
        <w:t xml:space="preserve">The LCR row completes the solvency picture on the liquidity dimension: immediately liquid eligible assets must cover near-term stress obligations at the Risk-Council minimum (Chapter 14). Together the four identities of the table are the monetary unit's accounting spine — every risk state, fee decision and emergency action of Chapters 21–22 reads them, and the daily state vector (Section 18.3) publishes them.</w:t>
      </w:r>
    </w:p>
    <w:p>
      <w:pPr>
        <w:pStyle w:val="Heading2"/>
        <w:keepNext/>
        <w:spacing w:after="160" w:before="360" w:line="340" w:lineRule="atLeast"/>
      </w:pPr>
      <w:bookmarkStart w:id="100204" w:name="_Toc100204"/>
      <w:r>
        <w:rPr>
          <w:rFonts w:ascii="Calibri" w:eastAsia="Microsoft YaHei" w:hAnsi="Calibri"/>
          <w:b/>
          <w:bCs/>
          <w:color w:val="1A1A1A"/>
          <w:sz w:val="28"/>
          <w:szCs w:val="28"/>
        </w:rPr>
        <w:t xml:space="preserve">18.3 The Full Daily State Vector</w:t>
      </w:r>
      <w:bookmarkEnd w:id="100204"/>
    </w:p>
    <w:p>
      <w:pPr>
        <w:spacing w:after="120" w:line="312"/>
        <w:jc w:val="both"/>
      </w:pPr>
      <w:r>
        <w:rPr>
          <w:rFonts w:ascii="Calibri" w:eastAsia="SimSun" w:hAnsi="Calibri"/>
          <w:b w:val="false"/>
          <w:bCs w:val="false"/>
          <w:color w:val="1A1A1A"/>
          <w:sz w:val="21"/>
          <w:szCs w:val="21"/>
        </w:rPr>
        <w:t xml:space="preserve">The Modification Specification requires a single, complete daily state vector: every published state variable in one snapshot [MS §64]:</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X</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CVaR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MDD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PPError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Coverage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OracleConfidence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CrisisScore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Turnover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Cost</w:t>
      </w:r>
      <w:r>
        <w:rPr>
          <w:rFonts w:ascii="Cambria" w:eastAsia="SimSun" w:hAnsi="Cambria"/>
          <w:i/>
          <w:iCs/>
          <w:color w:val="1A1A1A"/>
          <w:sz w:val="22"/>
          <w:szCs w:val="22"/>
          <w:vertAlign w:val="subscript"/>
        </w:rPr>
        <w:t xml:space="preserve">t</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system then decides:</w:t>
      </w:r>
    </w:p>
    <w:p>
      <w:pPr>
        <w:spacing w:after="120" w:before="120" w:line="312"/>
        <w:jc w:val="center"/>
      </w:pPr>
      <w:r>
        <w:rPr>
          <w:rFonts w:ascii="Cambria" w:eastAsia="SimSun" w:hAnsi="Cambria"/>
          <w:i/>
          <w:iCs/>
          <w:color w:val="1A1A1A"/>
          <w:sz w:val="22"/>
          <w:szCs w:val="22"/>
        </w:rPr>
        <w:t xml:space="preserve">Action</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f(X</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f(Calendar)</w:t>
      </w:r>
    </w:p>
    <w:p>
      <w:pPr>
        <w:spacing w:after="120" w:line="312"/>
        <w:jc w:val="both"/>
      </w:pPr>
      <w:r>
        <w:rPr>
          <w:rFonts w:ascii="Calibri" w:eastAsia="SimSun" w:hAnsi="Calibri"/>
          <w:b w:val="false"/>
          <w:bCs w:val="false"/>
          <w:color w:val="1A1A1A"/>
          <w:sz w:val="21"/>
          <w:szCs w:val="21"/>
        </w:rPr>
        <w:t xml:space="preserve">Every automated decision — rebalance triggers, regime shifts, fee state, crisis mode — is a function of the published state, never of the date. This is the state-contingent design principle behind Invariant I11 (Section 2.6): daily calculation does not imply daily trading, and acting on the vector requires an economically justified trigger under the MARP rules of Chapter 10. The vector's fields, each published with its own lineage, are: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Field</w:t>
            </w:r>
          </w:p>
        </w:tc>
        <w:tc>
          <w:tcPr>
            <w:tcW w:type="pct" w:w="8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Content and Meaning</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W_t</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live smoothed weight vector (Section 8.4) with its methodology and data version hashes — the basket definition as published. Weights, not quantities, are the live state after genesis (Section 3.4).</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Risk_t</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Blended multi-horizon volatilities per component and the shrunk correlation state (Sections 5.1, 6.1–6.2). This is the risk lens through which every candidate model and the ensemble read the market.</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CVaR_t</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95% conditional value-at-risk of the current basket, with the 99% level monitored for severe scenarios (Section 6.6). Tail position, not average loss, is what the architecture protects.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MDD_t</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Current drawdown from the running peak and the maximum drawdown statistic (Section 6.7). Purchasing-power protection is experienced as drawdown, so the vector tracks it explicitly.</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PPError_t</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Purchasing-power tracking error against the Global Purchasing Power index (Section 6.8) — the distinctive stability objective of the unit.</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Liquidity_t</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Per-component liquidity measures — spreads, depth, settlement availability — feeding the liquidity penalty of Section 7.4 and the MARP execution gates of Chapter 11.</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Coverage_t</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coverage of near-term obligations: the LCR identity and its components (Chapter 14). Coverage, not solvency alone, determines whether redemptions can be met under stress.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OracleConfidence_t</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Per-feed oracle states and the gold confidence score Confidence_G (Section 17.6). Every price the vector rests on carries its own trust measurement.</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CrisisScore_t</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crisis-risk score aggregating stress evidence (Section 5.5), which scales tail-risk weighting, widens no-trade thresholds and tightens execution gates.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Turnover_t</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Realized and pending weight turnover since the previous publication (Section 7.3) — the movement the turnover penalty priced and MARP executed.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Cost_t</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Realized and estimated execution costs from the MARP layer (Chapter 11): spread, slippage, impact and fees attributable to the period's rebalancing.</w:t>
            </w:r>
          </w:p>
        </w:tc>
      </w:tr>
    </w:tbl>
    <w:p>
      <w:pPr>
        <w:spacing w:after="120"/>
      </w:pPr>
    </w:p>
    <w:p>
      <w:pPr>
        <w:spacing w:after="120" w:line="312"/>
        <w:jc w:val="both"/>
      </w:pPr>
      <w:r>
        <w:rPr>
          <w:rFonts w:ascii="Calibri" w:eastAsia="SimSun" w:hAnsi="Calibri"/>
          <w:b w:val="false"/>
          <w:bCs w:val="false"/>
          <w:color w:val="1A1A1A"/>
          <w:sz w:val="21"/>
          <w:szCs w:val="21"/>
        </w:rPr>
        <w:t xml:space="preserve">Beyond the MS §64 list, the daily publication of Section 24.3 extends X_t with the normative anchors and governance state: the index level I_t, the reference price P_{MTQ,t}, the liability L_t, NAV and RR_t, the LCR, the regime probability vector (Section 5.4), the risk state (Chapter 21), per-feed oracle states (Section 17.7), the current fee state, and the methodology and data version hashes. The vector is hash-committed on-chain by Listing 10 so that history is tamper-evident; the full publication format, cadence and retention rules are specified in Section 24.3.</w:t>
      </w:r>
    </w:p>
    <w:p>
      <w:pPr>
        <w:spacing w:after="120" w:line="312"/>
        <w:jc w:val="both"/>
      </w:pPr>
      <w:r>
        <w:rPr>
          <w:rFonts w:ascii="Calibri" w:eastAsia="SimSun" w:hAnsi="Calibri"/>
          <w:b w:val="false"/>
          <w:bCs w:val="false"/>
          <w:color w:val="1A1A1A"/>
          <w:sz w:val="21"/>
          <w:szCs w:val="21"/>
        </w:rPr>
        <w:t xml:space="preserve">The state vector is also the monitoring unit. Dashboards, alerting and the research program's out-of-sample evaluation (Chapter 23) all consume X_t snapshots, and because every element is published with lineage — data versions, oracle confidences, methodology hashes — any anomaly in a downstream decision is traceable to the specific inputs that caused it. An auditor asking why the basket moved on a given day receives the vector, the trigger evaluation against it, and the hashes under which both can be recomputed.</w:t>
      </w:r>
    </w:p>
    <w:p>
      <w:pPr>
        <w:pStyle w:val="Heading2"/>
        <w:keepNext/>
        <w:spacing w:after="160" w:before="360" w:line="340" w:lineRule="atLeast"/>
      </w:pPr>
      <w:bookmarkStart w:id="100205" w:name="_Toc100205"/>
      <w:r>
        <w:rPr>
          <w:rFonts w:ascii="Calibri" w:eastAsia="Microsoft YaHei" w:hAnsi="Calibri"/>
          <w:b/>
          <w:bCs/>
          <w:color w:val="1A1A1A"/>
          <w:sz w:val="28"/>
          <w:szCs w:val="28"/>
        </w:rPr>
        <w:t xml:space="preserve">18.4 Price Sanity Checks, Circuit Breakers and Event Emissions</w:t>
      </w:r>
      <w:bookmarkEnd w:id="100205"/>
    </w:p>
    <w:p>
      <w:pPr>
        <w:spacing w:after="120" w:line="312"/>
        <w:jc w:val="both"/>
      </w:pPr>
      <w:r>
        <w:rPr>
          <w:rFonts w:ascii="Calibri" w:eastAsia="SimSun" w:hAnsi="Calibri"/>
          <w:b w:val="false"/>
          <w:bCs w:val="false"/>
          <w:color w:val="1A1A1A"/>
          <w:sz w:val="21"/>
          <w:szCs w:val="21"/>
        </w:rPr>
        <w:t xml:space="preserve">To protect against oracle manipulation or extreme market dislocation, the monetary-unit module enforces a price band on the reference price [BP §3.5]:</w:t>
      </w:r>
    </w:p>
    <w:p>
      <w:pPr>
        <w:spacing w:after="120" w:before="120" w:line="312"/>
        <w:jc w:val="center"/>
      </w:pPr>
      <w:r>
        <w:rPr>
          <w:rFonts w:ascii="Cambria" w:eastAsia="SimSun" w:hAnsi="Cambria"/>
          <w:i/>
          <w:iCs/>
          <w:color w:val="1A1A1A"/>
          <w:sz w:val="22"/>
          <w:szCs w:val="22"/>
        </w:rPr>
        <w:t xml:space="preserve">0.50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2.00</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P_{MTQ,t} falls outside this range, PAUSE_MINT and PAUSE_REBALANCE are automatically triggered.</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Redemption remains allowed — users can exit at the prevailing price.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Governance (4-of-7 Multi-Sig) must manually resume operations after investigation.</w:t>
      </w:r>
    </w:p>
    <w:p>
      <w:pPr>
        <w:spacing w:after="120" w:line="312"/>
        <w:jc w:val="both"/>
      </w:pPr>
      <w:r>
        <w:rPr>
          <w:rFonts w:ascii="Calibri" w:eastAsia="SimSun" w:hAnsi="Calibri"/>
          <w:b w:val="false"/>
          <w:bCs w:val="false"/>
          <w:color w:val="1A1A1A"/>
          <w:sz w:val="21"/>
          <w:szCs w:val="21"/>
        </w:rPr>
        <w:t xml:space="preserve">The band is a last line of defense, not a trading rule. It is roughly four times wider than the worst plausible annual move of a major-currency-plus-gold basket, so a breach indicates feed corruption or genuine dislocation requiring investigation, not ordinary volatility. The asymmetry of the response is deliberate: minting (expansion of the liability) halts immediately, while redemption (contraction) stays open, so the failure mode cannot trap users — the same exit-first principle that governs the degraded oracle states of Section 17.7. The implementation guard, getMTQPriceWithGuard(), reverts any consuming call whose price lies outside the band and is carried in Listing 10.</w:t>
      </w:r>
    </w:p>
    <w:p>
      <w:pPr>
        <w:spacing w:after="120" w:line="312"/>
        <w:jc w:val="both"/>
      </w:pPr>
      <w:r>
        <w:rPr>
          <w:rFonts w:ascii="Calibri" w:eastAsia="SimSun" w:hAnsi="Calibri"/>
          <w:b w:val="false"/>
          <w:bCs w:val="false"/>
          <w:color w:val="1A1A1A"/>
          <w:sz w:val="21"/>
          <w:szCs w:val="21"/>
        </w:rPr>
        <w:t xml:space="preserve">The module emits audit events [BP §3.6]. PriceUpdated fires whenever the reference price changes by more than 0.5% since the last logged price — a threshold chosen to avoid log spam while preserving a complete audit trail of every economically meaningful move: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Event</w:t>
            </w:r>
          </w:p>
        </w:tc>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Fields</w:t>
            </w:r>
          </w:p>
        </w:tc>
        <w:tc>
          <w:tcPr>
            <w:tcW w:type="pct" w:w="5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Trigger</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PriceUpdated</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oldPrice, newPrice, timestamp</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Reference price moves more than 0.5% since the last logged price (log-spam guard).</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PriceSanityBreach</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price, tooLow, timestamp</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P_{MTQ,t} leaves the 0.50–2.00 band; minting and rebalancing pause automatically.</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OperationsResumed</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by, timestamp</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 manually resumes after investigation.</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SupplyUpdated</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 circulating, timestamp</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circulating base changes (mint, redemption, reserve unlock).</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DailyStatePublished</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epochDay, stateHash, timestamp</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daily state-vector digest is committed (Section 18.3).</w:t>
            </w:r>
          </w:p>
        </w:tc>
      </w:tr>
    </w:tbl>
    <w:p>
      <w:pPr>
        <w:spacing w:after="120"/>
      </w:pPr>
    </w:p>
    <w:p>
      <w:pPr>
        <w:spacing w:after="120" w:line="312"/>
        <w:jc w:val="both"/>
      </w:pPr>
      <w:r>
        <w:rPr>
          <w:rFonts w:ascii="Calibri" w:eastAsia="SimSun" w:hAnsi="Calibri"/>
          <w:b w:val="false"/>
          <w:bCs w:val="false"/>
          <w:color w:val="1A1A1A"/>
          <w:sz w:val="21"/>
          <w:szCs w:val="21"/>
        </w:rPr>
        <w:t xml:space="preserve">The sanity band composes with the oracle layer's own breakers. The deviation breaker of Section 17.3.3 discards a bad feed before it reaches the index; the correlation breaker of Section 17.9 pauses rebalancing when feeds dispute each other; the confidence gate of Section 17.6 blocks publication when the gold price is untrustworthy; and this section's band catches whatever escapes all of them — the scenario in which every feed is manipulated consistently, or the index construction itself fails. In that final case the band halts expansion, keeps exit open, and escalates to the risk states of Chapter 21 for governance action.</w:t>
      </w:r>
    </w:p>
    <w:p>
      <w:pPr>
        <w:pStyle w:val="Heading2"/>
        <w:keepNext/>
        <w:spacing w:after="160" w:before="360" w:line="340" w:lineRule="atLeast"/>
      </w:pPr>
      <w:bookmarkStart w:id="100206" w:name="_Toc100206"/>
      <w:r>
        <w:rPr>
          <w:rFonts w:ascii="Calibri" w:eastAsia="Microsoft YaHei" w:hAnsi="Calibri"/>
          <w:b/>
          <w:bCs/>
          <w:color w:val="1A1A1A"/>
          <w:sz w:val="28"/>
          <w:szCs w:val="28"/>
        </w:rPr>
        <w:t xml:space="preserve">18.5 Smart Contract Implementation — Monetary Unit and State Vector</w:t>
      </w:r>
      <w:bookmarkEnd w:id="100206"/>
    </w:p>
    <w:p>
      <w:pPr>
        <w:spacing w:after="120" w:line="312"/>
        <w:jc w:val="both"/>
      </w:pPr>
      <w:r>
        <w:rPr>
          <w:rFonts w:ascii="Calibri" w:eastAsia="SimSun" w:hAnsi="Calibri"/>
          <w:b w:val="false"/>
          <w:bCs w:val="false"/>
          <w:color w:val="1A1A1A"/>
          <w:sz w:val="21"/>
          <w:szCs w:val="21"/>
        </w:rPr>
        <w:t xml:space="preserve">BP §3.3 implemented the monetary unit inside the v1.2 core contract. In the v2.0 consolidation, Listing 1 (Section 2.7) already carries the normative core getters — getMTQPrice, getLiability, getNAV, getReserveRatio and getLCR — together with the constitutional constants. Listing 10 below is the extended monetary-unit module: the storage constants of BP §3.3.1 (adapted to the v2.0 genesis snapshot), the getter functions of BP §3.3.2 (re-declared for module self-containment), the circulating-supply tracking of BP §3.3.3, the price sanity checks of Section 18.4, the audit events, and the daily state-vector digest of Section 18.3. Where the listings overlap, Listing 1 remains normative; the deployment composes Listing 10 around it as the module that owns supply tracking, sanity checks, events and publication.</w:t>
      </w:r>
    </w:p>
    <w:p>
      <w:pPr>
        <w:keepNext/>
        <w:spacing w:after="80" w:before="280" w:line="312"/>
      </w:pPr>
      <w:r>
        <w:rPr>
          <w:rFonts w:ascii="Calibri" w:eastAsia="SimSun" w:hAnsi="Calibri"/>
          <w:b/>
          <w:bCs/>
          <w:color w:val="8A6D1F"/>
          <w:sz w:val="19"/>
          <w:szCs w:val="19"/>
        </w:rPr>
        <w:t xml:space="preserve">Listing 10 — Monetary unit: price, liability, supply and sanity checks (adapts BP §3.3)</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@title MTQMonetaryUnit — extended monetary-unit module (adapts BP §3.3).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@dev Listing 1 (§2.7) remains normative for the core getters getMTQPrice,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getLiability, getNAV, getReserveRatio and getLCR. This module adds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circulating-supply tracking (BP §3.3.3), the price sanity checks of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§18.4, audit events (BP §3.6) and the daily state-vector digest of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§18.3. It is abstract: getIndex and getNAV are provided by the index</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(Chapter 9) and reserve (Chapter 14) modules of the deployment.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abstract contract MTQMonetaryUnit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STORAGE CONSTANTS (BP §3.3.1; genesis snapshot, §3.4)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Normalisation denominator for the reference price (set at genesis)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immutable INDEX_BASE_DENOMINATOR;   // I_base,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quantities q_i — v2.0 seven-component strategic-prior snapshot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Q_USD  = 0.27e18;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Q_EUR  = 0.20e18;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Q_JPY  = 0.09e18;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Q_GBP  = 0.08e18;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Q_CNY  = 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Q_CHF  = 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Q_GOLD = 0.26e18;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Base FX fixings (set at genesis, immutable; 8 decimals, Chainlink style)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BASE_EUR_USD  = 1.0500e8;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BASE_GBP_USD  = 1.2500e8;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BASE_JPY_USD  = 0.0067e8;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BASE_CNY_USD  = 0.1400e8;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BASE_CHF_USD  = 1.1300e8;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BASE_GOLD_USD = 2500.00e8;  // USD per reference unit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Price sanity band (§18.4) — immutable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PRICE_SAFETY_LOWER = 0.50e18;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PRICE_SAFETY_UPPER = 2.00e18;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Reserve — a protocol asset, not a user liability (§18.2)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GENESIS_RESERVE_ADDRESS;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Roles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RISK_COUNCIL;      // 4/7 — resume after breach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STATE_PUBLISHER;   // §24.3 publication path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CIRCULATING-SUPPLY TRACKING (BP §3.3.3)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totalSupply;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circulatingSupply;           // cached exact 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mapping(address =&gt; uint256) public balanceOf;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SupplyUpdated(uint256 total, uint256 circulating,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ERC-20 hook: keeps the cached circulating base exact. Invoked by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mint/redeem engine of Chapter 19 and by reserve unlocks.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_afterTokenTransfer(address from, address to, uint256 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(from == GENESIS_RESERVE_ADDRESS &amp;&amp; to != GENESIS_RESERVE_ADDRESS)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circulatingSupply += amount;        // reserve -&gt; market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(from != GENESIS_RESERVE_ADDRESS &amp;&amp; to == GENESIS_RESERVE_ADDRESS)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circulatingSupply -= amount;        // market -&gt; 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SupplyUpdated(totalSupply, circulatingSupply,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Total supply minus the Genesis Reserve balance (BP §3.3.3).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getCirculatingSupply()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totalSupply - balanceOf[GENESIS_RESERVE_ADDRESS];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REFERENCE PRICE AND LIABILITY (BP §3.3.2)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Re-declared for module self-containment; Listing 1 (§2.7) is normative.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getIndex() internal view virtual returns (uint256);   // I_t, Ch. 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getNAV() internal view virtual returns (uint256);     // Ch. 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Reference price: 1.12e18 means 1 MTQ = 1.12 USD (BP §3.3.2).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getMTQPrice()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(getIndex() * 1e18) /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Total USD liability: circulating supply x reference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getLiability()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(getCirculatingSupply() * getMTQPrice())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Reserve ratio RR_t = V_net,t / L_t (§18.2; haircuts via Ch. 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getReserveRatio()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(getNAV() * 1e18) / getLiability();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PRICE SANITY CHECKS (§18.4 / BP §3.5)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public pausedMint;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public pausedRebalance;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PriceSanityBreach(uint256 price, bool tooLow,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OperationsResumed(address indexed by,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Guarded price: reverts outside the 0.50-2.00 band (BP §3.5).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getMTQPriceWithGuard()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 = getMTQPrice();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require(price &gt;= PRICE_SAFETY_LOWER &amp;&amp; price &lt;= PRICE_SAFETY_UPPER,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"MTQ: Price out of safety 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Circuit breaker: pause minting and rebalancing on breach.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Redemption stays live — users can exit at the prevailing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checkPriceSanity() external returns (bool paused)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 = getMTQPrice();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(price &lt; PRICE_SAFETY_LOWER || price &gt; PRICE_SAFETY_UPPER)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pausedMint =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pausedRebalance =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PriceSanityBreach(price, price &lt; PRICE_SAFETY_LOWER,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Manual resume by the 4/7 Risk Council after investigation.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resumeOperations()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RISK_COUNCIL, "Only Risk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pausedMint =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pausedRebalance =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OperationsResumed(msg.sender,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EVENT EMISSION (§18.4 / BP §3.6)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PriceUpdated(uint256 indexed oldPrice, uint256 indexed newPrice,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private _lastLoggedPrice;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Emit PriceUpdated on moves larger than 0.5% (log-spam guard).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_updatePrice()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newPrice = getMTQPrice();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(_lastLoggedPrice ==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_lastLoggedPrice = newPrice;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diff = newPrice &gt; _lastLoggedPrice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newPrice - _lastLoggedPrice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_lastLoggedPrice - newPrice;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(diff &gt; _lastLoggedPrice / 200) {    // 0.5% change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PriceUpdated(_lastLoggedPrice, newPrice,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_lastLoggedPrice = newPrice;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DAILY STATE-VECTOR DIGEST (§18.3 / §24.3)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DailyState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weights;          // W_t (smoothed, live)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referencePrice;      // P_MTQ,t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liability;           // L_t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reserveRatio;        // RR_t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oracleConfidence;    // Confidence_G digest (§17.6)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crisisScore;         // §5.5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methodologyVersion;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publishedAt;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mapping(uint256 =&gt; DailyState) public dailyStates;   // key: epoch day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DailyState public lastDailyState;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DailyStatePublished(uint256 indexed epochDay, bytes32 stateHash,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Publish the daily state vector — the §24.3 publication unit.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X_t is assembled off-chain from published components; the module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verifies the normative anchors before committing the digest.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publishDailyState(DailyState calldata s)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STATE_PUBLISHER, "Only state publisher");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require(s.referencePrice == getMTQPrice(), "Price mismatch");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require(s.liability == getLiability(), "Liability mismatch");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require(s.reserveRatio == getReserveRatio(), "RR mismatch");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epochDay = block.timestamp / 1 days;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dailyStates[epochDay] = 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lastDailyState = 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DailyStatePublished(epochDay, keccak256(abi.encode(s)),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_updatePrice();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INITIALIZATION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indexBaseDenominator,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genesisReserveAddress,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riskCouncil,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statePublisher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INDEX_BASE_DENOMINATOR = indexBaseDenominator;   // I_base from §3.4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GENESIS_RESERVE_ADDRESS = genesisReserveAddress;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RISK_COUNCIL = riskCouncil;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STATE_PUBLISHER = statePublisher;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notes: (i) BP §3.3.1's GFB_BASE_DENOMINATOR is renamed INDEX_BASE_DENOMINATOR to match the adaptive reference index of Chapter 9, set at genesis from the same snapshot (the BP §3.7 developer-constants table carries over: INDEX_BASE_DENOMINATOR computed at genesis, PRICE_SAFETY_LOWER 0.50e18 and PRICE_SAFETY_UPPER 2.00e18 immutable, GENESIS_RESERVE_ADDRESS fixed at deployment). (ii) The v1.2 genesis quantities (Q_USD = 0.3890e18, Q_EUR = 0.2780e18, Q_GBP = 0.1669e18, Q_JPY = 0.1111e18, Q_CNY = 0.0550e18 — the five-currency GFB) are superseded by the v2.0 seven-component strategic-prior snapshot of Section 3.4, which adds CHF and GOLD and matches Listing 1; the constants block above documents the v2.0 snapshot. (iii) BP's getters are re-declared for self-containment, but Listing 1 (Section 2.7) remains the single normative source for the deployment — the LCR getter is deliberately not duplicated here and lives in Listing 1. (iv) The mint/burn hooks are invoked by the Chapter 19 engine, whose fee formulas implement the pricing sketched in Section 18.1; _afterTokenTransfer is the only place the circulating base may change. (v) The state-vector digest implements Section 18.3's tamper-evident history: the contract verifies the normative anchors (price, liability, RR) and stores the full record keyed by epoch day; the remaining X_t fields (CVaR_t, MDD_t, PPError_t, Liquidity_t, Coverage_t, CrisisScore_t, Turnover_t, Cost_t) ride inside the hashed struct and are specified by the publication format of Section 24.3.</w:t>
      </w:r>
    </w:p>
    <w:p>
      <w:pPr>
        <w:pStyle w:val="Heading1"/>
        <w:keepNext/>
        <w:pBdr>
          <w:bottom w:val="single" w:color="C9A84C" w:sz="12" w:space="6"/>
        </w:pBdr>
        <w:spacing w:after="220" w:before="480" w:line="380" w:lineRule="atLeast"/>
      </w:pPr>
      <w:bookmarkStart w:id="100207" w:name="_Toc100207"/>
      <w:r>
        <w:rPr>
          <w:rFonts w:ascii="Calibri" w:eastAsia="Microsoft YaHei" w:hAnsi="Calibri"/>
          <w:b/>
          <w:bCs/>
          <w:color w:val="1A1A1A"/>
          <w:sz w:val="32"/>
          <w:szCs w:val="32"/>
        </w:rPr>
        <w:t xml:space="preserve">19. Minting and Redemption</w:t>
      </w:r>
      <w:bookmarkEnd w:id="100207"/>
    </w:p>
    <w:p>
      <w:pPr>
        <w:pStyle w:val="Heading2"/>
        <w:keepNext/>
        <w:spacing w:after="160" w:before="360" w:line="340" w:lineRule="atLeast"/>
      </w:pPr>
      <w:bookmarkStart w:id="100208" w:name="_Toc100208"/>
      <w:r>
        <w:rPr>
          <w:rFonts w:ascii="Calibri" w:eastAsia="Microsoft YaHei" w:hAnsi="Calibri"/>
          <w:b/>
          <w:bCs/>
          <w:color w:val="1A1A1A"/>
          <w:sz w:val="28"/>
          <w:szCs w:val="28"/>
        </w:rPr>
        <w:t xml:space="preserve">19.1 Purpose and Pricing Doctrine</w:t>
      </w:r>
      <w:bookmarkEnd w:id="100208"/>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Minting and Redemption module is the user-facing entry and exit layer of the protocol. It allows users to mint MTQ Σ by depositing a single stablecoin (USDC, EURC, or another admitted instrument), which is atomically swapped into the full reserve basket, and to redeem MTQ Σ by burning tokens and receiving the proportional reserve basket — or a single asset through the optional router [BP §12.1].</w:t>
      </w:r>
    </w:p>
    <w:p>
      <w:pPr>
        <w:spacing w:after="120" w:line="312"/>
        <w:jc w:val="both"/>
      </w:pPr>
      <w:r>
        <w:rPr>
          <w:rFonts w:ascii="Calibri" w:eastAsia="SimSun" w:hAnsi="Calibri"/>
          <w:b w:val="false"/>
          <w:bCs w:val="false"/>
          <w:color w:val="1A1A1A"/>
          <w:sz w:val="21"/>
          <w:szCs w:val="21"/>
        </w:rPr>
        <w:t xml:space="preserve">Four core principles govern the module, and each is a direct expression of the constitutional invariants stated in Section 2.6:</w:t>
      </w:r>
    </w:p>
    <w:p>
      <w:pPr>
        <w:pStyle w:val="ListParagraph"/>
        <w:numPr>
          <w:ilvl w:val="0"/>
          <w:numId w:val="16"/>
        </w:numPr>
        <w:spacing w:after="60" w:line="312"/>
        <w:jc w:val="left"/>
      </w:pPr>
      <w:r>
        <w:rPr>
          <w:rFonts w:ascii="Calibri" w:eastAsia="SimSun" w:hAnsi="Calibri"/>
          <w:b/>
          <w:bCs/>
          <w:color w:val="1A1A1A"/>
          <w:sz w:val="21"/>
          <w:szCs w:val="21"/>
        </w:rPr>
        <w:t xml:space="preserve">Minting is priced against the adaptive index, never against the USD.</w:t>
      </w:r>
      <w:r>
        <w:rPr>
          <w:rFonts w:ascii="Calibri" w:eastAsia="SimSun" w:hAnsi="Calibri"/>
          <w:b w:val="false"/>
          <w:bCs w:val="false"/>
          <w:color w:val="1A1A1A"/>
          <w:sz w:val="21"/>
          <w:szCs w:val="21"/>
        </w:rPr>
        <w:t xml:space="preserve"> The mint quote divides the net deposit by the current MTQ reference price P_{MTQ,t}. This is invariant I5 (Section 2.6), and it breaks any 1:1 USD peg by construction.</w:t>
      </w:r>
    </w:p>
    <w:p>
      <w:pPr>
        <w:pStyle w:val="ListParagraph"/>
        <w:numPr>
          <w:ilvl w:val="0"/>
          <w:numId w:val="16"/>
        </w:numPr>
        <w:spacing w:after="60" w:line="312"/>
        <w:jc w:val="left"/>
      </w:pPr>
      <w:r>
        <w:rPr>
          <w:rFonts w:ascii="Calibri" w:eastAsia="SimSun" w:hAnsi="Calibri"/>
          <w:b/>
          <w:bCs/>
          <w:color w:val="1A1A1A"/>
          <w:sz w:val="21"/>
          <w:szCs w:val="21"/>
        </w:rPr>
        <w:t xml:space="preserve">Redemption is priced against NAV, never against a fixed proportion.</w:t>
      </w:r>
      <w:r>
        <w:rPr>
          <w:rFonts w:ascii="Calibri" w:eastAsia="SimSun" w:hAnsi="Calibri"/>
          <w:b w:val="false"/>
          <w:bCs w:val="false"/>
          <w:color w:val="1A1A1A"/>
          <w:sz w:val="21"/>
          <w:szCs w:val="21"/>
        </w:rPr>
        <w:t xml:space="preserve"> The redeem quote is the burn quantity multiplied by the current net asset value per token NAV_t. This is invariant I6 (Section 2.6): users receive the current value of their claim, not a frozen 1:1 face amount.</w:t>
      </w:r>
    </w:p>
    <w:p>
      <w:pPr>
        <w:pStyle w:val="ListParagraph"/>
        <w:numPr>
          <w:ilvl w:val="0"/>
          <w:numId w:val="16"/>
        </w:numPr>
        <w:spacing w:after="60" w:line="312"/>
        <w:jc w:val="left"/>
      </w:pPr>
      <w:r>
        <w:rPr>
          <w:rFonts w:ascii="Calibri" w:eastAsia="SimSun" w:hAnsi="Calibri"/>
          <w:b/>
          <w:bCs/>
          <w:color w:val="1A1A1A"/>
          <w:sz w:val="21"/>
          <w:szCs w:val="21"/>
        </w:rPr>
        <w:t xml:space="preserve">All operations are atomic.</w:t>
      </w:r>
      <w:r>
        <w:rPr>
          <w:rFonts w:ascii="Calibri" w:eastAsia="SimSun" w:hAnsi="Calibri"/>
          <w:b w:val="false"/>
          <w:bCs w:val="false"/>
          <w:color w:val="1A1A1A"/>
          <w:sz w:val="21"/>
          <w:szCs w:val="21"/>
        </w:rPr>
        <w:t xml:space="preserve"> The entire minting or redemption process is a single blockchain transaction. If any step fails, the entire transaction reverts and no partial state change survives.</w:t>
      </w:r>
    </w:p>
    <w:p>
      <w:pPr>
        <w:pStyle w:val="ListParagraph"/>
        <w:numPr>
          <w:ilvl w:val="0"/>
          <w:numId w:val="16"/>
        </w:numPr>
        <w:spacing w:after="60" w:line="312"/>
        <w:jc w:val="left"/>
      </w:pPr>
      <w:r>
        <w:rPr>
          <w:rFonts w:ascii="Calibri" w:eastAsia="SimSun" w:hAnsi="Calibri"/>
          <w:b/>
          <w:bCs/>
          <w:color w:val="1A1A1A"/>
          <w:sz w:val="21"/>
          <w:szCs w:val="21"/>
        </w:rPr>
        <w:t xml:space="preserve">Slippage is protected.</w:t>
      </w:r>
      <w:r>
        <w:rPr>
          <w:rFonts w:ascii="Calibri" w:eastAsia="SimSun" w:hAnsi="Calibri"/>
          <w:b w:val="false"/>
          <w:bCs w:val="false"/>
          <w:color w:val="1A1A1A"/>
          <w:sz w:val="21"/>
          <w:szCs w:val="21"/>
        </w:rPr>
        <w:t xml:space="preserve"> The user sets a minimum acceptable output for minting (minMTQOut) or a minimum asset value for redemption (minAssetOut), together with a slippage tolerance τ_user, and the transaction reverts if execution moves against the quoted price.</w:t>
      </w:r>
    </w:p>
    <w:p>
      <w:pPr>
        <w:spacing w:after="120" w:line="312"/>
        <w:jc w:val="both"/>
      </w:pPr>
      <w:r>
        <w:rPr>
          <w:rFonts w:ascii="Calibri" w:eastAsia="SimSun" w:hAnsi="Calibri"/>
          <w:b w:val="false"/>
          <w:bCs w:val="false"/>
          <w:color w:val="1A1A1A"/>
          <w:sz w:val="21"/>
          <w:szCs w:val="21"/>
        </w:rPr>
        <w:t xml:space="preserve">The two pricing rules, stated as formulas:</w:t>
      </w:r>
    </w:p>
    <w:p>
      <w:pPr>
        <w:spacing w:after="120" w:before="120" w:line="312"/>
        <w:jc w:val="center"/>
      </w:pPr>
      <w:r>
        <w:rPr>
          <w:rFonts w:ascii="Cambria" w:eastAsia="SimSun" w:hAnsi="Cambria"/>
          <w:i/>
          <w:iCs/>
          <w:color w:val="1A1A1A"/>
          <w:sz w:val="22"/>
          <w:szCs w:val="22"/>
        </w:rPr>
        <w:t xml:space="preserve">MTQ</w:t>
      </w:r>
      <w:r>
        <w:rPr>
          <w:rFonts w:ascii="Cambria" w:eastAsia="SimSun" w:hAnsi="Cambria"/>
          <w:i/>
          <w:iCs/>
          <w:color w:val="1A1A1A"/>
          <w:sz w:val="22"/>
          <w:szCs w:val="22"/>
          <w:vertAlign w:val="subscript"/>
        </w:rPr>
        <w:t xml:space="preserve">minted</w:t>
      </w:r>
      <w:r>
        <w:rPr>
          <w:rFonts w:ascii="Cambria" w:eastAsia="SimSun" w:hAnsi="Cambria"/>
          <w:i/>
          <w:iCs/>
          <w:color w:val="1A1A1A"/>
          <w:sz w:val="22"/>
          <w:szCs w:val="22"/>
        </w:rPr>
        <w:t xml:space="preserve"> = (X</w:t>
      </w:r>
      <w:r>
        <w:rPr>
          <w:rFonts w:ascii="Cambria" w:eastAsia="SimSun" w:hAnsi="Cambria"/>
          <w:i/>
          <w:iCs/>
          <w:color w:val="1A1A1A"/>
          <w:sz w:val="22"/>
          <w:szCs w:val="22"/>
          <w:vertAlign w:val="subscript"/>
        </w:rPr>
        <w:t xml:space="preserve">net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(invariant I5)</w:t>
      </w:r>
    </w:p>
    <w:p>
      <w:pPr>
        <w:spacing w:after="120" w:before="120" w:line="312"/>
        <w:jc w:val="center"/>
      </w:pPr>
      <w:r>
        <w:rPr>
          <w:rFonts w:ascii="Cambria" w:eastAsia="SimSun" w:hAnsi="Cambria"/>
          <w:i/>
          <w:iCs/>
          <w:color w:val="1A1A1A"/>
          <w:sz w:val="22"/>
          <w:szCs w:val="22"/>
        </w:rPr>
        <w:t xml:space="preserve">RedeemValue = Y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NAV</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(invariant I6)</w:t>
      </w:r>
    </w:p>
    <w:p>
      <w:pPr>
        <w:spacing w:after="120" w:line="312"/>
        <w:jc w:val="both"/>
      </w:pPr>
      <w:r>
        <w:rPr>
          <w:rFonts w:ascii="Calibri" w:eastAsia="SimSun" w:hAnsi="Calibri"/>
          <w:b w:val="false"/>
          <w:bCs w:val="false"/>
          <w:color w:val="1A1A1A"/>
          <w:sz w:val="21"/>
          <w:szCs w:val="21"/>
        </w:rPr>
        <w:t xml:space="preserve">where X_{net} is the deposit net of the mint fee, Y is the burn quantity, P_{MTQ,t} is the MTQ reference price derived from the chain-linked index (Section 9.8) and NAV_t is the per-token net asset value from the reserve accounting of Chapter 18. These two rules jointly produce the purchasing-power-equivalence behavior specified in Section 3.5: a user minting when the index stands at 1.12 receives fewer tokens per USD than a user minting at 0.92, because each token then represents more basket value. The user receives the purchasing-power equivalent of the deposit, not a fixed number of tokens, and redemption returns the current basket value of the tokens rather than a frozen amount.</w:t>
      </w:r>
    </w:p>
    <w:p>
      <w:pPr>
        <w:spacing w:after="120" w:line="312"/>
        <w:jc w:val="both"/>
      </w:pPr>
      <w:r>
        <w:rPr>
          <w:rFonts w:ascii="Calibri" w:eastAsia="SimSun" w:hAnsi="Calibri"/>
          <w:b w:val="false"/>
          <w:bCs w:val="false"/>
          <w:color w:val="1A1A1A"/>
          <w:sz w:val="21"/>
          <w:szCs w:val="21"/>
        </w:rPr>
        <w:t xml:space="preserve">Minting and redemption are also the protocol's natural cash flows: MARP nets deposit inflows and redemption outflows against required weight corrections before any external trade is considered (Section 10.7 and Chapter 11). Every price used in a quote is sourced from the canonical multi-source aggregator of Chapter 17 rather than from any single market feed; the solvency and liquidity gates of Chapter 13 guard entry, and the risk-state machinery of Section 14.2 and Chapter 21 can re-price or gate exits under stress. The full step-by-step flows are specified in Sections 19.2 and 19.3, the guard mathematics in Section 19.4, and the reference implementation in Listing 11.</w:t>
      </w:r>
    </w:p>
    <w:p>
      <w:pPr>
        <w:pStyle w:val="Heading2"/>
        <w:keepNext/>
        <w:spacing w:after="160" w:before="360" w:line="340" w:lineRule="atLeast"/>
      </w:pPr>
      <w:bookmarkStart w:id="100209" w:name="_Toc100209"/>
      <w:r>
        <w:rPr>
          <w:rFonts w:ascii="Calibri" w:eastAsia="Microsoft YaHei" w:hAnsi="Calibri"/>
          <w:b/>
          <w:bCs/>
          <w:color w:val="1A1A1A"/>
          <w:sz w:val="28"/>
          <w:szCs w:val="28"/>
        </w:rPr>
        <w:t xml:space="preserve">19.2 The Minting Flow</w:t>
      </w:r>
      <w:bookmarkEnd w:id="100209"/>
    </w:p>
    <w:p>
      <w:pPr>
        <w:spacing w:after="120" w:line="312"/>
        <w:jc w:val="both"/>
      </w:pPr>
      <w:r>
        <w:rPr>
          <w:rFonts w:ascii="Calibri" w:eastAsia="SimSun" w:hAnsi="Calibri"/>
          <w:b w:val="false"/>
          <w:bCs w:val="false"/>
          <w:color w:val="1A1A1A"/>
          <w:sz w:val="21"/>
          <w:szCs w:val="21"/>
        </w:rPr>
        <w:t xml:space="preserve">The minting flow converts one admitted stablecoin into newly minted MTQ Σ backed by the full reserve basket. The specification below carries the complete user input set and the seven-step on-chain sequence [BP §12.2]; the reference implementation is Listing 11 in Section 19.5, and the pricing doctrine that governs the quote is invariant I5 of Section 2.6.</w:t>
      </w:r>
    </w:p>
    <w:p>
      <w:pPr>
        <w:pStyle w:val="Heading3"/>
        <w:keepNext/>
        <w:spacing w:after="120" w:before="300" w:line="312"/>
      </w:pPr>
      <w:bookmarkStart w:id="100210" w:name="_Toc100210"/>
      <w:r>
        <w:rPr>
          <w:rFonts w:ascii="Calibri" w:eastAsia="Microsoft YaHei" w:hAnsi="Calibri"/>
          <w:b/>
          <w:bCs/>
          <w:color w:val="333333"/>
          <w:sz w:val="24"/>
          <w:szCs w:val="24"/>
        </w:rPr>
        <w:t xml:space="preserve">19.2.1 User Inputs</w:t>
      </w:r>
      <w:bookmarkEnd w:id="100210"/>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6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Deposit Asset</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tokenIn</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stablecoin the user deposits (e.g., USDC, EURC). Must be admitted under the Asset Admission Registry (Chapter 15).</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Deposit Amount</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X</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amount of tokenIn the user wants to deposit, in the token's native decimals.</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Tolerance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τ_user</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Maximum acceptable deviation from the quoted price (default 0.5%).</w:t>
            </w:r>
          </w:p>
        </w:tc>
      </w:tr>
    </w:tbl>
    <w:p>
      <w:pPr>
        <w:spacing w:after="120"/>
      </w:pPr>
    </w:p>
    <w:p>
      <w:pPr>
        <w:pStyle w:val="Heading3"/>
        <w:keepNext/>
        <w:spacing w:after="120" w:before="300" w:line="312"/>
      </w:pPr>
      <w:bookmarkStart w:id="100211" w:name="_Toc100211"/>
      <w:r>
        <w:rPr>
          <w:rFonts w:ascii="Calibri" w:eastAsia="Microsoft YaHei" w:hAnsi="Calibri"/>
          <w:b/>
          <w:bCs/>
          <w:color w:val="333333"/>
          <w:sz w:val="24"/>
          <w:szCs w:val="24"/>
        </w:rPr>
        <w:t xml:space="preserve">19.2.2 Step-by-Step Minting Process</w:t>
      </w:r>
      <w:bookmarkEnd w:id="100211"/>
    </w:p>
    <w:p>
      <w:pPr>
        <w:spacing w:after="120" w:line="312"/>
        <w:jc w:val="both"/>
      </w:pPr>
      <w:r>
        <w:rPr>
          <w:rFonts w:ascii="Calibri" w:eastAsia="SimSun" w:hAnsi="Calibri"/>
          <w:b/>
          <w:bCs/>
          <w:color w:val="1A1A1A"/>
          <w:sz w:val="21"/>
          <w:szCs w:val="21"/>
        </w:rPr>
        <w:t xml:space="preserve">Step 1 — Fee deduction.</w:t>
      </w:r>
      <w:r>
        <w:rPr>
          <w:rFonts w:ascii="Calibri" w:eastAsia="SimSun" w:hAnsi="Calibri"/>
          <w:b w:val="false"/>
          <w:bCs w:val="false"/>
          <w:color w:val="1A1A1A"/>
          <w:sz w:val="21"/>
          <w:szCs w:val="21"/>
        </w:rPr>
        <w:t xml:space="preserve"> The gross deposit is reduced by the mint fee before any pricing occurs:</w:t>
      </w:r>
    </w:p>
    <w:p>
      <w:pPr>
        <w:spacing w:after="120" w:before="120" w:line="312"/>
        <w:jc w:val="center"/>
      </w:pPr>
      <w:r>
        <w:rPr>
          <w:rFonts w:ascii="Cambria" w:eastAsia="SimSun" w:hAnsi="Cambria"/>
          <w:i/>
          <w:iCs/>
          <w:color w:val="1A1A1A"/>
          <w:sz w:val="22"/>
          <w:szCs w:val="22"/>
        </w:rPr>
        <w:t xml:space="preserve">X</w:t>
      </w:r>
      <w:r>
        <w:rPr>
          <w:rFonts w:ascii="Cambria" w:eastAsia="SimSun" w:hAnsi="Cambria"/>
          <w:i/>
          <w:iCs/>
          <w:color w:val="1A1A1A"/>
          <w:sz w:val="22"/>
          <w:szCs w:val="22"/>
          <w:vertAlign w:val="subscript"/>
        </w:rPr>
        <w:t xml:space="preserve">net</w:t>
      </w:r>
      <w:r>
        <w:rPr>
          <w:rFonts w:ascii="Cambria" w:eastAsia="SimSun" w:hAnsi="Cambria"/>
          <w:i/>
          <w:iCs/>
          <w:color w:val="1A1A1A"/>
          <w:sz w:val="22"/>
          <w:szCs w:val="22"/>
        </w:rPr>
        <w:t xml:space="preserve"> = X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F</w:t>
      </w:r>
      <w:r>
        <w:rPr>
          <w:rFonts w:ascii="Cambria" w:eastAsia="SimSun" w:hAnsi="Cambria"/>
          <w:i/>
          <w:iCs/>
          <w:color w:val="1A1A1A"/>
          <w:sz w:val="22"/>
          <w:szCs w:val="22"/>
          <w:vertAlign w:val="subscript"/>
        </w:rPr>
        <w:t xml:space="preserve">mint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F_{mint} = 0.001 (0.10%). The fee accrues to the Operational Wallet, is not part of the reserve collateral, and is excluded from NAV (Section 20.4). F_{mint} is the Normal-state default; the risk-state fee schedule of Chapter 21 governs the effective rate, and the parameter itself is tunable only through the governance process of Section 19.7.</w:t>
      </w:r>
    </w:p>
    <w:p>
      <w:pPr>
        <w:spacing w:after="120" w:line="312"/>
        <w:jc w:val="both"/>
      </w:pPr>
      <w:r>
        <w:rPr>
          <w:rFonts w:ascii="Calibri" w:eastAsia="SimSun" w:hAnsi="Calibri"/>
          <w:b/>
          <w:bCs/>
          <w:color w:val="1A1A1A"/>
          <w:sz w:val="21"/>
          <w:szCs w:val="21"/>
        </w:rPr>
        <w:t xml:space="preserve">Step 2 — Fetch the current MTQ reference price.</w:t>
      </w:r>
      <w:r>
        <w:rPr>
          <w:rFonts w:ascii="Calibri" w:eastAsia="SimSun" w:hAnsi="Calibri"/>
          <w:b w:val="false"/>
          <w:bCs w:val="false"/>
          <w:color w:val="1A1A1A"/>
          <w:sz w:val="21"/>
          <w:szCs w:val="21"/>
        </w:rPr>
        <w:t xml:space="preserve"> The contract reads the reference price from the chain-linked index:</w:t>
      </w:r>
    </w:p>
    <w:p>
      <w:pPr>
        <w:spacing w:after="120" w:before="120" w:line="312"/>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 (I</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)/(I</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I_t is the current index value (Section 9.8, Listing 3) and I_{base} = INDEX_BASE_DENOMINATOR is the genesis value stored immutably by the genesis event (Section 20.1.5). The component fixings feeding I_t are sourced from the canonical aggregator (Chapter 17), so no single market venue can move the mint quote.</w:t>
      </w:r>
    </w:p>
    <w:p>
      <w:pPr>
        <w:spacing w:after="120" w:line="312"/>
        <w:jc w:val="both"/>
      </w:pPr>
      <w:r>
        <w:rPr>
          <w:rFonts w:ascii="Calibri" w:eastAsia="SimSun" w:hAnsi="Calibri"/>
          <w:b/>
          <w:bCs/>
          <w:color w:val="1A1A1A"/>
          <w:sz w:val="21"/>
          <w:szCs w:val="21"/>
        </w:rPr>
        <w:t xml:space="preserve">Step 3 — Compute the minted amount.</w:t>
      </w:r>
    </w:p>
    <w:p>
      <w:pPr>
        <w:spacing w:after="120" w:before="120" w:line="312"/>
        <w:jc w:val="center"/>
      </w:pPr>
      <w:r>
        <w:rPr>
          <w:rFonts w:ascii="Cambria" w:eastAsia="SimSun" w:hAnsi="Cambria"/>
          <w:i/>
          <w:iCs/>
          <w:color w:val="1A1A1A"/>
          <w:sz w:val="22"/>
          <w:szCs w:val="22"/>
        </w:rPr>
        <w:t xml:space="preserve">MTQ</w:t>
      </w:r>
      <w:r>
        <w:rPr>
          <w:rFonts w:ascii="Cambria" w:eastAsia="SimSun" w:hAnsi="Cambria"/>
          <w:i/>
          <w:iCs/>
          <w:color w:val="1A1A1A"/>
          <w:sz w:val="22"/>
          <w:szCs w:val="22"/>
          <w:vertAlign w:val="subscript"/>
        </w:rPr>
        <w:t xml:space="preserve">minted</w:t>
      </w:r>
      <w:r>
        <w:rPr>
          <w:rFonts w:ascii="Cambria" w:eastAsia="SimSun" w:hAnsi="Cambria"/>
          <w:i/>
          <w:iCs/>
          <w:color w:val="1A1A1A"/>
          <w:sz w:val="22"/>
          <w:szCs w:val="22"/>
        </w:rPr>
        <w:t xml:space="preserve"> = (X</w:t>
      </w:r>
      <w:r>
        <w:rPr>
          <w:rFonts w:ascii="Cambria" w:eastAsia="SimSun" w:hAnsi="Cambria"/>
          <w:i/>
          <w:iCs/>
          <w:color w:val="1A1A1A"/>
          <w:sz w:val="22"/>
          <w:szCs w:val="22"/>
          <w:vertAlign w:val="subscript"/>
        </w:rPr>
        <w:t xml:space="preserve">net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This step is where the not-a-dollar principle is enforced. If P_{MTQ,t} = 1.12, the user receives X_{net}/1.12 tokens, not X_{net} tokens; the token count flexes so that the value claim is preserved. A worked comparison of the two cases appears in Section 19.6.1.</w:t>
      </w:r>
    </w:p>
    <w:p>
      <w:pPr>
        <w:spacing w:after="120" w:line="312"/>
        <w:jc w:val="both"/>
      </w:pPr>
      <w:r>
        <w:rPr>
          <w:rFonts w:ascii="Calibri" w:eastAsia="SimSun" w:hAnsi="Calibri"/>
          <w:b/>
          <w:bCs/>
          <w:color w:val="1A1A1A"/>
          <w:sz w:val="21"/>
          <w:szCs w:val="21"/>
        </w:rPr>
        <w:t xml:space="preserve">Step 4 — Atomic swap execution.</w:t>
      </w:r>
      <w:r>
        <w:rPr>
          <w:rFonts w:ascii="Calibri" w:eastAsia="SimSun" w:hAnsi="Calibri"/>
          <w:b w:val="false"/>
          <w:bCs w:val="false"/>
          <w:color w:val="1A1A1A"/>
          <w:sz w:val="21"/>
          <w:szCs w:val="21"/>
        </w:rPr>
        <w:t xml:space="preserve"> The deposited stablecoin is swapped into the full reserve basket in a single atomic transaction through the DEX aggregator. The v1.2 target basket, carried for lineage, was [BP §12.2.2]:</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Currency</w:t>
            </w:r>
          </w:p>
        </w:tc>
        <w:tc>
          <w:tcPr>
            <w:tcW w:type="pct" w:w="3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w:t>
            </w:r>
          </w:p>
        </w:tc>
        <w:tc>
          <w:tcPr>
            <w:tcW w:type="pct" w:w="4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Percentage of X_net</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38.90%</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27.80%</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16.69%</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11.11%</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5.50%</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(Remaining, ~0%)</w:t>
            </w:r>
          </w:p>
        </w:tc>
      </w:tr>
    </w:tbl>
    <w:p>
      <w:pPr>
        <w:spacing w:after="120"/>
      </w:pPr>
    </w:p>
    <w:p>
      <w:pPr>
        <w:spacing w:after="120" w:line="312"/>
        <w:jc w:val="both"/>
      </w:pPr>
      <w:r>
        <w:rPr>
          <w:rFonts w:ascii="Calibri" w:eastAsia="SimSun" w:hAnsi="Calibri"/>
          <w:b w:val="false"/>
          <w:bCs w:val="false"/>
          <w:color w:val="1A1A1A"/>
          <w:sz w:val="21"/>
          <w:szCs w:val="21"/>
        </w:rPr>
        <w:t xml:space="preserve">with the actual allocation — core fiat plus buffer gold — computed as: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3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w:t>
            </w:r>
          </w:p>
        </w:tc>
        <w:tc>
          <w:tcPr>
            <w:tcW w:type="pct" w:w="7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Percentage of X_net</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31.12%</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w:t>
            </w:r>
          </w:p>
        </w:tc>
        <w:tc>
          <w:tcPr>
            <w:tcW w:type="pct" w:w="7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22.24%</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13.35%</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w:t>
            </w:r>
          </w:p>
        </w:tc>
        <w:tc>
          <w:tcPr>
            <w:tcW w:type="pct" w:w="7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8.89%</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4.40%</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w:t>
            </w:r>
          </w:p>
        </w:tc>
        <w:tc>
          <w:tcPr>
            <w:tcW w:type="pct" w:w="7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20.00%</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v2.0 adaptation: the percentages above are the v1.2 core-80%-fiat-plus-20%-gold split, computed dynamically from the then-fixed target. Under v2.0 the purchased split is the live weight vector W_t published by the MASE weight registry (Listing 2, Section 2.7) — no percentage is hard-coded — while the liquidity buffer logic of Chapter 13 still overlays reserve holdings. The tables are retained as the canonical illustration of the mechanism: one deposit, one set of purchase legs, one transaction. Registry-resolved exposures (GBP₿, JPY₿, CNY₿ and, under v2.0, CHF) are implemented by whatever instruments the Asset Admission Registry currently admits (Chapter 15).</w:t>
      </w:r>
    </w:p>
    <w:p>
      <w:pPr>
        <w:spacing w:after="120" w:line="312"/>
        <w:jc w:val="both"/>
      </w:pPr>
      <w:r>
        <w:rPr>
          <w:rFonts w:ascii="Calibri" w:eastAsia="SimSun" w:hAnsi="Calibri"/>
          <w:b/>
          <w:bCs/>
          <w:color w:val="1A1A1A"/>
          <w:sz w:val="21"/>
          <w:szCs w:val="21"/>
        </w:rPr>
        <w:t xml:space="preserve">Step 5 — Slippage guard.</w:t>
      </w:r>
      <w:r>
        <w:rPr>
          <w:rFonts w:ascii="Calibri" w:eastAsia="SimSun" w:hAnsi="Calibri"/>
          <w:b w:val="false"/>
          <w:bCs w:val="false"/>
          <w:color w:val="1A1A1A"/>
          <w:sz w:val="21"/>
          <w:szCs w:val="21"/>
        </w:rPr>
        <w:t xml:space="preserve"> The user sets minMTQOut, the minimum number of MTQ tokens they are willing to accept. If the actual minted amount would be less than minMTQOut, the transaction reverts. The default value of the guard is derived from the quote and the tolerance, as specified in Section 19.4.1.</w:t>
      </w:r>
    </w:p>
    <w:p>
      <w:pPr>
        <w:spacing w:after="120" w:line="312"/>
        <w:jc w:val="both"/>
      </w:pPr>
      <w:r>
        <w:rPr>
          <w:rFonts w:ascii="Calibri" w:eastAsia="SimSun" w:hAnsi="Calibri"/>
          <w:b/>
          <w:bCs/>
          <w:color w:val="1A1A1A"/>
          <w:sz w:val="21"/>
          <w:szCs w:val="21"/>
        </w:rPr>
        <w:t xml:space="preserve">Step 6 — Mint tokens.</w:t>
      </w:r>
      <w:r>
        <w:rPr>
          <w:rFonts w:ascii="Calibri" w:eastAsia="SimSun" w:hAnsi="Calibri"/>
          <w:b w:val="false"/>
          <w:bCs w:val="false"/>
          <w:color w:val="1A1A1A"/>
          <w:sz w:val="21"/>
          <w:szCs w:val="21"/>
        </w:rPr>
        <w:t xml:space="preserve"> The contract mints MTQ_{minted} to the user's wallet. The mint increases both the reserve assets (purchased in Step 4) and the token liability by construction, so the operation is collateral-neutral at the moment of completion.</w:t>
      </w:r>
    </w:p>
    <w:p>
      <w:pPr>
        <w:spacing w:after="120" w:line="312"/>
        <w:jc w:val="both"/>
      </w:pPr>
      <w:r>
        <w:rPr>
          <w:rFonts w:ascii="Calibri" w:eastAsia="SimSun" w:hAnsi="Calibri"/>
          <w:b/>
          <w:bCs/>
          <w:color w:val="1A1A1A"/>
          <w:sz w:val="21"/>
          <w:szCs w:val="21"/>
        </w:rPr>
        <w:t xml:space="preserve">Step 7 — Update reserve state.</w:t>
      </w:r>
      <w:r>
        <w:rPr>
          <w:rFonts w:ascii="Calibri" w:eastAsia="SimSun" w:hAnsi="Calibri"/>
          <w:b w:val="false"/>
          <w:bCs w:val="false"/>
          <w:color w:val="1A1A1A"/>
          <w:sz w:val="21"/>
          <w:szCs w:val="21"/>
        </w:rPr>
        <w:t xml:space="preserve"> The reserve state is updated to reflect the new assets and liabilities (Chapter 18), keeping the reserve ratio and liquidity coverage measurements current for the next operation.</w:t>
      </w:r>
    </w:p>
    <w:p>
      <w:pPr>
        <w:spacing w:after="120" w:line="312"/>
        <w:jc w:val="both"/>
      </w:pPr>
      <w:r>
        <w:rPr>
          <w:rFonts w:ascii="Calibri" w:eastAsia="SimSun" w:hAnsi="Calibri"/>
          <w:b w:val="false"/>
          <w:bCs w:val="false"/>
          <w:color w:val="1A1A1A"/>
          <w:sz w:val="21"/>
          <w:szCs w:val="21"/>
        </w:rPr>
        <w:t xml:space="preserve">On success the operation emits Minted(user, tokenIn, amountIn, mtqMinted, mtqPrice), and SlippageWarning is emitted whenever a guard binds; both events feed the transparency and audit layer (Section 24.4).</w:t>
      </w:r>
    </w:p>
    <w:p>
      <w:pPr>
        <w:pStyle w:val="Heading2"/>
        <w:keepNext/>
        <w:spacing w:after="160" w:before="360" w:line="340" w:lineRule="atLeast"/>
      </w:pPr>
      <w:bookmarkStart w:id="100212" w:name="_Toc100212"/>
      <w:r>
        <w:rPr>
          <w:rFonts w:ascii="Calibri" w:eastAsia="Microsoft YaHei" w:hAnsi="Calibri"/>
          <w:b/>
          <w:bCs/>
          <w:color w:val="1A1A1A"/>
          <w:sz w:val="28"/>
          <w:szCs w:val="28"/>
        </w:rPr>
        <w:t xml:space="preserve">19.3 The Redemption Flow</w:t>
      </w:r>
      <w:bookmarkEnd w:id="100212"/>
    </w:p>
    <w:p>
      <w:pPr>
        <w:spacing w:after="120" w:line="312"/>
        <w:jc w:val="both"/>
      </w:pPr>
      <w:r>
        <w:rPr>
          <w:rFonts w:ascii="Calibri" w:eastAsia="SimSun" w:hAnsi="Calibri"/>
          <w:b w:val="false"/>
          <w:bCs w:val="false"/>
          <w:color w:val="1A1A1A"/>
          <w:sz w:val="21"/>
          <w:szCs w:val="21"/>
        </w:rPr>
        <w:t xml:space="preserve">The redemption flow burns MTQ Σ and releases the proportional reserve basket. It is priced against NAV rather than the index — the exit side uses what the reserve is actually worth, not what the reference unit quotes [BP §12.3]. The full input set and the eight-step on-chain sequence are carried below; the default exit is the full basket, and the single-asset router is an optional convenience layered on top of it.</w:t>
      </w:r>
    </w:p>
    <w:p>
      <w:pPr>
        <w:pStyle w:val="Heading3"/>
        <w:keepNext/>
        <w:spacing w:after="120" w:before="300" w:line="312"/>
      </w:pPr>
      <w:bookmarkStart w:id="100213" w:name="_Toc100213"/>
      <w:r>
        <w:rPr>
          <w:rFonts w:ascii="Calibri" w:eastAsia="Microsoft YaHei" w:hAnsi="Calibri"/>
          <w:b/>
          <w:bCs/>
          <w:color w:val="333333"/>
          <w:sz w:val="24"/>
          <w:szCs w:val="24"/>
        </w:rPr>
        <w:t xml:space="preserve">19.3.1 User Inputs</w:t>
      </w:r>
      <w:bookmarkEnd w:id="100213"/>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6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Burn Amount</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Y</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amount of MTQ Σ the user wants to redeem.</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Output Preference</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user can choose to receive the full basket or a single asset (via router).</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Tolerance</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τ_user</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Maximum acceptable deviation from the oracle price (default 0.5%).</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Output Asset</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outputAsset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user can specify a single asset (e.g., USDC) to receive. Default is the full basket (address(0)).</w:t>
            </w:r>
          </w:p>
        </w:tc>
      </w:tr>
    </w:tbl>
    <w:p>
      <w:pPr>
        <w:spacing w:after="120"/>
      </w:pPr>
    </w:p>
    <w:p>
      <w:pPr>
        <w:pStyle w:val="Heading3"/>
        <w:keepNext/>
        <w:spacing w:after="120" w:before="300" w:line="312"/>
      </w:pPr>
      <w:bookmarkStart w:id="100214" w:name="_Toc100214"/>
      <w:r>
        <w:rPr>
          <w:rFonts w:ascii="Calibri" w:eastAsia="Microsoft YaHei" w:hAnsi="Calibri"/>
          <w:b/>
          <w:bCs/>
          <w:color w:val="333333"/>
          <w:sz w:val="24"/>
          <w:szCs w:val="24"/>
        </w:rPr>
        <w:t xml:space="preserve">19.3.2 Step-by-Step Redemption Process</w:t>
      </w:r>
      <w:bookmarkEnd w:id="100214"/>
    </w:p>
    <w:p>
      <w:pPr>
        <w:spacing w:after="120" w:line="312"/>
        <w:jc w:val="both"/>
      </w:pPr>
      <w:r>
        <w:rPr>
          <w:rFonts w:ascii="Calibri" w:eastAsia="SimSun" w:hAnsi="Calibri"/>
          <w:b/>
          <w:bCs/>
          <w:color w:val="1A1A1A"/>
          <w:sz w:val="21"/>
          <w:szCs w:val="21"/>
        </w:rPr>
        <w:t xml:space="preserve">Step 1 — Fetch the current NAV.</w:t>
      </w:r>
      <w:r>
        <w:rPr>
          <w:rFonts w:ascii="Calibri" w:eastAsia="SimSun" w:hAnsi="Calibri"/>
          <w:b w:val="false"/>
          <w:bCs w:val="false"/>
          <w:color w:val="1A1A1A"/>
          <w:sz w:val="21"/>
          <w:szCs w:val="21"/>
        </w:rPr>
        <w:t xml:space="preserve"> The per-token net asset value is read from the reserve accounting:</w:t>
      </w:r>
    </w:p>
    <w:p>
      <w:pPr>
        <w:spacing w:after="120" w:before="120" w:line="312"/>
        <w:jc w:val="center"/>
      </w:pPr>
      <w:r>
        <w:rPr>
          <w:rFonts w:ascii="Cambria" w:eastAsia="SimSun" w:hAnsi="Cambria"/>
          <w:i/>
          <w:iCs/>
          <w:color w:val="1A1A1A"/>
          <w:sz w:val="22"/>
          <w:szCs w:val="22"/>
        </w:rPr>
        <w:t xml:space="preserve">NAV</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)/(S</w:t>
      </w:r>
      <w:r>
        <w:rPr>
          <w:rFonts w:ascii="Cambria" w:eastAsia="SimSun" w:hAnsi="Cambria"/>
          <w:i/>
          <w:iCs/>
          <w:color w:val="1A1A1A"/>
          <w:sz w:val="22"/>
          <w:szCs w:val="22"/>
          <w:vertAlign w:val="subscript"/>
        </w:rPr>
        <w:t xml:space="preserve">circ,t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V_{net,t} is the net reserve value and S_{circ,t} is the circulating supply, which excludes the non-circulating Genesis Reserve holdings (Section 20.1.4; Chapter 18).</w:t>
      </w:r>
    </w:p>
    <w:p>
      <w:pPr>
        <w:spacing w:after="120" w:line="312"/>
        <w:jc w:val="both"/>
      </w:pPr>
      <w:r>
        <w:rPr>
          <w:rFonts w:ascii="Calibri" w:eastAsia="SimSun" w:hAnsi="Calibri"/>
          <w:b/>
          <w:bCs/>
          <w:color w:val="1A1A1A"/>
          <w:sz w:val="21"/>
          <w:szCs w:val="21"/>
        </w:rPr>
        <w:t xml:space="preserve">Step 2 — Compute the redemption value.</w:t>
      </w:r>
    </w:p>
    <w:p>
      <w:pPr>
        <w:spacing w:after="120" w:before="120" w:line="312"/>
        <w:jc w:val="center"/>
      </w:pPr>
      <w:r>
        <w:rPr>
          <w:rFonts w:ascii="Cambria" w:eastAsia="SimSun" w:hAnsi="Cambria"/>
          <w:i/>
          <w:iCs/>
          <w:color w:val="1A1A1A"/>
          <w:sz w:val="22"/>
          <w:szCs w:val="22"/>
        </w:rPr>
        <w:t xml:space="preserve">RedeemValue</w:t>
      </w:r>
      <w:r>
        <w:rPr>
          <w:rFonts w:ascii="Cambria" w:eastAsia="SimSun" w:hAnsi="Cambria"/>
          <w:i/>
          <w:iCs/>
          <w:color w:val="1A1A1A"/>
          <w:sz w:val="22"/>
          <w:szCs w:val="22"/>
          <w:vertAlign w:val="subscript"/>
        </w:rPr>
        <w:t xml:space="preserve">USD</w:t>
      </w:r>
      <w:r>
        <w:rPr>
          <w:rFonts w:ascii="Cambria" w:eastAsia="SimSun" w:hAnsi="Cambria"/>
          <w:i/>
          <w:iCs/>
          <w:color w:val="1A1A1A"/>
          <w:sz w:val="22"/>
          <w:szCs w:val="22"/>
        </w:rPr>
        <w:t xml:space="preserve"> = Y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NAV</w:t>
      </w:r>
      <w:r>
        <w:rPr>
          <w:rFonts w:ascii="Cambria" w:eastAsia="SimSun" w:hAnsi="Cambria"/>
          <w:i/>
          <w:iCs/>
          <w:color w:val="1A1A1A"/>
          <w:sz w:val="22"/>
          <w:szCs w:val="22"/>
          <w:vertAlign w:val="subscript"/>
        </w:rPr>
        <w:t xml:space="preserve">t</w:t>
      </w:r>
    </w:p>
    <w:p>
      <w:pPr>
        <w:spacing w:after="120" w:line="312"/>
        <w:jc w:val="both"/>
      </w:pPr>
      <w:r>
        <w:rPr>
          <w:rFonts w:ascii="Calibri" w:eastAsia="SimSun" w:hAnsi="Calibri"/>
          <w:b w:val="false"/>
          <w:bCs w:val="false"/>
          <w:color w:val="1A1A1A"/>
          <w:sz w:val="21"/>
          <w:szCs w:val="21"/>
        </w:rPr>
        <w:t xml:space="preserve">The redeem quote is therefore the current value of the burned tokens expressed in USD-equivalent terms — invariant I6 of Section 2.6.</w:t>
      </w:r>
    </w:p>
    <w:p>
      <w:pPr>
        <w:spacing w:after="120" w:line="312"/>
        <w:jc w:val="both"/>
      </w:pPr>
      <w:r>
        <w:rPr>
          <w:rFonts w:ascii="Calibri" w:eastAsia="SimSun" w:hAnsi="Calibri"/>
          <w:b/>
          <w:bCs/>
          <w:color w:val="1A1A1A"/>
          <w:sz w:val="21"/>
          <w:szCs w:val="21"/>
        </w:rPr>
        <w:t xml:space="preserve">Step 3 — Fee deduction.</w:t>
      </w:r>
    </w:p>
    <w:p>
      <w:pPr>
        <w:spacing w:after="120" w:before="120" w:line="312"/>
        <w:jc w:val="center"/>
      </w:pPr>
      <w:r>
        <w:rPr>
          <w:rFonts w:ascii="Cambria" w:eastAsia="SimSun" w:hAnsi="Cambria"/>
          <w:i/>
          <w:iCs/>
          <w:color w:val="1A1A1A"/>
          <w:sz w:val="22"/>
          <w:szCs w:val="22"/>
        </w:rPr>
        <w:t xml:space="preserve">RedeemValue</w:t>
      </w:r>
      <w:r>
        <w:rPr>
          <w:rFonts w:ascii="Cambria" w:eastAsia="SimSun" w:hAnsi="Cambria"/>
          <w:i/>
          <w:iCs/>
          <w:color w:val="1A1A1A"/>
          <w:sz w:val="22"/>
          <w:szCs w:val="22"/>
          <w:vertAlign w:val="subscript"/>
        </w:rPr>
        <w:t xml:space="preserve">net</w:t>
      </w:r>
      <w:r>
        <w:rPr>
          <w:rFonts w:ascii="Cambria" w:eastAsia="SimSun" w:hAnsi="Cambria"/>
          <w:i/>
          <w:iCs/>
          <w:color w:val="1A1A1A"/>
          <w:sz w:val="22"/>
          <w:szCs w:val="22"/>
        </w:rPr>
        <w:t xml:space="preserve"> = RedeemValue</w:t>
      </w:r>
      <w:r>
        <w:rPr>
          <w:rFonts w:ascii="Cambria" w:eastAsia="SimSun" w:hAnsi="Cambria"/>
          <w:i/>
          <w:iCs/>
          <w:color w:val="1A1A1A"/>
          <w:sz w:val="22"/>
          <w:szCs w:val="22"/>
          <w:vertAlign w:val="subscript"/>
        </w:rPr>
        <w:t xml:space="preserve">USD</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F</w:t>
      </w:r>
      <w:r>
        <w:rPr>
          <w:rFonts w:ascii="Cambria" w:eastAsia="SimSun" w:hAnsi="Cambria"/>
          <w:i/>
          <w:iCs/>
          <w:color w:val="1A1A1A"/>
          <w:sz w:val="22"/>
          <w:szCs w:val="22"/>
          <w:vertAlign w:val="subscript"/>
        </w:rPr>
        <w:t xml:space="preserve">redeem</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F_{redeem} = 0.0015 (0.15%). This is the Normal-state default: the risk-state fee schedule of Chapter 21 raises the effective redemption fee in elevated stress states, which both leans against exit demand when the reserve most needs protection and compensates the protocol for the liquidity it must surrender. Fees accrue to the Operational Wallet (Section 20.4).</w:t>
      </w:r>
    </w:p>
    <w:p>
      <w:pPr>
        <w:spacing w:after="120" w:line="312"/>
        <w:jc w:val="both"/>
      </w:pPr>
      <w:r>
        <w:rPr>
          <w:rFonts w:ascii="Calibri" w:eastAsia="SimSun" w:hAnsi="Calibri"/>
          <w:b/>
          <w:bCs/>
          <w:color w:val="1A1A1A"/>
          <w:sz w:val="21"/>
          <w:szCs w:val="21"/>
        </w:rPr>
        <w:t xml:space="preserve">Step 4 — Calculate the proportional basket.</w:t>
      </w:r>
      <w:r>
        <w:rPr>
          <w:rFonts w:ascii="Calibri" w:eastAsia="SimSun" w:hAnsi="Calibri"/>
          <w:b w:val="false"/>
          <w:bCs w:val="false"/>
          <w:color w:val="1A1A1A"/>
          <w:sz w:val="21"/>
          <w:szCs w:val="21"/>
        </w:rPr>
        <w:t xml:space="preserve"> The protocol releases a proportional amount of each reserve asset [BP §12.3.2]:</w:t>
      </w:r>
    </w:p>
    <w:p>
      <w:pPr>
        <w:spacing w:after="120" w:before="120" w:line="312"/>
        <w:jc w:val="center"/>
      </w:pPr>
      <w:r>
        <w:rPr>
          <w:rFonts w:ascii="Cambria" w:eastAsia="SimSun" w:hAnsi="Cambria"/>
          <w:i/>
          <w:iCs/>
          <w:color w:val="1A1A1A"/>
          <w:sz w:val="22"/>
          <w:szCs w:val="22"/>
        </w:rPr>
        <w:t xml:space="preserve">Release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RedeemValue</w:t>
      </w:r>
      <w:r>
        <w:rPr>
          <w:rFonts w:ascii="Cambria" w:eastAsia="SimSun" w:hAnsi="Cambria"/>
          <w:i/>
          <w:iCs/>
          <w:color w:val="1A1A1A"/>
          <w:sz w:val="22"/>
          <w:szCs w:val="22"/>
          <w:vertAlign w:val="subscript"/>
        </w:rPr>
        <w:t xml:space="preserve">net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(V</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net</w:t>
      </w:r>
      <w:r>
        <w:rPr>
          <w:rFonts w:ascii="Cambria" w:eastAsia="SimSun" w:hAnsi="Cambria"/>
          <w:i/>
          <w:iCs/>
          <w:color w:val="1A1A1A"/>
          <w:sz w:val="22"/>
          <w:szCs w:val="22"/>
        </w:rPr>
        <w:t xml:space="preser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w:t>
            </w:r>
          </w:p>
        </w:tc>
        <w:tc>
          <w:tcPr>
            <w:tcW w:type="pct" w:w="7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Amount to Release</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RedeemValue_net × V_USDC / V_net</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RedeemValue_net × V_EURC / V_net</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RedeemValue_net × V_GBP / V_net</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RedeemValue_net × V_JPY / V_net</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RedeemValue_net × V_CNY / V_net</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RedeemValue_net × V_PAXG / V_net</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Under v2.0 the proportional release spans all components of the reserve, including the CHF instrument of the seven-component snapshot (Section 3.4) and any successor instruments admitted under Chapter 15; the table above reproduces the v1.2 six-asset release for lineage. The release is always proportional to actual reserve composition, never to target weights — redemption reflects what is held, not what is intended.</w:t>
      </w:r>
    </w:p>
    <w:p>
      <w:pPr>
        <w:spacing w:after="120" w:line="312"/>
        <w:jc w:val="both"/>
      </w:pPr>
      <w:r>
        <w:rPr>
          <w:rFonts w:ascii="Calibri" w:eastAsia="SimSun" w:hAnsi="Calibri"/>
          <w:b/>
          <w:bCs/>
          <w:color w:val="1A1A1A"/>
          <w:sz w:val="21"/>
          <w:szCs w:val="21"/>
        </w:rPr>
        <w:t xml:space="preserve">Step 5 — Release assets (full basket).</w:t>
      </w:r>
      <w:r>
        <w:rPr>
          <w:rFonts w:ascii="Calibri" w:eastAsia="SimSun" w:hAnsi="Calibri"/>
          <w:b w:val="false"/>
          <w:bCs w:val="false"/>
          <w:color w:val="1A1A1A"/>
          <w:sz w:val="21"/>
          <w:szCs w:val="21"/>
        </w:rPr>
        <w:t xml:space="preserve"> The protocol transfers the proportional assets to the user's wallet. Each transfer is part of the same transaction as the burn, so the user cannot be left holding burned tokens against unreleased assets.</w:t>
      </w:r>
    </w:p>
    <w:p>
      <w:pPr>
        <w:spacing w:after="120" w:line="312"/>
        <w:jc w:val="both"/>
      </w:pPr>
      <w:r>
        <w:rPr>
          <w:rFonts w:ascii="Calibri" w:eastAsia="SimSun" w:hAnsi="Calibri"/>
          <w:b/>
          <w:bCs/>
          <w:color w:val="1A1A1A"/>
          <w:sz w:val="21"/>
          <w:szCs w:val="21"/>
        </w:rPr>
        <w:t xml:space="preserve">Step 6 — Optional single-asset redemption (router).</w:t>
      </w:r>
      <w:r>
        <w:rPr>
          <w:rFonts w:ascii="Calibri" w:eastAsia="SimSun" w:hAnsi="Calibri"/>
          <w:b w:val="false"/>
          <w:bCs w:val="false"/>
          <w:color w:val="1A1A1A"/>
          <w:sz w:val="21"/>
          <w:szCs w:val="21"/>
        </w:rPr>
        <w:t xml:space="preserve"> If the user prefers to receive only USDC (or another single asset), the protocol uses a DEX router to swap the proportional basket into that asset in a single atomic transaction. The router guard of Section 19.4.2 applies, and the user bears the market conversion cost implicit in the route; the protocol itself never takes FX risk on the conversion.</w:t>
      </w:r>
    </w:p>
    <w:p>
      <w:pPr>
        <w:spacing w:after="120" w:line="312"/>
        <w:jc w:val="both"/>
      </w:pPr>
      <w:r>
        <w:rPr>
          <w:rFonts w:ascii="Calibri" w:eastAsia="SimSun" w:hAnsi="Calibri"/>
          <w:b/>
          <w:bCs/>
          <w:color w:val="1A1A1A"/>
          <w:sz w:val="21"/>
          <w:szCs w:val="21"/>
        </w:rPr>
        <w:t xml:space="preserve">Step 7 — Burn tokens.</w:t>
      </w:r>
      <w:r>
        <w:rPr>
          <w:rFonts w:ascii="Calibri" w:eastAsia="SimSun" w:hAnsi="Calibri"/>
          <w:b w:val="false"/>
          <w:bCs w:val="false"/>
          <w:color w:val="1A1A1A"/>
          <w:sz w:val="21"/>
          <w:szCs w:val="21"/>
        </w:rPr>
        <w:t xml:space="preserve"> The contract burns Y MTQ Σ from the user's wallet, reducing both the asset base and the liability in the same operation.</w:t>
      </w:r>
    </w:p>
    <w:p>
      <w:pPr>
        <w:spacing w:after="120" w:line="312"/>
        <w:jc w:val="both"/>
      </w:pPr>
      <w:r>
        <w:rPr>
          <w:rFonts w:ascii="Calibri" w:eastAsia="SimSun" w:hAnsi="Calibri"/>
          <w:b/>
          <w:bCs/>
          <w:color w:val="1A1A1A"/>
          <w:sz w:val="21"/>
          <w:szCs w:val="21"/>
        </w:rPr>
        <w:t xml:space="preserve">Step 8 — Update reserve state.</w:t>
      </w:r>
      <w:r>
        <w:rPr>
          <w:rFonts w:ascii="Calibri" w:eastAsia="SimSun" w:hAnsi="Calibri"/>
          <w:b w:val="false"/>
          <w:bCs w:val="false"/>
          <w:color w:val="1A1A1A"/>
          <w:sz w:val="21"/>
          <w:szCs w:val="21"/>
        </w:rPr>
        <w:t xml:space="preserve"> The reserve state is updated to reflect the reduced assets and liabilities (Chapter 18).</w:t>
      </w:r>
    </w:p>
    <w:p>
      <w:pPr>
        <w:spacing w:after="120" w:line="312"/>
        <w:jc w:val="both"/>
      </w:pPr>
      <w:r>
        <w:rPr>
          <w:rFonts w:ascii="Calibri" w:eastAsia="SimSun" w:hAnsi="Calibri"/>
          <w:b w:val="false"/>
          <w:bCs w:val="false"/>
          <w:color w:val="1A1A1A"/>
          <w:sz w:val="21"/>
          <w:szCs w:val="21"/>
        </w:rPr>
        <w:t xml:space="preserve">The full-basket branch emits Redeemed(user, mtqBurned, valueOut, assetAmounts) and the router branch emits RedeemedSingle(user, mtqBurned, valueOut, outputAsset); both feed the transparency layer (Section 24.4). The full-basket release doctrine — why the default exit is the basket itself rather than a single currency — is stated in Section 19.6.2.</w:t>
      </w:r>
    </w:p>
    <w:p>
      <w:pPr>
        <w:pStyle w:val="Heading2"/>
        <w:keepNext/>
        <w:spacing w:after="160" w:before="360" w:line="340" w:lineRule="atLeast"/>
      </w:pPr>
      <w:bookmarkStart w:id="100215" w:name="_Toc100215"/>
      <w:r>
        <w:rPr>
          <w:rFonts w:ascii="Calibri" w:eastAsia="Microsoft YaHei" w:hAnsi="Calibri"/>
          <w:b/>
          <w:bCs/>
          <w:color w:val="1A1A1A"/>
          <w:sz w:val="28"/>
          <w:szCs w:val="28"/>
        </w:rPr>
        <w:t xml:space="preserve">19.4 Slippage Guard Mathematics</w:t>
      </w:r>
      <w:bookmarkEnd w:id="100215"/>
    </w:p>
    <w:p>
      <w:pPr>
        <w:spacing w:after="120" w:line="312"/>
        <w:jc w:val="both"/>
      </w:pPr>
      <w:r>
        <w:rPr>
          <w:rFonts w:ascii="Calibri" w:eastAsia="SimSun" w:hAnsi="Calibri"/>
          <w:b w:val="false"/>
          <w:bCs w:val="false"/>
          <w:color w:val="1A1A1A"/>
          <w:sz w:val="21"/>
          <w:szCs w:val="21"/>
        </w:rPr>
        <w:t xml:space="preserve">The guards are a critical implementation detail rather than an afterthought. Quotes are computed before execution, and execution happens inside the same transaction, but the swap legs inside that transaction still face price movement between quote and fill — the aggregator routes through venues whose prices can drift while the transaction is in flight, and the oracle itself can refresh between the quote and the fill [BP §12.4]. The guards bound the user's loss to a pre-declared tolerance, at the cost of a revert.</w:t>
      </w:r>
    </w:p>
    <w:p>
      <w:pPr>
        <w:pStyle w:val="Heading3"/>
        <w:keepNext/>
        <w:spacing w:after="120" w:before="300" w:line="312"/>
      </w:pPr>
      <w:bookmarkStart w:id="100216" w:name="_Toc100216"/>
      <w:r>
        <w:rPr>
          <w:rFonts w:ascii="Calibri" w:eastAsia="Microsoft YaHei" w:hAnsi="Calibri"/>
          <w:b/>
          <w:bCs/>
          <w:color w:val="333333"/>
          <w:sz w:val="24"/>
          <w:szCs w:val="24"/>
        </w:rPr>
        <w:t xml:space="preserve">19.4.1 Minting Slippage Guard</w:t>
      </w:r>
      <w:bookmarkEnd w:id="100216"/>
    </w:p>
    <w:p>
      <w:pPr>
        <w:spacing w:after="120" w:line="312"/>
        <w:jc w:val="both"/>
      </w:pPr>
      <w:r>
        <w:rPr>
          <w:rFonts w:ascii="Calibri" w:eastAsia="SimSun" w:hAnsi="Calibri"/>
          <w:b w:val="false"/>
          <w:bCs w:val="false"/>
          <w:color w:val="1A1A1A"/>
          <w:sz w:val="21"/>
          <w:szCs w:val="21"/>
        </w:rPr>
        <w:t xml:space="preserve">The user sets a minMTQOut. The transaction reverts if:</w:t>
      </w:r>
    </w:p>
    <w:p>
      <w:pPr>
        <w:spacing w:after="120" w:before="120" w:line="312"/>
        <w:jc w:val="center"/>
      </w:pPr>
      <w:r>
        <w:rPr>
          <w:rFonts w:ascii="Cambria" w:eastAsia="SimSun" w:hAnsi="Cambria"/>
          <w:i w:val="false"/>
          <w:iCs w:val="false"/>
          <w:color w:val="1A1A1A"/>
          <w:sz w:val="22"/>
          <w:szCs w:val="22"/>
        </w:rPr>
        <w:t xml:space="preserve">revert if</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MTQ</w:t>
      </w:r>
      <w:r>
        <w:rPr>
          <w:rFonts w:ascii="Cambria" w:eastAsia="SimSun" w:hAnsi="Cambria"/>
          <w:i/>
          <w:iCs/>
          <w:color w:val="1A1A1A"/>
          <w:sz w:val="22"/>
          <w:szCs w:val="22"/>
          <w:vertAlign w:val="subscript"/>
        </w:rPr>
        <w:t xml:space="preserve">minted</w:t>
      </w:r>
      <w:r>
        <w:rPr>
          <w:rFonts w:ascii="Cambria" w:eastAsia="SimSun" w:hAnsi="Cambria"/>
          <w:i/>
          <w:iCs/>
          <w:color w:val="1A1A1A"/>
          <w:sz w:val="22"/>
          <w:szCs w:val="22"/>
        </w:rPr>
        <w:t xml:space="preserve"> &lt; minMTQOut</w:t>
      </w:r>
    </w:p>
    <w:p>
      <w:pPr>
        <w:spacing w:after="120" w:line="312"/>
        <w:jc w:val="both"/>
      </w:pPr>
      <w:r>
        <w:rPr>
          <w:rFonts w:ascii="Calibri" w:eastAsia="SimSun" w:hAnsi="Calibri"/>
          <w:b w:val="false"/>
          <w:bCs w:val="false"/>
          <w:color w:val="1A1A1A"/>
          <w:sz w:val="21"/>
          <w:szCs w:val="21"/>
        </w:rPr>
        <w:t xml:space="preserve">When the user does not supply an explicit value, the contract and front-ends compute the default from the current quote and the declared tolerance:</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minMTQOut</w:t>
      </w:r>
      <w:r>
        <w:rPr>
          <w:rFonts w:ascii="Cambria" w:eastAsia="SimSun" w:hAnsi="Cambria"/>
          <w:i/>
          <w:iCs/>
          <w:color w:val="1A1A1A"/>
          <w:sz w:val="22"/>
          <w:szCs w:val="22"/>
          <w:vertAlign w:val="subscript"/>
        </w:rPr>
        <w:t xml:space="preserve">default</w:t>
      </w:r>
      <w:r>
        <w:rPr>
          <w:rFonts w:ascii="Cambria" w:eastAsia="SimSun" w:hAnsi="Cambria"/>
          <w:i/>
          <w:iCs/>
          <w:color w:val="1A1A1A"/>
          <w:sz w:val="22"/>
          <w:szCs w:val="22"/>
        </w:rPr>
        <w:t xml:space="preserve"> = (X</w:t>
      </w:r>
      <w:r>
        <w:rPr>
          <w:rFonts w:ascii="Cambria" w:eastAsia="SimSun" w:hAnsi="Cambria"/>
          <w:i/>
          <w:iCs/>
          <w:color w:val="1A1A1A"/>
          <w:sz w:val="22"/>
          <w:szCs w:val="22"/>
          <w:vertAlign w:val="subscript"/>
        </w:rPr>
        <w:t xml:space="preserve">net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vertAlign w:val="subscript"/>
        </w:rPr>
        <w:t xml:space="preserve">user</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τ_user defaults to 0.005 (0.5%), the DEFAULT_SLIPPAGE constant of Listing 11. A user may always tighten the guard below the default — for example, to 0.1% around a large deposit — and the guard interacts with the 5-minute trade deadline carried in Section 19.7: if the transaction is not mined within the deadline, the aggregator call itself fails and the whole operation reverts.</w:t>
      </w:r>
    </w:p>
    <w:p>
      <w:pPr>
        <w:pStyle w:val="Heading3"/>
        <w:keepNext/>
        <w:spacing w:after="120" w:before="300" w:line="312"/>
      </w:pPr>
      <w:bookmarkStart w:id="100217" w:name="_Toc100217"/>
      <w:r>
        <w:rPr>
          <w:rFonts w:ascii="Calibri" w:eastAsia="Microsoft YaHei" w:hAnsi="Calibri"/>
          <w:b/>
          <w:bCs/>
          <w:color w:val="333333"/>
          <w:sz w:val="24"/>
          <w:szCs w:val="24"/>
        </w:rPr>
        <w:t xml:space="preserve">19.4.2 Redemption Slippage Guard (Single-Asset Router)</w:t>
      </w:r>
      <w:bookmarkEnd w:id="100217"/>
    </w:p>
    <w:p>
      <w:pPr>
        <w:spacing w:after="120" w:line="312"/>
        <w:jc w:val="both"/>
      </w:pPr>
      <w:r>
        <w:rPr>
          <w:rFonts w:ascii="Calibri" w:eastAsia="SimSun" w:hAnsi="Calibri"/>
          <w:b w:val="false"/>
          <w:bCs w:val="false"/>
          <w:color w:val="1A1A1A"/>
          <w:sz w:val="21"/>
          <w:szCs w:val="21"/>
        </w:rPr>
        <w:t xml:space="preserve">If the user chooses single-asset redemption, the DEX router provides a quote for converting the released basket into the chosen asset. The transaction reverts if:</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revert if</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ExecPrice &lt; OraclePrice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vertAlign w:val="subscript"/>
        </w:rPr>
        <w:t xml:space="preserve">user</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ExecPrice is the effective price actually realized by the router swap (value out divided by value in) and OraclePrice is the canonical price for the same conversion implied by the canonical aggregator of Chapter 17. τ_user again defaults to 0.005 (0.5%). For full-basket redemption no conversion occurs, so the guard takes the simpler minAssetOut form of Section 19.3.2: the transaction reverts if the net redemption value — or the aggregate value of the released basket at canonical prices — falls below the user's declared minimum. The SlippageWarning event of Listing 11 is emitted whenever a guard binds, so that the frequency of binding guards is itself observable in the transparency layer (Section 24.4).</w:t>
      </w:r>
    </w:p>
    <w:p>
      <w:pPr>
        <w:pStyle w:val="Heading2"/>
        <w:keepNext/>
        <w:spacing w:after="160" w:before="360" w:line="340" w:lineRule="atLeast"/>
      </w:pPr>
      <w:bookmarkStart w:id="100218" w:name="_Toc100218"/>
      <w:r>
        <w:rPr>
          <w:rFonts w:ascii="Calibri" w:eastAsia="Microsoft YaHei" w:hAnsi="Calibri"/>
          <w:b/>
          <w:bCs/>
          <w:color w:val="1A1A1A"/>
          <w:sz w:val="28"/>
          <w:szCs w:val="28"/>
        </w:rPr>
        <w:t xml:space="preserve">19.5 Smart Contract Implementation — mint() and redeem()</w:t>
      </w:r>
      <w:bookmarkEnd w:id="100218"/>
    </w:p>
    <w:p>
      <w:pPr>
        <w:spacing w:after="120" w:line="312"/>
        <w:jc w:val="both"/>
      </w:pPr>
      <w:r>
        <w:rPr>
          <w:rFonts w:ascii="Calibri" w:eastAsia="SimSun" w:hAnsi="Calibri"/>
          <w:b w:val="false"/>
          <w:bCs w:val="false"/>
          <w:color w:val="1A1A1A"/>
          <w:sz w:val="21"/>
          <w:szCs w:val="21"/>
        </w:rPr>
        <w:t xml:space="preserve">The reference implementation below carries BP §12.5 substantially complete and cleaned: the constants of §12.5.1, the mint() function of §12.5.2, the redeem() function of §12.5.3 (both the full-basket and router branches), the atomic swap encoding of §12.5.4 as adapted, and the events of §12.5.5. References are adapted to the v2.0 architecture: the GFB base denominator is renamed INDEX_BASE_DENOMINATOR and resolved through the chain-linked index of Chapter 9 (Listing 3); oracle feeds are sourced from the canonical aggregator of Chapter 17; asset admission is delegated to the registry of Chapter 15; and the purchased split follows the live weight vector of the MASE registry (Listing 2) instead of hard-coded percentages. The contract is the MTQ Σ token itself, so _mint, _burn and balanceOf are the standard ERC-20 internals.</w:t>
      </w:r>
    </w:p>
    <w:p>
      <w:pPr>
        <w:keepNext/>
        <w:spacing w:after="80" w:before="280" w:line="312"/>
      </w:pPr>
      <w:r>
        <w:rPr>
          <w:rFonts w:ascii="Calibri" w:eastAsia="SimSun" w:hAnsi="Calibri"/>
          <w:b/>
          <w:bCs/>
          <w:color w:val="8A6D1F"/>
          <w:sz w:val="19"/>
          <w:szCs w:val="19"/>
        </w:rPr>
        <w:t xml:space="preserve">Listing 11 — Minting and redemption against the adaptive index (adapts BP §12.5)</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MTQMintRedeem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CONSTANTS (BP §12.5.1)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Minting fee (0.10%)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MINT_FEE = 0.001e18;          // 0.10%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Redemption fee (0.15%)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REDEEM_FEE = 0.0015e18;       // 0.15%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Default slippage tolerance (0.5%)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DEFAULT_SLIPPAGE = 0.005e18;  // 0.5%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Minimum mint amount (to prevent dust)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MIN_MINT = 1e18;              // 1 MTQ</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Minimum redeem amount (to prevent dust)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MIN_REDEEM = 1e18;            // 1 MTQ</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DEX Aggregator address (1inch or Paraswap; governed 4/7 + 48h timelock)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constant AGGREGATOR = 0x...;           // set at deployment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Trade deadline for aggregator calls (5 minutes, immutable)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SWAP_DEADLINE = 300;          // seconds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External references (v2.0 cross-references)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getMTQPrice() ........ chain-linked index, §9.8 / Listing 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getNAV(), getCirculatingSupply(), updateReserveState() ... Ch 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isApprovedAsset() .... Asset Admission Registry, Ch 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getLiveWeights() ..... MASE weight registry, Listing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getProportionalAssets(), transferAssetsToUser(),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getInstrumentPath(), encodeSingleAssetSwapData() ... developer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helpers (Appendix B). All price inputs originate from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canonical aggregator of Ch 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weightRegistry;   // MASE weight registry (Listing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mint() (BP §12.5.2)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Mints MTQ Σ by depositing a single stablecoin.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tokenIn The stablecoin address (e.g., 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amount The amount of tokenIn to deposit.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minMTQOut The minimum MTQ the user is willing to accept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(slippage guard).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 mtqMinted The amount of MTQ Σ minted.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mint(address tokenIn, uint256 amount, uint256 minMTQOut)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onlyIfSolvent onlyIfLiquid nonReentrant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require(amount &gt;= MIN_MINT, "Amount too small");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require(isApprovedAsset(tokenIn), "Asset not approved");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Transfer tokens from user to contract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IERC20(tokenIn).transferFrom(msg.sender, address(this),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Deduct minting fee (accrues to the Operational Wallet, §20.4)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amountNet = amount * (1e18 - MINT_FEE)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Get current MTQ price — chain-linked index (§9.8, Listing 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component feeds sourced from the canonical aggregator (Ch 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mtqPrice = getMTQPrice();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Compute minted amount (invariant I5: priced against the index)</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mtqMinted = (amountNet * 1e18) / 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require(mtqMinted &gt;= minMTQOut, "Slippage too high (mint)");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Execute atomic swap to buy the full reserve basket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swapData = encodeMintSwapData(tokenIn, amountNet);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success, ) = AGGREGATOR.call(swapData);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require(success, "Swap failed");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Mint MTQ to user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_mint(msg.sender, mtqMinted);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Update reserve state (assets and liabilities, Ch 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8. Emit event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Minted(msg.sender, tokenIn, amount, mtqMinted, 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mtqMinted;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redeem() (BP §12.5.3)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Redeems MTQ Σ for the proportional reserve basket or a single 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mtqAmount The amount of MTQ to redeem.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minAssetOut The minimum value of assets the user is willing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to accept.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outputAsset (Optional) The address of a single asset to receive.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Use address(0) for the full basket.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 assetsReceived The amounts of each asset received.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redeem(uint256 mtqAmount, uint256 minAssetOut, address outputAsset)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nonReentrant returns (uint256[] memory)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require(mtqAmount &gt;= MIN_REDEEM, "Amount too small");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require(balanceOf(msg.sender) &gt;= mtqAmount, "Insufficient 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Current NAV per token (Ch 18; supply excludes the Genesis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Reserve, §20.1)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nav = getNAV();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circSupply = getCirculatingSupply();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navPerToken = (nav * 1e18) / circSupply;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Redemption value priced against NAV (invariant I6)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redeemValueUSD = (mtqAmount * navPerToken)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Fee deduction (Normal-state default; risk-state schedule, Ch 21)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redeemValueNet = redeemValueUSD * (1e18 - REDEEM_FEE)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require(redeemValueNet &gt;= minAssetOut, "Slippage too high (redeem)");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(outputAsset == address(0))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4a. Full basket redemption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memory assetAmounts = getProportionalAssets(redeemValueNet);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_burn(msg.sender, mtqAmount);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transferAssetsToUser(assetAmounts);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Redeemed(msg.sender, mtqAmount, redeemValueNet, assetAmounts);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assetAmounts;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4b. Single-asset redemption (via router). The router quote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includes slippage; the user is responsible for setting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minAssetOut (guard math in §19.4.2).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swapData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encodeSingleAssetSwapData(redeemValueNet, outputAsset);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success, ) = AGGREGATOR.call(swapData);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require(success, "Swap failed");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_burn(msg.sender, mtqAmount);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RedeemedSingle(msg.sender, mtqAmount, redeemValueNet, outputAsset);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 a single-element array for consistency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memory result = new uint256[](1);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result[0] = IERC20(outputAsset).balanceOf(msg.sender); // approximate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result;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ATOMIC SWAP ENCODING (BP §12.5.4, adapted)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Encodes the swap data for minting the full reserve basket.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v2.0: the split follows the live weight vector W_t published by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MASE weight registry (Listing 2). The v1.2 hard-coded split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(USDC 31.12%, EURC 22.24%, GBP 13.35%, JPY 8.89%, CNY 4.40%,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PAXG 20.00%) is superseded.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encodeMintSwapData(address tokenIn,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returns (bytes memory)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Live weights (sum = 1e18) with methodology and data version hashes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memory weights, bytes32 methodologyVersion, bytes32 dataVersion)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IWeightRegistry(weightRegistry).getLiveWeights();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One instrument leg per component, resolved through the 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Admission Registry (Ch 15); the deposit asset is the entry leg.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memory path = getInstrumentPath(tokenIn);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Split the amount according to the live basket 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memory amounts = new uint256[](7);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amounts[i] = amount * weights[i]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abi.encodeWithSelector(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IAggregator.swap.selector,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amounts,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address(this),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block.timestamp + SWAP_DEADLINE   // 5-minute deadline (immutable)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EVENTS (BP §12.5.5)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Minted(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indexed user,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indexed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mtqMinted,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Redeemed(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indexed user,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mtqBurned,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valueOut,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assetAmounts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Emitted by the single-asset branch of redeem() (BP §12.5.3);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declared here because the BP §12.5.5 event list omits 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RedeemedSingle(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indexed user,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mtqBurned,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valueOut,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outputAsset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SlippageWarning(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operation,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expected,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actual,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tolerance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IERC20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transferFrom(address from, address to, uint256 value) external returns (bool);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transfer(address to, uint256 value) external returns (bool);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balanceOf(address account)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IWeightRegistry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getLiveWeights()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view returns (uint256[7] memory weights, bytes32 methodologyVersion, bytes32 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IAggregator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swap(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calldata path,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calldata amounts,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recipient,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external;</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(Listing 11 vs. BP §12.5): carried verbatim (cleaned) are the fee, slippage and dust constants, the mint() and redeem() pricing sequences, the guard revert conditions, the router-vs-basket branch structure, and the Minted / Redeemed / SlippageWarning events. Five adaptations are deliberate: (i) GFB base denominator references become the chain-linked INDEX_BASE_DENOMINATOR of Listing 3 (Chapter 9); (ii) oracle references become the canonical aggregator of Chapter 17; (iii) the hard-coded v1.2 basket split in the swap encoding is replaced by the live registry weights, with the 5-minute deadline retained; (iv) the re-entrancy guard required by the BP §12 security note is made explicit on both entry points; and (v) RedeemedSingle is declared with the §12.5.5 events because redeem() emits it. The helper functions getProportionalAssets(), transferAssetsToUser(), getInstrumentPath() and encodeSingleAssetSwapData() remain developer actions per the Appendix B checklist; the AGGREGATOR address must be immutable or governed by a 4/7 Multi-Sig with a 48-hour timelock.</w:t>
      </w:r>
    </w:p>
    <w:p>
      <w:pPr>
        <w:pStyle w:val="Heading2"/>
        <w:keepNext/>
        <w:spacing w:after="160" w:before="360" w:line="340" w:lineRule="atLeast"/>
      </w:pPr>
      <w:bookmarkStart w:id="100219" w:name="_Toc100219"/>
      <w:r>
        <w:rPr>
          <w:rFonts w:ascii="Calibri" w:eastAsia="Microsoft YaHei" w:hAnsi="Calibri"/>
          <w:b/>
          <w:bCs/>
          <w:color w:val="1A1A1A"/>
          <w:sz w:val="28"/>
          <w:szCs w:val="28"/>
        </w:rPr>
        <w:t xml:space="preserve">19.6 Critical Notes</w:t>
      </w:r>
      <w:bookmarkEnd w:id="100219"/>
    </w:p>
    <w:p>
      <w:pPr>
        <w:spacing w:after="120" w:line="312"/>
        <w:jc w:val="both"/>
      </w:pPr>
      <w:r>
        <w:rPr>
          <w:rFonts w:ascii="Calibri" w:eastAsia="SimSun" w:hAnsi="Calibri"/>
          <w:b w:val="false"/>
          <w:bCs w:val="false"/>
          <w:color w:val="1A1A1A"/>
          <w:sz w:val="21"/>
          <w:szCs w:val="21"/>
        </w:rPr>
        <w:t xml:space="preserve">Four properties of the module are frequently misunderstood and are therefore stated explicitly [BP §12.6]. Each restates a rule that is already enforced by the code of Listing 11; they are collected here because they define what a user can and cannot expect from the entry and exit layers.</w:t>
      </w:r>
    </w:p>
    <w:p>
      <w:pPr>
        <w:pStyle w:val="Heading3"/>
        <w:keepNext/>
        <w:spacing w:after="120" w:before="300" w:line="312"/>
      </w:pPr>
      <w:bookmarkStart w:id="100220" w:name="_Toc100220"/>
      <w:r>
        <w:rPr>
          <w:rFonts w:ascii="Calibri" w:eastAsia="Microsoft YaHei" w:hAnsi="Calibri"/>
          <w:b/>
          <w:bCs/>
          <w:color w:val="333333"/>
          <w:sz w:val="24"/>
          <w:szCs w:val="24"/>
        </w:rPr>
        <w:t xml:space="preserve">19.6.1 Minting Does Not Create a 1:1 USD Peg</w:t>
      </w:r>
      <w:bookmarkEnd w:id="100220"/>
    </w:p>
    <w:p>
      <w:pPr>
        <w:spacing w:after="120" w:line="312"/>
        <w:jc w:val="both"/>
      </w:pPr>
      <w:r>
        <w:rPr>
          <w:rFonts w:ascii="Calibri" w:eastAsia="SimSun" w:hAnsi="Calibri"/>
          <w:b w:val="false"/>
          <w:bCs w:val="false"/>
          <w:color w:val="1A1A1A"/>
          <w:sz w:val="21"/>
          <w:szCs w:val="21"/>
        </w:rPr>
        <w:t xml:space="preserve">The formula MTQ_{minted} = X_{net}/P_{MTQ,t} means that the token count delivered for a given deposit moves inversely with the reference price: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P_{MTQ,t} = 1.12, depositing 1,000 USDC yields 1{,}000/1.12 \approx 892.86 MTQ.</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P_{MTQ,t} = 0.92, depositing 1,000 USDC yields 1{,}000/0.92 \approx 1{,}086.96 MTQ.</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This is intentional. The user receives the purchasing power equivalent of their deposit, not a fixed number of tokens [BP §12.6.1].</w:t>
      </w:r>
    </w:p>
    <w:p>
      <w:pPr>
        <w:spacing w:after="120" w:line="312"/>
        <w:jc w:val="both"/>
      </w:pPr>
      <w:r>
        <w:rPr>
          <w:rFonts w:ascii="Calibri" w:eastAsia="SimSun" w:hAnsi="Calibri"/>
          <w:b w:val="false"/>
          <w:bCs w:val="false"/>
          <w:color w:val="1A1A1A"/>
          <w:sz w:val="21"/>
          <w:szCs w:val="21"/>
        </w:rPr>
        <w:t xml:space="preserve">The mirror image holds at redemption: because the exit is priced against NAV_t, a holder never redeems a frozen 1:1 amount either. Both sides flex around value, which is exactly what a purchasing-power unit requires (Sections 3.5 and 2.6, invariants I5 and I6).</w:t>
      </w:r>
    </w:p>
    <w:p>
      <w:pPr>
        <w:pStyle w:val="Heading3"/>
        <w:keepNext/>
        <w:spacing w:after="120" w:before="300" w:line="312"/>
      </w:pPr>
      <w:bookmarkStart w:id="100221" w:name="_Toc100221"/>
      <w:r>
        <w:rPr>
          <w:rFonts w:ascii="Calibri" w:eastAsia="Microsoft YaHei" w:hAnsi="Calibri"/>
          <w:b/>
          <w:bCs/>
          <w:color w:val="333333"/>
          <w:sz w:val="24"/>
          <w:szCs w:val="24"/>
        </w:rPr>
        <w:t xml:space="preserve">19.6.2 Redemption Releases the Full Basket</w:t>
      </w:r>
      <w:bookmarkEnd w:id="100221"/>
    </w:p>
    <w:p>
      <w:pPr>
        <w:spacing w:after="120" w:line="312"/>
        <w:jc w:val="both"/>
      </w:pPr>
      <w:r>
        <w:rPr>
          <w:rFonts w:ascii="Calibri" w:eastAsia="SimSun" w:hAnsi="Calibri"/>
          <w:b w:val="false"/>
          <w:bCs w:val="false"/>
          <w:color w:val="1A1A1A"/>
          <w:sz w:val="21"/>
          <w:szCs w:val="21"/>
        </w:rPr>
        <w:t xml:space="preserve">The default redemption gives the user all fiat exposures plus gold, in proportion to the current reserve composition. This ensures the redemption faithfully reflects the global purchasing-power claim: the holder exits with the same diversified exposure the unit represented while held, not with a single-currency settlement that would silently re-impose USD (or any other currency) risk at the exit door. The single-asset router is a user convenience that adds a market conversion on top of this default; the conversion cost and the router slippage guard are borne by the requesting user, never by the reserve.</w:t>
      </w:r>
    </w:p>
    <w:p>
      <w:pPr>
        <w:pStyle w:val="Heading3"/>
        <w:keepNext/>
        <w:spacing w:after="120" w:before="300" w:line="312"/>
      </w:pPr>
      <w:bookmarkStart w:id="100222" w:name="_Toc100222"/>
      <w:r>
        <w:rPr>
          <w:rFonts w:ascii="Calibri" w:eastAsia="Microsoft YaHei" w:hAnsi="Calibri"/>
          <w:b/>
          <w:bCs/>
          <w:color w:val="333333"/>
          <w:sz w:val="24"/>
          <w:szCs w:val="24"/>
        </w:rPr>
        <w:t xml:space="preserve">19.6.3 Atomicity Is On-Chain Only</w:t>
      </w:r>
      <w:bookmarkEnd w:id="100222"/>
    </w:p>
    <w:p>
      <w:pPr>
        <w:spacing w:after="120" w:line="312"/>
        <w:jc w:val="both"/>
      </w:pPr>
      <w:r>
        <w:rPr>
          <w:rFonts w:ascii="Calibri" w:eastAsia="SimSun" w:hAnsi="Calibri"/>
          <w:b w:val="false"/>
          <w:bCs w:val="false"/>
          <w:color w:val="1A1A1A"/>
          <w:sz w:val="21"/>
          <w:szCs w:val="21"/>
        </w:rPr>
        <w:t xml:space="preserve">The term atomic refers to on-chain transaction atomicity: the entire mint or redemption is a single blockchain transaction, and if any step fails the whole transaction reverts with no partial state change. External dependencies — the DEX aggregator, the oracle feeds of Chapter 17 — may nevertheless introduce latency or failure modes of their own (a stale feed, a route that cannot fill within the deadline). These are handled by the revert logic and the guards of Section 19.4: the failure mode of every external dependency is a clean revert, never a partially executed mint or redemption.</w:t>
      </w:r>
    </w:p>
    <w:p>
      <w:pPr>
        <w:pStyle w:val="Heading3"/>
        <w:keepNext/>
        <w:spacing w:after="120" w:before="300" w:line="312"/>
      </w:pPr>
      <w:bookmarkStart w:id="100223" w:name="_Toc100223"/>
      <w:r>
        <w:rPr>
          <w:rFonts w:ascii="Calibri" w:eastAsia="Microsoft YaHei" w:hAnsi="Calibri"/>
          <w:b/>
          <w:bCs/>
          <w:color w:val="333333"/>
          <w:sz w:val="24"/>
          <w:szCs w:val="24"/>
        </w:rPr>
        <w:t xml:space="preserve">19.6.4 Minimum Amounts</w:t>
      </w:r>
      <w:bookmarkEnd w:id="100223"/>
    </w:p>
    <w:p>
      <w:pPr>
        <w:spacing w:after="120" w:line="312"/>
        <w:jc w:val="both"/>
      </w:pPr>
      <w:r>
        <w:rPr>
          <w:rFonts w:ascii="Calibri" w:eastAsia="SimSun" w:hAnsi="Calibri"/>
          <w:b w:val="false"/>
          <w:bCs w:val="false"/>
          <w:color w:val="1A1A1A"/>
          <w:sz w:val="21"/>
          <w:szCs w:val="21"/>
        </w:rPr>
        <w:t xml:space="preserve">The constants MIN_MINT and MIN_REDEEM prevent dust transactions that would waste gas and clutter the reserve state. They are set to 1 MTQ (1e18) by default. BP §12.6.4 describes the minimums as governance-adjustable, while BP §12.7 classifies them as constitutional (immutable); the listing resolves this tension by declaring them as compile-time constants, so any change requires a governance-approved redeployment — the stricter reading is normative, and the discrepancy is recorded in the decision log (Section 24.4).</w:t>
      </w:r>
    </w:p>
    <w:p>
      <w:pPr>
        <w:pStyle w:val="Heading2"/>
        <w:keepNext/>
        <w:spacing w:after="160" w:before="360" w:line="340" w:lineRule="atLeast"/>
      </w:pPr>
      <w:bookmarkStart w:id="100224" w:name="_Toc100224"/>
      <w:r>
        <w:rPr>
          <w:rFonts w:ascii="Calibri" w:eastAsia="Microsoft YaHei" w:hAnsi="Calibri"/>
          <w:b/>
          <w:bCs/>
          <w:color w:val="1A1A1A"/>
          <w:sz w:val="28"/>
          <w:szCs w:val="28"/>
        </w:rPr>
        <w:t xml:space="preserve">19.7 Summary of Developer-Facing Constants</w:t>
      </w:r>
      <w:bookmarkEnd w:id="100224"/>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2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3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Governance</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 Fee</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F_mint</w:t>
            </w:r>
          </w:p>
        </w:tc>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0.10%</w:t>
            </w:r>
          </w:p>
        </w:tc>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F_redeem</w:t>
            </w:r>
          </w:p>
        </w:tc>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0.15%</w:t>
            </w:r>
          </w:p>
        </w:tc>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Default Slippage</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τ_user</w:t>
            </w:r>
          </w:p>
        </w:tc>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w:t>
            </w:r>
          </w:p>
        </w:tc>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 Mint Amount</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MIN_MINT</w:t>
            </w:r>
          </w:p>
        </w:tc>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MTQ</w:t>
            </w:r>
          </w:p>
        </w:tc>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 Redeem Amount</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MIN_REDEEM</w:t>
            </w:r>
          </w:p>
        </w:tc>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MTQ</w:t>
            </w:r>
          </w:p>
        </w:tc>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Aggregator Address</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1inch/Paraswap</w:t>
            </w:r>
          </w:p>
        </w:tc>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Multi-Sig (4/7)</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Trade Deadline</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 minutes</w:t>
            </w:r>
          </w:p>
        </w:tc>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bl>
    <w:p>
      <w:pPr>
        <w:spacing w:after="120"/>
      </w:pPr>
    </w:p>
    <w:p>
      <w:pPr>
        <w:spacing w:after="120" w:line="312"/>
        <w:jc w:val="both"/>
      </w:pPr>
      <w:r>
        <w:rPr>
          <w:rFonts w:ascii="Calibri" w:eastAsia="SimSun" w:hAnsi="Calibri"/>
          <w:b w:val="false"/>
          <w:bCs w:val="false"/>
          <w:color w:val="1A1A1A"/>
          <w:sz w:val="21"/>
          <w:szCs w:val="21"/>
        </w:rPr>
        <w:t xml:space="preserve">One reconciliation is required across the document: Section 2.9 lists the fee parameters under DAO vote while BP §12.7 lists them under the Risk Council (4/7). The definitive mapping is the parameter registry of Section 22.3, and the risk-state fee schedule of Chapter 21 governs the effective rates actually charged — the values above are the Normal-state defaults. The full deployment checklist for the entry/exit layer (helper functions, aggregator governance, re-entrancy guards, deadline handling) is consolidated in Appendix B, and the testnet mock aggregator and mock assets used to exercise mint() and redeem() before production are specified in Appendix D.</w:t>
      </w:r>
    </w:p>
    <w:p>
      <w:pPr>
        <w:pStyle w:val="Heading1"/>
        <w:keepNext/>
        <w:pBdr>
          <w:bottom w:val="single" w:color="C9A84C" w:sz="12" w:space="6"/>
        </w:pBdr>
        <w:spacing w:after="220" w:before="480" w:line="380" w:lineRule="atLeast"/>
      </w:pPr>
      <w:bookmarkStart w:id="100225" w:name="_Toc100225"/>
      <w:r>
        <w:rPr>
          <w:rFonts w:ascii="Calibri" w:eastAsia="Microsoft YaHei" w:hAnsi="Calibri"/>
          <w:b/>
          <w:bCs/>
          <w:color w:val="1A1A1A"/>
          <w:sz w:val="32"/>
          <w:szCs w:val="32"/>
        </w:rPr>
        <w:t xml:space="preserve">20. Genesis, Accounting and Treasury</w:t>
      </w:r>
      <w:bookmarkEnd w:id="100225"/>
    </w:p>
    <w:p>
      <w:pPr>
        <w:pStyle w:val="Heading2"/>
        <w:keepNext/>
        <w:spacing w:after="160" w:before="360" w:line="340" w:lineRule="atLeast"/>
      </w:pPr>
      <w:bookmarkStart w:id="100226" w:name="_Toc100226"/>
      <w:r>
        <w:rPr>
          <w:rFonts w:ascii="Calibri" w:eastAsia="Microsoft YaHei" w:hAnsi="Calibri"/>
          <w:b/>
          <w:bCs/>
          <w:color w:val="1A1A1A"/>
          <w:sz w:val="28"/>
          <w:szCs w:val="28"/>
        </w:rPr>
        <w:t xml:space="preserve">20.1 The Genesis Event</w:t>
      </w:r>
      <w:bookmarkEnd w:id="100226"/>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Genesis Event is the initialization of the protocol: it establishes the reserve vault, mints the first MTQ Σ tokens, and sets the chain-linked index to its base value of exactly 1.0000. Together with the accounting separation and the treasury sweep, it ensures that operational funds are kept strictly apart from reserve collateral, that excess surplus is moved automatically to a secure multi-signature cold treasury, and that all accounting is transparent and auditable on-chain [BP §13.1, §13.2].</w:t>
      </w:r>
    </w:p>
    <w:p>
      <w:pPr>
        <w:pStyle w:val="Heading3"/>
        <w:keepNext/>
        <w:spacing w:after="120" w:before="300" w:line="312"/>
      </w:pPr>
      <w:bookmarkStart w:id="100227" w:name="_Toc100227"/>
      <w:r>
        <w:rPr>
          <w:rFonts w:ascii="Calibri" w:eastAsia="Microsoft YaHei" w:hAnsi="Calibri"/>
          <w:b/>
          <w:bCs/>
          <w:color w:val="333333"/>
          <w:sz w:val="24"/>
          <w:szCs w:val="24"/>
        </w:rPr>
        <w:t xml:space="preserve">20.1.1 Purpose of the Genesis Event</w:t>
      </w:r>
      <w:bookmarkEnd w:id="100227"/>
    </w:p>
    <w:p>
      <w:pPr>
        <w:spacing w:after="120" w:line="312"/>
        <w:jc w:val="both"/>
      </w:pPr>
      <w:r>
        <w:rPr>
          <w:rFonts w:ascii="Calibri" w:eastAsia="SimSun" w:hAnsi="Calibri"/>
          <w:b w:val="false"/>
          <w:bCs w:val="false"/>
          <w:color w:val="1A1A1A"/>
          <w:sz w:val="21"/>
          <w:szCs w:val="21"/>
        </w:rPr>
        <w:t xml:space="preserve">The Genesis Event serves three functions [BP §13.2.1]:</w:t>
      </w:r>
    </w:p>
    <w:p>
      <w:pPr>
        <w:pStyle w:val="ListParagraph"/>
        <w:numPr>
          <w:ilvl w:val="0"/>
          <w:numId w:val="17"/>
        </w:numPr>
        <w:spacing w:after="60" w:line="312"/>
        <w:jc w:val="left"/>
      </w:pPr>
      <w:r>
        <w:rPr>
          <w:rFonts w:ascii="Calibri" w:eastAsia="SimSun" w:hAnsi="Calibri"/>
          <w:b/>
          <w:bCs/>
          <w:color w:val="1A1A1A"/>
          <w:sz w:val="21"/>
          <w:szCs w:val="21"/>
        </w:rPr>
        <w:t xml:space="preserve">Seed the Reserve Vault</w:t>
      </w:r>
      <w:r>
        <w:rPr>
          <w:rFonts w:ascii="Calibri" w:eastAsia="SimSun" w:hAnsi="Calibri"/>
          <w:b w:val="false"/>
          <w:bCs w:val="false"/>
          <w:color w:val="1A1A1A"/>
          <w:sz w:val="21"/>
          <w:szCs w:val="21"/>
        </w:rPr>
        <w:t xml:space="preserve"> with the initial assets required to back the first MTQ Σ tokens.</w:t>
      </w:r>
    </w:p>
    <w:p>
      <w:pPr>
        <w:pStyle w:val="ListParagraph"/>
        <w:numPr>
          <w:ilvl w:val="0"/>
          <w:numId w:val="17"/>
        </w:numPr>
        <w:spacing w:after="60" w:line="312"/>
        <w:jc w:val="left"/>
      </w:pPr>
      <w:r>
        <w:rPr>
          <w:rFonts w:ascii="Calibri" w:eastAsia="SimSun" w:hAnsi="Calibri"/>
          <w:b/>
          <w:bCs/>
          <w:color w:val="1A1A1A"/>
          <w:sz w:val="21"/>
          <w:szCs w:val="21"/>
        </w:rPr>
        <w:t xml:space="preserve">Establish the index base</w:t>
      </w:r>
      <w:r>
        <w:rPr>
          <w:rFonts w:ascii="Calibri" w:eastAsia="SimSun" w:hAnsi="Calibri"/>
          <w:b w:val="false"/>
          <w:bCs w:val="false"/>
          <w:color w:val="1A1A1A"/>
          <w:sz w:val="21"/>
          <w:szCs w:val="21"/>
        </w:rPr>
        <w:t xml:space="preserve"> at exactly 1.0000, using the base-date FX fixings — the immutable genesis snapshot of Section 3.4.</w:t>
      </w:r>
    </w:p>
    <w:p>
      <w:pPr>
        <w:pStyle w:val="ListParagraph"/>
        <w:numPr>
          <w:ilvl w:val="0"/>
          <w:numId w:val="17"/>
        </w:numPr>
        <w:spacing w:after="60" w:line="312"/>
        <w:jc w:val="left"/>
      </w:pPr>
      <w:r>
        <w:rPr>
          <w:rFonts w:ascii="Calibri" w:eastAsia="SimSun" w:hAnsi="Calibri"/>
          <w:b/>
          <w:bCs/>
          <w:color w:val="1A1A1A"/>
          <w:sz w:val="21"/>
          <w:szCs w:val="21"/>
        </w:rPr>
        <w:t xml:space="preserve">Create the Genesis Reserve</w:t>
      </w:r>
      <w:r>
        <w:rPr>
          <w:rFonts w:ascii="Calibri" w:eastAsia="SimSun" w:hAnsi="Calibri"/>
          <w:b w:val="false"/>
          <w:bCs w:val="false"/>
          <w:color w:val="1A1A1A"/>
          <w:sz w:val="21"/>
          <w:szCs w:val="21"/>
        </w:rPr>
        <w:t xml:space="preserve"> — a non-circulating pool of MTQ Σ that acts as protocol-owned collateral, excluded from liability calculations (Chapter 18).</w:t>
      </w:r>
    </w:p>
    <w:p>
      <w:pPr>
        <w:spacing w:after="120" w:line="312"/>
        <w:jc w:val="both"/>
      </w:pPr>
      <w:r>
        <w:rPr>
          <w:rFonts w:ascii="Calibri" w:eastAsia="SimSun" w:hAnsi="Calibri"/>
          <w:b w:val="false"/>
          <w:bCs w:val="false"/>
          <w:color w:val="1A1A1A"/>
          <w:sz w:val="21"/>
          <w:szCs w:val="21"/>
        </w:rPr>
        <w:t xml:space="preserve">Because the base denominator is fixed at genesis, every subsequent index value, mint quote and redemption value is measured against a checkable, published starting point (Sections 9.6 and 9.8). The genesis verification event makes the starting point independently auditable, and the testnet genesis equivalents are listed in Appendix D.</w:t>
      </w:r>
    </w:p>
    <w:p>
      <w:pPr>
        <w:pStyle w:val="Heading3"/>
        <w:keepNext/>
        <w:spacing w:after="120" w:before="300" w:line="312"/>
      </w:pPr>
      <w:bookmarkStart w:id="100228" w:name="_Toc100228"/>
      <w:r>
        <w:rPr>
          <w:rFonts w:ascii="Calibri" w:eastAsia="Microsoft YaHei" w:hAnsi="Calibri"/>
          <w:b/>
          <w:bCs/>
          <w:color w:val="333333"/>
          <w:sz w:val="24"/>
          <w:szCs w:val="24"/>
        </w:rPr>
        <w:t xml:space="preserve">20.1.2 The Genesis Deposit</w:t>
      </w:r>
      <w:bookmarkEnd w:id="100228"/>
    </w:p>
    <w:p>
      <w:pPr>
        <w:spacing w:after="120" w:line="312"/>
        <w:jc w:val="both"/>
      </w:pPr>
      <w:r>
        <w:rPr>
          <w:rFonts w:ascii="Calibri" w:eastAsia="SimSun" w:hAnsi="Calibri"/>
          <w:b w:val="false"/>
          <w:bCs w:val="false"/>
          <w:color w:val="1A1A1A"/>
          <w:sz w:val="21"/>
          <w:szCs w:val="21"/>
        </w:rPr>
        <w:t xml:space="preserve">At deployment, the protocol team deposits 1,100,000 USDC into the contract. Why 1,100,000? To achieve a 110% reserve ratio against 1,000,000 MTQ Σ. Why 1,000,000 MTQ? That is the Genesis Supply — a fixed, non-circulating amount that establishes the initial collateral base [BP §13.2.2]. The mathematics:</w:t>
      </w:r>
    </w:p>
    <w:p>
      <w:pPr>
        <w:spacing w:after="120" w:before="120" w:line="312"/>
        <w:jc w:val="center"/>
      </w:pPr>
      <w:r>
        <w:rPr>
          <w:rFonts w:ascii="Cambria" w:eastAsia="SimSun" w:hAnsi="Cambria"/>
          <w:i w:val="false"/>
          <w:iCs w:val="false"/>
          <w:color w:val="1A1A1A"/>
          <w:sz w:val="22"/>
          <w:szCs w:val="22"/>
        </w:rPr>
        <w:t xml:space="preserve">Genesis Reserve Value</w:t>
      </w:r>
      <w:r>
        <w:rPr>
          <w:rFonts w:ascii="Cambria" w:eastAsia="SimSun" w:hAnsi="Cambria"/>
          <w:i/>
          <w:iCs/>
          <w:color w:val="1A1A1A"/>
          <w:sz w:val="22"/>
          <w:szCs w:val="22"/>
        </w:rPr>
        <w:t xml:space="preserve"> = 1,100,000</w:t>
      </w:r>
      <w:r>
        <w:rPr>
          <w:rFonts w:ascii="Cambria" w:eastAsia="SimSun" w:hAnsi="Cambria"/>
          <w:i w:val="false"/>
          <w:iCs w:val="false"/>
          <w:color w:val="1A1A1A"/>
          <w:sz w:val="22"/>
          <w:szCs w:val="22"/>
        </w:rPr>
        <w:t xml:space="preserve"> USD</w:t>
      </w:r>
    </w:p>
    <w:p>
      <w:pPr>
        <w:spacing w:after="120" w:before="120" w:line="312"/>
        <w:jc w:val="center"/>
      </w:pPr>
      <w:r>
        <w:rPr>
          <w:rFonts w:ascii="Cambria" w:eastAsia="SimSun" w:hAnsi="Cambria"/>
          <w:i w:val="false"/>
          <w:iCs w:val="false"/>
          <w:color w:val="1A1A1A"/>
          <w:sz w:val="22"/>
          <w:szCs w:val="22"/>
        </w:rPr>
        <w:t xml:space="preserve">Genesis MTQ Minted</w:t>
      </w:r>
      <w:r>
        <w:rPr>
          <w:rFonts w:ascii="Cambria" w:eastAsia="SimSun" w:hAnsi="Cambria"/>
          <w:i/>
          <w:iCs/>
          <w:color w:val="1A1A1A"/>
          <w:sz w:val="22"/>
          <w:szCs w:val="22"/>
        </w:rPr>
        <w:t xml:space="preserve"> = 1,000,000</w:t>
      </w:r>
    </w:p>
    <w:p>
      <w:pPr>
        <w:spacing w:after="120" w:before="120" w:line="312"/>
        <w:jc w:val="center"/>
      </w:pP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genesis</w:t>
      </w:r>
      <w:r>
        <w:rPr>
          <w:rFonts w:ascii="Cambria" w:eastAsia="SimSun" w:hAnsi="Cambria"/>
          <w:i/>
          <w:iCs/>
          <w:color w:val="1A1A1A"/>
          <w:sz w:val="22"/>
          <w:szCs w:val="22"/>
        </w:rPr>
        <w:t xml:space="preserve"> = (1,100,000)/(1,000,000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1.0000) = 1.10 = 110</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Genesis therefore starts the protocol exactly at the RR target (1.10) of Section 14.2, with the stress floor (1.05) and the hard floor (1.00) below it, so that the first market movement is absorbed by a pre-funded buffer rather than by an immediate governance response. The deposit amount and the genesis supply are constitutional constants (Section 20.6) and cannot be changed after deployment.</w:t>
      </w:r>
    </w:p>
    <w:p>
      <w:pPr>
        <w:pStyle w:val="Heading3"/>
        <w:keepNext/>
        <w:spacing w:after="120" w:before="300" w:line="312"/>
      </w:pPr>
      <w:bookmarkStart w:id="100229" w:name="_Toc100229"/>
      <w:r>
        <w:rPr>
          <w:rFonts w:ascii="Calibri" w:eastAsia="Microsoft YaHei" w:hAnsi="Calibri"/>
          <w:b/>
          <w:bCs/>
          <w:color w:val="333333"/>
          <w:sz w:val="24"/>
          <w:szCs w:val="24"/>
        </w:rPr>
        <w:t xml:space="preserve">20.1.3 The Atomic Genesis Swap</w:t>
      </w:r>
      <w:bookmarkEnd w:id="100229"/>
    </w:p>
    <w:p>
      <w:pPr>
        <w:spacing w:after="120" w:line="312"/>
        <w:jc w:val="both"/>
      </w:pPr>
      <w:r>
        <w:rPr>
          <w:rFonts w:ascii="Calibri" w:eastAsia="SimSun" w:hAnsi="Calibri"/>
          <w:b w:val="false"/>
          <w:bCs w:val="false"/>
          <w:color w:val="1A1A1A"/>
          <w:sz w:val="21"/>
          <w:szCs w:val="21"/>
        </w:rPr>
        <w:t xml:space="preserve">The deposited USDC is atomically swapped into the full reserve basket using the same DEX aggregator logic as user minting (Section 19.2, Step 4; Listing 11). The v1.2 genesis basket allocation — core 100% plus buffer 10% — was [BP §13.2.3]:</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w:t>
            </w:r>
          </w:p>
        </w:tc>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USD Value</w:t>
            </w:r>
          </w:p>
        </w:tc>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Percentage</w:t>
            </w:r>
          </w:p>
        </w:tc>
        <w:tc>
          <w:tcPr>
            <w:tcW w:type="pct" w:w="5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Quantity (at genesis prices)</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$342,100</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31.10%</w:t>
            </w:r>
          </w:p>
        </w:tc>
        <w:tc>
          <w:tcPr>
            <w:tcW w:type="pct" w:w="5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342,100 USDC</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$244,200</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22.20%</w:t>
            </w:r>
          </w:p>
        </w:tc>
        <w:tc>
          <w:tcPr>
            <w:tcW w:type="pct" w:w="5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232,571 EURC (at 1.05)</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$146,850</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13.35%</w:t>
            </w:r>
          </w:p>
        </w:tc>
        <w:tc>
          <w:tcPr>
            <w:tcW w:type="pct" w:w="5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117,480 GBP₿ (at 1.25)</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$97,790</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8.89%</w:t>
            </w:r>
          </w:p>
        </w:tc>
        <w:tc>
          <w:tcPr>
            <w:tcW w:type="pct" w:w="5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14,595,522 JPY₿ (at 0.0067)</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$48,400</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4.40%</w:t>
            </w:r>
          </w:p>
        </w:tc>
        <w:tc>
          <w:tcPr>
            <w:tcW w:type="pct" w:w="5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345,714 CNY₿ (at 0.14)</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$220,660</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20.06%</w:t>
            </w:r>
          </w:p>
        </w:tc>
        <w:tc>
          <w:tcPr>
            <w:tcW w:type="pct" w:w="5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88.26 PAXG (at $2,500)</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$1,100,000</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5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The quantities above are illustrative: the actual quantities depend on the base-date FX fixings and the DEX execution price at genesis [BP §13.2.3]. v2.0 adaptation: the genesis purchase follows the strategic-prior snapshot of Section 3.4 (seven components including CHF and gold at the prior weights, with the same base fixings), executed through the same aggregator path as Listing 11; the table reproduces the v1.2 allocation for lineage, and the mechanics — one atomic swap, full basket, one transaction — are unchanged. Testnet genesis specifics are in Appendix D.</w:t>
      </w:r>
    </w:p>
    <w:p>
      <w:pPr>
        <w:pStyle w:val="Heading3"/>
        <w:keepNext/>
        <w:spacing w:after="120" w:before="300" w:line="312"/>
      </w:pPr>
      <w:bookmarkStart w:id="100230" w:name="_Toc100230"/>
      <w:r>
        <w:rPr>
          <w:rFonts w:ascii="Calibri" w:eastAsia="Microsoft YaHei" w:hAnsi="Calibri"/>
          <w:b/>
          <w:bCs/>
          <w:color w:val="333333"/>
          <w:sz w:val="24"/>
          <w:szCs w:val="24"/>
        </w:rPr>
        <w:t xml:space="preserve">20.1.4 The Genesis Mint</w:t>
      </w:r>
      <w:bookmarkEnd w:id="100230"/>
    </w:p>
    <w:p>
      <w:pPr>
        <w:spacing w:after="120" w:line="312"/>
        <w:jc w:val="both"/>
      </w:pPr>
      <w:r>
        <w:rPr>
          <w:rFonts w:ascii="Calibri" w:eastAsia="SimSun" w:hAnsi="Calibri"/>
          <w:b w:val="false"/>
          <w:bCs w:val="false"/>
          <w:color w:val="1A1A1A"/>
          <w:sz w:val="21"/>
          <w:szCs w:val="21"/>
        </w:rPr>
        <w:t xml:space="preserve">The genesis mint follows four rules [BP §13.2.4]:</w:t>
      </w:r>
    </w:p>
    <w:p>
      <w:pPr>
        <w:pStyle w:val="ListParagraph"/>
        <w:numPr>
          <w:ilvl w:val="0"/>
          <w:numId w:val="18"/>
        </w:numPr>
        <w:spacing w:after="60" w:line="312"/>
        <w:jc w:val="left"/>
      </w:pPr>
      <w:r>
        <w:rPr>
          <w:rFonts w:ascii="Calibri" w:eastAsia="SimSun" w:hAnsi="Calibri"/>
          <w:b w:val="false"/>
          <w:bCs w:val="false"/>
          <w:color w:val="1A1A1A"/>
          <w:sz w:val="21"/>
          <w:szCs w:val="21"/>
        </w:rPr>
        <w:t xml:space="preserve">The contract mints 1,000,000 MTQ Σ.</w:t>
      </w:r>
    </w:p>
    <w:p>
      <w:pPr>
        <w:pStyle w:val="ListParagraph"/>
        <w:numPr>
          <w:ilvl w:val="0"/>
          <w:numId w:val="18"/>
        </w:numPr>
        <w:spacing w:after="60" w:line="312"/>
        <w:jc w:val="left"/>
      </w:pPr>
      <w:r>
        <w:rPr>
          <w:rFonts w:ascii="Calibri" w:eastAsia="SimSun" w:hAnsi="Calibri"/>
          <w:b w:val="false"/>
          <w:bCs w:val="false"/>
          <w:color w:val="1A1A1A"/>
          <w:sz w:val="21"/>
          <w:szCs w:val="21"/>
        </w:rPr>
        <w:t xml:space="preserve">These tokens are sent to the Genesis Reserve Account — a dedicated 4/7 Gnosis Safe with the same signers as the Emergency Council. This ensures that no single individual can access the Genesis Reserve.</w:t>
      </w:r>
    </w:p>
    <w:p>
      <w:pPr>
        <w:pStyle w:val="ListParagraph"/>
        <w:numPr>
          <w:ilvl w:val="0"/>
          <w:numId w:val="18"/>
        </w:numPr>
        <w:spacing w:after="60" w:line="312"/>
        <w:jc w:val="left"/>
      </w:pPr>
      <w:r>
        <w:rPr>
          <w:rFonts w:ascii="Calibri" w:eastAsia="SimSun" w:hAnsi="Calibri"/>
          <w:b w:val="false"/>
          <w:bCs w:val="false"/>
          <w:color w:val="1A1A1A"/>
          <w:sz w:val="21"/>
          <w:szCs w:val="21"/>
        </w:rPr>
        <w:t xml:space="preserve">The Genesis Reserve Account is used only for emergency reserve replenishment (never for profit or operations).</w:t>
      </w:r>
    </w:p>
    <w:p>
      <w:pPr>
        <w:pStyle w:val="ListParagraph"/>
        <w:numPr>
          <w:ilvl w:val="0"/>
          <w:numId w:val="18"/>
        </w:numPr>
        <w:spacing w:after="60" w:line="312"/>
        <w:jc w:val="left"/>
      </w:pPr>
      <w:r>
        <w:rPr>
          <w:rFonts w:ascii="Calibri" w:eastAsia="SimSun" w:hAnsi="Calibri"/>
          <w:b w:val="false"/>
          <w:bCs w:val="false"/>
          <w:color w:val="1A1A1A"/>
          <w:sz w:val="21"/>
          <w:szCs w:val="21"/>
        </w:rPr>
        <w:t xml:space="preserve">The address is mutable by the Constitutional Council (7/7) to allow signer rotation; the transferGenesisReserve() function enables this (Section 20.5).</w:t>
      </w:r>
    </w:p>
    <w:p>
      <w:pPr>
        <w:spacing w:after="120" w:line="312"/>
        <w:jc w:val="both"/>
      </w:pPr>
      <w:r>
        <w:rPr>
          <w:rFonts w:ascii="Calibri" w:eastAsia="SimSun" w:hAnsi="Calibri"/>
          <w:b w:val="false"/>
          <w:bCs w:val="false"/>
          <w:color w:val="1A1A1A"/>
          <w:sz w:val="21"/>
          <w:szCs w:val="21"/>
        </w:rPr>
        <w:t xml:space="preserve">The genesis supply is non-circulating: it is excluded from the circulating supply (Chapter 18), so genesis tokens never count toward the protocol liability and never dilute the reserve ratio from the liability side. The replenishment trigger that can put these tokens to work — and the Cold Treasury surplus path alongside it — is the RR stress tier of Section 14.2, described operationally in Section 20.4.</w:t>
      </w:r>
    </w:p>
    <w:p>
      <w:pPr>
        <w:pStyle w:val="Heading3"/>
        <w:keepNext/>
        <w:spacing w:after="120" w:before="300" w:line="312"/>
      </w:pPr>
      <w:bookmarkStart w:id="100231" w:name="_Toc100231"/>
      <w:r>
        <w:rPr>
          <w:rFonts w:ascii="Calibri" w:eastAsia="Microsoft YaHei" w:hAnsi="Calibri"/>
          <w:b/>
          <w:bCs/>
          <w:color w:val="333333"/>
          <w:sz w:val="24"/>
          <w:szCs w:val="24"/>
        </w:rPr>
        <w:t xml:space="preserve">20.1.5 The Index Base Denominator</w:t>
      </w:r>
      <w:bookmarkEnd w:id="100231"/>
    </w:p>
    <w:p>
      <w:pPr>
        <w:spacing w:after="120" w:line="312"/>
        <w:jc w:val="both"/>
      </w:pPr>
      <w:r>
        <w:rPr>
          <w:rFonts w:ascii="Calibri" w:eastAsia="SimSun" w:hAnsi="Calibri"/>
          <w:b w:val="false"/>
          <w:bCs w:val="false"/>
          <w:color w:val="1A1A1A"/>
          <w:sz w:val="21"/>
          <w:szCs w:val="21"/>
        </w:rPr>
        <w:t xml:space="preserve">At genesis, the contract computes and stores the base denominator of the chain-linked index [BP §13.2.5]:</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I</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USD</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1.00 + q</w:t>
      </w:r>
      <w:r>
        <w:rPr>
          <w:rFonts w:ascii="Cambria" w:eastAsia="SimSun" w:hAnsi="Cambria"/>
          <w:i/>
          <w:iCs/>
          <w:color w:val="1A1A1A"/>
          <w:sz w:val="22"/>
          <w:szCs w:val="22"/>
          <w:vertAlign w:val="subscript"/>
        </w:rPr>
        <w:t xml:space="preserve">EUR</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bscript"/>
        </w:rPr>
        <w:t xml:space="preserve">EUR/USD,base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JPY</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bscript"/>
        </w:rPr>
        <w:t xml:space="preserve">JPY/USD,base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GBP</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bscript"/>
        </w:rPr>
        <w:t xml:space="preserve">GBP/USD,base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CNY</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bscript"/>
        </w:rPr>
        <w:t xml:space="preserve">CNY/USD,base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CHF</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bscript"/>
        </w:rPr>
        <w:t xml:space="preserve">CHF/USD,base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XAU</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Gold,base</w:t>
      </w:r>
    </w:p>
    <w:p>
      <w:pPr>
        <w:spacing w:after="120" w:line="312"/>
        <w:jc w:val="both"/>
      </w:pPr>
      <w:r>
        <w:rPr>
          <w:rFonts w:ascii="Calibri" w:eastAsia="SimSun" w:hAnsi="Calibri"/>
          <w:b w:val="false"/>
          <w:bCs w:val="false"/>
          <w:color w:val="1A1A1A"/>
          <w:sz w:val="21"/>
          <w:szCs w:val="21"/>
        </w:rPr>
        <w:t xml:space="preserve">where the q_i are the genesis quantities of the Section 3.4 snapshot (USD-equivalent per unit at the base date) and the base fixings are the hard-coded reference values of Section 3.4 (EUR/USD 1.0500, GBP/USD 1.2500, JPY/USD 0.0067, CNY/USD 0.1400, CHF/USD 1.1300, gold at USD 2,500 per reference unit). The v1.2 formula carried five currency terms; the v2.0 extension adds CHF and gold so that the denominator matches the seven-component genesis snapshot exactly. This value is stored as an immutable constant — INDEX_BASE_DENOMINATOR (Listing 3, Chapter 9) — and used in all future index calculations: P_{MTQ,t} = I_t/I_{base} (Section 9.8). The base fixings are used only to normalize the index and are never updated; anyone can recompute the stored value against them via verifyIndexBase() and the GenesisVerification event (Section 9.6; Listing 12).</w:t>
      </w:r>
    </w:p>
    <w:p>
      <w:pPr>
        <w:pStyle w:val="Heading3"/>
        <w:keepNext/>
        <w:spacing w:after="120" w:before="300" w:line="312"/>
      </w:pPr>
      <w:bookmarkStart w:id="100232" w:name="_Toc100232"/>
      <w:r>
        <w:rPr>
          <w:rFonts w:ascii="Calibri" w:eastAsia="Microsoft YaHei" w:hAnsi="Calibri"/>
          <w:b/>
          <w:bCs/>
          <w:color w:val="333333"/>
          <w:sz w:val="24"/>
          <w:szCs w:val="24"/>
        </w:rPr>
        <w:t xml:space="preserve">20.1.6 The Genesis Function</w:t>
      </w:r>
      <w:bookmarkEnd w:id="100232"/>
    </w:p>
    <w:p>
      <w:pPr>
        <w:spacing w:after="120" w:line="312"/>
        <w:jc w:val="both"/>
      </w:pPr>
      <w:r>
        <w:rPr>
          <w:rFonts w:ascii="Calibri" w:eastAsia="SimSun" w:hAnsi="Calibri"/>
          <w:b w:val="false"/>
          <w:bCs w:val="false"/>
          <w:color w:val="1A1A1A"/>
          <w:sz w:val="21"/>
          <w:szCs w:val="21"/>
        </w:rPr>
        <w:t xml:space="preserve">The full contract function is Listing 12 in Section 20.5; the normative step sequence is [BP §13.2.6]:</w:t>
      </w:r>
    </w:p>
    <w:p>
      <w:pPr>
        <w:pStyle w:val="ListParagraph"/>
        <w:numPr>
          <w:ilvl w:val="0"/>
          <w:numId w:val="19"/>
        </w:numPr>
        <w:spacing w:after="60" w:line="312"/>
        <w:jc w:val="left"/>
      </w:pPr>
      <w:r>
        <w:rPr>
          <w:rFonts w:ascii="Calibri" w:eastAsia="SimSun" w:hAnsi="Calibri"/>
          <w:b w:val="false"/>
          <w:bCs w:val="false"/>
          <w:color w:val="1A1A1A"/>
          <w:sz w:val="21"/>
          <w:szCs w:val="21"/>
        </w:rPr>
        <w:t xml:space="preserve">Transfer the genesis deposit from the deployer to the contract.</w:t>
      </w:r>
    </w:p>
    <w:p>
      <w:pPr>
        <w:pStyle w:val="ListParagraph"/>
        <w:numPr>
          <w:ilvl w:val="0"/>
          <w:numId w:val="19"/>
        </w:numPr>
        <w:spacing w:after="60" w:line="312"/>
        <w:jc w:val="left"/>
      </w:pPr>
      <w:r>
        <w:rPr>
          <w:rFonts w:ascii="Calibri" w:eastAsia="SimSun" w:hAnsi="Calibri"/>
          <w:b w:val="false"/>
          <w:bCs w:val="false"/>
          <w:color w:val="1A1A1A"/>
          <w:sz w:val="21"/>
          <w:szCs w:val="21"/>
        </w:rPr>
        <w:t xml:space="preserve">Atomically swap the deposit into the full reserve basket (per the Section 3.4 snapshot).</w:t>
      </w:r>
    </w:p>
    <w:p>
      <w:pPr>
        <w:pStyle w:val="ListParagraph"/>
        <w:numPr>
          <w:ilvl w:val="0"/>
          <w:numId w:val="19"/>
        </w:numPr>
        <w:spacing w:after="60" w:line="312"/>
        <w:jc w:val="left"/>
      </w:pPr>
      <w:r>
        <w:rPr>
          <w:rFonts w:ascii="Calibri" w:eastAsia="SimSun" w:hAnsi="Calibri"/>
          <w:b w:val="false"/>
          <w:bCs w:val="false"/>
          <w:color w:val="1A1A1A"/>
          <w:sz w:val="21"/>
          <w:szCs w:val="21"/>
        </w:rPr>
        <w:t xml:space="preserve">Compute and store the index base denominator.</w:t>
      </w:r>
    </w:p>
    <w:p>
      <w:pPr>
        <w:pStyle w:val="ListParagraph"/>
        <w:numPr>
          <w:ilvl w:val="0"/>
          <w:numId w:val="19"/>
        </w:numPr>
        <w:spacing w:after="60" w:line="312"/>
        <w:jc w:val="left"/>
      </w:pPr>
      <w:r>
        <w:rPr>
          <w:rFonts w:ascii="Calibri" w:eastAsia="SimSun" w:hAnsi="Calibri"/>
          <w:b w:val="false"/>
          <w:bCs w:val="false"/>
          <w:color w:val="1A1A1A"/>
          <w:sz w:val="21"/>
          <w:szCs w:val="21"/>
        </w:rPr>
        <w:t xml:space="preserve">Emit GenesisVerification with the stored denominator and every base fixing.</w:t>
      </w:r>
    </w:p>
    <w:p>
      <w:pPr>
        <w:pStyle w:val="ListParagraph"/>
        <w:numPr>
          <w:ilvl w:val="0"/>
          <w:numId w:val="19"/>
        </w:numPr>
        <w:spacing w:after="60" w:line="312"/>
        <w:jc w:val="left"/>
      </w:pPr>
      <w:r>
        <w:rPr>
          <w:rFonts w:ascii="Calibri" w:eastAsia="SimSun" w:hAnsi="Calibri"/>
          <w:b w:val="false"/>
          <w:bCs w:val="false"/>
          <w:color w:val="1A1A1A"/>
          <w:sz w:val="21"/>
          <w:szCs w:val="21"/>
        </w:rPr>
        <w:t xml:space="preserve">Mint the genesis supply to the Genesis Reserve Account.</w:t>
      </w:r>
    </w:p>
    <w:p>
      <w:pPr>
        <w:pStyle w:val="ListParagraph"/>
        <w:numPr>
          <w:ilvl w:val="0"/>
          <w:numId w:val="19"/>
        </w:numPr>
        <w:spacing w:after="60" w:line="312"/>
        <w:jc w:val="left"/>
      </w:pPr>
      <w:r>
        <w:rPr>
          <w:rFonts w:ascii="Calibri" w:eastAsia="SimSun" w:hAnsi="Calibri"/>
          <w:b w:val="false"/>
          <w:bCs w:val="false"/>
          <w:color w:val="1A1A1A"/>
          <w:sz w:val="21"/>
          <w:szCs w:val="21"/>
        </w:rPr>
        <w:t xml:space="preserve">Update the reserve state.</w:t>
      </w:r>
    </w:p>
    <w:p>
      <w:pPr>
        <w:pStyle w:val="ListParagraph"/>
        <w:numPr>
          <w:ilvl w:val="0"/>
          <w:numId w:val="19"/>
        </w:numPr>
        <w:spacing w:after="60" w:line="312"/>
        <w:jc w:val="left"/>
      </w:pPr>
      <w:r>
        <w:rPr>
          <w:rFonts w:ascii="Calibri" w:eastAsia="SimSun" w:hAnsi="Calibri"/>
          <w:b w:val="false"/>
          <w:bCs w:val="false"/>
          <w:color w:val="1A1A1A"/>
          <w:sz w:val="21"/>
          <w:szCs w:val="21"/>
        </w:rPr>
        <w:t xml:space="preserve">Mark genesis complete (preventing re-initialization) and emit GenesisCompleted.</w:t>
      </w:r>
    </w:p>
    <w:p>
      <w:pPr>
        <w:spacing w:after="120" w:line="312"/>
        <w:jc w:val="both"/>
      </w:pPr>
      <w:r>
        <w:rPr>
          <w:rFonts w:ascii="Calibri" w:eastAsia="SimSun" w:hAnsi="Calibri"/>
          <w:b w:val="false"/>
          <w:bCs w:val="false"/>
          <w:color w:val="1A1A1A"/>
          <w:sz w:val="21"/>
          <w:szCs w:val="21"/>
        </w:rPr>
        <w:t xml:space="preserve">The order matters: the base denominator is computed and verified before the first token is minted, so the very first MTQ Σ is born with a checkable price. The onlyDeployer guard and the single-call flag protect against re-genesis, and the verification step ties the on-chain state to the off-chain verification function of Section 9.6 — genesis is the one moment in the protocol's life where the entire monetary definition is fixed in a single auditable transaction.</w:t>
      </w:r>
    </w:p>
    <w:p>
      <w:pPr>
        <w:pStyle w:val="Heading2"/>
        <w:keepNext/>
        <w:spacing w:after="160" w:before="360" w:line="340" w:lineRule="atLeast"/>
      </w:pPr>
      <w:bookmarkStart w:id="100233" w:name="_Toc100233"/>
      <w:r>
        <w:rPr>
          <w:rFonts w:ascii="Calibri" w:eastAsia="Microsoft YaHei" w:hAnsi="Calibri"/>
          <w:b/>
          <w:bCs/>
          <w:color w:val="1A1A1A"/>
          <w:sz w:val="28"/>
          <w:szCs w:val="28"/>
        </w:rPr>
        <w:t xml:space="preserve">20.2 Accounting Separation — The Three Pools</w:t>
      </w:r>
      <w:bookmarkEnd w:id="100233"/>
    </w:p>
    <w:p>
      <w:pPr>
        <w:spacing w:after="120" w:line="312"/>
        <w:jc w:val="both"/>
      </w:pPr>
      <w:r>
        <w:rPr>
          <w:rFonts w:ascii="Calibri" w:eastAsia="SimSun" w:hAnsi="Calibri"/>
          <w:b w:val="false"/>
          <w:bCs w:val="false"/>
          <w:color w:val="1A1A1A"/>
          <w:sz w:val="21"/>
          <w:szCs w:val="21"/>
        </w:rPr>
        <w:t xml:space="preserve">The protocol maintains three separate accounting pools to ensure clarity and prevent commingling of user collateral and operating funds [BP §13.3]:</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Pool</w:t>
            </w:r>
          </w:p>
        </w:tc>
        <w:tc>
          <w:tcPr>
            <w:tcW w:type="pct" w:w="3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Purpose</w:t>
            </w:r>
          </w:p>
        </w:tc>
        <w:tc>
          <w:tcPr>
            <w:tcW w:type="pct" w:w="2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Assets</w:t>
            </w:r>
          </w:p>
        </w:tc>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Who Controls</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Reserve Vault</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Backs MTQ Σ liabilities</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EURC, GBP₿, JPY₿, CNY₿, PAXG</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Smart contract (immutable)</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 Operational Wallet</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Pays for gas, oracles, keepers, audits</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(fee revenue)</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Hot wallet (keeper bot)</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 Cold Treasury</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Long-term surplus storage</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PAXG</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4/7 Multi-Sig (hardware wallets)</w:t>
            </w:r>
          </w:p>
        </w:tc>
      </w:tr>
    </w:tbl>
    <w:p>
      <w:pPr>
        <w:spacing w:after="120"/>
      </w:pP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Critical rule: assets in the Operational Wallet and Cold Treasury are not counted toward the Reserve Ratio (RR) or collateralization. They are explicitly excluded from all liability calculations [BP §13.3].</w:t>
      </w:r>
    </w:p>
    <w:p>
      <w:pPr>
        <w:spacing w:after="120" w:line="312"/>
        <w:jc w:val="both"/>
      </w:pPr>
      <w:r>
        <w:rPr>
          <w:rFonts w:ascii="Calibri" w:eastAsia="SimSun" w:hAnsi="Calibri"/>
          <w:b w:val="false"/>
          <w:bCs w:val="false"/>
          <w:color w:val="1A1A1A"/>
          <w:sz w:val="21"/>
          <w:szCs w:val="21"/>
        </w:rPr>
        <w:t xml:space="preserve">The circulating liability is measured against the Reserve Vault alone, which keeps the reported RR conservative: money that the protocol earns can never silently prop up the reserve ratio. Surplus enters the reserve through exactly one path — the governed, evented replenishment transfer of Section 20.4 — and every movement between pools is an on-chain event (TreasurySwept, ReserveReplenished) captured by the transparency layer (Section 24.4). Under v2.0 the instrument set of the Reserve Vault evolves with the Asset Admission Registry (Chapter 15); the pool purposes and the separation rule are unchanged, because the separation is what makes the closed-loop accounting of Chapter 18 reconcilable at all times.</w:t>
      </w:r>
    </w:p>
    <w:p>
      <w:pPr>
        <w:pStyle w:val="Heading2"/>
        <w:keepNext/>
        <w:spacing w:after="160" w:before="360" w:line="340" w:lineRule="atLeast"/>
      </w:pPr>
      <w:bookmarkStart w:id="100234" w:name="_Toc100234"/>
      <w:r>
        <w:rPr>
          <w:rFonts w:ascii="Calibri" w:eastAsia="Microsoft YaHei" w:hAnsi="Calibri"/>
          <w:b/>
          <w:bCs/>
          <w:color w:val="1A1A1A"/>
          <w:sz w:val="28"/>
          <w:szCs w:val="28"/>
        </w:rPr>
        <w:t xml:space="preserve">20.3 The Treasury Sweep</w:t>
      </w:r>
      <w:bookmarkEnd w:id="100234"/>
    </w:p>
    <w:p>
      <w:pPr>
        <w:spacing w:after="120" w:line="312"/>
        <w:jc w:val="both"/>
      </w:pPr>
      <w:r>
        <w:rPr>
          <w:rFonts w:ascii="Calibri" w:eastAsia="SimSun" w:hAnsi="Calibri"/>
          <w:b w:val="false"/>
          <w:bCs w:val="false"/>
          <w:color w:val="1A1A1A"/>
          <w:sz w:val="21"/>
          <w:szCs w:val="21"/>
        </w:rPr>
        <w:t xml:space="preserve">The treasury sweep is the automatic transfer of operational surplus out of the hot path and into the cold treasury. Its purpose is to minimize hot-wallet risk: the Operational Wallet holds only what day-to-day operations require, and nothing more [BP §13.4].</w:t>
      </w:r>
    </w:p>
    <w:p>
      <w:pPr>
        <w:pStyle w:val="Heading3"/>
        <w:keepNext/>
        <w:spacing w:after="120" w:before="300" w:line="312"/>
      </w:pPr>
      <w:bookmarkStart w:id="100235" w:name="_Toc100235"/>
      <w:r>
        <w:rPr>
          <w:rFonts w:ascii="Calibri" w:eastAsia="Microsoft YaHei" w:hAnsi="Calibri"/>
          <w:b/>
          <w:bCs/>
          <w:color w:val="333333"/>
          <w:sz w:val="24"/>
          <w:szCs w:val="24"/>
        </w:rPr>
        <w:t xml:space="preserve">20.3.1 The Sweep Threshold</w:t>
      </w:r>
      <w:bookmarkEnd w:id="100235"/>
    </w:p>
    <w:p>
      <w:pPr>
        <w:spacing w:after="120" w:line="312"/>
        <w:jc w:val="both"/>
      </w:pPr>
      <w:r>
        <w:rPr>
          <w:rFonts w:ascii="Calibri" w:eastAsia="SimSun" w:hAnsi="Calibri"/>
          <w:b w:val="false"/>
          <w:bCs w:val="false"/>
          <w:color w:val="1A1A1A"/>
          <w:sz w:val="21"/>
          <w:szCs w:val="21"/>
        </w:rPr>
        <w:t xml:space="preserve">The protocol maintains the Operational Wallet (hot wallet) for paying day-to-day costs — gas, oracle subscriptions, keeper bot fees. To minimize risk, any surplus above a defined threshold is automatically swept to the Cold Treasury:</w:t>
      </w:r>
    </w:p>
    <w:p>
      <w:pPr>
        <w:spacing w:after="120" w:before="120" w:line="312"/>
        <w:jc w:val="center"/>
      </w:pPr>
      <w:r>
        <w:rPr>
          <w:rFonts w:ascii="Cambria" w:eastAsia="SimSun" w:hAnsi="Cambria"/>
          <w:i w:val="false"/>
          <w:iCs w:val="false"/>
          <w:color w:val="1A1A1A"/>
          <w:sz w:val="22"/>
          <w:szCs w:val="22"/>
        </w:rPr>
        <w:t xml:space="preserve">Sweep Threshold</w:t>
      </w:r>
      <w:r>
        <w:rPr>
          <w:rFonts w:ascii="Cambria" w:eastAsia="SimSun" w:hAnsi="Cambria"/>
          <w:i/>
          <w:iCs/>
          <w:color w:val="1A1A1A"/>
          <w:sz w:val="22"/>
          <w:szCs w:val="22"/>
        </w:rPr>
        <w:t xml:space="preserve"> = 10,000</w:t>
      </w:r>
      <w:r>
        <w:rPr>
          <w:rFonts w:ascii="Cambria" w:eastAsia="SimSun" w:hAnsi="Cambria"/>
          <w:i w:val="false"/>
          <w:iCs w:val="false"/>
          <w:color w:val="1A1A1A"/>
          <w:sz w:val="22"/>
          <w:szCs w:val="22"/>
        </w:rPr>
        <w:t xml:space="preserve"> USD</w:t>
      </w:r>
    </w:p>
    <w:p>
      <w:pPr>
        <w:spacing w:after="120" w:line="312"/>
        <w:jc w:val="both"/>
      </w:pPr>
      <w:r>
        <w:rPr>
          <w:rFonts w:ascii="Calibri" w:eastAsia="SimSun" w:hAnsi="Calibri"/>
          <w:b w:val="false"/>
          <w:bCs w:val="false"/>
          <w:color w:val="1A1A1A"/>
          <w:sz w:val="21"/>
          <w:szCs w:val="21"/>
        </w:rPr>
        <w:t xml:space="preserve">The rule: if the Operational Wallet balance exceeds 10,000 USD in USDC (or equivalent), the excess is swept to the Cold Treasury. The threshold is a Risk-Council parameter (Section 20.6) sized to cover a comfortable operating runway — large enough that sweeps are not triggered by normal fee noise, small enough that the hot-wallet exposure stays bounded.</w:t>
      </w:r>
    </w:p>
    <w:p>
      <w:pPr>
        <w:pStyle w:val="Heading3"/>
        <w:keepNext/>
        <w:spacing w:after="120" w:before="300" w:line="312"/>
      </w:pPr>
      <w:bookmarkStart w:id="100236" w:name="_Toc100236"/>
      <w:r>
        <w:rPr>
          <w:rFonts w:ascii="Calibri" w:eastAsia="Microsoft YaHei" w:hAnsi="Calibri"/>
          <w:b/>
          <w:bCs/>
          <w:color w:val="333333"/>
          <w:sz w:val="24"/>
          <w:szCs w:val="24"/>
        </w:rPr>
        <w:t xml:space="preserve">20.3.2 The Sweep Function</w:t>
      </w:r>
      <w:bookmarkEnd w:id="100236"/>
    </w:p>
    <w:p>
      <w:pPr>
        <w:spacing w:after="120" w:line="312"/>
        <w:jc w:val="both"/>
      </w:pPr>
      <w:r>
        <w:rPr>
          <w:rFonts w:ascii="Calibri" w:eastAsia="SimSun" w:hAnsi="Calibri"/>
          <w:b w:val="false"/>
          <w:bCs w:val="false"/>
          <w:color w:val="1A1A1A"/>
          <w:sz w:val="21"/>
          <w:szCs w:val="21"/>
        </w:rPr>
        <w:t xml:space="preserve">The sweep is executed by the keeper bot, called daily or after large fee accruals. The logic is deliberately mechanical — no discretion, no timing decisions: read the USDC balance of the contract; if the balance exceeds SWEEP_THRESHOLD, transfer the excess to COLD_TREASURY and emit TreasurySwept. The full implementation is in Listing 12. Because the sweep is automatic and evented, the hot-wallet exposure at any moment is an auditable function of the fee history rather than an operational habit, and the sweep threshold changes are governance actions visible on-chain (Section 22.3).</w:t>
      </w:r>
    </w:p>
    <w:p>
      <w:pPr>
        <w:pStyle w:val="Heading3"/>
        <w:keepNext/>
        <w:spacing w:after="120" w:before="300" w:line="312"/>
      </w:pPr>
      <w:bookmarkStart w:id="100237" w:name="_Toc100237"/>
      <w:r>
        <w:rPr>
          <w:rFonts w:ascii="Calibri" w:eastAsia="Microsoft YaHei" w:hAnsi="Calibri"/>
          <w:b/>
          <w:bCs/>
          <w:color w:val="333333"/>
          <w:sz w:val="24"/>
          <w:szCs w:val="24"/>
        </w:rPr>
        <w:t xml:space="preserve">20.3.3 Cold Treasury Security Requirements</w:t>
      </w:r>
      <w:bookmarkEnd w:id="100237"/>
    </w:p>
    <w:p>
      <w:pPr>
        <w:spacing w:after="120" w:line="312"/>
        <w:jc w:val="both"/>
      </w:pPr>
      <w:r>
        <w:rPr>
          <w:rFonts w:ascii="Calibri" w:eastAsia="SimSun" w:hAnsi="Calibri"/>
          <w:b w:val="false"/>
          <w:bCs w:val="false"/>
          <w:color w:val="1A1A1A"/>
          <w:sz w:val="21"/>
          <w:szCs w:val="21"/>
        </w:rPr>
        <w:t xml:space="preserve">The cold treasury is designed so that compromising it requires compromising seven independent, geographically distributed, hardware-protected principals at once [BP §13.4.3]:</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Requirement</w:t>
            </w:r>
          </w:p>
        </w:tc>
        <w:tc>
          <w:tcPr>
            <w:tcW w:type="pct" w:w="7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Multi-Signature</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4-of-7 Gnosis Safe (or equivalent).</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Signer Separation</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Signers must be geographically distributed.</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Hardware Wallet</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 signers must use hardware wallets (Ledger, Trezor).</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Signer Rotation</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Signers are rotated annually, with a 48h timelock for changes.</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Withdrawal Delay</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Withdrawals from the Cold Treasury require a 48h timelock and 4/7 signatures.</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Incident Response</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pre-approved emergency signer set exists for critical infrastructure payments.</w:t>
            </w:r>
          </w:p>
        </w:tc>
      </w:tr>
    </w:tbl>
    <w:p>
      <w:pPr>
        <w:spacing w:after="120"/>
      </w:pPr>
    </w:p>
    <w:p>
      <w:pPr>
        <w:pStyle w:val="Heading2"/>
        <w:keepNext/>
        <w:spacing w:after="160" w:before="360" w:line="340" w:lineRule="atLeast"/>
      </w:pPr>
      <w:bookmarkStart w:id="100238" w:name="_Toc100238"/>
      <w:r>
        <w:rPr>
          <w:rFonts w:ascii="Calibri" w:eastAsia="Microsoft YaHei" w:hAnsi="Calibri"/>
          <w:b/>
          <w:bCs/>
          <w:color w:val="1A1A1A"/>
          <w:sz w:val="28"/>
          <w:szCs w:val="28"/>
        </w:rPr>
        <w:t xml:space="preserve">20.4 Fee Accrual, Surplus and Reserve Replenishment</w:t>
      </w:r>
      <w:bookmarkEnd w:id="100238"/>
    </w:p>
    <w:p>
      <w:pPr>
        <w:spacing w:after="120" w:line="312"/>
        <w:jc w:val="both"/>
      </w:pPr>
      <w:r>
        <w:rPr>
          <w:rFonts w:ascii="Calibri" w:eastAsia="SimSun" w:hAnsi="Calibri"/>
          <w:b w:val="false"/>
          <w:bCs w:val="false"/>
          <w:color w:val="1A1A1A"/>
          <w:sz w:val="21"/>
          <w:szCs w:val="21"/>
        </w:rPr>
        <w:t xml:space="preserve">All fees — minting, redemption and rebalancing — accrue to the Operational Wallet in USDC (or the deposited asset, converted to USDC) [BP §13.5]:</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4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Fee Type</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Rate</w:t>
            </w:r>
          </w:p>
        </w:tc>
        <w:tc>
          <w:tcPr>
            <w:tcW w:type="pct" w:w="4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Destination</w:t>
            </w:r>
          </w:p>
        </w:tc>
      </w:tr>
      <w:tr>
        <w:trPr>
          <w:cantSplit/>
        </w:trPr>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 Fee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0.10%</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Operational Wallet</w:t>
            </w:r>
          </w:p>
        </w:tc>
      </w:tr>
      <w:tr>
        <w:trPr>
          <w:cantSplit/>
        </w:trPr>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0.15%</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Operational Wallet</w:t>
            </w:r>
          </w:p>
        </w:tc>
      </w:tr>
      <w:tr>
        <w:trPr>
          <w:cantSplit/>
        </w:trPr>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 Fee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0.20%</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Operational Wallet</w:t>
            </w:r>
          </w:p>
        </w:tc>
      </w:tr>
    </w:tbl>
    <w:p>
      <w:pPr>
        <w:spacing w:after="120"/>
      </w:pPr>
    </w:p>
    <w:p>
      <w:pPr>
        <w:spacing w:after="120" w:line="312"/>
        <w:jc w:val="both"/>
      </w:pPr>
      <w:r>
        <w:rPr>
          <w:rFonts w:ascii="Calibri" w:eastAsia="SimSun" w:hAnsi="Calibri"/>
          <w:b/>
          <w:bCs/>
          <w:color w:val="1A1A1A"/>
          <w:sz w:val="21"/>
          <w:szCs w:val="21"/>
        </w:rPr>
        <w:t xml:space="preserve">Note.</w:t>
      </w:r>
      <w:r>
        <w:rPr>
          <w:rFonts w:ascii="Calibri" w:eastAsia="SimSun" w:hAnsi="Calibri"/>
          <w:b w:val="false"/>
          <w:bCs w:val="false"/>
          <w:color w:val="1A1A1A"/>
          <w:sz w:val="21"/>
          <w:szCs w:val="21"/>
        </w:rPr>
        <w:t xml:space="preserve"> Fees are deducted before the mint, redemption or rebalance is executed. They are not part of the reserve collateral and are excluded from NAV calculations. The rates above are Normal-state defaults; the effective schedule is risk-state dependent (Chapter 21), and the rebalancing fee interacts with the MARP cost-benefit gates (Chapter 11) as an explicit cost of execution. Each deduction emits FeeAccrued (Listing 12), so the Operational Wallet's income statement is reconstructible from events alone (Section 24.4).</w:t>
      </w:r>
    </w:p>
    <w:p>
      <w:pPr>
        <w:pStyle w:val="Heading3"/>
        <w:keepNext/>
        <w:spacing w:after="120" w:before="300" w:line="312"/>
      </w:pPr>
      <w:bookmarkStart w:id="100239" w:name="_Toc100239"/>
      <w:r>
        <w:rPr>
          <w:rFonts w:ascii="Calibri" w:eastAsia="Microsoft YaHei" w:hAnsi="Calibri"/>
          <w:b/>
          <w:bCs/>
          <w:color w:val="333333"/>
          <w:sz w:val="24"/>
          <w:szCs w:val="24"/>
        </w:rPr>
        <w:t xml:space="preserve">20.4.1 Operational Surplus and Reserve Replenishment</w:t>
      </w:r>
      <w:bookmarkEnd w:id="100239"/>
    </w:p>
    <w:p>
      <w:pPr>
        <w:spacing w:after="120" w:line="312"/>
        <w:jc w:val="both"/>
      </w:pPr>
      <w:r>
        <w:rPr>
          <w:rFonts w:ascii="Calibri" w:eastAsia="SimSun" w:hAnsi="Calibri"/>
          <w:b w:val="false"/>
          <w:bCs w:val="false"/>
          <w:color w:val="1A1A1A"/>
          <w:sz w:val="21"/>
          <w:szCs w:val="21"/>
        </w:rPr>
        <w:t xml:space="preserve">The Cold Treasury may be used for emergency reserve replenishment if the Reserve Ratio drops below 1.05 (Stress Mode, Section 14.2) [BP §13.6]. The flow:</w:t>
      </w:r>
    </w:p>
    <w:p>
      <w:pPr>
        <w:pStyle w:val="ListParagraph"/>
        <w:numPr>
          <w:ilvl w:val="0"/>
          <w:numId w:val="20"/>
        </w:numPr>
        <w:spacing w:after="60" w:line="312"/>
        <w:jc w:val="left"/>
      </w:pPr>
      <w:r>
        <w:rPr>
          <w:rFonts w:ascii="Calibri" w:eastAsia="SimSun" w:hAnsi="Calibri"/>
          <w:b w:val="false"/>
          <w:bCs w:val="false"/>
          <w:color w:val="1A1A1A"/>
          <w:sz w:val="21"/>
          <w:szCs w:val="21"/>
        </w:rPr>
        <w:t xml:space="preserve">The Reserve Ratio drops below 1.05.</w:t>
      </w:r>
    </w:p>
    <w:p>
      <w:pPr>
        <w:pStyle w:val="ListParagraph"/>
        <w:numPr>
          <w:ilvl w:val="0"/>
          <w:numId w:val="20"/>
        </w:numPr>
        <w:spacing w:after="60" w:line="312"/>
        <w:jc w:val="left"/>
      </w:pPr>
      <w:r>
        <w:rPr>
          <w:rFonts w:ascii="Calibri" w:eastAsia="SimSun" w:hAnsi="Calibri"/>
          <w:b w:val="false"/>
          <w:bCs w:val="false"/>
          <w:color w:val="1A1A1A"/>
          <w:sz w:val="21"/>
          <w:szCs w:val="21"/>
        </w:rPr>
        <w:t xml:space="preserve">The protocol enters Stress Mode (Section 14.2; risk states of Chapter 21).</w:t>
      </w:r>
    </w:p>
    <w:p>
      <w:pPr>
        <w:pStyle w:val="ListParagraph"/>
        <w:numPr>
          <w:ilvl w:val="0"/>
          <w:numId w:val="20"/>
        </w:numPr>
        <w:spacing w:after="60" w:line="312"/>
        <w:jc w:val="left"/>
      </w:pPr>
      <w:r>
        <w:rPr>
          <w:rFonts w:ascii="Calibri" w:eastAsia="SimSun" w:hAnsi="Calibri"/>
          <w:b w:val="false"/>
          <w:bCs w:val="false"/>
          <w:color w:val="1A1A1A"/>
          <w:sz w:val="21"/>
          <w:szCs w:val="21"/>
        </w:rPr>
        <w:t xml:space="preserve">If rebalancing cannot restore the RR — after MARP's natural cash-flow netting (Section 10.7) and partial corrections (Chapter 11) are exhausted — the protocol may request a surplus transfer from the Cold Treasury to the Reserve Vault.</w:t>
      </w:r>
    </w:p>
    <w:p>
      <w:pPr>
        <w:pStyle w:val="ListParagraph"/>
        <w:numPr>
          <w:ilvl w:val="0"/>
          <w:numId w:val="20"/>
        </w:numPr>
        <w:spacing w:after="60" w:line="312"/>
        <w:jc w:val="left"/>
      </w:pPr>
      <w:r>
        <w:rPr>
          <w:rFonts w:ascii="Calibri" w:eastAsia="SimSun" w:hAnsi="Calibri"/>
          <w:b w:val="false"/>
          <w:bCs w:val="false"/>
          <w:color w:val="1A1A1A"/>
          <w:sz w:val="21"/>
          <w:szCs w:val="21"/>
        </w:rPr>
        <w:t xml:space="preserve">The transfer requires 4/7 Multi-Sig approval and is fully documented on-chain.</w:t>
      </w:r>
    </w:p>
    <w:p>
      <w:pPr>
        <w:spacing w:after="120" w:line="312"/>
        <w:jc w:val="both"/>
      </w:pPr>
      <w:r>
        <w:rPr>
          <w:rFonts w:ascii="Calibri" w:eastAsia="SimSun" w:hAnsi="Calibri"/>
          <w:b w:val="false"/>
          <w:bCs w:val="false"/>
          <w:color w:val="1A1A1A"/>
          <w:sz w:val="21"/>
          <w:szCs w:val="21"/>
        </w:rPr>
        <w:t xml:space="preserve">The implementation guard is the replenishReserve() function of Listing 12: it requires the 4/7 Multi-Sig and a live RR below 1.05, and it is not callable by keepers or the DAO. Replenishment is deliberately the last line of defense in a fixed hierarchy — natural cash flows first, then buffer adjustments (Chapter 13), then MARP trades (Chapter 11), then treasury replenishment — so the protocol only spends its cold surplus after the cheaper mechanisms have failed. The Genesis Reserve (Section 20.1.4) is the second protocol-owned emergency source, governed by the same discipline; both moves are multi-signature, timelocked where applicable, and fully evented.</w:t>
      </w:r>
    </w:p>
    <w:p>
      <w:pPr>
        <w:pStyle w:val="Heading2"/>
        <w:keepNext/>
        <w:spacing w:after="160" w:before="360" w:line="340" w:lineRule="atLeast"/>
      </w:pPr>
      <w:bookmarkStart w:id="100240" w:name="_Toc100240"/>
      <w:r>
        <w:rPr>
          <w:rFonts w:ascii="Calibri" w:eastAsia="Microsoft YaHei" w:hAnsi="Calibri"/>
          <w:b/>
          <w:bCs/>
          <w:color w:val="1A1A1A"/>
          <w:sz w:val="28"/>
          <w:szCs w:val="28"/>
        </w:rPr>
        <w:t xml:space="preserve">20.5 Smart Contract Implementation — Genesis and Treasury</w:t>
      </w:r>
      <w:bookmarkEnd w:id="100240"/>
    </w:p>
    <w:p>
      <w:pPr>
        <w:spacing w:after="120" w:line="312"/>
        <w:jc w:val="both"/>
      </w:pPr>
      <w:r>
        <w:rPr>
          <w:rFonts w:ascii="Calibri" w:eastAsia="SimSun" w:hAnsi="Calibri"/>
          <w:b w:val="false"/>
          <w:bCs w:val="false"/>
          <w:color w:val="1A1A1A"/>
          <w:sz w:val="21"/>
          <w:szCs w:val="21"/>
        </w:rPr>
        <w:t xml:space="preserve">Listing 12 carries BP §13.7 substantially complete and cleaned: the storage variables of §13.7.1 (updated for governance and auditability), the genesis function of §13.2.6 in its fuller §13.7 form — including the GenesisVerification emission — the treasury sweep and emergency replenishment functions, the governed transfer of the Genesis Reserve address, and the index-base computation and verification helpers. Naming is adapted: GFB_BASE_DENOMINATOR becomes INDEX_BASE_DENOMINATOR (Listing 3, Chapter 9), and the base computation includes the CHF and gold terms of the seven-component genesis snapshot (Section 3.4). The event summary of §13.7.3 and the storage summary of §13.7.2 follow the listing as tables.</w:t>
      </w:r>
    </w:p>
    <w:p>
      <w:pPr>
        <w:keepNext/>
        <w:spacing w:after="80" w:before="280" w:line="312"/>
      </w:pPr>
      <w:r>
        <w:rPr>
          <w:rFonts w:ascii="Calibri" w:eastAsia="SimSun" w:hAnsi="Calibri"/>
          <w:b/>
          <w:bCs/>
          <w:color w:val="8A6D1F"/>
          <w:sz w:val="19"/>
          <w:szCs w:val="19"/>
        </w:rPr>
        <w:t xml:space="preserve">Listing 12 — Genesis, accounting separation and treasury sweep (adapts BP §13.7)</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MTQGenesisTreasury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STORAGE VARIABLES (BP §13.7.1 — UPDATED for governance &amp; auditability)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Genesis Constants (set at deployment, immutable)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deposit amount: $1,100,000 (110% RR against 1,000,000 MTQ)</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GENESIS_DEPOSIT = 1_100_000e18;   // 18 decimals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supply: 1,000,000 MTQ (sent to Genesis 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GENESIS_SUPPLY = 1_000_000e18;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Reserve Address (MUTABLE — governed by Constitutional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Testnet default (Arc/Monad): 0xE71869C662733642bfBb262B8c6bad8B0fBfA7D0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genesisReserveAddress;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complete flag (prevents re-initialisation)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public genesisComplete;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Index Denominator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Index base denominator (set once at genesis, immutable in effect).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v2.0 rename: GFB_BASE_DENOMINATOR -&gt;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(chain-linked index, Listing 3 / §9.8)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Treasury Sweep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Sweep threshold: $10,000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SWEEP_THRESHOLD = 10_000e18;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Cold Treasury Address (4/7 Multi-Sig, immutable)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constant COLD_TREASURY = 0x...;   // set at deployment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Keeper bot address (for automated sweeps)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keeper;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Operational Wallet (Hot Wallet)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contract itself holds the operational surplus.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Use balanceOf(address(this)) for the current operational 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External references (v2.0 cross-references)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USDC .................. reserve instrument (Ch 15; Appendix D testnet mock)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AGGREGATOR ............ DEX aggregator, shared with Listing 11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deployer .............. set at deployment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updateReserveState(), getReserveRatio() ... Ch 18 / Listing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encodeGenesisSwapData() ... same aggregator path as Listing 11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_mint .................. ERC-20 internals of the MTQ Σ 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isMultiSig(), isConstitutionalCouncil() ... governance contracts (Ch 22)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constant AGGREGATOR = 0x...;   // set at deployment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deployer;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Base-date fixings and genesis quantities (§3.4 snapshot)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quantities q_i per 1 MTQ unit, USD-equivalent at the base 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(strategic prior: USD 0.27 / EUR 0.20 / JPY 0.09 / GBP 0.08 / CNY 0.05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CHF 0.05 / Gold 0.26). Hard-coded reference values, never updated.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Q_USD  = 0.27e18;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Q_EUR  = 0.20e18;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Q_JPY  = 0.09e18;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Q_GBP  = 0.08e18;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Q_CNY  = 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Q_CHF  = 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Q_GOLD = 0.26e18;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Base-date FX fixings (§3.4; hard-coded, never updated)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BASE_EUR_USD  = 1.05e18;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BASE_GBP_USD  = 1.25e18;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BASE_JPY_USD  = 0.0067e18;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BASE_CNY_USD  = 0.14e18;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BASE_CHF_USD  = 1.13e18;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BASE_GOLD_USD = 2500e18;   // per reference unit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EVENTS (BP §13.7.3)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Emitted when the genesis event is completed.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GenesisCompleted(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depositAmount,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genesisSupply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Emitted to verify the index base 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Allows off-chain audit of the index base calculation (§9.6).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GenesisVerification(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indexBaseDenominator,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eurUsdBase,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gbpUsdBase,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jpyUsdBase,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cnyUsdBase,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chfUsdBase,     // v2.0: added (§3.4)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goldUsdBase,    // v2.0: added (§3.4)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Emitted when the Genesis Reserve address is transferred.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GenesisReserveTransferred(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indexed oldAddress,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indexed newAddress,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Emitted when operational surplus is swept to the Cold Treasury.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TreasurySwept(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Emitted when Cold Treasury funds are used to replenish the 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ReserveReplenished(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Emitted when a fee accrues to the operational wallet.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FeeAccrued(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feeType,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FUNCTIONS (BP §13.2.6 / §13.7)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Initialises the protocol (Genesis Event).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Only callable once at deployment by the deployer.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genesis() external onlyDeployer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require(!genesisComplete, "Genesis already complete");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Transfer genesis deposit from deployer to contract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IERC20(USDC).transferFrom(msg.sender, address(this), GENESIS_DEPOSIT);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Atomic swap to buy the full basket (per the §3.4 genesis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snapshot; same aggregator path as user minting — Listing 11)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swapData = encodeGenesisSwapData(GENESIS_DEPOSIT);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success, ) = AGGREGATOR.call(swapData);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require(success, "Genesis swap failed");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Compute and store the index base 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INDEX_BASE_DENOMINATOR = computeIndexBase();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Emit genesis verification event (see §9.6)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GenesisVerification(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BASE_EUR_USD,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BASE_GBP_USD,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BASE_JPY_USD,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BASE_CNY_USD,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BASE_CHF_USD,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BASE_GOLD_USD,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Mint genesis MTQ to the Genesis Reserve Account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_mint(genesisReserveAddress, GENESIS_SUPPLY);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Update reserve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Mark genesis complete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genesisComplete =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GenesisCompleted(block.timestamp, GENESIS_DEPOSIT, GENESIS_SUPPLY);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GOVERNANCE FUNCTIONS (BP §13.7)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Transfers the Genesis Reserve address to a new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Only callable by the Constitutional Council (7/7) with a 90-day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timelock. Why: the Genesis Reserve holds 1,000,000 MTQ — 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critical protocol asset — so the address must be mutable to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support signer rotation or migration to a new Safe.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transferGenesisReserve(address newReserve)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onlyConstitutionalCouncil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require(newReserve != address(0), "Invalid 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require(newReserve != genesisReserveAddress, "Already 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old = genesisReserveAddress;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genesisReserveAddress = newReserve;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GenesisReserveTransferred(old, newReserve,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TREASURY SWEEP FUNCTIONS (BP §13.4.2 / §13.6)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Sweeps excess operational surplus to the Cold Treasury.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Called by the keeper bot daily (or after large fee accruals).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sweepTreasury() external onlyKeeper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balance = IERC20(USDC).balanceOf(address(this));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(balance &gt; SWEEP_THRESHOLD)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sweepAmount = balance - SWEEP_THRESHOLD;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IERC20(USDC).transfer(COLD_TREASURY, sweepAmount);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TreasurySwept(sweepAmount,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Transfers funds from the Cold Treasury to the Reserve Vault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(emergency only). Requires 4/7 Multi-Sig and RR &lt; 1.05 (§14.2).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Security: emergency function — not callable by keepers or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DAO, only by the Emergency Council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replenishReserve(uint256 amount) external onlyMultiSig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require(getReserveRatio() &lt; 1.05e18, "RR not in stress mode");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IERC20(USDC).transferFrom(COLD_TREASURY, address(this),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Update reserve state to reflect the new assets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ReserveReplenished(amount,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ACCOUNTING HELPERS (BP §13.7)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Computes the index base denominator. Called during genesis 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stored as INDEX_BASE_DENOMINATOR. v2.0: seven components (CHF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and gold included, §3.4); the v1.2 sum had five currency terms.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All quantities and fixings are 1e18-scaled; the sum 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normalized back to the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computeIndexBase()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(Q_USD * 1e18              // USD leg: fixing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Q_EUR * BASE_EUR_USD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Q_GBP * BASE_GBP_USD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Q_JPY * BASE_JPY_USD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Q_CNY * BASE_CNY_USD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Q_CHF * BASE_CHF_USD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Q_GOLD * BASE_GOLD_USD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Verifies that the stored INDEX_BASE_DENOMINATOR matches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base-date FX fixings (§3.4). Used for off-chain audit (§9.6).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verifyIndexBase() external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recomputed = (Q_USD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Q_EUR * BASE_EUR_USD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Q_GBP * BASE_GBP_USD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Q_JPY * BASE_JPY_USD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Q_CNY * BASE_CNY_USD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Q_CHF * BASE_CHF_USD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Q_GOLD * BASE_GOLD_USD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recomputed ==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MODIFIERS (BP §13.7)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onlyDeployer()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deployer, "Only deployer");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onlyKeeper()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keeper, "Only keeper");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onlyMultiSig()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Implement via Gnosis Safe or equivalent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require(isMultiSig(msg.sender), "Only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onlyConstitutionalCouncil()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Implement via 7/7 Multi-Sig with 90-day timelock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require(isConstitutionalCouncil(msg.sender), "Only Constitutional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IERC20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transferFrom(address from, address to, uint256 value) external returns (bool);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transfer(address to, uint256 value) external returns (bool);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balanceOf(address account) external view returns (uint256);</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Style w:val="Heading3"/>
        <w:keepNext/>
        <w:spacing w:after="120" w:before="300" w:line="312"/>
      </w:pPr>
      <w:bookmarkStart w:id="100241" w:name="_Toc100241"/>
      <w:r>
        <w:rPr>
          <w:rFonts w:ascii="Calibri" w:eastAsia="Microsoft YaHei" w:hAnsi="Calibri"/>
          <w:b/>
          <w:bCs/>
          <w:color w:val="333333"/>
          <w:sz w:val="24"/>
          <w:szCs w:val="24"/>
        </w:rPr>
        <w:t xml:space="preserve">20.5.1 Summary of Storage Variables</w:t>
      </w:r>
      <w:bookmarkEnd w:id="100241"/>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Variable</w:t>
            </w:r>
          </w:p>
        </w:tc>
        <w:tc>
          <w:tcPr>
            <w:tcW w:type="pct" w:w="1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Type</w:t>
            </w:r>
          </w:p>
        </w:tc>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c>
          <w:tcPr>
            <w:tcW w:type="pct" w:w="3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Mutability</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GENESIS_DEPOSIT</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 constant</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$1,100,000</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GENESIS_SUPPLY</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 constant</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1,000,000 MTQ</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genesisReserveAddress</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address</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4/7 Multi-Sig holding genesis MTQ</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Mutable (Constitutional Council)</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genesisComplete</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bool</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Flag preventing re-genesis</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Set once</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INDEX_BASE_DENOMINATOR</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Index base denominator</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Set at genesis</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SWEEP_THRESHOLD</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 constant</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COLD_TREASURY</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address constant</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4/7 Multi-Sig for surplus</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keeper</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address</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Automated bot address</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Mutable (Multi-Sig)</w:t>
            </w:r>
          </w:p>
        </w:tc>
      </w:tr>
    </w:tbl>
    <w:p>
      <w:pPr>
        <w:spacing w:after="120"/>
      </w:pPr>
    </w:p>
    <w:p>
      <w:pPr>
        <w:pStyle w:val="Heading3"/>
        <w:keepNext/>
        <w:spacing w:after="120" w:before="300" w:line="312"/>
      </w:pPr>
      <w:bookmarkStart w:id="100242" w:name="_Toc100242"/>
      <w:r>
        <w:rPr>
          <w:rFonts w:ascii="Calibri" w:eastAsia="Microsoft YaHei" w:hAnsi="Calibri"/>
          <w:b/>
          <w:bCs/>
          <w:color w:val="333333"/>
          <w:sz w:val="24"/>
          <w:szCs w:val="24"/>
        </w:rPr>
        <w:t xml:space="preserve">20.5.2 Event Summary</w:t>
      </w:r>
      <w:bookmarkEnd w:id="100242"/>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Event</w:t>
            </w:r>
          </w:p>
        </w:tc>
        <w:tc>
          <w:tcPr>
            <w:tcW w:type="pct" w:w="4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Purpose</w:t>
            </w:r>
          </w:p>
        </w:tc>
        <w:tc>
          <w:tcPr>
            <w:tcW w:type="pct" w:w="3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Emitted When</w:t>
            </w:r>
          </w:p>
        </w:tc>
      </w:tr>
      <w:tr>
        <w:trPr>
          <w:cantSplit/>
        </w:trPr>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GenesisCompleted</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Records successful genesis</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End of genesis()</w:t>
            </w:r>
          </w:p>
        </w:tc>
      </w:tr>
      <w:tr>
        <w:trPr>
          <w:cantSplit/>
        </w:trPr>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GenesisVerification</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Verifies the index base denominator</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During genesis()</w:t>
            </w:r>
          </w:p>
        </w:tc>
      </w:tr>
      <w:tr>
        <w:trPr>
          <w:cantSplit/>
        </w:trPr>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GenesisReserveTransferred</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Tracks Genesis Reserve address changes</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transferGenesisReserve()</w:t>
            </w:r>
          </w:p>
        </w:tc>
      </w:tr>
      <w:tr>
        <w:trPr>
          <w:cantSplit/>
        </w:trPr>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TreasurySwept</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Records surplus sweep</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sweepTreasury()</w:t>
            </w:r>
          </w:p>
        </w:tc>
      </w:tr>
      <w:tr>
        <w:trPr>
          <w:cantSplit/>
        </w:trPr>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ReserveReplenished</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Records emergency reserve replenishment</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replenishReserve()</w:t>
            </w:r>
          </w:p>
        </w:tc>
      </w:tr>
      <w:tr>
        <w:trPr>
          <w:cantSplit/>
        </w:trPr>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FeeAccrued</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Records fee collection</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Called when fees are deducted</w:t>
            </w:r>
          </w:p>
        </w:tc>
      </w:tr>
    </w:tbl>
    <w:p>
      <w:pPr>
        <w:spacing w:after="120"/>
      </w:pPr>
    </w:p>
    <w:p>
      <w:pPr>
        <w:pStyle w:val="Heading3"/>
        <w:keepNext/>
        <w:spacing w:after="120" w:before="300" w:line="312"/>
      </w:pPr>
      <w:bookmarkStart w:id="100243" w:name="_Toc100243"/>
      <w:r>
        <w:rPr>
          <w:rFonts w:ascii="Calibri" w:eastAsia="Microsoft YaHei" w:hAnsi="Calibri"/>
          <w:b/>
          <w:bCs/>
          <w:color w:val="333333"/>
          <w:sz w:val="24"/>
          <w:szCs w:val="24"/>
        </w:rPr>
        <w:t xml:space="preserve">20.5.3 Deployment Notes (Summary)</w:t>
      </w:r>
      <w:bookmarkEnd w:id="100243"/>
    </w:p>
    <w:p>
      <w:pPr>
        <w:spacing w:after="120" w:line="312"/>
        <w:jc w:val="both"/>
      </w:pPr>
      <w:r>
        <w:rPr>
          <w:rFonts w:ascii="Calibri" w:eastAsia="SimSun" w:hAnsi="Calibri"/>
          <w:b w:val="false"/>
          <w:bCs w:val="false"/>
          <w:color w:val="1A1A1A"/>
          <w:sz w:val="21"/>
          <w:szCs w:val="21"/>
        </w:rPr>
        <w:t xml:space="preserve">At deployment: set genesisReserveAddress to a dedicated 4/7 Gnosis Safe — on Arc/Monad testnet the default is 0xE71869C662733642bfBb262B8c6bad8B0fBfA7D0, with the Cold Treasury using the same address on testnet — and set keeper to a trusted automated bot address (the deployer or a dedicated bot). The Cold Treasury itself must be deployed as a 4/7 Gnosis Safe with hardware-wallet signers satisfying the requirements of Section 20.3.3. The genesis() function is protected by onlyDeployer and is callable only once; replenishReserve() is protected by the 4/7 Multi-Sig with the RR &lt; 1.05 guard; transferGenesisReserve() requires the Constitutional Council (7/7) with the 90-day timelock of the governance process (Chapter 22). Post-genesis verification uses Foundry — verifyIndexBase() to check the stored denominator, balanceOf(genesisReserveAddress) to check the genesis reserve balance, and the contract and Cold Treasury balances to check the operational pools — with the complete command set and deployment checklist consolidated in Appendix B. On Solana Devnet the address-based mechanism is replaced by the testnet-specific approach of Appendix D.</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(Listing 12 vs. BP §13.7): carried verbatim (cleaned) are the genesis constants and deposit/supply values, the genesis() sequence including the verification emission, the sweep and replenishment functions with their guards, the governed genesis-reserve transfer, all six events and the modifier set. Deliberate adaptations: (i) GFB_BASE_DENOMINATOR is renamed INDEX_BASE_DENOMINATOR and computed over seven components — the v1.2 five-currency sum is extended with the CHF and gold base terms per the Section 3.4 snapshot, and GenesisVerification correspondingly carries the CHF and gold fixings; (ii) the genesis quantities and base fixings are declared explicitly from the Section 3.4 snapshot, with decimal normalization of the sum made explicit; (iii) the genesis basket purchase follows the Section 3.4 snapshot weights rather than the v1.2 fixed split, via the same aggregator path as Listing 11; and (iv) the Foundry verification commands are summarized in prose with the full checklist in Appendix B.</w:t>
      </w:r>
    </w:p>
    <w:p>
      <w:pPr>
        <w:pStyle w:val="Heading2"/>
        <w:keepNext/>
        <w:spacing w:after="160" w:before="360" w:line="340" w:lineRule="atLeast"/>
      </w:pPr>
      <w:bookmarkStart w:id="100244" w:name="_Toc100244"/>
      <w:r>
        <w:rPr>
          <w:rFonts w:ascii="Calibri" w:eastAsia="Microsoft YaHei" w:hAnsi="Calibri"/>
          <w:b/>
          <w:bCs/>
          <w:color w:val="1A1A1A"/>
          <w:sz w:val="28"/>
          <w:szCs w:val="28"/>
        </w:rPr>
        <w:t xml:space="preserve">20.6 Summary of Developer-Facing Constants</w:t>
      </w:r>
      <w:bookmarkEnd w:id="100244"/>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3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Governance</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 Deposit</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GENESIS_DEPOSIT</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$1,100,000</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 Supply</w:t>
            </w:r>
          </w:p>
        </w:tc>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GENESIS_SUPPLY</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1,000,000 MTQ</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Sweep Threshold</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SWEEP_THRESHOLD</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Cold Treasury Address</w:t>
            </w:r>
          </w:p>
        </w:tc>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COLD_TREASURY</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4/7 Multi-Sig</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Keeper Address</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keeper</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Set at deployment</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Multi-Sig (4/7)</w:t>
            </w:r>
          </w:p>
        </w:tc>
      </w:tr>
    </w:tbl>
    <w:p>
      <w:pPr>
        <w:spacing w:after="120"/>
      </w:pPr>
    </w:p>
    <w:p>
      <w:pPr>
        <w:spacing w:after="120" w:line="312"/>
        <w:jc w:val="both"/>
      </w:pPr>
      <w:r>
        <w:rPr>
          <w:rFonts w:ascii="Calibri" w:eastAsia="SimSun" w:hAnsi="Calibri"/>
          <w:b w:val="false"/>
          <w:bCs w:val="false"/>
          <w:color w:val="1A1A1A"/>
          <w:sz w:val="21"/>
          <w:szCs w:val="21"/>
        </w:rPr>
        <w:t xml:space="preserve">Chapters 19 and 20 close the user-facing and initialization layers of the protocol: entry and exit are priced against the adaptive index and NAV respectively (invariants I5 and I6 of Section 2.6), genesis fixes the normalization base immutably and verifiably (Sections 3.4 and 9.6), and the three-pool accounting keeps collateral, operations and surplus strictly separated so that the closed-loop reconciliation of Chapter 18 always balances. The remaining operational layer defines who may change what: the risk-state machinery and fee schedule of Chapter 21 (with the RR tiers of Section 14.2), and the governance processes — parameter registry, data-provider approval, timelocks and councils — of Chapter 22. Every constant carried above is registered there with its governance class, and the deployment checklists of Appendix B and the testnet genesis procedures of Appendix D operationalize this chapter end to end.</w:t>
      </w:r>
    </w:p>
    <w:p>
      <w:pPr>
        <w:pStyle w:val="Heading1"/>
        <w:keepNext/>
        <w:pBdr>
          <w:bottom w:val="single" w:color="C9A84C" w:sz="12" w:space="6"/>
        </w:pBdr>
        <w:spacing w:after="220" w:before="480" w:line="380" w:lineRule="atLeast"/>
      </w:pPr>
      <w:bookmarkStart w:id="100245" w:name="_Toc100245"/>
      <w:r>
        <w:rPr>
          <w:rFonts w:ascii="Calibri" w:eastAsia="Microsoft YaHei" w:hAnsi="Calibri"/>
          <w:b/>
          <w:bCs/>
          <w:color w:val="1A1A1A"/>
          <w:sz w:val="32"/>
          <w:szCs w:val="32"/>
        </w:rPr>
        <w:t xml:space="preserve">21. The Risk State Machine, Crisis Execution and Emergency Actions</w:t>
      </w:r>
      <w:bookmarkEnd w:id="100245"/>
    </w:p>
    <w:p>
      <w:pPr>
        <w:pStyle w:val="Heading2"/>
        <w:keepNext/>
        <w:spacing w:after="160" w:before="360" w:line="340" w:lineRule="atLeast"/>
      </w:pPr>
      <w:bookmarkStart w:id="100246" w:name="_Toc100246"/>
      <w:r>
        <w:rPr>
          <w:rFonts w:ascii="Calibri" w:eastAsia="Microsoft YaHei" w:hAnsi="Calibri"/>
          <w:b/>
          <w:bCs/>
          <w:color w:val="1A1A1A"/>
          <w:sz w:val="28"/>
          <w:szCs w:val="28"/>
        </w:rPr>
        <w:t xml:space="preserve">21.1 Purpose</w:t>
      </w:r>
      <w:bookmarkEnd w:id="100246"/>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risk state machine is the protocol's immune system: a deterministic control plane that continuously diagnoses the solvency and liquidity condition of MTQ Σ and reconfigures the protocol's operating posture in response [BP §14.1]. It is the single layer at which fees, execution behavior, rebalancing urgency, oracle confirmation depth and governance communication all change together — coherently, predictably and without human discretion — as conditions deteriorate and recover.</w:t>
      </w:r>
    </w:p>
    <w:p>
      <w:pPr>
        <w:spacing w:after="120" w:line="312"/>
        <w:jc w:val="both"/>
      </w:pPr>
      <w:r>
        <w:rPr>
          <w:rFonts w:ascii="Calibri" w:eastAsia="SimSun" w:hAnsi="Calibri"/>
          <w:b w:val="false"/>
          <w:bCs w:val="false"/>
          <w:color w:val="1A1A1A"/>
          <w:sz w:val="21"/>
          <w:szCs w:val="21"/>
        </w:rPr>
        <w:t xml:space="preserve">The module performs four functions [BP §14.1]. First, it defines the risk state of the protocol — one of NORMAL, CAUTION, STRESS, DEFENSIVE, EMERGENCY or RECOVERY — derived from the Reserve Ratio (RR) and the Liquidity Coverage Ratio (LCR), both computed by the reserve valuation layer with asset-specific haircuts (Chapter 14; Invariant I4). Second, it enforces state-dependent actions: minting throttles, redemption fees, rebalancing urgency and communication cadence. Third, it provides the governance hierarchy with a clear separation of powers — Constitutional, Monetary, Risk and Emergency (Section 22.3). Fourth, it enables time-locked parameter updates, so that no parameter can be changed maliciously or in a rush (Sections 22.4 and 22.6).</w:t>
      </w:r>
    </w:p>
    <w:p>
      <w:pPr>
        <w:pStyle w:val="ListParagraph"/>
        <w:numPr>
          <w:ilvl w:val="0"/>
          <w:numId w:val="21"/>
        </w:numPr>
        <w:spacing w:after="60" w:line="312"/>
        <w:jc w:val="left"/>
      </w:pPr>
      <w:r>
        <w:rPr>
          <w:rFonts w:ascii="Calibri" w:eastAsia="SimSun" w:hAnsi="Calibri"/>
          <w:b/>
          <w:bCs/>
          <w:color w:val="1A1A1A"/>
          <w:sz w:val="21"/>
          <w:szCs w:val="21"/>
        </w:rPr>
        <w:t xml:space="preserve">Deterministic state.</w:t>
      </w:r>
      <w:r>
        <w:rPr>
          <w:rFonts w:ascii="Calibri" w:eastAsia="SimSun" w:hAnsi="Calibri"/>
          <w:b w:val="false"/>
          <w:bCs w:val="false"/>
          <w:color w:val="1A1A1A"/>
          <w:sz w:val="21"/>
          <w:szCs w:val="21"/>
        </w:rPr>
        <w:t xml:space="preserve"> The state is derived entirely from on-chain metrics (RR, LCR, oracle health); no human subjectivity is involved in the classification.</w:t>
      </w:r>
    </w:p>
    <w:p>
      <w:pPr>
        <w:pStyle w:val="ListParagraph"/>
        <w:numPr>
          <w:ilvl w:val="0"/>
          <w:numId w:val="21"/>
        </w:numPr>
        <w:spacing w:after="60" w:line="312"/>
        <w:jc w:val="left"/>
      </w:pPr>
      <w:r>
        <w:rPr>
          <w:rFonts w:ascii="Calibri" w:eastAsia="SimSun" w:hAnsi="Calibri"/>
          <w:b/>
          <w:bCs/>
          <w:color w:val="1A1A1A"/>
          <w:sz w:val="21"/>
          <w:szCs w:val="21"/>
        </w:rPr>
        <w:t xml:space="preserve">Monotonic transitions under stress.</w:t>
      </w:r>
      <w:r>
        <w:rPr>
          <w:rFonts w:ascii="Calibri" w:eastAsia="SimSun" w:hAnsi="Calibri"/>
          <w:b w:val="false"/>
          <w:bCs w:val="false"/>
          <w:color w:val="1A1A1A"/>
          <w:sz w:val="21"/>
          <w:szCs w:val="21"/>
        </w:rPr>
        <w:t xml:space="preserve"> The protocol moves immediately toward more restrictive states during a crisis, while recovery requires sustained, time-based improvement.</w:t>
      </w:r>
    </w:p>
    <w:p>
      <w:pPr>
        <w:pStyle w:val="ListParagraph"/>
        <w:numPr>
          <w:ilvl w:val="0"/>
          <w:numId w:val="21"/>
        </w:numPr>
        <w:spacing w:after="60" w:line="312"/>
        <w:jc w:val="left"/>
      </w:pPr>
      <w:r>
        <w:rPr>
          <w:rFonts w:ascii="Calibri" w:eastAsia="SimSun" w:hAnsi="Calibri"/>
          <w:b/>
          <w:bCs/>
          <w:color w:val="1A1A1A"/>
          <w:sz w:val="21"/>
          <w:szCs w:val="21"/>
        </w:rPr>
        <w:t xml:space="preserve">Layered governance.</w:t>
      </w:r>
      <w:r>
        <w:rPr>
          <w:rFonts w:ascii="Calibri" w:eastAsia="SimSun" w:hAnsi="Calibri"/>
          <w:b w:val="false"/>
          <w:bCs w:val="false"/>
          <w:color w:val="1A1A1A"/>
          <w:sz w:val="21"/>
          <w:szCs w:val="21"/>
        </w:rPr>
        <w:t xml:space="preserve"> Constitutional parameters are immutable, monetary parameters require a DAO vote and timelock, risk parameters require Risk Council approval, and emergency actions require a Multi-Sig with hardware wallet requirements.</w:t>
      </w:r>
    </w:p>
    <w:p>
      <w:pPr>
        <w:spacing w:after="120" w:line="312"/>
        <w:jc w:val="both"/>
      </w:pPr>
      <w:r>
        <w:rPr>
          <w:rFonts w:ascii="Calibri" w:eastAsia="SimSun" w:hAnsi="Calibri"/>
          <w:b w:val="false"/>
          <w:bCs w:val="false"/>
          <w:color w:val="1A1A1A"/>
          <w:sz w:val="21"/>
          <w:szCs w:val="21"/>
        </w:rPr>
        <w:t xml:space="preserve">The risk state must not be confused with the crisis score of Section 5.5. The crisis score aggregates market-side stress evidence (FX volatility, cross-asset correlation, liquidity stress, drawdowns) and modulates the MASE objective and the execution posture (§13.7); the risk state is the protocol-side solvency and liquidity condition of the reserve itself. The two are complementary and converge on execution: a market crisis without solvency stress changes how carefully the system trades, while a deterioration of RR or LCR changes what the system is permitted to do at all, including the state-contingent reserve posture of Sections 14.4–14.5. Both publish their outputs through the transparency layer (Chapter 24), and both feed the honest-status declaration of Section 25.</w:t>
      </w:r>
    </w:p>
    <w:p>
      <w:pPr>
        <w:pStyle w:val="Heading2"/>
        <w:keepNext/>
        <w:spacing w:after="160" w:before="360" w:line="340" w:lineRule="atLeast"/>
      </w:pPr>
      <w:bookmarkStart w:id="100247" w:name="_Toc100247"/>
      <w:r>
        <w:rPr>
          <w:rFonts w:ascii="Calibri" w:eastAsia="Microsoft YaHei" w:hAnsi="Calibri"/>
          <w:b/>
          <w:bCs/>
          <w:color w:val="1A1A1A"/>
          <w:sz w:val="28"/>
          <w:szCs w:val="28"/>
        </w:rPr>
        <w:t xml:space="preserve">21.2 The Six Risk States</w:t>
      </w:r>
      <w:bookmarkEnd w:id="100247"/>
    </w:p>
    <w:p>
      <w:pPr>
        <w:spacing w:after="120" w:line="312"/>
        <w:jc w:val="both"/>
      </w:pPr>
      <w:r>
        <w:rPr>
          <w:rFonts w:ascii="Calibri" w:eastAsia="SimSun" w:hAnsi="Calibri"/>
          <w:b w:val="false"/>
          <w:bCs w:val="false"/>
          <w:color w:val="1A1A1A"/>
          <w:sz w:val="21"/>
          <w:szCs w:val="21"/>
        </w:rPr>
        <w:t xml:space="preserve">The protocol classifies itself into exactly six risk states, labeled S1 through S6 [BP §14.2.1]. The classification is a pure function of the two solvency metrics — the reserve ratio RR_t and the liquidity coverage ratio LCR_t (Section 2.5) — evaluated after every mint, redemption, rebalance and price update:</w:t>
      </w:r>
    </w:p>
    <w:p>
      <w:pPr>
        <w:spacing w:after="120" w:before="120" w:line="312"/>
        <w:jc w:val="center"/>
      </w:pPr>
      <w:r>
        <w:rPr>
          <w:rFonts w:ascii="Cambria" w:eastAsia="SimSun" w:hAnsi="Cambria"/>
          <w:i w:val="false"/>
          <w:iCs w:val="false"/>
          <w:color w:val="1A1A1A"/>
          <w:sz w:val="22"/>
          <w:szCs w:val="22"/>
        </w:rPr>
        <w:t xml:space="preserve">State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F(RR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LCR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S</w:t>
      </w:r>
      <w:r>
        <w:rPr>
          <w:rFonts w:ascii="Cambria" w:eastAsia="SimSun" w:hAnsi="Cambria"/>
          <w:i/>
          <w:iCs/>
          <w:color w:val="1A1A1A"/>
          <w:sz w:val="22"/>
          <w:szCs w:val="22"/>
          <w:vertAlign w:val="subscript"/>
        </w:rPr>
        <w:t xml:space="preserve">1</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,S</w:t>
      </w:r>
      <w:r>
        <w:rPr>
          <w:rFonts w:ascii="Cambria" w:eastAsia="SimSun" w:hAnsi="Cambria"/>
          <w:i/>
          <w:iCs/>
          <w:color w:val="1A1A1A"/>
          <w:sz w:val="22"/>
          <w:szCs w:val="22"/>
          <w:vertAlign w:val="subscript"/>
        </w:rPr>
        <w:t xml:space="preserve">6</w:t>
      </w:r>
      <w:r>
        <w:rPr>
          <w:rFonts w:ascii="Cambria" w:eastAsia="SimSun" w:hAnsi="Cambria"/>
          <w:i w:val="false"/>
          <w:iCs w:val="false"/>
          <w:color w:val="1A1A1A"/>
          <w:sz w:val="22"/>
          <w:szCs w:val="22"/>
        </w:rPr>
        <w:t xml:space="preser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gridCol w:w="100"/>
      </w:tblGrid>
      <w:tr>
        <w:trPr>
          <w:cantSplit/>
          <w:tblHeader/>
        </w:trPr>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State</w:t>
            </w:r>
          </w:p>
        </w:tc>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RR Range</w:t>
            </w:r>
          </w:p>
        </w:tc>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LCR Range</w:t>
            </w:r>
          </w:p>
        </w:tc>
        <w:tc>
          <w:tcPr>
            <w:tcW w:type="pct" w:w="2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Entry Trigger</w:t>
            </w:r>
          </w:p>
        </w:tc>
        <w:tc>
          <w:tcPr>
            <w:tcW w:type="pct" w:w="4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NORMAL</w:t>
            </w:r>
            <w:r>
              <w:rPr>
                <w:rFonts w:ascii="Calibri" w:eastAsia="SimSun" w:hAnsi="Calibri"/>
                <w:b w:val="false"/>
                <w:bCs w:val="false"/>
                <w:color w:val="1A1A1A"/>
                <w:sz w:val="19"/>
                <w:szCs w:val="19"/>
              </w:rPr>
              <w:t xml:space="preserve"> (S1)</w:t>
            </w:r>
          </w:p>
        </w:tc>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1.10</w:t>
            </w:r>
          </w:p>
        </w:tc>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 1.00</w:t>
            </w:r>
          </w:p>
        </w:tc>
        <w:tc>
          <w:tcPr>
            <w:tcW w:type="pct" w:w="2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Immediate while both targets hold</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Standard operations. Full mint, redeem, and rebalancing.</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CAUTION</w:t>
            </w:r>
            <w:r>
              <w:rPr>
                <w:rFonts w:ascii="Calibri" w:eastAsia="SimSun" w:hAnsi="Calibri"/>
                <w:b w:val="false"/>
                <w:bCs w:val="false"/>
                <w:color w:val="1A1A1A"/>
                <w:sz w:val="19"/>
                <w:szCs w:val="19"/>
              </w:rPr>
              <w:t xml:space="preserve"> (S2)</w:t>
            </w:r>
          </w:p>
        </w:tc>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 ≤ RR &lt; 1.10</w:t>
            </w:r>
          </w:p>
        </w:tc>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 0.90</w:t>
            </w:r>
          </w:p>
        </w:tc>
        <w:tc>
          <w:tcPr>
            <w:tcW w:type="pct" w:w="2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Immediate on RR &lt; 1.10 or LCR &lt; 1.00</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Defensive posture. Minting throttled to 50%. Rebalancing urgency increased.</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w:t>
            </w:r>
            <w:r>
              <w:rPr>
                <w:rFonts w:ascii="Calibri" w:eastAsia="SimSun" w:hAnsi="Calibri"/>
                <w:b w:val="false"/>
                <w:bCs w:val="false"/>
                <w:color w:val="1A1A1A"/>
                <w:sz w:val="19"/>
                <w:szCs w:val="19"/>
              </w:rPr>
              <w:t xml:space="preserve"> (S3)</w:t>
            </w:r>
          </w:p>
        </w:tc>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1.02 ≤ RR &lt; 1.05</w:t>
            </w:r>
          </w:p>
        </w:tc>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 0.80</w:t>
            </w:r>
          </w:p>
        </w:tc>
        <w:tc>
          <w:tcPr>
            <w:tcW w:type="pct" w:w="2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Immediate on RR &lt; 1.05 or LCR &lt; 0.90</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Significant stress. Minting paused. Redemption fee raised to 0.50%. Emergency rebalancing triggered.</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DEFENSIVE</w:t>
            </w:r>
            <w:r>
              <w:rPr>
                <w:rFonts w:ascii="Calibri" w:eastAsia="SimSun" w:hAnsi="Calibri"/>
                <w:b w:val="false"/>
                <w:bCs w:val="false"/>
                <w:color w:val="1A1A1A"/>
                <w:sz w:val="19"/>
                <w:szCs w:val="19"/>
              </w:rPr>
              <w:t xml:space="preserve"> (S4)</w:t>
            </w:r>
          </w:p>
        </w:tc>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 ≤ RR &lt; 1.02</w:t>
            </w:r>
          </w:p>
        </w:tc>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 0.70</w:t>
            </w:r>
          </w:p>
        </w:tc>
        <w:tc>
          <w:tcPr>
            <w:tcW w:type="pct" w:w="2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Immediate on RR &lt; 1.02 or LCR &lt; 0.80</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Severe stress. Redemptions throttled (fee 1.00%). Rebalancing forced. Governance notified.</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w:t>
            </w:r>
            <w:r>
              <w:rPr>
                <w:rFonts w:ascii="Calibri" w:eastAsia="SimSun" w:hAnsi="Calibri"/>
                <w:b w:val="false"/>
                <w:bCs w:val="false"/>
                <w:color w:val="1A1A1A"/>
                <w:sz w:val="19"/>
                <w:szCs w:val="19"/>
              </w:rPr>
              <w:t xml:space="preserve"> (S5)</w:t>
            </w:r>
          </w:p>
        </w:tc>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&lt; 1.00</w:t>
            </w:r>
          </w:p>
        </w:tc>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Any</w:t>
            </w:r>
          </w:p>
        </w:tc>
        <w:tc>
          <w:tcPr>
            <w:tcW w:type="pct" w:w="2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Immediate on hard-floor breach (Invariant I2, §2.6)</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Existential. Redemptions paused. Circuit breakers engaged. Council emergency session called.</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RECOVERY</w:t>
            </w:r>
            <w:r>
              <w:rPr>
                <w:rFonts w:ascii="Calibri" w:eastAsia="SimSun" w:hAnsi="Calibri"/>
                <w:b w:val="false"/>
                <w:bCs w:val="false"/>
                <w:color w:val="1A1A1A"/>
                <w:sz w:val="19"/>
                <w:szCs w:val="19"/>
              </w:rPr>
              <w:t xml:space="preserve"> (S6)</w:t>
            </w:r>
          </w:p>
        </w:tc>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1.05 (rising)</w:t>
            </w:r>
          </w:p>
        </w:tc>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 0.90</w:t>
            </w:r>
          </w:p>
        </w:tc>
        <w:tc>
          <w:tcPr>
            <w:tcW w:type="pct" w:w="2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From a more restrictive state, after 48 h sustained confirmation</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Gradual restoration. Minting resumes at 25% capacity. Fees reduced incrementally.</w:t>
            </w:r>
          </w:p>
        </w:tc>
      </w:tr>
    </w:tbl>
    <w:p>
      <w:pPr>
        <w:spacing w:after="120"/>
      </w:pPr>
    </w:p>
    <w:p>
      <w:pPr>
        <w:spacing w:after="120" w:line="312"/>
        <w:jc w:val="both"/>
      </w:pPr>
      <w:r>
        <w:rPr>
          <w:rFonts w:ascii="Calibri" w:eastAsia="SimSun" w:hAnsi="Calibri"/>
          <w:b w:val="false"/>
          <w:bCs w:val="false"/>
          <w:color w:val="1A1A1A"/>
          <w:sz w:val="21"/>
          <w:szCs w:val="21"/>
        </w:rPr>
        <w:t xml:space="preserve">Two reading rules apply to the table. First, both metrics must qualify for a state: NORMAL requires RR ≥ 1.10 and LCR ≥ 1.00 simultaneously, so a liquidity shortfall alone can hold the protocol in CAUTION even while the reserve ratio is comfortable — the worse of the two metrics is always the binding constraint. Second, the EMERGENCY boundary is constitutional: RR &lt; 1.00 violates the hard floor of Invariant I2 (Section 2.6), which is why the S5 entry trigger is immediate and why the hard floor itself is immutable in the parameter registry (Section 22.4).</w:t>
      </w:r>
    </w:p>
    <w:p>
      <w:pPr>
        <w:spacing w:after="120" w:line="312"/>
        <w:jc w:val="both"/>
      </w:pPr>
      <w:r>
        <w:rPr>
          <w:rFonts w:ascii="Calibri" w:eastAsia="SimSun" w:hAnsi="Calibri"/>
          <w:b w:val="false"/>
          <w:bCs w:val="false"/>
          <w:color w:val="1A1A1A"/>
          <w:sz w:val="21"/>
          <w:szCs w:val="21"/>
        </w:rPr>
        <w:t xml:space="preserve">RECOVERY (S6) is the residual posture of the classifier: solvency at or above the hard floor with ratios improving but not yet back to the NORMAL thresholds. The formal classifier reaches it when the ratios fail the DEFENSIVE liquidity test while solvency holds — for example, RR ≥ 1.05 with LCR below 0.70 — or during a confirmed climb back from a deeper state. Its action profile (25% minting throttle, 0.30% redemption fee, increased rebalancing urgency) sits deliberately between CAUTION and STRESS, which is also how the transition logic of Section 21.3 ranks it.</w:t>
      </w:r>
    </w:p>
    <w:p>
      <w:pPr>
        <w:pStyle w:val="Heading2"/>
        <w:keepNext/>
        <w:spacing w:after="160" w:before="360" w:line="340" w:lineRule="atLeast"/>
      </w:pPr>
      <w:bookmarkStart w:id="100248" w:name="_Toc100248"/>
      <w:r>
        <w:rPr>
          <w:rFonts w:ascii="Calibri" w:eastAsia="Microsoft YaHei" w:hAnsi="Calibri"/>
          <w:b/>
          <w:bCs/>
          <w:color w:val="1A1A1A"/>
          <w:sz w:val="28"/>
          <w:szCs w:val="28"/>
        </w:rPr>
        <w:t xml:space="preserve">21.3 State Transition Logic</w:t>
      </w:r>
      <w:bookmarkEnd w:id="100248"/>
    </w:p>
    <w:p>
      <w:pPr>
        <w:spacing w:after="120" w:line="312"/>
        <w:jc w:val="both"/>
      </w:pPr>
      <w:r>
        <w:rPr>
          <w:rFonts w:ascii="Calibri" w:eastAsia="SimSun" w:hAnsi="Calibri"/>
          <w:b w:val="false"/>
          <w:bCs w:val="false"/>
          <w:color w:val="1A1A1A"/>
          <w:sz w:val="21"/>
          <w:szCs w:val="21"/>
        </w:rPr>
        <w:t xml:space="preserve">State transitions obey one asymmetric rule [BP §14.2.2]. Movement toward a more restrictive state (for example NORMAL → CAUTION) is immediate upon breaching the threshold. Movement toward a less restrictive state (for example STRESS → CAUTION) requires the protocol to remain above the destination state's threshold continuously for 48 consecutive hours — the recovery confirmation period. Degradation is fast; recovery is slow and must be earned:</w:t>
      </w:r>
    </w:p>
    <w:p>
      <w:pPr>
        <w:spacing w:after="120" w:before="120" w:line="312"/>
        <w:jc w:val="center"/>
      </w:pPr>
      <w:r>
        <w:rPr>
          <w:rFonts w:ascii="Cambria" w:eastAsia="SimSun" w:hAnsi="Cambria"/>
          <w:i w:val="false"/>
          <w:iCs w:val="false"/>
          <w:color w:val="1A1A1A"/>
          <w:sz w:val="22"/>
          <w:szCs w:val="22"/>
        </w:rPr>
        <w:t xml:space="preserve">NORMAL</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CAUTION</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STRESS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DEFENSIVE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EMERGENCY</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immediate on breach</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val="false"/>
          <w:iCs w:val="false"/>
          <w:color w:val="1A1A1A"/>
          <w:sz w:val="22"/>
          <w:szCs w:val="22"/>
        </w:rPr>
        <w:t xml:space="preserve">EMERGENCY</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DEFENSIVE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STRESS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CAUTION</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NORMAL</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48 h sustained confirmation per step</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iCs/>
          <w:color w:val="1A1A1A"/>
          <w:sz w:val="22"/>
          <w:szCs w:val="22"/>
        </w:rPr>
        <w:t xml:space="preserve">t</w:t>
      </w:r>
      <w:r>
        <w:rPr>
          <w:rFonts w:ascii="Cambria" w:eastAsia="SimSun" w:hAnsi="Cambria"/>
          <w:i w:val="false"/>
          <w:iCs w:val="false"/>
          <w:color w:val="1A1A1A"/>
          <w:sz w:val="22"/>
          <w:szCs w:val="22"/>
          <w:vertAlign w:val="subscript"/>
        </w:rPr>
        <w:t xml:space="preserve">confirm</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48 </w:t>
      </w:r>
      <w:r>
        <w:rPr>
          <w:rFonts w:ascii="Cambria" w:eastAsia="SimSun" w:hAnsi="Cambria"/>
          <w:i w:val="false"/>
          <w:iCs w:val="false"/>
          <w:color w:val="1A1A1A"/>
          <w:sz w:val="22"/>
          <w:szCs w:val="22"/>
        </w:rPr>
        <w:t xml:space="preserve"> 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sustained, no breach</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Each upward step requires the metrics to satisfy the destination state's thresholds continuously for the confirmation period: 48 hours at RR ≥ 1.10 to leave CAUTION into NORMAL, 48 hours at RR ≥ 1.05 to leave STRESS, 48 hours at RR ≥ 1.02 to leave DEFENSIVE, and 48 hours at RR ≥ 1.00 to leave EMERGENCY. The confirmation period is the control-plane member of the protocol's anti-oscillation family — it composes with constituency hysteresis (Section 4.7), stress-adaptive smoothing (Section 8.4) and the rebalancing direction lock (Section 11.5), each of which prevents oscillation at a different timescale. A noisy metric sequence can therefore never flip the protocol between postures; the worst it can do is hold the protocol in the more conservative state.</w:t>
      </w:r>
    </w:p>
    <w:p>
      <w:pPr>
        <w:spacing w:after="120" w:line="312"/>
        <w:jc w:val="both"/>
      </w:pPr>
      <w:r>
        <w:rPr>
          <w:rFonts w:ascii="Calibri" w:eastAsia="SimSun" w:hAnsi="Calibri"/>
          <w:b w:val="false"/>
          <w:bCs w:val="false"/>
          <w:color w:val="1A1A1A"/>
          <w:sz w:val="21"/>
          <w:szCs w:val="21"/>
        </w:rPr>
        <w:t xml:space="preserve">The 48-hour constant is carried in the reference implementation as RECOVERY_CONFIRMATION_PERIOD (Listing 13), alongside the immutable RR_HARD_FLOOR of Invariant I2. The source parameter table classes the confirmation period as a Monetary (DAO 51%) parameter while the reference contract declares it immutable; this edition retains the immutable constant as the conservative reading — a stricter governance class than the table assigns — and flags the discrepancy for resolution during deployment registration (Section 22.4).</w:t>
      </w:r>
    </w:p>
    <w:p>
      <w:pPr>
        <w:spacing w:after="120" w:line="312"/>
        <w:jc w:val="both"/>
      </w:pPr>
      <w:r>
        <w:rPr>
          <w:rFonts w:ascii="Calibri" w:eastAsia="SimSun" w:hAnsi="Calibri"/>
          <w:b w:val="false"/>
          <w:bCs w:val="false"/>
          <w:color w:val="1A1A1A"/>
          <w:sz w:val="21"/>
          <w:szCs w:val="21"/>
        </w:rPr>
        <w:t xml:space="preserve">Operationally, updateState() runs after every mint, redeem, rebalance and price update (the _updateState hook of Listing 13), so the state is never stale by more than one state-relevant event. Because deterioration is immediate and recovery is delayed, the machine is biased toward conservatism by construction — exactly the bias an instrument whose promise is purchasing-power protection should have.</w:t>
      </w:r>
    </w:p>
    <w:p>
      <w:pPr>
        <w:pStyle w:val="Heading2"/>
        <w:keepNext/>
        <w:spacing w:after="160" w:before="360" w:line="340" w:lineRule="atLeast"/>
      </w:pPr>
      <w:bookmarkStart w:id="100249" w:name="_Toc100249"/>
      <w:r>
        <w:rPr>
          <w:rFonts w:ascii="Calibri" w:eastAsia="Microsoft YaHei" w:hAnsi="Calibri"/>
          <w:b/>
          <w:bCs/>
          <w:color w:val="1A1A1A"/>
          <w:sz w:val="28"/>
          <w:szCs w:val="28"/>
        </w:rPr>
        <w:t xml:space="preserve">21.4 The State-Dependent Action Matrix</w:t>
      </w:r>
      <w:bookmarkEnd w:id="100249"/>
    </w:p>
    <w:p>
      <w:pPr>
        <w:spacing w:after="120" w:line="312"/>
        <w:jc w:val="both"/>
      </w:pPr>
      <w:r>
        <w:rPr>
          <w:rFonts w:ascii="Calibri" w:eastAsia="SimSun" w:hAnsi="Calibri"/>
          <w:b w:val="false"/>
          <w:bCs w:val="false"/>
          <w:color w:val="1A1A1A"/>
          <w:sz w:val="21"/>
          <w:szCs w:val="21"/>
        </w:rPr>
        <w:t xml:space="preserve">Each state activates a coherent bundle of actions, so that the protocol's fee schedule, execution posture, reserve objective and communication cadence move together rather than independently [BP §14.3]. The full matrix:</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gridCol w:w="100"/>
        <w:gridCol w:w="100"/>
        <w:gridCol w:w="100"/>
      </w:tblGrid>
      <w:tr>
        <w:trPr>
          <w:cantSplit/>
          <w:tblHeader/>
        </w:trPr>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S1 NORMAL</w:t>
            </w:r>
          </w:p>
        </w:tc>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S2 CAUTION</w:t>
            </w:r>
          </w:p>
        </w:tc>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S3 STRESS</w:t>
            </w:r>
          </w:p>
        </w:tc>
        <w:tc>
          <w:tcPr>
            <w:tcW w:type="pct" w:w="1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S4 DEFENSIVE</w:t>
            </w:r>
          </w:p>
        </w:tc>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S5 EMERGENCY</w:t>
            </w:r>
          </w:p>
        </w:tc>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S6 RECOVERY</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Allowed</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50% throttle</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Paused</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Paused</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Paused</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throttle</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Allowed (0.15%)</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Allowed (0.15%)</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Allowed (0.50%)</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Allowed (1.00%)</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Paused</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Allowed (0.30%)</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Active (urgency 1)</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Active (urgency 2)</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Active — emergency (urgency 3)</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Active — forced (urgency 4)</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Paused</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Active (urgency 2)</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Target</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1.08</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1.03</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1.08</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Sweep Threshold</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Paused</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Confirmation</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Standard validation</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Dual-source confirmation</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Dual-source, tightened bounds</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Full multi-source quorum</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Quorum + circuit breakers</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Dual-source confirmation</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Governance Notification</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Quarterly</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Monthly</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Weekly</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Daily</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Immediate</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Weekly</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The oracle-confirmation row is a v2.0 integration (Chapter 17 and Section 5.5): the v1.2 matrix rows — minting, redemption, rebalancing, RR target, sweep threshold and governance notification — are carried unchanged from BP §14.3.1, and the confirmation ladder is added so that price trust tightens exactly when solvency deteriorates.</w:t>
      </w:r>
    </w:p>
    <w:p>
      <w:pPr>
        <w:spacing w:after="120" w:line="312"/>
        <w:jc w:val="both"/>
      </w:pPr>
      <w:r>
        <w:rPr>
          <w:rFonts w:ascii="Calibri" w:eastAsia="SimSun" w:hAnsi="Calibri"/>
          <w:b w:val="false"/>
          <w:bCs w:val="false"/>
          <w:color w:val="1A1A1A"/>
          <w:sz w:val="21"/>
          <w:szCs w:val="21"/>
        </w:rPr>
        <w:t xml:space="preserve">How to read the matrix. The redemption row is the state-dependent fee schedule applied by the minting and redemption contracts (Chapter 19): fees rise from 0.15% (S1–S2) to 0.50% (S3) and 1.00% (S4), redemptions pause in S5, and S6 re-admits them at 0.30% — an anti-run circuit that prices liquidity demand by the state that demands it. The rebalancing row maps onto the MARP execution hierarchy (Section 10.3): urgency levels 1–4 correspond to the normal, increased, emergency and forced execution regimes, while S5 suspends routine rebalancing entirely; council-directed execution (forceRebalance, Section 22.5; Level 5 of the §10.3 hierarchy) remains the only discretionary path in EMERGENCY. The RR-target row resets the reserve manager's objective ratio by state (Chapters 13–14, Sections 14.4–14.5), and the sweep-threshold row suspends treasury sweeps in S5 (Chapter 20).</w:t>
      </w:r>
    </w:p>
    <w:p>
      <w:pPr>
        <w:spacing w:after="120" w:line="312"/>
        <w:jc w:val="both"/>
      </w:pPr>
      <w:r>
        <w:rPr>
          <w:rFonts w:ascii="Calibri" w:eastAsia="SimSun" w:hAnsi="Calibri"/>
          <w:b w:val="false"/>
          <w:bCs w:val="false"/>
          <w:color w:val="1A1A1A"/>
          <w:sz w:val="21"/>
          <w:szCs w:val="21"/>
        </w:rPr>
        <w:t xml:space="preserve">The communication row is the protocol's crisis voice. Governance notification frequency rises from quarterly (S1) to immediate (S5), and every state transition emits an on-chain event consumed by the transparency layer (Chapter 24). Nothing about a crisis can be silent: the state, the entry trigger, the applied actions and the recovery clock are all public, machine-readable and archived — which is precisely what the honest-status declaration (Section 25) requires.</w:t>
      </w:r>
    </w:p>
    <w:p>
      <w:pPr>
        <w:pStyle w:val="Heading2"/>
        <w:keepNext/>
        <w:spacing w:after="160" w:before="360" w:line="340" w:lineRule="atLeast"/>
      </w:pPr>
      <w:bookmarkStart w:id="100250" w:name="_Toc100250"/>
      <w:r>
        <w:rPr>
          <w:rFonts w:ascii="Calibri" w:eastAsia="Microsoft YaHei" w:hAnsi="Calibri"/>
          <w:b/>
          <w:bCs/>
          <w:color w:val="1A1A1A"/>
          <w:sz w:val="28"/>
          <w:szCs w:val="28"/>
        </w:rPr>
        <w:t xml:space="preserve">21.5 Geopolitical Eject — Staged Liquidation and Reintegration</w:t>
      </w:r>
      <w:bookmarkEnd w:id="100250"/>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Geopolitical Eject module is the reserve-level emergency defence of the protocol: it protects the assets backing MTQ Σ from instruments that become unstable, de-pegged, frozen or sanctioned [BP §11.1]. Where the risk state machine guards the protocol's solvency ratios, the eject module guards the quality of the individual reserve assets themselves.</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When an asset becomes unreliable, exit slowly and intelligently. Never be a forced seller into a thin market.</w:t>
      </w:r>
    </w:p>
    <w:p>
      <w:pPr>
        <w:spacing w:after="120" w:line="312"/>
        <w:jc w:val="both"/>
      </w:pPr>
      <w:r>
        <w:rPr>
          <w:rFonts w:ascii="Calibri" w:eastAsia="SimSun" w:hAnsi="Calibri"/>
          <w:b w:val="false"/>
          <w:bCs w:val="false"/>
          <w:color w:val="1A1A1A"/>
          <w:sz w:val="21"/>
          <w:szCs w:val="21"/>
        </w:rPr>
        <w:t xml:space="preserve">Unlike a simple sell-everything response, the module uses a </w:t>
      </w:r>
      <w:r>
        <w:rPr>
          <w:rFonts w:ascii="Calibri" w:eastAsia="SimSun" w:hAnsi="Calibri"/>
          <w:b/>
          <w:bCs/>
          <w:color w:val="1A1A1A"/>
          <w:sz w:val="21"/>
          <w:szCs w:val="21"/>
        </w:rPr>
        <w:t xml:space="preserve">staged liquidation</w:t>
      </w:r>
      <w:r>
        <w:rPr>
          <w:rFonts w:ascii="Calibri" w:eastAsia="SimSun" w:hAnsi="Calibri"/>
          <w:b w:val="false"/>
          <w:bCs w:val="false"/>
          <w:color w:val="1A1A1A"/>
          <w:sz w:val="21"/>
          <w:szCs w:val="21"/>
        </w:rPr>
        <w:t xml:space="preserve"> ladder that minimizes market impact and avoids crystallizing losses during temporary dislocations, and a </w:t>
      </w:r>
      <w:r>
        <w:rPr>
          <w:rFonts w:ascii="Calibri" w:eastAsia="SimSun" w:hAnsi="Calibri"/>
          <w:b/>
          <w:bCs/>
          <w:color w:val="1A1A1A"/>
          <w:sz w:val="21"/>
          <w:szCs w:val="21"/>
        </w:rPr>
        <w:t xml:space="preserve">reintegration score</w:t>
      </w:r>
      <w:r>
        <w:rPr>
          <w:rFonts w:ascii="Calibri" w:eastAsia="SimSun" w:hAnsi="Calibri"/>
          <w:b w:val="false"/>
          <w:bCs w:val="false"/>
          <w:color w:val="1A1A1A"/>
          <w:sz w:val="21"/>
          <w:szCs w:val="21"/>
        </w:rPr>
        <w:t xml:space="preserve"> that prevents gaming on the way back in [BP §11.1]. The module depends on three neighbors: the Asset Admission Registry for asset metadata (Chapter 15), the oracle architecture for price feeds (Chapter 17), and the execution layer for trade execution (Section 11.11). One boundary must be stated crisply: liquidation proceeds are redeployed into eligible reserve assets under the reserve rules (Chapters 13–15), because the eject module protects solvency — it never participates in secondary-market price support of the MTQ Σ token itself, which is constitutionally forbidden (Invariant I12, Section 13.6).</w:t>
      </w:r>
    </w:p>
    <w:p>
      <w:pPr>
        <w:pStyle w:val="Heading3"/>
        <w:keepNext/>
        <w:spacing w:after="120" w:before="300" w:line="312"/>
      </w:pPr>
      <w:bookmarkStart w:id="100251" w:name="_Toc100251"/>
      <w:r>
        <w:rPr>
          <w:rFonts w:ascii="Calibri" w:eastAsia="Microsoft YaHei" w:hAnsi="Calibri"/>
          <w:b/>
          <w:bCs/>
          <w:color w:val="333333"/>
          <w:sz w:val="24"/>
          <w:szCs w:val="24"/>
        </w:rPr>
        <w:t xml:space="preserve">21.5.1 Purpose</w:t>
      </w:r>
      <w:bookmarkEnd w:id="100251"/>
    </w:p>
    <w:p>
      <w:pPr>
        <w:spacing w:after="120" w:line="312"/>
        <w:jc w:val="both"/>
      </w:pPr>
      <w:r>
        <w:rPr>
          <w:rFonts w:ascii="Calibri" w:eastAsia="SimSun" w:hAnsi="Calibri"/>
          <w:b w:val="false"/>
          <w:bCs w:val="false"/>
          <w:color w:val="1A1A1A"/>
          <w:sz w:val="21"/>
          <w:szCs w:val="21"/>
        </w:rPr>
        <w:t xml:space="preserve">The module exists because reserve instruments — stablecoins above all — carry issuer risk that the index layer cannot see. A reference weight of 5% CNY exposure is a monetary statement; the reserve instrument implementing that exposure can still de-peg, freeze redemptions, or fall under sanctions. The eject module is the emergency defence mechanism that answers instrument-level unreliability: it detects the failure (Section 21.5.2), exits it gradually (Section 21.5.3), re-admits it only under accumulated evidence (Section 21.5.4), and bypasses all gradualism when the issuer itself fails (Section 21.5.5) [BP §11.1].</w:t>
      </w:r>
    </w:p>
    <w:p>
      <w:pPr>
        <w:spacing w:after="120" w:line="312"/>
        <w:jc w:val="both"/>
      </w:pPr>
      <w:r>
        <w:rPr>
          <w:rFonts w:ascii="Calibri" w:eastAsia="SimSun" w:hAnsi="Calibri"/>
          <w:b w:val="false"/>
          <w:bCs w:val="false"/>
          <w:color w:val="1A1A1A"/>
          <w:sz w:val="21"/>
          <w:szCs w:val="21"/>
        </w:rPr>
        <w:t xml:space="preserve">The design tension the module resolves is time. Selling 100% of a distressed position at once converts a temporary dislocation into a permanent loss and makes the protocol the forced seller that thin markets punish. Selling too slowly converts a deteriorating position into a solvency problem. The staged ladder prices that tension explicitly: exit velocity increases with the duration of the distress and with the deterioration of the reserve ratio, so the protocol sells faster precisely when the evidence gets worse — and pauses when its own selling starts moving the market against it (the 5% rule, Section 21.5.3).</w:t>
      </w:r>
    </w:p>
    <w:p>
      <w:pPr>
        <w:pStyle w:val="Heading3"/>
        <w:keepNext/>
        <w:spacing w:after="120" w:before="300" w:line="312"/>
      </w:pPr>
      <w:bookmarkStart w:id="100252" w:name="_Toc100252"/>
      <w:r>
        <w:rPr>
          <w:rFonts w:ascii="Calibri" w:eastAsia="Microsoft YaHei" w:hAnsi="Calibri"/>
          <w:b/>
          <w:bCs/>
          <w:color w:val="333333"/>
          <w:sz w:val="24"/>
          <w:szCs w:val="24"/>
        </w:rPr>
        <w:t xml:space="preserve">21.5.2 The De-peg Detector</w:t>
      </w:r>
      <w:bookmarkEnd w:id="100252"/>
    </w:p>
    <w:p>
      <w:pPr>
        <w:spacing w:after="120" w:line="312"/>
        <w:jc w:val="both"/>
      </w:pPr>
      <w:r>
        <w:rPr>
          <w:rFonts w:ascii="Calibri" w:eastAsia="SimSun" w:hAnsi="Calibri"/>
          <w:b w:val="false"/>
          <w:bCs w:val="false"/>
          <w:color w:val="1A1A1A"/>
          <w:sz w:val="21"/>
          <w:szCs w:val="21"/>
        </w:rPr>
        <w:t xml:space="preserve">The protocol continuously monitors each stablecoin held in the reserve against its fiat peg, using the oracle architecture (Chapter 17) [BP §11.2]. Monitoring attaches to the currency code of the exposure: the specific token implementations are resolved through the Asset Admission Registry (Chapter 15), and every admitted instrument for a monitored currency is checked independently. Gold is not part of this detector — it has no peg; its source risk is handled instead by the canonical multi-source price and its independent-source quorum (Chapter 17).</w:t>
      </w:r>
    </w:p>
    <w:p>
      <w:pPr>
        <w:spacing w:after="120" w:line="312"/>
        <w:jc w:val="both"/>
      </w:pPr>
      <w:r>
        <w:rPr>
          <w:rFonts w:ascii="Calibri" w:eastAsia="SimSun" w:hAnsi="Calibri"/>
          <w:b w:val="false"/>
          <w:bCs w:val="false"/>
          <w:color w:val="1A1A1A"/>
          <w:sz w:val="21"/>
          <w:szCs w:val="21"/>
        </w:rPr>
        <w:t xml:space="preserve">Each stablecoin has an asset-specific peg band [BP §11.2.1]:</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3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w:t>
            </w:r>
          </w:p>
        </w:tc>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Peg Band (Lower)</w:t>
            </w:r>
          </w:p>
        </w:tc>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Peg Band (Upper)</w:t>
            </w:r>
          </w:p>
        </w:tc>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Rationale</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USDP</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0.995</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1.005</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Extremely liquid; tight band.</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0.995</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1.005</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Highly liquid; tight band.</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 (registry-resolved)</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0.990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1.010</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Lower liquidity; wider band.</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 (registry-resolved)</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0.990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1.010</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Lower liquidity; wider band.</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 (registry-resolved, CNH)</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0.985</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1.015</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Limited liquidity; widest band.</w:t>
            </w:r>
          </w:p>
        </w:tc>
      </w:tr>
    </w:tbl>
    <w:p>
      <w:pPr>
        <w:spacing w:after="120"/>
      </w:pPr>
    </w:p>
    <w:p>
      <w:pPr>
        <w:spacing w:after="120" w:line="312"/>
        <w:jc w:val="both"/>
      </w:pPr>
      <w:r>
        <w:rPr>
          <w:rFonts w:ascii="Calibri" w:eastAsia="SimSun" w:hAnsi="Calibri"/>
          <w:b w:val="false"/>
          <w:bCs w:val="false"/>
          <w:color w:val="1A1A1A"/>
          <w:sz w:val="21"/>
          <w:szCs w:val="21"/>
        </w:rPr>
        <w:t xml:space="preserve">The band width tracks liquidity: the deepest markets (USDC, USDP, EURC) admit a tight ±0.5% band because routine trading noise stays inside it, while the less liquid currency implementations admit wider bands so that ordinary illiquidity is not mistaken for a broken peg. The detector rule is then [BP §11.2.1]:</w:t>
      </w:r>
    </w:p>
    <w:p>
      <w:pPr>
        <w:spacing w:after="120" w:before="120" w:line="312"/>
        <w:jc w:val="center"/>
      </w:pPr>
      <w:r>
        <w:rPr>
          <w:rFonts w:ascii="Cambria" w:eastAsia="SimSun" w:hAnsi="Cambria"/>
          <w:i w:val="false"/>
          <w:iCs w:val="false"/>
          <w:color w:val="1A1A1A"/>
          <w:sz w:val="22"/>
          <w:szCs w:val="22"/>
        </w:rPr>
        <w:t xml:space="preserve">Unstable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&lt; </w:t>
      </w:r>
      <w:r>
        <w:rPr>
          <w:rFonts w:ascii="Cambria" w:eastAsia="SimSun" w:hAnsi="Cambria"/>
          <w:i w:val="false"/>
          <w:iCs w:val="false"/>
          <w:color w:val="1A1A1A"/>
          <w:sz w:val="22"/>
          <w:szCs w:val="22"/>
        </w:rPr>
        <w:t xml:space="preserve">band</w:t>
      </w:r>
      <w:r>
        <w:rPr>
          <w:rFonts w:ascii="Cambria" w:eastAsia="SimSun" w:hAnsi="Cambria"/>
          <w:i w:val="false"/>
          <w:iCs w:val="false"/>
          <w:color w:val="1A1A1A"/>
          <w:sz w:val="22"/>
          <w:szCs w:val="22"/>
          <w:vertAlign w:val="subscript"/>
        </w:rPr>
        <w:t xml:space="preserve">low</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or </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&gt; </w:t>
      </w:r>
      <w:r>
        <w:rPr>
          <w:rFonts w:ascii="Cambria" w:eastAsia="SimSun" w:hAnsi="Cambria"/>
          <w:i w:val="false"/>
          <w:iCs w:val="false"/>
          <w:color w:val="1A1A1A"/>
          <w:sz w:val="22"/>
          <w:szCs w:val="22"/>
        </w:rPr>
        <w:t xml:space="preserve">band</w:t>
      </w:r>
      <w:r>
        <w:rPr>
          <w:rFonts w:ascii="Cambria" w:eastAsia="SimSun" w:hAnsi="Cambria"/>
          <w:i w:val="false"/>
          <w:iCs w:val="false"/>
          <w:color w:val="1A1A1A"/>
          <w:sz w:val="22"/>
          <w:szCs w:val="22"/>
          <w:vertAlign w:val="subscript"/>
        </w:rPr>
        <w:t xml:space="preserve">high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for more than 12 consecutive hours</w:t>
      </w:r>
    </w:p>
    <w:p>
      <w:pPr>
        <w:spacing w:after="120" w:line="312"/>
        <w:jc w:val="both"/>
      </w:pPr>
      <w:r>
        <w:rPr>
          <w:rFonts w:ascii="Calibri" w:eastAsia="SimSun" w:hAnsi="Calibri"/>
          <w:b w:val="false"/>
          <w:bCs w:val="false"/>
          <w:color w:val="1A1A1A"/>
          <w:sz w:val="21"/>
          <w:szCs w:val="21"/>
        </w:rPr>
        <w:t xml:space="preserve">The 12-hour window is deliberately conservative: it prevents false positives from temporary wicks and flash dislocations, which routinely resolve within hours. The consecutive-hours requirement is equally deliberate: the timer resets to zero the moment the price returns inside the band, so an asset oscillating in and out of the band never accumulates detector time. The detector function (isDepegged, Listing 13) implements exactly this logic — timer start on the first outside-band observation, timer reset on return, flag after the window — and the detection window and the bands themselves are Risk-Council parameters in the parameter registry (Section 22.4).</w:t>
      </w:r>
    </w:p>
    <w:p>
      <w:pPr>
        <w:pStyle w:val="Heading3"/>
        <w:keepNext/>
        <w:spacing w:after="120" w:before="300" w:line="312"/>
      </w:pPr>
      <w:bookmarkStart w:id="100253" w:name="_Toc100253"/>
      <w:r>
        <w:rPr>
          <w:rFonts w:ascii="Calibri" w:eastAsia="Microsoft YaHei" w:hAnsi="Calibri"/>
          <w:b/>
          <w:bCs/>
          <w:color w:val="333333"/>
          <w:sz w:val="24"/>
          <w:szCs w:val="24"/>
        </w:rPr>
        <w:t xml:space="preserve">21.5.3 The Staged Liquidation Ladder</w:t>
      </w:r>
      <w:bookmarkEnd w:id="100253"/>
    </w:p>
    <w:p>
      <w:pPr>
        <w:spacing w:after="120" w:line="312"/>
        <w:jc w:val="both"/>
      </w:pPr>
      <w:r>
        <w:rPr>
          <w:rFonts w:ascii="Calibri" w:eastAsia="SimSun" w:hAnsi="Calibri"/>
          <w:b w:val="false"/>
          <w:bCs w:val="false"/>
          <w:color w:val="1A1A1A"/>
          <w:sz w:val="21"/>
          <w:szCs w:val="21"/>
        </w:rPr>
        <w:t xml:space="preserve">Once a de-peg is confirmed, the protocol executes a staged liquidation rather than selling 100% at once [BP §11.3]. Each stage sells an additional fraction of the original position, and each stage's trigger conditions escalate with elapsed distress time and with the protocol's own reserve ratio:</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Stage</w:t>
            </w:r>
          </w:p>
        </w:tc>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Cumulative Sell %</w:t>
            </w:r>
          </w:p>
        </w:tc>
        <w:tc>
          <w:tcPr>
            <w:tcW w:type="pct" w:w="4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Trigger Condition</w:t>
            </w:r>
          </w:p>
        </w:tc>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Stage 1</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De-peg confirmed for more than 12 hours</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Sell 10% of the asset immediately.</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Stage 2</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w:t>
            </w:r>
          </w:p>
        </w:tc>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De-peg for more than 24 hours OR RR &lt; 1.08</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Sell an additional 15% (total 25%).</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Stage 3</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50%</w:t>
            </w:r>
          </w:p>
        </w:tc>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De-peg for more than 48 hours OR RR &lt; 1.05</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Sell an additional 25% (total 50%).</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Stage 4</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Issuer freeze confirmed OR RR &lt; 1.02</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Sell the remaining 50% (total 100%).</w:t>
            </w:r>
          </w:p>
        </w:tc>
      </w:tr>
    </w:tbl>
    <w:p>
      <w:pPr>
        <w:spacing w:after="120"/>
      </w:pPr>
    </w:p>
    <w:p>
      <w:pPr>
        <w:spacing w:after="120" w:line="312"/>
        <w:jc w:val="both"/>
      </w:pPr>
      <w:r>
        <w:rPr>
          <w:rFonts w:ascii="Calibri" w:eastAsia="SimSun" w:hAnsi="Calibri"/>
          <w:b w:val="false"/>
          <w:bCs w:val="false"/>
          <w:color w:val="1A1A1A"/>
          <w:sz w:val="21"/>
          <w:szCs w:val="21"/>
        </w:rPr>
        <w:t xml:space="preserve">The ladder couples asset-level distress to protocol-level solvency: the RR thresholds 1.08, 1.05 and 1.02 sit exactly at the state boundaries of Section 21.2, so a de-pegging asset is liquidated faster precisely as the protocol itself slides toward STRESS and DEFENSIVE. The cumulative percentages (10% → 25% → 50% → 100%) are constitutional and immutable (Section 22.4): the shape of the ladder is part of the promise that the protocol will never dump a distressed position in one trade, while the trigger conditions allow governance to tune sensitivity within that fixed shape. One rule guards every stage transition [BP §11.3.1]: each stage executes only if the previous stage's sell did not worsen the deviation by more than 5%.</w:t>
      </w:r>
    </w:p>
    <w:p>
      <w:pPr>
        <w:spacing w:after="120" w:line="312"/>
        <w:jc w:val="both"/>
      </w:pPr>
      <w:r>
        <w:rPr>
          <w:rFonts w:ascii="Calibri" w:eastAsia="SimSun" w:hAnsi="Calibri"/>
          <w:b w:val="false"/>
          <w:bCs w:val="false"/>
          <w:color w:val="1A1A1A"/>
          <w:sz w:val="21"/>
          <w:szCs w:val="21"/>
        </w:rPr>
        <w:t xml:space="preserve">The 5% rule formalizes the pause [BP §11.3.3]:</w:t>
      </w:r>
    </w:p>
    <w:p>
      <w:pPr>
        <w:spacing w:after="120" w:before="120" w:line="312"/>
        <w:jc w:val="center"/>
      </w:pPr>
      <w:r>
        <w:rPr>
          <w:rFonts w:ascii="Cambria" w:eastAsia="SimSun" w:hAnsi="Cambria"/>
          <w:i w:val="false"/>
          <w:iCs w:val="false"/>
          <w:color w:val="1A1A1A"/>
          <w:sz w:val="22"/>
          <w:szCs w:val="22"/>
        </w:rPr>
        <w:t xml:space="preserve">next stage paused</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 </w:t>
      </w:r>
      <w:r>
        <w:rPr>
          <w:rFonts w:ascii="Cambria" w:eastAsia="SimSun" w:hAnsi="Cambria"/>
          <w:i/>
          <w:iCs/>
          <w:color w:val="1A1A1A"/>
          <w:sz w:val="22"/>
          <w:szCs w:val="22"/>
        </w:rPr>
        <w:t xml:space="preserve"> (P</w:t>
      </w:r>
      <w:r>
        <w:rPr>
          <w:rFonts w:ascii="Cambria" w:eastAsia="SimSun" w:hAnsi="Cambria"/>
          <w:i w:val="false"/>
          <w:iCs w:val="false"/>
          <w:color w:val="1A1A1A"/>
          <w:sz w:val="22"/>
          <w:szCs w:val="22"/>
          <w:vertAlign w:val="subscript"/>
        </w:rPr>
        <w:t xml:space="preserve">stage start</w:t>
      </w:r>
      <w:r>
        <w:rPr>
          <w:rFonts w:ascii="Cambria" w:eastAsia="SimSun" w:hAnsi="Cambria"/>
          <w:i/>
          <w:iCs/>
          <w:color w:val="1A1A1A"/>
          <w:sz w:val="22"/>
          <w:szCs w:val="22"/>
        </w:rPr>
        <w:t xml:space="preserve"> - P</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)/(P</w:t>
      </w:r>
      <w:r>
        <w:rPr>
          <w:rFonts w:ascii="Cambria" w:eastAsia="SimSun" w:hAnsi="Cambria"/>
          <w:i w:val="false"/>
          <w:iCs w:val="false"/>
          <w:color w:val="1A1A1A"/>
          <w:sz w:val="22"/>
          <w:szCs w:val="22"/>
          <w:vertAlign w:val="subscript"/>
        </w:rPr>
        <w:t xml:space="preserve">stage start</w:t>
      </w:r>
      <w:r>
        <w:rPr>
          <w:rFonts w:ascii="Cambria" w:eastAsia="SimSun" w:hAnsi="Cambria"/>
          <w:i/>
          <w:iCs/>
          <w:color w:val="1A1A1A"/>
          <w:sz w:val="22"/>
          <w:szCs w:val="22"/>
        </w:rPr>
        <w:t xml:space="preserve">) &gt; 5</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If, during a staged liquidation, the asset price drops more than 5% from the price at the start of the current stage, the protocol pauses the next stage until the price stabilizes — no further drop for 24 hours. The rule exists because the protocol's own selling can become the market's problem: if each tranche moves the price against the next, the ladder halts rather than chasing the price down. Exiting is thereby bounded in both directions — never all at once, and never into a collapsing tape. Sell execution itself runs through the execution layer (Section 11.11), whose crisis-mode rules widen no-trade thresholds and shrink execution sizes precisely when conditions are distressed (Section 13.7).</w:t>
      </w:r>
    </w:p>
    <w:p>
      <w:pPr>
        <w:pStyle w:val="Heading3"/>
        <w:keepNext/>
        <w:spacing w:after="120" w:before="300" w:line="312"/>
      </w:pPr>
      <w:bookmarkStart w:id="100254" w:name="_Toc100254"/>
      <w:r>
        <w:rPr>
          <w:rFonts w:ascii="Calibri" w:eastAsia="Microsoft YaHei" w:hAnsi="Calibri"/>
          <w:b/>
          <w:bCs/>
          <w:color w:val="333333"/>
          <w:sz w:val="24"/>
          <w:szCs w:val="24"/>
        </w:rPr>
        <w:t xml:space="preserve">21.5.4 The Reintegration Score (Anti-Gaming)</w:t>
      </w:r>
      <w:bookmarkEnd w:id="100254"/>
    </w:p>
    <w:p>
      <w:pPr>
        <w:spacing w:after="120" w:line="312"/>
        <w:jc w:val="both"/>
      </w:pPr>
      <w:r>
        <w:rPr>
          <w:rFonts w:ascii="Calibri" w:eastAsia="SimSun" w:hAnsi="Calibri"/>
          <w:b w:val="false"/>
          <w:bCs w:val="false"/>
          <w:color w:val="1A1A1A"/>
          <w:sz w:val="21"/>
          <w:szCs w:val="21"/>
        </w:rPr>
        <w:t xml:space="preserve">An ejected asset is not automatically re-purchased when it returns to its peg band [BP §11.4]. A naive band-triggered re-entry would be gameable: an attacker with sufficient market power could push the price back inside the band temporarily, trigger re-purchase at distressed prices, and profit as the peg breaks again. The reintegration score closes that attack surface by demanding sustained, multi-dimensional evidence of genuine stability:</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R</w:t>
      </w:r>
      <w:r>
        <w:rPr>
          <w:rFonts w:ascii="Cambria" w:eastAsia="SimSun" w:hAnsi="Cambria"/>
          <w:i w:val="false"/>
          <w:iCs w:val="false"/>
          <w:color w:val="1A1A1A"/>
          <w:sz w:val="22"/>
          <w:szCs w:val="22"/>
          <w:vertAlign w:val="subscript"/>
        </w:rPr>
        <w:t xml:space="preserve">score</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TimeInBand</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2</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LiquidityDepth</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3</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OracleAgreement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4</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w:t>
      </w:r>
      <w:r>
        <w:rPr>
          <w:rFonts w:ascii="Cambria" w:eastAsia="SimSun" w:hAnsi="Cambria"/>
          <w:i w:val="false"/>
          <w:iCs w:val="false"/>
          <w:color w:val="1A1A1A"/>
          <w:sz w:val="22"/>
          <w:szCs w:val="22"/>
        </w:rPr>
        <w:t xml:space="preserve">Volatility</w:t>
      </w:r>
      <w:r>
        <w:rPr>
          <w:rFonts w:ascii="Cambria" w:eastAsia="SimSun" w:hAnsi="Cambria"/>
          <w:i/>
          <w:iCs/>
          <w:color w:val="1A1A1A"/>
          <w:sz w:val="22"/>
          <w:szCs w:val="22"/>
        </w:rPr>
        <w:t xml:space="preser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Component</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Weight (w_i)</w:t>
            </w:r>
          </w:p>
        </w:tc>
        <w:tc>
          <w:tcPr>
            <w:tcW w:type="pct" w:w="7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TimeInBand</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0.40</w:t>
            </w:r>
          </w:p>
        </w:tc>
        <w:tc>
          <w:tcPr>
            <w:tcW w:type="pct" w:w="7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Duration the asset has traded within its peg band (scaled 0–1; maximum 7 days).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LiquidityDepth</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0.25</w:t>
            </w:r>
          </w:p>
        </w:tc>
        <w:tc>
          <w:tcPr>
            <w:tcW w:type="pct" w:w="7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24-hour DEX volume relative to the protocol's holdings (scaled 0–1).</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OracleAgreement</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0.20</w:t>
            </w:r>
          </w:p>
        </w:tc>
        <w:tc>
          <w:tcPr>
            <w:tcW w:type="pct" w:w="7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Agreement between the three oracle sources (scaled 0–1).</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Volatility</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0.15</w:t>
            </w:r>
          </w:p>
        </w:tc>
        <w:tc>
          <w:tcPr>
            <w:tcW w:type="pct" w:w="7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24-hour price volatility (scaled 0–1, higher = more volatile; enters the score as 1 − Volatility, so calm markets score higher).</w:t>
            </w:r>
          </w:p>
        </w:tc>
      </w:tr>
    </w:tbl>
    <w:p>
      <w:pPr>
        <w:spacing w:after="120"/>
      </w:pPr>
    </w:p>
    <w:p>
      <w:pPr>
        <w:spacing w:after="120" w:line="312"/>
        <w:jc w:val="both"/>
      </w:pPr>
      <w:r>
        <w:rPr>
          <w:rFonts w:ascii="Calibri" w:eastAsia="SimSun" w:hAnsi="Calibri"/>
          <w:b w:val="false"/>
          <w:bCs w:val="false"/>
          <w:color w:val="1A1A1A"/>
          <w:sz w:val="21"/>
          <w:szCs w:val="21"/>
        </w:rPr>
        <w:t xml:space="preserve">Time-in-band dominates (w_1 = 0.40) because persistence is the strongest single evidence that a peg has genuinely healed; liquidity depth guards against re-entering a market too thin to absorb the protocol's size; oracle agreement (Chapter 17) requires the independent sources to concur, defeating single-feed manipulation; and the volatility term penalizes choppy in-band trading, which is stability in appearance only. The component weights and the threshold are Risk-Council parameters (Section 22.4); the score is evaluated by the re-entry function of Listing 13, whose helper functions query oracle history and DEX volume data [BP §11]. The re-entry threshold is:</w:t>
      </w:r>
    </w:p>
    <w:p>
      <w:pPr>
        <w:spacing w:after="120" w:before="120" w:line="312"/>
        <w:jc w:val="center"/>
      </w:pPr>
      <w:r>
        <w:rPr>
          <w:rFonts w:ascii="Cambria" w:eastAsia="SimSun" w:hAnsi="Cambria"/>
          <w:i/>
          <w:iCs/>
          <w:color w:val="1A1A1A"/>
          <w:sz w:val="22"/>
          <w:szCs w:val="22"/>
        </w:rPr>
        <w:t xml:space="preserve">R</w:t>
      </w:r>
      <w:r>
        <w:rPr>
          <w:rFonts w:ascii="Cambria" w:eastAsia="SimSun" w:hAnsi="Cambria"/>
          <w:i w:val="false"/>
          <w:iCs w:val="false"/>
          <w:color w:val="1A1A1A"/>
          <w:sz w:val="22"/>
          <w:szCs w:val="22"/>
          <w:vertAlign w:val="subscript"/>
        </w:rPr>
        <w:t xml:space="preserve">score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0.80</w:t>
      </w:r>
    </w:p>
    <w:p>
      <w:pPr>
        <w:spacing w:after="120" w:line="312"/>
        <w:jc w:val="both"/>
      </w:pPr>
      <w:r>
        <w:rPr>
          <w:rFonts w:ascii="Calibri" w:eastAsia="SimSun" w:hAnsi="Calibri"/>
          <w:b w:val="false"/>
          <w:bCs w:val="false"/>
          <w:color w:val="1A1A1A"/>
          <w:sz w:val="21"/>
          <w:szCs w:val="21"/>
        </w:rPr>
        <w:t xml:space="preserve">A score at or above 0.80 means the asset is considered stable enough to begin re-entry — but re-entry itself is staged, mirroring the liquidation ladder in reverse [BP §11.4.3]:</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Stage</w:t>
            </w:r>
          </w:p>
        </w:tc>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Cumulative Buy %</w:t>
            </w:r>
          </w:p>
        </w:tc>
        <w:tc>
          <w:tcPr>
            <w:tcW w:type="pct" w:w="5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Condition</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R_score ≥ 0.80 sustained for 24 hours</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50%</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R_score ≥ 0.85 sustained for 48 hours</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R_score ≥ 0.90 sustained for 72 hours</w:t>
            </w:r>
          </w:p>
        </w:tc>
      </w:tr>
    </w:tbl>
    <w:p>
      <w:pPr>
        <w:spacing w:after="120"/>
      </w:pPr>
    </w:p>
    <w:p>
      <w:pPr>
        <w:spacing w:after="120" w:line="312"/>
        <w:jc w:val="both"/>
      </w:pPr>
      <w:r>
        <w:rPr>
          <w:rFonts w:ascii="Calibri" w:eastAsia="SimSun" w:hAnsi="Calibri"/>
          <w:b w:val="false"/>
          <w:bCs w:val="false"/>
          <w:color w:val="1A1A1A"/>
          <w:sz w:val="21"/>
          <w:szCs w:val="21"/>
        </w:rPr>
        <w:t xml:space="preserve">The reverse ladder is deliberately stricter than the exit ladder at every step: it requires higher scores (0.80, 0.85, 0.90) sustained for longer (24, 48, 72 hours) as the position size grows. The asymmetry is the anti-gaming posture of the whole module — getting out is defensive and starts small; getting back in is offensive and starts only under accumulated evidence. Re-purchased amounts are executed through the same execution layer (Section 11.11) and remain subject to the admission rules of Chapter 15, so a fully reintegrated asset ends where it started: an admitted, monitored reserve instrument.</w:t>
      </w:r>
    </w:p>
    <w:p>
      <w:pPr>
        <w:pStyle w:val="Heading3"/>
        <w:keepNext/>
        <w:spacing w:after="120" w:before="300" w:line="312"/>
      </w:pPr>
      <w:bookmarkStart w:id="100255" w:name="_Toc100255"/>
      <w:r>
        <w:rPr>
          <w:rFonts w:ascii="Calibri" w:eastAsia="Microsoft YaHei" w:hAnsi="Calibri"/>
          <w:b/>
          <w:bCs/>
          <w:color w:val="333333"/>
          <w:sz w:val="24"/>
          <w:szCs w:val="24"/>
        </w:rPr>
        <w:t xml:space="preserve">21.5.5 Special Cases — Issuer Freeze and Sanctions</w:t>
      </w:r>
      <w:bookmarkEnd w:id="100255"/>
    </w:p>
    <w:p>
      <w:pPr>
        <w:spacing w:after="120" w:line="312"/>
        <w:jc w:val="both"/>
      </w:pPr>
      <w:r>
        <w:rPr>
          <w:rFonts w:ascii="Calibri" w:eastAsia="SimSun" w:hAnsi="Calibri"/>
          <w:b w:val="false"/>
          <w:bCs w:val="false"/>
          <w:color w:val="1A1A1A"/>
          <w:sz w:val="21"/>
          <w:szCs w:val="21"/>
        </w:rPr>
        <w:t xml:space="preserve">If an asset issuer freezes redemptions or is sanctioned, the protocol bypasses the staged ladder entirely and executes immediate 100% liquidation [BP §11.5]. The logic is that a freeze or sanctions event is not a price dislocation that may heal — it is a structural impairment of the instrument's redeemability and legality, and every hour of continued holding concentrates legal and solvency risk. The staged ladder's virtue, patience, would here be its vice.</w:t>
      </w:r>
    </w:p>
    <w:p>
      <w:pPr>
        <w:spacing w:after="120" w:line="312"/>
        <w:jc w:val="both"/>
      </w:pPr>
      <w:r>
        <w:rPr>
          <w:rFonts w:ascii="Calibri" w:eastAsia="SimSun" w:hAnsi="Calibri"/>
          <w:b w:val="false"/>
          <w:bCs w:val="false"/>
          <w:color w:val="1A1A1A"/>
          <w:sz w:val="21"/>
          <w:szCs w:val="21"/>
        </w:rPr>
        <w:t xml:space="preserve">Freeze detection runs on two channels [BP §11.5.1]. On-chain, the protocol watches for the asset's pause() or freeze() functions being called, detected via event logs. Off-chain, an issuer announcement or regulator action is reported through the governance oracle (Chapter 17) and confirmed by the Risk Council. When either channel confirms, the emergencyLiquidate function (Listing 13) sells the entire balance and removes the asset from the Asset Admission Registry.</w:t>
      </w:r>
    </w:p>
    <w:p>
      <w:pPr>
        <w:spacing w:after="120" w:line="312"/>
        <w:jc w:val="both"/>
      </w:pPr>
      <w:r>
        <w:rPr>
          <w:rFonts w:ascii="Calibri" w:eastAsia="SimSun" w:hAnsi="Calibri"/>
          <w:b w:val="false"/>
          <w:bCs w:val="false"/>
          <w:color w:val="1A1A1A"/>
          <w:sz w:val="21"/>
          <w:szCs w:val="21"/>
        </w:rPr>
        <w:t xml:space="preserve">Two safeguards discipline this strongest of powers. The function is executable only by the Emergency Council — a 4/7 Multi-Sig with hardware wallet requirements [BP §11] — and removal from the registry means that re-admission can never occur through the reintegration score alone: a frozen-then-unfrozen or delisted-then-relisted instrument must pass the full admission process of Chapter 15 again, including eligibility, custody and issuer-quality review. The special case is thus the one place the protocol moves fast, and it pays for that speed with the slowest possible path back in.</w:t>
      </w:r>
    </w:p>
    <w:p>
      <w:pPr>
        <w:pStyle w:val="Heading2"/>
        <w:keepNext/>
        <w:spacing w:after="160" w:before="360" w:line="340" w:lineRule="atLeast"/>
      </w:pPr>
      <w:bookmarkStart w:id="100256" w:name="_Toc100256"/>
      <w:r>
        <w:rPr>
          <w:rFonts w:ascii="Calibri" w:eastAsia="Microsoft YaHei" w:hAnsi="Calibri"/>
          <w:b/>
          <w:bCs/>
          <w:color w:val="1A1A1A"/>
          <w:sz w:val="28"/>
          <w:szCs w:val="28"/>
        </w:rPr>
        <w:t xml:space="preserve">21.6 Smart Contract Implementation — Risk State Machine and Eject</w:t>
      </w:r>
      <w:bookmarkEnd w:id="100256"/>
    </w:p>
    <w:p>
      <w:pPr>
        <w:spacing w:after="120" w:line="312"/>
        <w:jc w:val="both"/>
      </w:pPr>
      <w:r>
        <w:rPr>
          <w:rFonts w:ascii="Calibri" w:eastAsia="SimSun" w:hAnsi="Calibri"/>
          <w:b w:val="false"/>
          <w:bCs w:val="false"/>
          <w:color w:val="1A1A1A"/>
          <w:sz w:val="21"/>
          <w:szCs w:val="21"/>
        </w:rPr>
        <w:t xml:space="preserve">The state machine and the eject module deploy as a single operations contract: the states share the reserve-ratio feeds, the eject ladder's triggers read the same RR used by the state classifier, and the state-dependent actions (minting throttles, redemption fees, rebalancing urgency) are applied through abstract hooks implemented by the minting and redemption contracts (Chapter 19) and the MARP executor (Section 11.11) [BP §14.6]. updateState() is called after every mint, redeem, rebalance and price update, and updateDepegStatus() runs on each price update alongside it. Data hooks read the reserve valuation (Chapter 14), the oracle layer (Chapter 17) and the asset registry (Chapter 15). The governance addresses — dao, riskCouncil, emergencyCouncil and constitutionalCouncil — are set at deployment [BP §14]. Parameter updates arrive exclusively through the governance registry of Section 22.6, which enforces role checks and timelocks before dispatching here; this contract additionally verifies that its caller is the governance registry, so the two contracts form an authorization plane and an execution plane that each check the other.</w:t>
      </w:r>
    </w:p>
    <w:p>
      <w:pPr>
        <w:keepNext/>
        <w:spacing w:after="80" w:before="280" w:line="312"/>
      </w:pPr>
      <w:r>
        <w:rPr>
          <w:rFonts w:ascii="Calibri" w:eastAsia="SimSun" w:hAnsi="Calibri"/>
          <w:b/>
          <w:bCs/>
          <w:color w:val="8A6D1F"/>
          <w:sz w:val="19"/>
          <w:szCs w:val="19"/>
        </w:rPr>
        <w:t xml:space="preserve">Listing 13 — Risk state machine, state-dependent actions and staged liquidation (adapts BP §14.6 and §11)</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@notice Risk state machine, state-dependent actions and staged liquidation.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@dev Authorization plane for parameter updates lives in the governance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registry (Listing 14); this contract is the execution plane.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abstract contract RiskStateMachine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STATE DEFINITIONS (BP §14.6.1)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enum ProtocolState { NORMAL, CAUTION, STRESS, DEFENSIVE, EMERGENCY, RECOVERY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ProtocolState public currentState;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State transition timestamps (for recovery confirmation)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mapping(ProtocolState =&gt; uint256) public stateEntryTime;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Constitutional parameters (immutable)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RR_HARD_FLOOR = 1.00e18;                  // Invariant I2 (§2.6)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RECOVERY_CONFIRMATION_PERIOD = 48 hours; // §21.3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Monetary parameters (DAO-controlled via the registry, §22.6)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rrTarget = 1.10e18;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rrStressFloor = 1.05e18;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mintFee = 0.001e18;           // 0.10%; applied by Chapter 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redeemFeeNormal = 0.0015e18;  // 0.15%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Risk parameters (Risk Council-controlled via the registry, §22.6)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redeemFeeStress = 0.005e18;     // 0.50%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redeemFeeDefensive = 0.010e18;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lcrTarget = 1.00e18;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depegWindow = 12 hours;         // §21.5.2; Risk Council (4/7)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Governance addresses (set at deployment)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dao;                    // DAO with 51% quorum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emergencyCouncil;       // 4/7 Multi-Sig, hardware wallets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constitutionalCouncil;  // 7/7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governance;             // GovernanceParameterRegistry (Listing 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GEOPOLITICAL EJECT STATE (BP §11.6.1)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De-peg tracking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 =&gt; uint256) public depegStartTimes;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 =&gt; uint256) public liquidationStage;     // 0 = not ejected, 1-4 = stage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 =&gt; uint256) public stageStartPrices;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 =&gt; uint256) public reintegrationStage;   // 0 = none, 1-3 = re-entry stage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Peg bands (asset-specific; Risk-Council parameters, §21.5.2)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 =&gt; uint256) public pegLowerBand;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 =&gt; uint256) public pegUpperBand;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Reintegration score thresholds and component weights (BP §11.6.1)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REINTEGRATION_THRESHOLD = 0.80e18;    // 80%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WEIGHT_TIME_IN_BAND = 0.40e18;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WEIGHT_LIQUIDITY = 0.25e18;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WEIGHT_ORACLE_AGREEMENT = 0.20e18;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WEIGHT_VOLATILITY = 0.15e18;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EVENTS (BP §14.7 and §11.6.2)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StateTransition(ProtocolState indexed oldState, ProtocolState indexed newState, bool immediate,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MintingPaused(uint256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MintingResumed(uint256 timestamp, uint256 throttlePercent);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RedeemingPaused(uint256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RedeemingResumed(uint256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RebalancingPaused(uint256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RebalancingResumed(uint256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OperationsResumed(uint256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RedemptionFeeUpdated(uint256 newFee,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DepegDetected(bytes3 indexed currencyCode, uint256 price,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LiquidationExecuted(bytes3 indexed currencyCode, uint256 amount, uint256 stage);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ReintegrationScore(bytes3 indexed currencyCode, uint256 score, bool thresholdMet);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ReintegrationExecuted(bytes3 indexed currencyCode, uint256 amount, uint256 stage);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EmergencyLiquidation(bytes3 indexed currencyCode,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onlyEmergencyCouncil() { require(msg.sender == emergencyCouncil, "Only Emergency Council");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onlyGovernance() { require(msg.sender == governance, "Only governance registry");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constructor(address dao_, address riskCouncil_, address emergencyCouncil_, address constitutionalCouncil_, address governance_)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dao = dao_;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riskCouncil = riskCouncil_;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emergencyCouncil = emergencyCouncil_;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constitutionalCouncil = constitutionalCouncil_;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governance = governance_;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STATE UPDATE (BP §14.6.2)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Updates the protocol state based on current RR and LCR.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Called after every mint, redeem, rebalance, and price update.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updateState()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rr = getReserveRatio();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lcr = getLCR();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ProtocolState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Determine the target state based on RR and LCR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(rr &gt;= rrTarget &amp;&amp; lcr &gt;= lcrTarget)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ProtocolState.NORMAL;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(rr &gt;= rrStressFloor &amp;&amp; lcr &gt;= 0.90e18)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ProtocolState.CAUTION;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(rr &gt;= 1.02e18 &amp;&amp; lcr &gt;= 0.80e18)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ProtocolState.STRESS;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(rr &gt;= RR_HARD_FLOOR &amp;&amp; lcr &gt;= 0.70e18)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ProtocolState.DEFENSIVE;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(rr &lt; RR_HARD_FLOOR)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ProtocolState.EMERGENCY;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RECOVERY: solvency at or above the hard floor but ratios not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yet back to NORMAL thresholds (rising-RR residual case)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ProtocolState.RECOVERY;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State transition logic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(newState != currentState)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Moving to a more restrictive state? Immediate.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(isMoreRestrictive(newState, currentState))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transitionTo(newState,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Moving to a less restrictive state? 48h confirmation.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(block.timestamp - stateEntryTime[currentState] &gt;= RECOVERY_CONFIRMATION_PERIOD)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transitionTo(newState, false);   // gradual recovery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currentState;          // not yet confirmed; stay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Transitions to a new state and applies state-dependent actions.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transitionTo(ProtocolState newState, bool immediate)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ProtocolState oldState = currentState;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currentState =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stateEntryTime[newState]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Apply state-dependent actions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applyStateActions(newState);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Log the transition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StateTransition(oldState, newState, immediate,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Restrictiveness rank used by the transition logic: moving up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rank (more restrictive) is immediate; moving down requires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48-hour confirmation. RECOVERY sits between CAUTION and STRESS,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matching its action profile (§21.2).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restrictiveness(ProtocolState s) internal pure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 == ProtocolState.NORMAL) return 0;      // S1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 == ProtocolState.CAUTION) return 1;     // S2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 == ProtocolState.RECOVERY) return 2;    // S6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 == ProtocolState.STRESS) return 3;      // S3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 == ProtocolState.DEFENSIVE) return 4;   // S4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5;                                     // S5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isMoreRestrictive(ProtocolState a, ProtocolState b) internal pure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restrictiveness(a) &gt; restrictiveness(b);</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STATE-DEPENDENT ACTIONS (BP §14.6.3)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Applies actions based on the current state (§21.4 matrix).</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applyStateActions(ProtocolState state)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Minting controls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(state == ProtocolState.NORMAL || state == ProtocolState.RECOVERY)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_resumeMinting();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(state == ProtocolState.RECOVERY)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_setMintThrottle(25);   // 25% capacity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_setMintThrottle(100);  // full capacity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ProtocolState.CAUTION)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_setMintThrottle(50);       // 50% capacity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ProtocolState.STRESS || state == ProtocolState.DEFENSIVE)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_pauseMinting();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ProtocolState.EMERGENCY)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_pauseMinting();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_pauseRebalancing();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Redemption fees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(state == ProtocolState.NORMAL)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_setRedemptionFee(redeemFeeNormal);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ProtocolState.CAUTION)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_setRedemptionFee(redeemFeeNormal);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ProtocolState.STRESS)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_setRedemptionFee(redeemFeeStress);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ProtocolState.DEFENSIVE)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_setRedemptionFee(redeemFeeDefensive);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ProtocolState.EMERGENCY)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_pauseRedeeming();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ProtocolState.RECOVERY)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_setRedemptionFee(redeemFeeNormal * 2);  // 0.30%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Rebalancing urgency (maps to the MARP hierarchy levels, §10.3)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(state == ProtocolState.NORMAL)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_setRebalanceUrgency(1);   // 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ProtocolState.CAUTION)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_setRebalanceUrgency(2);   // increased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ProtocolState.STRESS)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_setRebalanceUrgency(3);   //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ProtocolState.DEFENSIVE)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_setRebalanceUrgency(4);   // forced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ProtocolState.EMERGENCY)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_setRebalanceUrgency(0);   // paused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ProtocolState.RECOVERY)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_setRebalanceUrgency(2);   // increased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DE-PEG DETECTOR (BP §11.2.2)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Maintains the consecutive-hours de-peg timer for one 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timer starts on the first observation outside the band 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resets when the price returns inside the band. Emits the first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confirmation event after the detection window is exceeded.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updateDepegStatus(bytes3 currencyCode)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 = getAssetForCurrency(currencyCode);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 = getPrice(token);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lower, uint256 upper) = getPegBand(currencyCode);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(price &lt; lower || price &gt; upper)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(depegStartTimes[currencyCode] ==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depegStartTimes[currencyCode]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block.timestamp - depegStartTimes[currencyCode] &gt; depegWindow &amp;&amp;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liquidationStage[currencyCode]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DepegDetected(currencyCode, price,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Reset the timer if back in 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depegStartTimes[currencyCode]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Checks if an asset is de-pegged.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currencyCode The currency code (e.g., "EUR").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 bool True if the asset is outside its peg band for more than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de-peg detection window (12 hours by default).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isDepegged(bytes3 currencyCode) public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 = getAssetForCurrency(currencyCode);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 = getPrice(token);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lower, uint256 upper) = getPegBand(currencyCode);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Check if price is outside the 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(price &lt; lower || price &gt; upper)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Check duration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depegStart = depegStartTimes[currencyCode];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depegStart != 0 &amp;&amp; (block.timestamp - depegStart) &gt; depegWindow;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Back in band: not de-pegged (timer resets on the write path)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getPegBand(bytes3 currencyCode) internal view returns (uint256,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(pegLowerBand[currencyCode], pegUpperBand[currencyCode]);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STAGED LIQUIDATION LADDER (BP §11.3.2 and §11.3.3)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Executes staged liquidation of a de-pegged 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currencyCode The currency code of the asset to liquidate.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executeStagedLiquidation(bytes3 currencyCode)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require(isDepegged(currencyCode), "Asset not depegged");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 = getAssetForCurrency(currencyCode);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totalValue = getAssetValue(currencyCode);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sellAmount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Determine stage based on duration and RR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depegDuration = block.timestamp - depegStartTimes[currencyCode];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rr = getReserveRatio();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Stage 1: 10% (if depeg &gt; 12h)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(depegDuration &gt; depegWindow &amp;&amp; liquidationStage[currencyCode] &lt; 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sellAmount = totalValue * 10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liquidationStage[currencyCode] =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Stage 2: 25% total (if depeg &gt; 24h OR RR &lt; 1.08)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else if ((depegDuration &gt; 24 hours || rr &lt; 1.08e18) &amp;&amp; liquidationStage[currencyCode] &lt; 2)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sellAmount = totalValue * 15 / 100;   // additional 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liquidationStage[currencyCode] =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Stage 3: 50% total (if depeg &gt; 48h OR RR &lt; 1.05)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else if ((depegDuration &gt; 48 hours || rr &lt; 1.05e18) &amp;&amp; liquidationStage[currencyCode] &lt; 3)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sellAmount = totalValue * 25 / 100;   // additional 25%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liquidationStage[currencyCode] = 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Stage 4: 100% total (if issuer freeze OR RR &lt; 1.02)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else if ((isIssuerFrozen(currencyCode) || rr &lt; 1.02e18) &amp;&amp; liquidationStage[currencyCode] &lt; 4)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sellAmount = totalValue - getRemainingValue(currencyCode);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liquidationStage[currencyCode] = 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Execute the sell if an amount is due, gated by the 5% rule (§11.3.3)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(sellAmount &gt; 0 &amp;&amp; isPriceStable(currencyCode))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amountInTokens = (sellAmount * 1e18) / getPrice(token);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sellAsset(token, amountInTokens);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stageStartPrices[currencyCode] = getPrice(token);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LiquidationExecuted(currencyCode, sellAmount, liquidationStage[currencyCode]);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The 5% rule (BP §11.3.3): the next stage is paused when the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has dropped more than 5% from the start of the current stage, 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resumes only after 24 hours without further deterioration.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isPriceStable(bytes3 currencyCode) internal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currentPrice = getPrice(getAssetForCurrency(currencyCode));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stageStartPrice = stageStartPrices[currencyCode];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(stageStartPrice == 0) return true;      // no stage executed yet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(currentPrice &gt;= stageStartPrice) return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drop = (stageStartPrice - currentPrice) * 1e18 / stageStartPrice;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drop &lt; 0.05e18;                      // 5% drop tolerance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8. REINTEGRATION (BP §11.4.4)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Evaluates the reintegration score and re-enters the asset if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conditions are met.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evaluateReintegration(bytes3 currencyCode)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require(liquidationStage[currencyCode] &gt; 0, "Asset not ejected");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Compute score components (each scaled 0..1e18; §21.5.4)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timeInBand = getTimeInBandScore(currencyCode);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liquidityDepth = getLiquidityDepthScore(currencyCode);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oracleAgreement = getOracleAgreementScore(currencyCode);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volatility = getVolatilityScore(currencyCode);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Compute the weighted score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score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WEIGHT_TIME_IN_BAND * timeInBand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WEIGHT_LIQUIDITY * liquidityDepth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WEIGHT_ORACLE_AGREEMENT * oracleAgreement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WEIGHT_VOLATILITY * volatility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Check whether the score meets the 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(score &lt; REINTEGRATION_THRESHOLD)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ReintegrationScore(currencyCode, score,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Determine the buy amount based on staged re-entry (§21.5.4)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totalValue = getOriginalAssetValue(currencyCode);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buyAmount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(score &gt;= 0.90e18 &amp;&amp; reintegrationStage[currencyCode] &lt; 3)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buyAmount = totalValue - getCurrentAssetValue(currencyCode);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reintegrationStage[currencyCode] = 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(score &gt;= 0.85e18 &amp;&amp; reintegrationStage[currencyCode] &lt; 2)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buyAmount = totalValue * 50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reintegrationStage[currencyCode] =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(reintegrationStage[currencyCode] &lt; 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buyAmount = totalValue * 25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reintegrationStage[currencyCode] =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Execute the buy if an amount is due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(buyAmount &gt;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 = getAssetForCurrency(currencyCode);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amountInTokens = (buyAmount * 1e18) / getPrice(token);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buyAsset(token, amountInTokens);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ReintegrationExecuted(currencyCode, buyAmount, reintegrationStage[currencyCode]);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9. ISSUER FREEZE AND SANCTIONS (BP §11.5.2)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Immediately liquidates an asset (100%) when freeze or sanctions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are confirmed. Bypasses the staged ladder entirely.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emergencyLiquidate(bytes3 currencyCode) external onlyEmergencyCouncil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 = getAssetForCurrency(currencyCode);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balance = IERC20(token).balanceOf(address(this));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(balance &gt;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sellAsset(token, 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EmergencyLiquidation(currencyCode, 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Remove the asset from the registry; re-admission runs through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full admission process (Chapter 15), not the reintegration score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removeAsset(currencyCode);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10. GOVERNANCE ENTRY POINTS (dispatched from Listing 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Parameter identifiers (registered in the parameter registry, §22.4)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public constant PARAM_RR_TARGET = keccak256("RR_TARGET");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public constant PARAM_RR_STRESS_FLOOR = keccak256("RR_STRESS_FLOOR");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public constant PARAM_MINT_FEE = keccak256("MINT_FEE");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public constant PARAM_REDEEM_FEE_NORMAL = keccak256("REDEEM_FEE_NORMAL");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public constant PARAM_REDEEM_FEE_STRESS = keccak256("REDEEM_FEE_STRESS");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public constant PARAM_REDEEM_FEE_DEFENSIVE = keccak256("REDEEM_FEE_DEFENSIVE");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public constant PARAM_LCR_TARGET = keccak256("LCR_TARGET");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public constant PARAM_DEPEG_WINDOW = keccak256("DEPEG_WINDOW");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Applies a registry-executed parameter update. Role checks,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timelocks and envelope bounds are enforced by the governance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contract (Listing 14, §22.6); this dispatcher only writes values.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applyParameter(bytes32 parameterId, uint256 newValue) external onlyGovernance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(parameterId == PARAM_RR_TARGET)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rrTarget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(parameterId == PARAM_RR_STRESS_FLOOR)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rrStressFloor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(parameterId == PARAM_MINT_FEE)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mintFee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(parameterId == PARAM_REDEEM_FEE_NORMAL)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redeemFeeNormal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(parameterId == PARAM_REDEEM_FEE_STRESS)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redeemFeeStress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(parameterId == PARAM_REDEEM_FEE_DEFENSIVE)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redeemFeeDefensive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(parameterId == PARAM_LCR_TARGET)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lcrTarget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(parameterId == PARAM_DEPEG_WINDOW)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depegWindow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revert("Unknown 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Peg bands are per-currency Risk-Council parameters (§21.5.2).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setPegBand(bytes3 currencyCode, uint256 lower, uint256 upper) external onlyGovernance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require(lower &lt; upper, "Invalid 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pegLowerBand[currencyCode] = lower;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pegUpperBand[currencyCode] = upper;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Discretionary pause/resume entry points (BP §14.6.5 bodies).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Authorization is enforced by the governance contract (§22.6);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this contract restricts callers to the governance registry.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pauseMinting() external onlyGovernance { _pauseMinting();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pauseRedeeming() external onlyGovernance { _pauseRedeeming();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pauseRebalancing() external onlyGovernance { _pauseRebalancing();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forceRebalance() external onlyGovernance { _forceRebalance();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Resumes operations (Emergency Council action, executed through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governance contract). Blocked while in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resumeOperations() external onlyGovernance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require(currentState != ProtocolState.EMERGENCY, "Cannot resume in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_resumeMinting();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_resumeRedeeming();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_resumeRebalancing();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11. ABSTRACT HOOKS AND EXTERNAL INTEGRATIONS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Operation hooks (mint/redeem contracts, Chapter 19; MARP, §11.11)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_pauseMinting()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_resumeMinting()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_setMintThrottle(uint256 percent)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_pauseRedeeming()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_resumeRedeeming()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_pauseRebalancing()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_resumeRebalancing()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_setRedemptionFee(uint256 fee)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_setRebalanceUrgency(uint256 level)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_forceRebalance()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Data hooks (reserve valuation, Chapter 14; oracle layer,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Chapter 17; asset registry, Chapter 15; execution, §11.11)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getReserveRatio()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getLCR()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getAssetForCurrency(bytes3 currencyCode) internal view virtual returns (address);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getPrice(address token)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getAssetValue(bytes3 currencyCode)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getRemainingValue(bytes3 currencyCode)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getOriginalAssetValue(bytes3 currencyCode)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getCurrentAssetValue(bytes3 currencyCode)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isIssuerFrozen(bytes3 currencyCode) internal view virtual returns (bool);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sellAsset(address token, uint256 amountInTokens)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buyAsset(address token, uint256 amountInTokens)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removeAsset(bytes3 currencyCode)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Reintegration score components (query oracle history and DEX</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volume data; BP §11 developer action)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getTimeInBandScore(bytes3 currencyCode)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getLiquidityDepthScore(bytes3 currencyCode)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getOracleAgreementScore(bytes3 currencyCode)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getVolatilityScore(bytes3 currencyCode)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IERC20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balanceOf(address account) external view returns (uint256);</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Style w:val="Heading3"/>
        <w:keepNext/>
        <w:spacing w:after="120" w:before="300" w:line="312"/>
      </w:pPr>
      <w:bookmarkStart w:id="100257" w:name="_Toc100257"/>
      <w:r>
        <w:rPr>
          <w:rFonts w:ascii="Calibri" w:eastAsia="Microsoft YaHei" w:hAnsi="Calibri"/>
          <w:b/>
          <w:bCs/>
          <w:color w:val="333333"/>
          <w:sz w:val="24"/>
          <w:szCs w:val="24"/>
        </w:rPr>
        <w:t xml:space="preserve">21.6.1 Event Emissions</w:t>
      </w:r>
      <w:bookmarkEnd w:id="100257"/>
    </w:p>
    <w:p>
      <w:pPr>
        <w:spacing w:after="120" w:line="312"/>
        <w:jc w:val="both"/>
      </w:pPr>
      <w:r>
        <w:rPr>
          <w:rFonts w:ascii="Calibri" w:eastAsia="SimSun" w:hAnsi="Calibri"/>
          <w:b w:val="false"/>
          <w:bCs w:val="false"/>
          <w:color w:val="1A1A1A"/>
          <w:sz w:val="21"/>
          <w:szCs w:val="21"/>
        </w:rPr>
        <w:t xml:space="preserve">Every state transition, applied action and eject event is emitted on-chain (BP §14.7 and §11.6.2). Together the events form the machine-readable crisis narrative consumed by the transparency layer (Chapter 24) and the honest-status report (Section 25):</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4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Event</w:t>
            </w:r>
          </w:p>
        </w:tc>
        <w:tc>
          <w:tcPr>
            <w:tcW w:type="pct" w:w="5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Emitted When</w:t>
            </w:r>
          </w:p>
        </w:tc>
      </w:tr>
      <w:tr>
        <w:trPr>
          <w:cantSplit/>
        </w:trPr>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StateTransition(oldState, newState, immediate, timestamp)</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Every state change; the immediate flag distinguishes stress transitions from 48-hour-confirmed recoveries.</w:t>
            </w:r>
          </w:p>
        </w:tc>
      </w:tr>
      <w:tr>
        <w:trPr>
          <w:cantSplit/>
        </w:trPr>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MintingPaused(timestamp) / MintingResumed(timestamp, throttlePercent)</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suspension and resumption; the throttle records the state's capacity (100 / 50 / 25).</w:t>
            </w:r>
          </w:p>
        </w:tc>
      </w:tr>
      <w:tr>
        <w:trPr>
          <w:cantSplit/>
        </w:trPr>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RedeemingPaused(timestamp) / RedeemingResumed(timestamp)</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 suspension and resumption.</w:t>
            </w:r>
          </w:p>
        </w:tc>
      </w:tr>
      <w:tr>
        <w:trPr>
          <w:cantSplit/>
        </w:trPr>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RebalancingPaused(timestamp) / RebalancingResumed(timestamp)</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 suspension and resumption.</w:t>
            </w:r>
          </w:p>
        </w:tc>
      </w:tr>
      <w:tr>
        <w:trPr>
          <w:cantSplit/>
        </w:trPr>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RedemptionFeeUpdated(newFee, timestamp)</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Fee-schedule change applied on a state transition.</w:t>
            </w:r>
          </w:p>
        </w:tc>
      </w:tr>
      <w:tr>
        <w:trPr>
          <w:cantSplit/>
        </w:trPr>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OperationsResumed(timestamp)</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Full operational resume after confirmed recovery.</w:t>
            </w:r>
          </w:p>
        </w:tc>
      </w:tr>
      <w:tr>
        <w:trPr>
          <w:cantSplit/>
        </w:trPr>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DepegDetected(currencyCode, price, timestamp)</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First confirmation that an asset exceeded its de-peg detection window outside the band.</w:t>
            </w:r>
          </w:p>
        </w:tc>
      </w:tr>
      <w:tr>
        <w:trPr>
          <w:cantSplit/>
        </w:trPr>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LiquidationExecuted(currencyCode, amount, stage)</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Each executed liquidation tranche, with its stage 1–4.</w:t>
            </w:r>
          </w:p>
        </w:tc>
      </w:tr>
      <w:tr>
        <w:trPr>
          <w:cantSplit/>
        </w:trPr>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ReintegrationScore(currencyCode, score, thresholdMet)</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Every reintegration evaluation, whether or not the threshold is met.</w:t>
            </w:r>
          </w:p>
        </w:tc>
      </w:tr>
      <w:tr>
        <w:trPr>
          <w:cantSplit/>
        </w:trPr>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ReintegrationExecuted(currencyCode, amount, stage)</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Each re-entry tranche, with its stage 1–3.</w:t>
            </w:r>
          </w:p>
        </w:tc>
      </w:tr>
      <w:tr>
        <w:trPr>
          <w:cantSplit/>
        </w:trPr>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EmergencyLiquidation(currencyCode, amount)</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Immediate 100% liquidation on issuer freeze or sanctions.</w:t>
            </w:r>
          </w:p>
        </w:tc>
      </w:tr>
      <w:tr>
        <w:trPr>
          <w:cantSplit/>
        </w:trPr>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ParameterProposed / ParameterExecuted / ParameterVetoed (parameterId, value, timestamp)</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Governance registry updates (emitted by Listing 14, §22.6).</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The parameter events are emitted by the governance registry of Section 22.6; all other events are emitted by the operations contract of Listing 13. Rejected or gated liquidation attempts leave the liquidation stage unchanged and are observable from the absence of a LiquidationExecuted event after a DepegDetected event — the transparency layer treats that gap as an open incident.</w:t>
      </w:r>
    </w:p>
    <w:p>
      <w:pPr>
        <w:pStyle w:val="Heading3"/>
        <w:keepNext/>
        <w:spacing w:after="120" w:before="300" w:line="312"/>
      </w:pPr>
      <w:bookmarkStart w:id="100258" w:name="_Toc100258"/>
      <w:r>
        <w:rPr>
          <w:rFonts w:ascii="Calibri" w:eastAsia="Microsoft YaHei" w:hAnsi="Calibri"/>
          <w:b/>
          <w:bCs/>
          <w:color w:val="333333"/>
          <w:sz w:val="24"/>
          <w:szCs w:val="24"/>
        </w:rPr>
        <w:t xml:space="preserve">21.6.2 Developer-Facing Constants</w:t>
      </w:r>
      <w:bookmarkEnd w:id="100258"/>
    </w:p>
    <w:p>
      <w:pPr>
        <w:spacing w:after="120" w:line="312"/>
        <w:jc w:val="both"/>
      </w:pPr>
      <w:r>
        <w:rPr>
          <w:rFonts w:ascii="Calibri" w:eastAsia="SimSun" w:hAnsi="Calibri"/>
          <w:b w:val="false"/>
          <w:bCs w:val="false"/>
          <w:color w:val="1A1A1A"/>
          <w:sz w:val="21"/>
          <w:szCs w:val="21"/>
        </w:rPr>
        <w:t xml:space="preserve">The constants below consolidate the developer-facing parameter set of the state machine and the eject module, with their governance classes (BP §14.8 and §11.7). The full cross-chapter authority matrix — including the weighting, reserve and oracle parameters — is carried in Section 22.4:</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3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Layer</w:t>
            </w:r>
          </w:p>
        </w:tc>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Default Value</w:t>
            </w:r>
          </w:p>
        </w:tc>
        <w:tc>
          <w:tcPr>
            <w:tcW w:type="pct" w:w="2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Authority</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Target</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Stress Floor</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Hard Floor</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 Fee</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0.10%</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 (Normal)</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0.15%</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 (Stress)</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0.50%</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 (Defensive)</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Recovery Confirmation Period</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48 hours</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Timelock (Monetary)</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48 hours</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Timelock (Risk)</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 hours</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Timelock (Constitutional)</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90 days</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De-peg Detection Window</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 hours</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 USDP / EURC Peg Band</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 / JPY Peg Band</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 Peg Band</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±1.5%</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Liquidation Stages 1–4 (cumulative)</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 / 25% / 50% / 100%</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Reintegration Threshold</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0.80</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Reintegration Staging</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 50% → 100%</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bl>
    <w:p>
      <w:pPr>
        <w:spacing w:after="120"/>
      </w:pPr>
    </w:p>
    <w:p>
      <w:pPr>
        <w:spacing w:after="120" w:line="312"/>
        <w:jc w:val="both"/>
      </w:pPr>
      <w:r>
        <w:rPr>
          <w:rFonts w:ascii="Calibri" w:eastAsia="SimSun" w:hAnsi="Calibri"/>
          <w:b w:val="false"/>
          <w:bCs w:val="false"/>
          <w:color w:val="1A1A1A"/>
          <w:sz w:val="21"/>
          <w:szCs w:val="21"/>
        </w:rPr>
        <w:t xml:space="preserve">One discrepancy is carried honestly rather than silently resolved: the source tables class the 48-hour recovery confirmation period as a Monetary (DAO) parameter, while the reference implementation declares it as an immutable constant. This edition retains the immutable constant as the conservative reading — a stricter governance class than the table assigns — and flags the mismatch for resolution during deployment registration (Section 22.4).</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Listing 13 adapts BP §14.6.1–§14.6.3, the §14.7 events and the §11.6 eject module. The v1.2 detector combined timer bookkeeping inside a view function (which cannot write state); it is cleaned here into a stateful updateDepegStatus plus a pure isDepegged view. The restrictiveness ordering (isMoreRestrictive) was left to the developer in v1.2 and is supplied here, with RECOVERY ranked between CAUTION and STRESS to match its action profile. The 5% pause rule is wired into the stage gate — v1.2 defined isPriceStable but never called it — and stage-start prices are recorded after each executed stage; the 24-hour stabilization hold is enforced by the keeper re-evaluation cadence. The de-peg detection window is promoted from a hard-coded 12 hours to a registry-governed parameter (default 12 hours, Risk Council), while the 24- and 48-hour stage durations remain fixed as in the source. Fixed-point arithmetic in the reintegration score is cleaned to use the declared constant weights, and peg bands are set through the governance entry point rather than hard-coded. All numeric values — states, thresholds, fees, ladder percentages, score weights and timelocks — are carried unchanged from BP §14 and BP §11.</w:t>
      </w:r>
    </w:p>
    <w:p>
      <w:pPr>
        <w:pStyle w:val="Heading1"/>
        <w:keepNext/>
        <w:pBdr>
          <w:bottom w:val="single" w:color="C9A84C" w:sz="12" w:space="6"/>
        </w:pBdr>
        <w:spacing w:after="220" w:before="480" w:line="380" w:lineRule="atLeast"/>
      </w:pPr>
      <w:bookmarkStart w:id="100259" w:name="_Toc100259"/>
      <w:r>
        <w:rPr>
          <w:rFonts w:ascii="Calibri" w:eastAsia="Microsoft YaHei" w:hAnsi="Calibri"/>
          <w:b/>
          <w:bCs/>
          <w:color w:val="1A1A1A"/>
          <w:sz w:val="32"/>
          <w:szCs w:val="32"/>
        </w:rPr>
        <w:t xml:space="preserve">22. Governance</w:t>
      </w:r>
      <w:bookmarkEnd w:id="100259"/>
    </w:p>
    <w:p>
      <w:pPr>
        <w:pStyle w:val="Heading2"/>
        <w:keepNext/>
        <w:spacing w:after="160" w:before="360" w:line="340" w:lineRule="atLeast"/>
      </w:pPr>
      <w:bookmarkStart w:id="100260" w:name="_Toc100260"/>
      <w:r>
        <w:rPr>
          <w:rFonts w:ascii="Calibri" w:eastAsia="Microsoft YaHei" w:hAnsi="Calibri"/>
          <w:b/>
          <w:bCs/>
          <w:color w:val="1A1A1A"/>
          <w:sz w:val="28"/>
          <w:szCs w:val="28"/>
        </w:rPr>
        <w:t xml:space="preserve">22.1 Constitutional Separation of the Algorithmic Layers</w:t>
      </w:r>
      <w:bookmarkEnd w:id="100260"/>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architecture has three independent mathematical layers, and their independence is constitutional: each layer is governed, validated and audited separately, so that no single algorithm can silently control the system [MS §90].</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This prevents one algorithm from silently controlling everything.</w:t>
      </w:r>
    </w:p>
    <w:p>
      <w:pPr>
        <w:spacing w:after="120" w:line="312"/>
        <w:jc w:val="both"/>
      </w:pPr>
      <w:r>
        <w:rPr>
          <w:rFonts w:ascii="Calibri" w:eastAsia="SimSun" w:hAnsi="Calibri"/>
          <w:b w:val="false"/>
          <w:bCs w:val="false"/>
          <w:color w:val="1A1A1A"/>
          <w:sz w:val="21"/>
          <w:szCs w:val="21"/>
        </w:rPr>
        <w:t xml:space="preserve">Layer 1 is the Constituency Engine, and it answers one question: who is eligible? (Chapter 4). Its domain is the candidate universe — which currencies and gold qualify for the active basket — decided by the eligibility score Q_i with entry and exit hysteresis. Its boundary is equally narrow: it may never assign a weight, execute a trade or hold an asset; it only admits and retires members. Layer 2 is MASE, the Multi-model Adaptive Stability Engine, and it answers the question: how much weight? (Chapters 5–7). Its domain is the target weight vector for the eligible members, produced by the ensemble under the composite objective. Its boundary: it weighs only what Layer 1 has admitted, and it never executes anything — its output is a target, not a trade. Layer 3 is the MARP / Reserve Engine, and it answers the question: when and how do we execute? (Chapters 10–16). Its domain is execution decisions and reserve management. Its boundary: it moves toward Layer 2's targets, within Layer 1's membership, under the reserve rules — it never redefines the target or the membership. The summary table of Section 2.2 carries the same three layers with their primary chapters.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Layer</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Question</w:t>
            </w:r>
          </w:p>
        </w:tc>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Primary Output</w:t>
            </w:r>
          </w:p>
        </w:tc>
        <w:tc>
          <w:tcPr>
            <w:tcW w:type="pct" w:w="5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Governed and Audited Via</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Layer 1 — Constituency Engine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Who is eligible?</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active basket membership</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Eligibility methodology and thresholds (Risk class, §22.4); audited by re-running the published scoring (Chapter 4).</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Layer 2 — MASE</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How much weight?</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target weight vector W^{Target}</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 published methodology (Invariant I3) and constitutional envelopes; audited by deterministic reproduction (§7.7, Chapter 24).</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Layer 3 — MARP / Reserve Engine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When and how do we execute?</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 decisions and the reserve portfolio</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 and reserve parameters (Risk class); audited via decision logs and reserve reporting (Chapters 10–16, Chapter 24).</w:t>
            </w:r>
          </w:p>
        </w:tc>
      </w:tr>
    </w:tbl>
    <w:p>
      <w:pPr>
        <w:spacing w:after="120"/>
      </w:pPr>
    </w:p>
    <w:p>
      <w:pPr>
        <w:spacing w:after="120" w:line="312"/>
        <w:jc w:val="both"/>
      </w:pPr>
      <w:r>
        <w:rPr>
          <w:rFonts w:ascii="Calibri" w:eastAsia="SimSun" w:hAnsi="Calibri"/>
          <w:b w:val="false"/>
          <w:bCs w:val="false"/>
          <w:color w:val="1A1A1A"/>
          <w:sz w:val="21"/>
          <w:szCs w:val="21"/>
        </w:rPr>
        <w:t xml:space="preserve">Independent governance means each layer has its own parameter classes in the parameter registry (Section 22.4), its own version stream (Section 24.2) and its own validation tests in the research program (Chapter 23). Independent audit means each layer's outputs are reproducible from its own published inputs — an auditor can attribute any change in the live weight vector to exactly one layer (Section 2.2). The separation is also the containment strategy: a faulty optimizer cannot admit a broken currency, because Layer 1's eligibility gate stands in front of it; a faulty executor cannot chase a bad target, because MARP's justification gates (Chapter 10) stand between target and trade; and a compromised data feed cannot silently reweight the basket, because the oracle layer (Chapter 17) and the registry's envelope checks (Section 7.7) bound what any single input can do.</w:t>
      </w:r>
    </w:p>
    <w:p>
      <w:pPr>
        <w:pStyle w:val="Heading2"/>
        <w:keepNext/>
        <w:spacing w:after="160" w:before="360" w:line="340" w:lineRule="atLeast"/>
      </w:pPr>
      <w:bookmarkStart w:id="100261" w:name="_Toc100261"/>
      <w:r>
        <w:rPr>
          <w:rFonts w:ascii="Calibri" w:eastAsia="Microsoft YaHei" w:hAnsi="Calibri"/>
          <w:b/>
          <w:bCs/>
          <w:color w:val="1A1A1A"/>
          <w:sz w:val="28"/>
          <w:szCs w:val="28"/>
        </w:rPr>
        <w:t xml:space="preserve">22.2 Governance Separation</w:t>
      </w:r>
      <w:bookmarkEnd w:id="100261"/>
    </w:p>
    <w:p>
      <w:pPr>
        <w:spacing w:after="120" w:line="312"/>
        <w:jc w:val="both"/>
      </w:pPr>
      <w:r>
        <w:rPr>
          <w:rFonts w:ascii="Calibri" w:eastAsia="SimSun" w:hAnsi="Calibri"/>
          <w:b w:val="false"/>
          <w:bCs w:val="false"/>
          <w:color w:val="1A1A1A"/>
          <w:sz w:val="21"/>
          <w:szCs w:val="21"/>
        </w:rPr>
        <w:t xml:space="preserve">Governance in MTQ Σ approves rules, never outcomes [MS §91]. The governance bodies may approve six categories of change:</w:t>
      </w:r>
    </w:p>
    <w:p>
      <w:pPr>
        <w:pStyle w:val="ListParagraph"/>
        <w:numPr>
          <w:ilvl w:val="0"/>
          <w:numId w:val="2"/>
        </w:numPr>
        <w:spacing w:after="60" w:line="312"/>
        <w:jc w:val="left"/>
      </w:pPr>
      <w:r>
        <w:rPr>
          <w:rFonts w:ascii="Calibri" w:eastAsia="SimSun" w:hAnsi="Calibri"/>
          <w:b/>
          <w:bCs/>
          <w:color w:val="1A1A1A"/>
          <w:sz w:val="21"/>
          <w:szCs w:val="21"/>
        </w:rPr>
        <w:t xml:space="preserve">Methodology</w:t>
      </w:r>
      <w:r>
        <w:rPr>
          <w:rFonts w:ascii="Calibri" w:eastAsia="SimSun" w:hAnsi="Calibri"/>
          <w:b w:val="false"/>
          <w:bCs w:val="false"/>
          <w:color w:val="1A1A1A"/>
          <w:sz w:val="21"/>
          <w:szCs w:val="21"/>
        </w:rPr>
        <w:t xml:space="preserve"> — the published, versioned methodology that defines how weights are computed (Invariant I3); methodology changes are constitutional and follow the 90-day process.</w:t>
      </w:r>
    </w:p>
    <w:p>
      <w:pPr>
        <w:pStyle w:val="ListParagraph"/>
        <w:numPr>
          <w:ilvl w:val="0"/>
          <w:numId w:val="2"/>
        </w:numPr>
        <w:spacing w:after="60" w:line="312"/>
        <w:jc w:val="left"/>
      </w:pPr>
      <w:r>
        <w:rPr>
          <w:rFonts w:ascii="Calibri" w:eastAsia="SimSun" w:hAnsi="Calibri"/>
          <w:b/>
          <w:bCs/>
          <w:color w:val="1A1A1A"/>
          <w:sz w:val="21"/>
          <w:szCs w:val="21"/>
        </w:rPr>
        <w:t xml:space="preserve">Parameter envelopes</w:t>
      </w:r>
      <w:r>
        <w:rPr>
          <w:rFonts w:ascii="Calibri" w:eastAsia="SimSun" w:hAnsi="Calibri"/>
          <w:b w:val="false"/>
          <w:bCs w:val="false"/>
          <w:color w:val="1A1A1A"/>
          <w:sz w:val="21"/>
          <w:szCs w:val="21"/>
        </w:rPr>
        <w:t xml:space="preserve"> — the admissible bounds within which tunable parameters may move (Section 22.4); the envelope itself is constitutional, while the value inside it follows the layer's own path.</w:t>
      </w:r>
    </w:p>
    <w:p>
      <w:pPr>
        <w:pStyle w:val="ListParagraph"/>
        <w:numPr>
          <w:ilvl w:val="0"/>
          <w:numId w:val="2"/>
        </w:numPr>
        <w:spacing w:after="60" w:line="312"/>
        <w:jc w:val="left"/>
      </w:pPr>
      <w:r>
        <w:rPr>
          <w:rFonts w:ascii="Calibri" w:eastAsia="SimSun" w:hAnsi="Calibri"/>
          <w:b/>
          <w:bCs/>
          <w:color w:val="1A1A1A"/>
          <w:sz w:val="21"/>
          <w:szCs w:val="21"/>
        </w:rPr>
        <w:t xml:space="preserve">Eligible data providers</w:t>
      </w:r>
      <w:r>
        <w:rPr>
          <w:rFonts w:ascii="Calibri" w:eastAsia="SimSun" w:hAnsi="Calibri"/>
          <w:b w:val="false"/>
          <w:bCs w:val="false"/>
          <w:color w:val="1A1A1A"/>
          <w:sz w:val="21"/>
          <w:szCs w:val="21"/>
        </w:rPr>
        <w:t xml:space="preserve"> — which institutional and oracle sources may feed the engines (Chapters 4 and 17).</w:t>
      </w:r>
    </w:p>
    <w:p>
      <w:pPr>
        <w:pStyle w:val="ListParagraph"/>
        <w:numPr>
          <w:ilvl w:val="0"/>
          <w:numId w:val="2"/>
        </w:numPr>
        <w:spacing w:after="60" w:line="312"/>
        <w:jc w:val="left"/>
      </w:pPr>
      <w:r>
        <w:rPr>
          <w:rFonts w:ascii="Calibri" w:eastAsia="SimSun" w:hAnsi="Calibri"/>
          <w:b/>
          <w:bCs/>
          <w:color w:val="1A1A1A"/>
          <w:sz w:val="21"/>
          <w:szCs w:val="21"/>
        </w:rPr>
        <w:t xml:space="preserve">Eligible reserve instruments</w:t>
      </w:r>
      <w:r>
        <w:rPr>
          <w:rFonts w:ascii="Calibri" w:eastAsia="SimSun" w:hAnsi="Calibri"/>
          <w:b w:val="false"/>
          <w:bCs w:val="false"/>
          <w:color w:val="1A1A1A"/>
          <w:sz w:val="21"/>
          <w:szCs w:val="21"/>
        </w:rPr>
        <w:t xml:space="preserve"> — which tokens and instruments may back the unit (Chapter 15).</w:t>
      </w:r>
    </w:p>
    <w:p>
      <w:pPr>
        <w:pStyle w:val="ListParagraph"/>
        <w:numPr>
          <w:ilvl w:val="0"/>
          <w:numId w:val="2"/>
        </w:numPr>
        <w:spacing w:after="60" w:line="312"/>
        <w:jc w:val="left"/>
      </w:pPr>
      <w:r>
        <w:rPr>
          <w:rFonts w:ascii="Calibri" w:eastAsia="SimSun" w:hAnsi="Calibri"/>
          <w:b/>
          <w:bCs/>
          <w:color w:val="1A1A1A"/>
          <w:sz w:val="21"/>
          <w:szCs w:val="21"/>
        </w:rPr>
        <w:t xml:space="preserve">Risk thresholds</w:t>
      </w:r>
      <w:r>
        <w:rPr>
          <w:rFonts w:ascii="Calibri" w:eastAsia="SimSun" w:hAnsi="Calibri"/>
          <w:b w:val="false"/>
          <w:bCs w:val="false"/>
          <w:color w:val="1A1A1A"/>
          <w:sz w:val="21"/>
          <w:szCs w:val="21"/>
        </w:rPr>
        <w:t xml:space="preserve"> — the solvency, liquidity and eject thresholds of Chapter 21.</w:t>
      </w:r>
    </w:p>
    <w:p>
      <w:pPr>
        <w:pStyle w:val="ListParagraph"/>
        <w:numPr>
          <w:ilvl w:val="0"/>
          <w:numId w:val="2"/>
        </w:numPr>
        <w:spacing w:after="60" w:line="312"/>
        <w:jc w:val="left"/>
      </w:pPr>
      <w:r>
        <w:rPr>
          <w:rFonts w:ascii="Calibri" w:eastAsia="SimSun" w:hAnsi="Calibri"/>
          <w:b/>
          <w:bCs/>
          <w:color w:val="1A1A1A"/>
          <w:sz w:val="21"/>
          <w:szCs w:val="21"/>
        </w:rPr>
        <w:t xml:space="preserve">Emergency rules</w:t>
      </w:r>
      <w:r>
        <w:rPr>
          <w:rFonts w:ascii="Calibri" w:eastAsia="SimSun" w:hAnsi="Calibri"/>
          <w:b w:val="false"/>
          <w:bCs w:val="false"/>
          <w:color w:val="1A1A1A"/>
          <w:sz w:val="21"/>
          <w:szCs w:val="21"/>
        </w:rPr>
        <w:t xml:space="preserve"> — the emergency action set and its authorization (Sections 22.5–22.6).</w:t>
      </w:r>
    </w:p>
    <w:p>
      <w:pPr>
        <w:spacing w:after="120" w:line="312"/>
        <w:jc w:val="both"/>
      </w:pPr>
      <w:r>
        <w:rPr>
          <w:rFonts w:ascii="Calibri" w:eastAsia="SimSun" w:hAnsi="Calibri"/>
          <w:b w:val="false"/>
          <w:bCs w:val="false"/>
          <w:color w:val="1A1A1A"/>
          <w:sz w:val="21"/>
          <w:szCs w:val="21"/>
        </w:rPr>
        <w:t xml:space="preserve">What no governance body may do — on any layer, under any quorum, in any state — is manually set an individual live weight on a discretionary basis [MS §91]:</w:t>
      </w:r>
    </w:p>
    <w:p>
      <w:pPr>
        <w:spacing w:after="120" w:before="120" w:line="312"/>
        <w:jc w:val="center"/>
      </w:pPr>
      <w:r>
        <w:rPr>
          <w:rFonts w:ascii="Cambria" w:eastAsia="SimSun" w:hAnsi="Cambria"/>
          <w:i w:val="false"/>
          <w:iCs w:val="false"/>
          <w:color w:val="1A1A1A"/>
          <w:sz w:val="22"/>
          <w:szCs w:val="22"/>
        </w:rPr>
        <w:t xml:space="preserve">Governance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{rules}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Governance</w:t>
      </w:r>
      <w:r>
        <w:rPr>
          <w:rFonts w:ascii="Cambria" w:eastAsia="SimSun" w:hAnsi="Cambria"/>
          <w:i/>
          <w:iCs/>
          <w:color w:val="1A1A1A"/>
          <w:sz w:val="22"/>
          <w:szCs w:val="22"/>
        </w:rPr>
        <w:t xml:space="preserve"> not</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USD,t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Gold,t</w:t>
      </w:r>
    </w:p>
    <w:p>
      <w:pPr>
        <w:spacing w:after="120" w:line="312"/>
        <w:jc w:val="both"/>
      </w:pPr>
      <w:r>
        <w:rPr>
          <w:rFonts w:ascii="Calibri" w:eastAsia="SimSun" w:hAnsi="Calibri"/>
          <w:b w:val="false"/>
          <w:bCs w:val="false"/>
          <w:color w:val="1A1A1A"/>
          <w:sz w:val="21"/>
          <w:szCs w:val="21"/>
        </w:rPr>
        <w:t xml:space="preserve">This is Invariant I8 (Section 2.6): no governance body may set individual live weights by discretion. The prohibition is structural, not merely legalistic. Live weights enter the system through exactly one door — the MASE submission path of Section 7.7 — which verifies the data version, the methodology hash, the constitutional envelopes, the velocity limits and the smoothing rule before a vector can become live. To set a weight by hand, a governance body would have to counterfeit an entire data-and-methodology pipeline, in public, against a contract that checks every property it can verify on-chain. Discretionary weights would also destroy the two properties the unit is built on: reproducibility (Section 24.1 — an auditor could no longer re-derive the live vector from published inputs) and the fixed-methodology promise itself (Invariant I3).</w:t>
      </w:r>
    </w:p>
    <w:p>
      <w:pPr>
        <w:spacing w:after="120" w:line="312"/>
        <w:jc w:val="both"/>
      </w:pPr>
      <w:r>
        <w:rPr>
          <w:rFonts w:ascii="Calibri" w:eastAsia="SimSun" w:hAnsi="Calibri"/>
          <w:b w:val="false"/>
          <w:bCs w:val="false"/>
          <w:color w:val="1A1A1A"/>
          <w:sz w:val="21"/>
          <w:szCs w:val="21"/>
        </w:rPr>
        <w:t xml:space="preserve">The boundary has a precise shape: governance can change the rules of the game — the methodology, the envelopes, the thresholds — but never the score of a particular game. A Risk Council that dislikes the live CHF weight may tighten the CHF envelope (a constitutional action), commission a methodology revision (also constitutional), or wait for the data to move; it may not type a number into the registry and make it live. This is what distinguishes an algorithmic monetary architecture from a managed one, and it is the reason Invariants I7 and I8 point at Sections 22.3 and 22.4 as their enforcement.</w:t>
      </w:r>
    </w:p>
    <w:p>
      <w:pPr>
        <w:pStyle w:val="Heading2"/>
        <w:keepNext/>
        <w:spacing w:after="160" w:before="360" w:line="340" w:lineRule="atLeast"/>
      </w:pPr>
      <w:bookmarkStart w:id="100262" w:name="_Toc100262"/>
      <w:r>
        <w:rPr>
          <w:rFonts w:ascii="Calibri" w:eastAsia="Microsoft YaHei" w:hAnsi="Calibri"/>
          <w:b/>
          <w:bCs/>
          <w:color w:val="1A1A1A"/>
          <w:sz w:val="28"/>
          <w:szCs w:val="28"/>
        </w:rPr>
        <w:t xml:space="preserve">22.3 The Four Governance Layers</w:t>
      </w:r>
      <w:bookmarkEnd w:id="100262"/>
    </w:p>
    <w:p>
      <w:pPr>
        <w:spacing w:after="120" w:line="312"/>
        <w:jc w:val="both"/>
      </w:pPr>
      <w:r>
        <w:rPr>
          <w:rFonts w:ascii="Calibri" w:eastAsia="SimSun" w:hAnsi="Calibri"/>
          <w:b w:val="false"/>
          <w:bCs w:val="false"/>
          <w:color w:val="1A1A1A"/>
          <w:sz w:val="21"/>
          <w:szCs w:val="21"/>
        </w:rPr>
        <w:t xml:space="preserve">All protocol authority is partitioned into four layers, ordered by how fundamental the change is and how much consensus it requires [BP §14.4.1]. The deeper the layer, the more signatures and the more time a change demands: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gridCol w:w="100"/>
      </w:tblGrid>
      <w:tr>
        <w:trPr>
          <w:cantSplit/>
          <w:tblHeader/>
        </w:trPr>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Layer</w:t>
            </w:r>
          </w:p>
        </w:tc>
        <w:tc>
          <w:tcPr>
            <w:tcW w:type="pct" w:w="5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Scope</w:t>
            </w:r>
          </w:p>
        </w:tc>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Authority</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Timelock</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Quorum</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 parameters (core architecture, constitutional envelopes, hard floors, liquidation staging; the v1.2 GFB-quantity immutability is superseded by the fixed-methodology invariant I3)</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7/7 Multi-Sig</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90 days</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7/7</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target, fee structure, smoothing parameters</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48 hours</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51%</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Haircuts, thresholds, eject parameters, LCR targets</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 hours</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4/7</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 operations, force rebalance, emergency eject</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 Council (4/7)</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Instant</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4/7</w:t>
            </w:r>
          </w:p>
        </w:tc>
      </w:tr>
    </w:tbl>
    <w:p>
      <w:pPr>
        <w:spacing w:after="120"/>
      </w:pPr>
    </w:p>
    <w:p>
      <w:pPr>
        <w:spacing w:after="120" w:line="312"/>
        <w:jc w:val="both"/>
      </w:pPr>
      <w:r>
        <w:rPr>
          <w:rFonts w:ascii="Calibri" w:eastAsia="SimSun" w:hAnsi="Calibri"/>
          <w:b w:val="false"/>
          <w:bCs w:val="false"/>
          <w:color w:val="1A1A1A"/>
          <w:sz w:val="21"/>
          <w:szCs w:val="21"/>
        </w:rPr>
        <w:t xml:space="preserve">Reading the table: Constitutional authority (a 7/7 Multi-Sig with a 90-day timelock) covers the immutable core — the architecture, the constitutional envelopes, the hard floors, the fixed methodology and the liquidation ladder's shape. Monetary authority (DAO vote, 51% quorum, 48-hour timelock) covers the monetary-policy parameters: the RR targets, the fee structure and the smoothing parameters. Risk authority (Risk Council, 4/7 with a 24-hour timelock) covers the technical risk parameters: haircuts, thresholds, eject parameters and LCR targets. Emergency authority (Emergency Council, 4/7, instant) covers only the pause/eject/rebalance action set of Section 22.5 — the one layer that trades deliberation for speed, and pays for it with the narrowest scope in the system.</w:t>
      </w:r>
    </w:p>
    <w:p>
      <w:pPr>
        <w:spacing w:after="120" w:line="312"/>
        <w:jc w:val="both"/>
      </w:pPr>
      <w:r>
        <w:rPr>
          <w:rFonts w:ascii="Calibri" w:eastAsia="SimSun" w:hAnsi="Calibri"/>
          <w:b w:val="false"/>
          <w:bCs w:val="false"/>
          <w:color w:val="1A1A1A"/>
          <w:sz w:val="21"/>
          <w:szCs w:val="21"/>
        </w:rPr>
        <w:t xml:space="preserve">The layering implements Invariant I7 (Section 2.6): the protocol is governed by a layered hierarchy, and no layer can reach into another's domain. The timelocks themselves are constitutional (Section 22.4): the Emergency Council cannot shorten the monetary timelock, and the DAO cannot raise a constitutional change through a 51% vote. The councils are distinct bodies with distinct keys — the Risk Council and the Emergency Council operate separate 4/7 Multi-Sigs, both with hardware wallet requirements, so that compromising one signers set does not yield both authorities. Every action on every layer emits events and is published (Chapter 24); the layer boundaries are exactly what Invariants I7 and I8 reference from Section 2.6.</w:t>
      </w:r>
    </w:p>
    <w:p>
      <w:pPr>
        <w:pStyle w:val="Heading2"/>
        <w:keepNext/>
        <w:spacing w:after="160" w:before="360" w:line="340" w:lineRule="atLeast"/>
      </w:pPr>
      <w:bookmarkStart w:id="100263" w:name="_Toc100263"/>
      <w:r>
        <w:rPr>
          <w:rFonts w:ascii="Calibri" w:eastAsia="Microsoft YaHei" w:hAnsi="Calibri"/>
          <w:b/>
          <w:bCs/>
          <w:color w:val="1A1A1A"/>
          <w:sz w:val="28"/>
          <w:szCs w:val="28"/>
        </w:rPr>
        <w:t xml:space="preserve">22.4 The Parameter Registry and Authority Matrix</w:t>
      </w:r>
      <w:bookmarkEnd w:id="100263"/>
    </w:p>
    <w:p>
      <w:pPr>
        <w:spacing w:after="120" w:line="312"/>
        <w:jc w:val="both"/>
      </w:pPr>
      <w:r>
        <w:rPr>
          <w:rFonts w:ascii="Calibri" w:eastAsia="SimSun" w:hAnsi="Calibri"/>
          <w:b w:val="false"/>
          <w:bCs w:val="false"/>
          <w:color w:val="1A1A1A"/>
          <w:sz w:val="21"/>
          <w:szCs w:val="21"/>
        </w:rPr>
        <w:t xml:space="preserve">Every tunable parameter in the protocol is registered — with its identifier, its governance layer, its current value and its admissible envelope — in a single on-chain </w:t>
      </w:r>
      <w:r>
        <w:rPr>
          <w:rFonts w:ascii="Calibri" w:eastAsia="SimSun" w:hAnsi="Calibri"/>
          <w:b/>
          <w:bCs/>
          <w:color w:val="1A1A1A"/>
          <w:sz w:val="21"/>
          <w:szCs w:val="21"/>
        </w:rPr>
        <w:t xml:space="preserve">parameter registry</w:t>
      </w:r>
      <w:r>
        <w:rPr>
          <w:rFonts w:ascii="Calibri" w:eastAsia="SimSun" w:hAnsi="Calibri"/>
          <w:b w:val="false"/>
          <w:bCs w:val="false"/>
          <w:color w:val="1A1A1A"/>
          <w:sz w:val="21"/>
          <w:szCs w:val="21"/>
        </w:rPr>
        <w:t xml:space="preserve"> [BP §14.4.2]. The registry is the normative answer to the question of who may change what: an update path exists if and only if the parameter is registered, and the layer of the record determines which body, which quorum and which </w:t>
      </w:r>
      <w:r>
        <w:rPr>
          <w:rFonts w:ascii="Calibri" w:eastAsia="SimSun" w:hAnsi="Calibri"/>
          <w:b/>
          <w:bCs/>
          <w:color w:val="1A1A1A"/>
          <w:sz w:val="21"/>
          <w:szCs w:val="21"/>
        </w:rPr>
        <w:t xml:space="preserve">timelock</w:t>
      </w:r>
      <w:r>
        <w:rPr>
          <w:rFonts w:ascii="Calibri" w:eastAsia="SimSun" w:hAnsi="Calibri"/>
          <w:b w:val="false"/>
          <w:bCs w:val="false"/>
          <w:color w:val="1A1A1A"/>
          <w:sz w:val="21"/>
          <w:szCs w:val="21"/>
        </w:rPr>
        <w:t xml:space="preserve"> govern the change. Unregistered parameters fail closed — the governance contract of Listing 14 reverts on any update to an unknown parameter identifier — so new parameters must be deliberately registered (a constitutional action) before they can ever be touched.</w:t>
      </w:r>
    </w:p>
    <w:p>
      <w:pPr>
        <w:pStyle w:val="ListParagraph"/>
        <w:numPr>
          <w:ilvl w:val="0"/>
          <w:numId w:val="2"/>
        </w:numPr>
        <w:spacing w:after="60" w:line="312"/>
        <w:jc w:val="left"/>
      </w:pPr>
      <w:r>
        <w:rPr>
          <w:rFonts w:ascii="Calibri" w:eastAsia="SimSun" w:hAnsi="Calibri"/>
          <w:b/>
          <w:bCs/>
          <w:color w:val="1A1A1A"/>
          <w:sz w:val="21"/>
          <w:szCs w:val="21"/>
        </w:rPr>
        <w:t xml:space="preserve">Registration</w:t>
      </w:r>
      <w:r>
        <w:rPr>
          <w:rFonts w:ascii="Calibri" w:eastAsia="SimSun" w:hAnsi="Calibri"/>
          <w:b w:val="false"/>
          <w:bCs w:val="false"/>
          <w:color w:val="1A1A1A"/>
          <w:sz w:val="21"/>
          <w:szCs w:val="21"/>
        </w:rPr>
        <w:t xml:space="preserve"> declares the parameter identifier, its layer (Constitutional, Monetary, Risk or Emergency), its initial value and its envelope [min, max]; registration and envelope changes follow the constitutional process with the 90-day timelock.</w:t>
      </w:r>
    </w:p>
    <w:p>
      <w:pPr>
        <w:pStyle w:val="ListParagraph"/>
        <w:numPr>
          <w:ilvl w:val="0"/>
          <w:numId w:val="2"/>
        </w:numPr>
        <w:spacing w:after="60" w:line="312"/>
        <w:jc w:val="left"/>
      </w:pPr>
      <w:r>
        <w:rPr>
          <w:rFonts w:ascii="Calibri" w:eastAsia="SimSun" w:hAnsi="Calibri"/>
          <w:b/>
          <w:bCs/>
          <w:color w:val="1A1A1A"/>
          <w:sz w:val="21"/>
          <w:szCs w:val="21"/>
        </w:rPr>
        <w:t xml:space="preserve">Envelope discipline</w:t>
      </w:r>
      <w:r>
        <w:rPr>
          <w:rFonts w:ascii="Calibri" w:eastAsia="SimSun" w:hAnsi="Calibri"/>
          <w:b w:val="false"/>
          <w:bCs w:val="false"/>
          <w:color w:val="1A1A1A"/>
          <w:sz w:val="21"/>
          <w:szCs w:val="21"/>
        </w:rPr>
        <w:t xml:space="preserve">: proposed values must lie inside the registered envelope at proposal time, and are re-checked at execution time and again on arrival at the operations contract — three independent checks, so a stale or manipulated proposal cannot bypass the bounds.</w:t>
      </w:r>
    </w:p>
    <w:p>
      <w:pPr>
        <w:pStyle w:val="ListParagraph"/>
        <w:numPr>
          <w:ilvl w:val="0"/>
          <w:numId w:val="2"/>
        </w:numPr>
        <w:spacing w:after="60" w:line="312"/>
        <w:jc w:val="left"/>
      </w:pPr>
      <w:r>
        <w:rPr>
          <w:rFonts w:ascii="Calibri" w:eastAsia="SimSun" w:hAnsi="Calibri"/>
          <w:b/>
          <w:bCs/>
          <w:color w:val="1A1A1A"/>
          <w:sz w:val="21"/>
          <w:szCs w:val="21"/>
        </w:rPr>
        <w:t xml:space="preserve">Timelock discipline</w:t>
      </w:r>
      <w:r>
        <w:rPr>
          <w:rFonts w:ascii="Calibri" w:eastAsia="SimSun" w:hAnsi="Calibri"/>
          <w:b w:val="false"/>
          <w:bCs w:val="false"/>
          <w:color w:val="1A1A1A"/>
          <w:sz w:val="21"/>
          <w:szCs w:val="21"/>
        </w:rPr>
        <w:t xml:space="preserve">: monetary changes execute only after 48 hours, risk changes only after 24 hours, and the Risk Council may veto a monetary proposal inside its timelock window (Section 22.6).</w:t>
      </w:r>
    </w:p>
    <w:p>
      <w:pPr>
        <w:pStyle w:val="ListParagraph"/>
        <w:numPr>
          <w:ilvl w:val="0"/>
          <w:numId w:val="2"/>
        </w:numPr>
        <w:spacing w:after="60" w:line="312"/>
        <w:jc w:val="left"/>
      </w:pPr>
      <w:r>
        <w:rPr>
          <w:rFonts w:ascii="Calibri" w:eastAsia="SimSun" w:hAnsi="Calibri"/>
          <w:b/>
          <w:bCs/>
          <w:color w:val="1A1A1A"/>
          <w:sz w:val="21"/>
          <w:szCs w:val="21"/>
        </w:rPr>
        <w:t xml:space="preserve">Audit trail</w:t>
      </w:r>
      <w:r>
        <w:rPr>
          <w:rFonts w:ascii="Calibri" w:eastAsia="SimSun" w:hAnsi="Calibri"/>
          <w:b w:val="false"/>
          <w:bCs w:val="false"/>
          <w:color w:val="1A1A1A"/>
          <w:sz w:val="21"/>
          <w:szCs w:val="21"/>
        </w:rPr>
        <w:t xml:space="preserve">: every registration, proposal, execution and veto emits an event and is versioned with the data and methodology versions (Section 24.2), so the complete parameter history is reconstructable after the fact.</w:t>
      </w:r>
    </w:p>
    <w:p>
      <w:pPr>
        <w:spacing w:after="120" w:line="312"/>
        <w:jc w:val="both"/>
      </w:pPr>
      <w:r>
        <w:rPr>
          <w:rFonts w:ascii="Calibri" w:eastAsia="SimSun" w:hAnsi="Calibri"/>
          <w:b w:val="false"/>
          <w:bCs w:val="false"/>
          <w:color w:val="1A1A1A"/>
          <w:sz w:val="21"/>
          <w:szCs w:val="21"/>
        </w:rPr>
        <w:t xml:space="preserve">The consolidated authority matrix below merges the registry table of BP §14.4.2 with the constants tables of the preceding chapters; it is the single normative reference for parameter governance across the protocol:</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gridCol w:w="100"/>
      </w:tblGrid>
      <w:tr>
        <w:trPr>
          <w:cantSplit/>
          <w:tblHeader/>
        </w:trPr>
        <w:tc>
          <w:tcPr>
            <w:tcW w:type="pct" w:w="3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Layer</w:t>
            </w:r>
          </w:p>
        </w:tc>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Default Value</w:t>
            </w:r>
          </w:p>
        </w:tc>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Authority</w:t>
            </w:r>
          </w:p>
        </w:tc>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Defined In</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Hard Floor</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§21.2 (Invariant I2)</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Timelock — Monetary</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48 hours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§22.3</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Timelock — Risk</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 hours</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§22.3</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Timelock — Constitutional</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90 days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§22.3</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Liquidation Stages 1–4 (cumulative)</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 / 25% / 50% / 100%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§21.5.3</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Reintegration Staging</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 50% → 100%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§21.5.4</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Admissibility envelopes (per component)</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8.1 values</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7/7 Multi-Sig + 90-day timelock</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8</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Target</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§21.2</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Stress Floor</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§21.2</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Recovery Confirmation Period</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48 hours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§21.3</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 Fee</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19</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 (Normal)</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0.15%</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19</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Sweep Threshold</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20</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Smoothing parameters (ρ normal / stress)</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0.50 / 0.75</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§8.4</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 (Stress)</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§21.4</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 (Defensive)</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§21.4</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Target</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§21.2, Ch. 14</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Tolerance</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§10.8</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(BASE / STRESS / EMERGENCY)</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62.5% / 85% / 100%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13</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De-peg Detection Window</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 hours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§21.5.2</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Peg Bands (USDC/USDP, EURC; GBP, JPY; CNY)</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 ±1.0%; ±1.5%</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§21.5.2</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Reintegration Threshold</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0.80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§21.5.4</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Reintegration Score Weights (w_1–w_4)</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0.40 / 0.25 / 0.20 / 0.15</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§21.5.4</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Weight-velocity limits</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8.3 values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8</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objective coefficients (λ vector)</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7.4 values (within envelopes)</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7</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Crisis-score scaling (k, threshold)</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5.5 values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5</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Eligibility coefficients and thresholds (a_k, Q_min, Q_entry, Q_exit)</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 methodology version</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4</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Hysteresis dead-band width</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Bounded below by constitutional minimum</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§4.7</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deviation, staleness and confirmation thresholds</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17 values</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17</w:t>
            </w:r>
          </w:p>
        </w:tc>
      </w:tr>
    </w:tbl>
    <w:p>
      <w:pPr>
        <w:spacing w:after="120"/>
      </w:pPr>
    </w:p>
    <w:p>
      <w:pPr>
        <w:spacing w:after="120" w:line="312"/>
        <w:jc w:val="both"/>
      </w:pPr>
      <w:r>
        <w:rPr>
          <w:rFonts w:ascii="Calibri" w:eastAsia="SimSun" w:hAnsi="Calibri"/>
          <w:b w:val="false"/>
          <w:bCs w:val="false"/>
          <w:color w:val="1A1A1A"/>
          <w:sz w:val="21"/>
          <w:szCs w:val="21"/>
        </w:rPr>
        <w:t xml:space="preserve">Rows with constitutional authority are immutable in the reference implementation: the liquidation ladder's cumulative percentages, the reintegration staging, the hard floor RR = 1.00 and the three timelocks cannot be changed by any on-chain path — they require redeployment through the constitutional process. Rows marked Monetary and Risk are live-updatable through the proposal paths of Listing 14. Parameters introduced by later chapters — validation outputs of Chapter 23, publication intervals of Chapter 24 — are registered at deployment under the same rules; the matrix is closed under the registry, and any parameter not listed here has no update path at all. The Emergency layer deliberately registers actions rather than parameters: the emergency action set itself is constitutional, so the fastest authority in the system cannot create new knobs to turn.</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The buffer-gold rows are carried from BP §14.4.2 for the reserve-side gold overlay. Under v2.0 the reserve gold allocation is sized independently of the reference-basket weight (Invariant I12, §13.3), so these parameters govern reserve posture only, never index composition.</w:t>
      </w:r>
    </w:p>
    <w:p>
      <w:pPr>
        <w:pStyle w:val="Heading2"/>
        <w:keepNext/>
        <w:spacing w:after="160" w:before="360" w:line="340" w:lineRule="atLeast"/>
      </w:pPr>
      <w:bookmarkStart w:id="100264" w:name="_Toc100264"/>
      <w:r>
        <w:rPr>
          <w:rFonts w:ascii="Calibri" w:eastAsia="Microsoft YaHei" w:hAnsi="Calibri"/>
          <w:b/>
          <w:bCs/>
          <w:color w:val="1A1A1A"/>
          <w:sz w:val="28"/>
          <w:szCs w:val="28"/>
        </w:rPr>
        <w:t xml:space="preserve">22.5 Emergency Actions</w:t>
      </w:r>
      <w:bookmarkEnd w:id="100264"/>
    </w:p>
    <w:p>
      <w:pPr>
        <w:spacing w:after="120" w:line="312"/>
        <w:jc w:val="both"/>
      </w:pPr>
      <w:r>
        <w:rPr>
          <w:rFonts w:ascii="Calibri" w:eastAsia="SimSun" w:hAnsi="Calibri"/>
          <w:b w:val="false"/>
          <w:bCs w:val="false"/>
          <w:color w:val="1A1A1A"/>
          <w:sz w:val="21"/>
          <w:szCs w:val="21"/>
        </w:rPr>
        <w:t xml:space="preserve">The Emergency layer holds the protocol's fastest powers, and every one of them is a verb — pause, force, eject, resume — rather than a setting [BP §14.5]. Emergency authority can never change a parameter, never set a weight and never amend the constitution; it can only halt or force the operations the state machine would otherwise run: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c>
          <w:tcPr>
            <w:tcW w:type="pct" w:w="3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Trigger</w:t>
            </w:r>
          </w:p>
        </w:tc>
        <w:tc>
          <w:tcPr>
            <w:tcW w:type="pct" w:w="1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Authority</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pauseMinting()</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Stops all new minting</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&lt; 1.05 (automatic) OR Council decision</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Automatic + Council</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pauseRedeeming()</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Stops all redemptions (extreme cases only)</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 state + Council vote</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Council (4/7)</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forceRebalance()</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Executes an immediate rebalance</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 state</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Council (4/7)</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emergencyEject()</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Immediately ejects a de-pegged asset</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Issuer freeze confirmed</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Council (4/7)</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resumeOperations()</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Restores normal operations</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Recovery confirmed</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Council (4/7)</w:t>
            </w:r>
          </w:p>
        </w:tc>
      </w:tr>
    </w:tbl>
    <w:p>
      <w:pPr>
        <w:spacing w:after="120"/>
      </w:pPr>
    </w:p>
    <w:p>
      <w:pPr>
        <w:spacing w:after="120" w:line="312"/>
        <w:jc w:val="both"/>
      </w:pPr>
      <w:r>
        <w:rPr>
          <w:rFonts w:ascii="Calibri" w:eastAsia="SimSun" w:hAnsi="Calibri"/>
          <w:b w:val="false"/>
          <w:bCs w:val="false"/>
          <w:color w:val="1A1A1A"/>
          <w:sz w:val="21"/>
          <w:szCs w:val="21"/>
        </w:rPr>
        <w:t xml:space="preserve">The trigger column shows the two-speed design. The first pause — minting at RR &lt; 1.05 — is automatic: the state machine applies it the moment STRESS is entered (Section 21.4), so the protocol's first defensive move does not wait for humans. The remaining actions are council-triggered, because they trade user-facing continuity against risk in ways that require judgment. Pausing redemptions is the most drastic user-facing action in the system and requires the EMERGENCY state plus a council vote. A forced rebalance is a discretionary override of the MARP doctrine's justification gates and corresponds to Level 5 of the execution hierarchy (Section 10.3). The emergency eject bypasses the staged liquidation ladder and executes through emergencyLiquidate (Section 21.6) when an issuer freeze is confirmed. And resumeOperations is deliberately blocked while the state machine is still in EMERGENCY: recovery, not decree, must end an existential state.</w:t>
      </w:r>
    </w:p>
    <w:p>
      <w:pPr>
        <w:spacing w:after="120" w:line="312"/>
        <w:jc w:val="both"/>
      </w:pPr>
      <w:r>
        <w:rPr>
          <w:rFonts w:ascii="Calibri" w:eastAsia="SimSun" w:hAnsi="Calibri"/>
          <w:b w:val="false"/>
          <w:bCs w:val="false"/>
          <w:color w:val="1A1A1A"/>
          <w:sz w:val="21"/>
          <w:szCs w:val="21"/>
        </w:rPr>
        <w:t xml:space="preserve">Checks and balances. Every emergency action requires the 4/7 Emergency Council Multi-Sig with hardware wallet requirements, emits an on-chain event, and is reported through the transparency layer (Chapter 24) and the honest-status declaration (Section 25). The oracle layer's circuit breakers (Chapter 17) engage automatically in EMERGENCY, so price-trust failures and solvency failures brake together. The state machine continues to run underneath the council's actions: an emergency pause does not freeze RR/LCR reporting, state transitions or the recovery clock, so the council cannot use a pause to obscure the condition it is pausing about. Emergency power, in short, is instant but narrow, recorded, and reversible only by recovery — the exact trade the four-layer hierarchy of Section 22.3 is designed to force.</w:t>
      </w:r>
    </w:p>
    <w:p>
      <w:pPr>
        <w:pStyle w:val="Heading2"/>
        <w:keepNext/>
        <w:spacing w:after="160" w:before="360" w:line="340" w:lineRule="atLeast"/>
      </w:pPr>
      <w:bookmarkStart w:id="100265" w:name="_Toc100265"/>
      <w:r>
        <w:rPr>
          <w:rFonts w:ascii="Calibri" w:eastAsia="Microsoft YaHei" w:hAnsi="Calibri"/>
          <w:b/>
          <w:bCs/>
          <w:color w:val="1A1A1A"/>
          <w:sz w:val="28"/>
          <w:szCs w:val="28"/>
        </w:rPr>
        <w:t xml:space="preserve">22.6 Smart Contract Implementation — Governance and Emergency Functions</w:t>
      </w:r>
      <w:bookmarkEnd w:id="100265"/>
    </w:p>
    <w:p>
      <w:pPr>
        <w:spacing w:after="120" w:line="312"/>
        <w:jc w:val="both"/>
      </w:pPr>
      <w:r>
        <w:rPr>
          <w:rFonts w:ascii="Calibri" w:eastAsia="SimSun" w:hAnsi="Calibri"/>
          <w:b w:val="false"/>
          <w:bCs w:val="false"/>
          <w:color w:val="1A1A1A"/>
          <w:sz w:val="21"/>
          <w:szCs w:val="21"/>
        </w:rPr>
        <w:t xml:space="preserve">The governance registry is the authorization plane of the protocol [BP §14.6.4–14.6.5]. It owns the parameter registry and the proposal flow: the DAO proposes and executes monetary changes across a 48-hour timelock, the Risk Council owns the 24-hour risk path and holds a veto over monetary proposals inside their window, the Constitutional Council registers parameters and their envelopes, and the Emergency Council dispatches the pause, force and resume actions of Section 22.5. Every executed update is forwarded to the operations contract of Listing 13 through the IOperations interface, and the operations contract re-verifies its caller before applying the value — authorization and execution each check the other. The emergency eject is the single exception to the dispatch pattern: emergencyLiquidate is signed directly by the Emergency Council on the operations contract (Section 21.6), exactly as in the source module. The onlyDAO modifier is implemented by a DAO contract with 51% quorum, and the emergency modifier by a 4/7 Multi-Sig with hardware wallet requirements [BP §14].</w:t>
      </w:r>
    </w:p>
    <w:p>
      <w:pPr>
        <w:keepNext/>
        <w:spacing w:after="80" w:before="280" w:line="312"/>
      </w:pPr>
      <w:r>
        <w:rPr>
          <w:rFonts w:ascii="Calibri" w:eastAsia="SimSun" w:hAnsi="Calibri"/>
          <w:b/>
          <w:bCs/>
          <w:color w:val="8A6D1F"/>
          <w:sz w:val="19"/>
          <w:szCs w:val="19"/>
        </w:rPr>
        <w:t xml:space="preserve">Listing 14 — Governance parameter registry and emergency functions (adapts BP §14.6.4-14.6.5)</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@notice Governance parameter registry and emergency functions.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@dev Authorization plane: role checks, timelocks and the 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registry. The operations contract (Listing 13) is the execution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plane and re-checks caller identity on arrival.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GovernanceParameterRegistry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GOVERNANCE LAYERS (BP §14.4.1)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enum ParameterLayer { CONSTITUTIONAL, MONETARY, RISK, EMERGENCY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ParameterRecord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ParameterLayer layer;   // governance class (I7/I8, §2.6)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value;          // current live 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minValue;       // admissible envelope, lower bound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maxValue;       // admissible envelope, upper bound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registered;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Proposal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proposer;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executed;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Timelocks (constitutional, immutable; BP §14.8)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TIMELOCK_MONETARY = 48 hours;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TIMELOCK_RISK = 24 hours;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TIMELOCK_CONSTITUTIONAL = 90 days;  // enforced by the 7/7 process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Governance addresses (set at deployment)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dao;                    // DAO with 51% quorum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emergencyCouncil;       // 4/7 Multi-Sig, hardware wallets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constitutionalCouncil;  // 7/7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Registry and proposals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ParameterRecord) public parameterRegistry;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Proposal) public proposals;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Execution plane (risk state machine, Listing 13)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ops;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EVENTS (BP §14.7)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ParameterRegistered(bytes32 indexed parameterId, ParameterLayer layer, uint256 value, uint256 minValue, uint256 maxValue,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ParameterProposed(bytes32 indexed parameterId, uint256 newValue,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ParameterExecuted(bytes32 indexed parameterId, uint256 newValue,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ParameterVetoed(bytes32 indexed parameterId,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MintingPaused(uint256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MintingResumed(uint256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RedeemingPaused(uint256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RedeemingResumed(uint256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RebalancingForced(uint256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OperationsResumed(uint256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onlyDAO() { require(msg.sender == dao, "Only DAO");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onlyRiskCouncil() { require(msg.sender == riskCouncil, "Only Risk Council");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onlyEmergencyCouncil() { require(msg.sender == emergencyCouncil, "Only Emergency Council");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onlyConstitutionalCouncil() { require(msg.sender == constitutionalCouncil, "Only Constitutional Council");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constructor(address dao_, address riskCouncil_, address emergencyCouncil_, address constitutionalCouncil_, address ops_)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dao = dao_;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riskCouncil = riskCouncil_;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emergencyCouncil = emergencyCouncil_;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constitutionalCouncil = constitutionalCouncil_;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ops = ops_;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PARAMETER REGISTRATION (Constitutional; §22.4)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Registers a tunable parameter with its governance class 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admissible envelope. Unregistered parameters cannot be updated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(fail-closed). Envelope changes are constitutional actions with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90-day timelock enforced by the multi-sig process.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registerParameter(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parameterId,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ParameterLayer layer,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external onlyConstitutionalCouncil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require(minValue &lt;= value &amp;&amp; value &lt;= maxValue, "Value outside envelope");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parameterRegistry[parameterId] = ParameterRecord({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layer: layer,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value: 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minValue: minValue,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maxValue: maxValue,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registered: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ParameterRegistered(parameterId, layer, value, minValue, maxValue,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MONETARY PARAMETER PATH (DAO 51% + 48h; BP §14.6.4)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Proposes a monetary parameter change (DAO).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proposeMonetaryParameter(bytes32 parameterId, uint256 newValue) external onlyDAO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require(parameterRegistry[parameterId].registered, "Unknown 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require(parameterRegistry[parameterId].layer == ParameterLayer.MONETARY, "Not a monetary 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require(newValue &gt;= parameterRegistry[parameterId].minValue, "Below envelope");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require(newValue &lt;= parameterRegistry[parameterId].maxValue, "Above envelope");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proposals[parameterId] = Proposal({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value: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proposer: msg.sender,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timestamp: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executed: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ParameterProposed(parameterId, newValue,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Executes a monetary parameter change after the 48h timelock.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executeMonetaryParameter(bytes32 parameterId) external onlyDAO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Proposal memory proposal = proposals[parameterId];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require(proposal.timestamp &gt; 0, "No proposal");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require(block.timestamp &gt;= proposal.timestamp + TIMELOCK_MONETARY, "Timelock not met");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require(!proposal.executed, "Already executed");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Update the 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updateParameter(parameterId, proposal.value);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proposals[parameterId].executed =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ParameterExecuted(parameterId, proposal.value,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Vetoes a monetary parameter change (Risk Council, within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timelock window).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vetoMonetaryParameter(bytes32 parameterId)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require(proposals[parameterId].timestamp &gt; 0, "No proposal");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require(block.timestamp &lt; proposals[parameterId].timestamp + TIMELOCK_MONETARY, "Timelock expired");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delete proposals[parameterId];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ParameterVetoed(parameterId,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RISK PARAMETER PATH (Risk Council 4/7 + 24h; extends BP §14.6.4)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Proposes a risk parameter change (Risk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proposeRiskParameter(bytes32 parameterId, uint256 newValue)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require(parameterRegistry[parameterId].registered, "Unknown 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require(parameterRegistry[parameterId].layer == ParameterLayer.RISK, "Not a risk 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require(newValue &gt;= parameterRegistry[parameterId].minValue, "Below envelope");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require(newValue &lt;= parameterRegistry[parameterId].maxValue, "Above envelope");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proposals[parameterId] = Proposal({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value: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proposer: msg.sender,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timestamp: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executed: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ParameterProposed(parameterId, newValue,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Executes a risk parameter change after the 24h timelock.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executeRiskParameter(bytes32 parameterId)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Proposal memory proposal = proposals[parameterId];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require(proposal.timestamp &gt; 0, "No proposal");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require(block.timestamp &gt;= proposal.timestamp + TIMELOCK_RISK, "Timelock not met");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require(!proposal.executed, "Already executed");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updateParameter(parameterId, proposal.value);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proposals[parameterId].executed =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ParameterExecuted(parameterId, proposal.value,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PARAMETER DISPATCH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Writes the accepted value to the registry and forwards it to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operations contract (Listing 13). The envelope is re-checked 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arrival; unregistered parameters fail closed.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updateParameter(bytes32 parameterId, uint256 newValue)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ParameterRecord storage record = parameterRegistry[parameterId];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require(record.registered, "Unknown 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require(newValue &gt;= record.minValue &amp;&amp; newValue &lt;= record.maxValue, "Outside envelope");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record.value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IOperations(ops).applyParameter(parameterId,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EMERGENCY FUNCTIONS (Emergency Council 4/7, instant; BP §14.6.5)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Pauses minting (Emergency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pauseMinting() external onlyEmergencyCouncil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IOperations(ops).pauseMinting();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MintingPaused(block.timestamp);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Pauses redemptions (Emergency Council; extreme cases only).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pauseRedeeming() external onlyEmergencyCouncil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IOperations(ops).pauseRedeeming();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RedeemingPaused(block.timestamp);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Executes an immediate forced rebalance (Emergency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forceRebalance() external onlyEmergencyCouncil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IOperations(ops).forceRebalance();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RebalancingForced(block.timestamp);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Resumes operations (Emergency Council; blocked while the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machine is in EMERGENCY, see Listing 13).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resumeOperations() external onlyEmergencyCouncil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IOperations(ops).resumeOperations();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OperationsResumed(block.timestamp);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IOperations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applyParameter(bytes32 parameterId, uint256 value) external;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pauseMinting() external;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pauseRedeeming() external;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forceRebalance() external;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resumeOperations() external;</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Listing 14 adapts BP §14.6.4–§14.6.5. The v1.2 listing referenced a parameterRegistry mapping, a ParameterLayer enum, proposals and an updateParameter dispatcher without declaring them; they are declared here as part of the Section 22.4 registry design. Additions beyond the source: parameter registration with envelope bounds (constitutional), the Risk-Council parameter path with its 24-hour timelock, and the pauseRedeeming and forceRebalance entry points from the §14.5 emergency-action table. The monetary path — propose, execute after the 48-hour timelock, Risk-Council veto within the window — is carried verbatim modulo the added envelope checks. Because the governance functions and the state machine are presented as separate contracts across Chapters 21 and 22, the emergency functions dispatch through the IOperations interface to Listing 13, which re-checks caller identity on arrival; emergencyLiquidate (the emergency eject) remains directly authorized on the operations contract by the Emergency Council, as in BP §11.5.2. All numeric values — 48 hours, 24 hours, 90 days, the quorums and the layer assignments — are unchanged from BP §14.4.1 and §14.8.</w:t>
      </w:r>
    </w:p>
    <w:p>
      <w:pPr>
        <w:pStyle w:val="Heading1"/>
        <w:keepNext/>
        <w:pBdr>
          <w:bottom w:val="single" w:color="C9A84C" w:sz="12" w:space="6"/>
        </w:pBdr>
        <w:spacing w:after="220" w:before="480" w:line="380" w:lineRule="atLeast"/>
      </w:pPr>
      <w:bookmarkStart w:id="100266" w:name="_Toc100266"/>
      <w:r>
        <w:rPr>
          <w:rFonts w:ascii="Calibri" w:eastAsia="Microsoft YaHei" w:hAnsi="Calibri"/>
          <w:b/>
          <w:bCs/>
          <w:color w:val="1A1A1A"/>
          <w:sz w:val="32"/>
          <w:szCs w:val="32"/>
        </w:rPr>
        <w:t xml:space="preserve">23. The Validation and Research Program (Production Precondition)</w:t>
      </w:r>
      <w:bookmarkEnd w:id="100266"/>
    </w:p>
    <w:p>
      <w:pPr>
        <w:pStyle w:val="Heading2"/>
        <w:keepNext/>
        <w:spacing w:after="160" w:before="360" w:line="340" w:lineRule="atLeast"/>
      </w:pPr>
      <w:bookmarkStart w:id="100267" w:name="_Toc100267"/>
      <w:r>
        <w:rPr>
          <w:rFonts w:ascii="Calibri" w:eastAsia="Microsoft YaHei" w:hAnsi="Calibri"/>
          <w:b/>
          <w:bCs/>
          <w:color w:val="1A1A1A"/>
          <w:sz w:val="28"/>
          <w:szCs w:val="28"/>
        </w:rPr>
        <w:t xml:space="preserve">23.1 The Validation Methodology</w:t>
      </w:r>
      <w:bookmarkEnd w:id="100267"/>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validation program is not an appendix to the MTQ Σ design — it is a production precondition. No component of the adaptive architecture may govern a live monetary reference until the full program of this chapter has been executed, documented, independently reproduced and passed [MS §79].</w:t>
      </w:r>
    </w:p>
    <w:p>
      <w:pPr>
        <w:spacing w:after="120" w:line="312"/>
        <w:jc w:val="both"/>
      </w:pPr>
      <w:r>
        <w:rPr>
          <w:rFonts w:ascii="Calibri" w:eastAsia="SimSun" w:hAnsi="Calibri"/>
          <w:b w:val="false"/>
          <w:bCs w:val="false"/>
          <w:color w:val="1A1A1A"/>
          <w:sz w:val="21"/>
          <w:szCs w:val="21"/>
        </w:rPr>
        <w:t xml:space="preserve">The starting point of the methodology is a negative rule. Historical performance figures produced under the old architecture — approximately 5.21% annualized volatility and a maximum drawdown of −4.1% — must not be presented as evidence for MTQ Σ, because they were calculated under the prior architecture: a fixed-quantity basket with a fixed gold percentage and a single-AMM gold price. That engine shared none of the live machinery of v2.0 — no constituency engine, no MASE multi-model ensemble, no multi-source oracle consensus, no MARP execution gates — so its statistics describe a different system answering a different question:</w:t>
      </w:r>
    </w:p>
    <w:p>
      <w:pPr>
        <w:spacing w:after="120" w:before="120" w:line="312"/>
        <w:jc w:val="center"/>
      </w:pPr>
      <w:r>
        <w:rPr>
          <w:rFonts w:ascii="Cambria" w:eastAsia="SimSun" w:hAnsi="Cambria"/>
          <w:i w:val="false"/>
          <w:iCs w:val="false"/>
          <w:color w:val="1A1A1A"/>
          <w:sz w:val="22"/>
          <w:szCs w:val="22"/>
        </w:rPr>
        <w:t xml:space="preserve">Perf</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old architecture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not</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Perf</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MTQ Σ</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program that replaces those figures has a fixed structure. Historical evidence comes from the backtest of Section 23.2 and the walk-forward validation of Section 23.3, both executed under the leakage-control discipline of Section 23.4. Synthetic evidence comes from the Monte Carlo testing of Section 23.5. Robustness evidence comes from the parameter perturbation study of Section 23.6. Model and methodology selection is governed by the criterion of Section 23.7, and adversarial evidence comes from the stress suites of Sections 23.8 through 23.11, all measured through the reserve stress equation. Section 23.12 consolidates the gate sequence; the gate table itself is maintained in Section 25.5.</w:t>
      </w:r>
    </w:p>
    <w:p>
      <w:pPr>
        <w:spacing w:after="120" w:line="312"/>
        <w:jc w:val="both"/>
      </w:pPr>
      <w:r>
        <w:rPr>
          <w:rFonts w:ascii="Calibri" w:eastAsia="SimSun" w:hAnsi="Calibri"/>
          <w:b w:val="false"/>
          <w:bCs w:val="false"/>
          <w:color w:val="1A1A1A"/>
          <w:sz w:val="21"/>
          <w:szCs w:val="21"/>
        </w:rPr>
        <w:t xml:space="preserve">A communication rule follows from the precondition status of the program. Until the gates of Section 23.12 are passed, any performance figure quoted for MTQ Σ must be labeled as a prior or an illustrative projection, never as a measured property of the system. The discipline is the same as the no-fixed-weighting principle of Section 3.1: composition is an output of transparent mathematics, and evidence about that composition is an output of transparent validation — neither may be asserted in advance of the machinery that produces it.</w:t>
      </w:r>
    </w:p>
    <w:p>
      <w:pPr>
        <w:pStyle w:val="Heading2"/>
        <w:keepNext/>
        <w:spacing w:after="160" w:before="360" w:line="340" w:lineRule="atLeast"/>
      </w:pPr>
      <w:bookmarkStart w:id="100268" w:name="_Toc100268"/>
      <w:r>
        <w:rPr>
          <w:rFonts w:ascii="Calibri" w:eastAsia="Microsoft YaHei" w:hAnsi="Calibri"/>
          <w:b/>
          <w:bCs/>
          <w:color w:val="1A1A1A"/>
          <w:sz w:val="28"/>
          <w:szCs w:val="28"/>
        </w:rPr>
        <w:t xml:space="preserve">23.2 The Historical Backtest</w:t>
      </w:r>
      <w:bookmarkEnd w:id="100268"/>
    </w:p>
    <w:p>
      <w:pPr>
        <w:spacing w:after="120" w:line="312"/>
        <w:jc w:val="both"/>
      </w:pPr>
      <w:r>
        <w:rPr>
          <w:rFonts w:ascii="Calibri" w:eastAsia="SimSun" w:hAnsi="Calibri"/>
          <w:b w:val="false"/>
          <w:bCs w:val="false"/>
          <w:color w:val="1A1A1A"/>
          <w:sz w:val="21"/>
          <w:szCs w:val="21"/>
        </w:rPr>
        <w:t xml:space="preserve">The backtest uses the longest reliable common data history available, ideally beginning no later than 2010 and extending through the most recent complete observation period [MS §80]:</w:t>
      </w:r>
    </w:p>
    <w:p>
      <w:pPr>
        <w:spacing w:after="120" w:before="120" w:line="312"/>
        <w:jc w:val="center"/>
      </w:pPr>
      <w:r>
        <w:rPr>
          <w:rFonts w:ascii="Cambria" w:eastAsia="SimSun" w:hAnsi="Cambria"/>
          <w:i/>
          <w:iCs/>
          <w:color w:val="1A1A1A"/>
          <w:sz w:val="22"/>
          <w:szCs w:val="22"/>
        </w:rPr>
        <w:t xml:space="preserve">T</w:t>
      </w:r>
      <w:r>
        <w:rPr>
          <w:rFonts w:ascii="Cambria" w:eastAsia="SimSun" w:hAnsi="Cambria"/>
          <w:i/>
          <w:iCs/>
          <w:color w:val="1A1A1A"/>
          <w:sz w:val="22"/>
          <w:szCs w:val="22"/>
          <w:vertAlign w:val="subscript"/>
        </w:rPr>
        <w:t xml:space="preserve">backtest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[2010,</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T</w:t>
      </w:r>
      <w:r>
        <w:rPr>
          <w:rFonts w:ascii="Cambria" w:eastAsia="SimSun" w:hAnsi="Cambria"/>
          <w:i/>
          <w:iCs/>
          <w:color w:val="1A1A1A"/>
          <w:sz w:val="22"/>
          <w:szCs w:val="22"/>
          <w:vertAlign w:val="subscript"/>
        </w:rPr>
        <w:t xml:space="preserve">last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2010 start is chosen for two reasons. First, it places the sample in the post-2008 monetary regime — floating reserve-currency volatility, active central-bank gold accumulation and a continuously quoted offshore CNY (CNH) market — so that every component of the initial universe has a reliable common price history. Second, it forces the sample to contain the episodes that matter for a stability mandate: the 2011 European sovereign-debt crisis and gold peak, the 2013 taper tantrum, the 2014–2015 dollar bull market and oil collapse, the January 2015 Swiss franc depeg, the 2020 COVID liquidity shock, and the 2022–2023 inflation surge with its concurrent yen weakening. A stability engine validated only on calm data has not been validated.</w:t>
      </w:r>
    </w:p>
    <w:p>
      <w:pPr>
        <w:spacing w:after="120" w:line="312"/>
        <w:jc w:val="both"/>
      </w:pPr>
      <w:r>
        <w:rPr>
          <w:rFonts w:ascii="Calibri" w:eastAsia="SimSun" w:hAnsi="Calibri"/>
          <w:b w:val="false"/>
          <w:bCs w:val="false"/>
          <w:color w:val="1A1A1A"/>
          <w:sz w:val="21"/>
          <w:szCs w:val="21"/>
        </w:rPr>
        <w:t xml:space="preserve">The backtest must be multi-horizon. Component volatilities are measured on the 30/90/252/756-day blend of Section 5.1; drawdown, purchasing-power error, turnover and coverage statistics are reported per horizon as well as aggregate, because a system can look stable at one horizon and unstable at another. All results carry the requirements of the live system, not a paper simplification: the full pipeline — constituency scoring, ensemble, constraint projection, smoothing and execution-cost modeling (Chapters 10–11) — runs end-to-end, so the reported statistics include the costs the live system would actually pay.</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Data requirement: every series entering the backtest is snapshot, versioned and published with its DataVersion (Section 24.2). COFER observations arrive quarterly, the BIS Triennial Survey every three years with governed interpolation (Section 4.3), and price series come from the same validated multi-source construction used by the oracle layer (Chapter 17). A backtest that cannot state its data versions cannot be reproduced, and therefore does not count as evidence.</w:t>
      </w:r>
    </w:p>
    <w:p>
      <w:pPr>
        <w:pStyle w:val="Heading2"/>
        <w:keepNext/>
        <w:spacing w:after="160" w:before="360" w:line="340" w:lineRule="atLeast"/>
      </w:pPr>
      <w:bookmarkStart w:id="100269" w:name="_Toc100269"/>
      <w:r>
        <w:rPr>
          <w:rFonts w:ascii="Calibri" w:eastAsia="Microsoft YaHei" w:hAnsi="Calibri"/>
          <w:b/>
          <w:bCs/>
          <w:color w:val="1A1A1A"/>
          <w:sz w:val="28"/>
          <w:szCs w:val="28"/>
        </w:rPr>
        <w:t xml:space="preserve">23.3 Walk-Forward Validation</w:t>
      </w:r>
      <w:bookmarkEnd w:id="100269"/>
    </w:p>
    <w:p>
      <w:pPr>
        <w:spacing w:after="120" w:line="312"/>
        <w:jc w:val="both"/>
      </w:pPr>
      <w:r>
        <w:rPr>
          <w:rFonts w:ascii="Calibri" w:eastAsia="SimSun" w:hAnsi="Calibri"/>
          <w:b w:val="false"/>
          <w:bCs w:val="false"/>
          <w:color w:val="1A1A1A"/>
          <w:sz w:val="21"/>
          <w:szCs w:val="21"/>
        </w:rPr>
        <w:t xml:space="preserve">Historical averages are not enough: the engine must be tested in the mode in which it will live, re-estimating on the past and being scored on the future it has never seen. Walk-forward validation implements exactly that loop [MS §81]:</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Train</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 </w:t>
      </w:r>
      <w:r>
        <w:rPr>
          <w:rFonts w:ascii="Cambria" w:eastAsia="SimSun" w:hAnsi="Cambria"/>
          <w:i/>
          <w:iCs/>
          <w:color w:val="1A1A1A"/>
          <w:sz w:val="22"/>
          <w:szCs w:val="22"/>
        </w:rPr>
        <w:t xml:space="preserve"> Optimize </w:t>
      </w:r>
      <w:r>
        <w:rPr>
          <w:rFonts w:ascii="Cambria" w:eastAsia="SimSun" w:hAnsi="Cambria"/>
          <w:i w:val="false"/>
          <w:iCs w:val="false"/>
          <w:color w:val="1A1A1A"/>
          <w:sz w:val="22"/>
          <w:szCs w:val="22"/>
        </w:rPr>
        <w:t xml:space="preserve"> → </w:t>
      </w:r>
      <w:r>
        <w:rPr>
          <w:rFonts w:ascii="Cambria" w:eastAsia="SimSun" w:hAnsi="Cambria"/>
          <w:i/>
          <w:iCs/>
          <w:color w:val="1A1A1A"/>
          <w:sz w:val="22"/>
          <w:szCs w:val="22"/>
        </w:rPr>
        <w:t xml:space="preserve"> OutOfSample</w:t>
      </w:r>
      <w:r>
        <w:rPr>
          <w:rFonts w:ascii="Cambria" w:eastAsia="SimSun" w:hAnsi="Cambria"/>
          <w:i/>
          <w:iCs/>
          <w:color w:val="1A1A1A"/>
          <w:sz w:val="22"/>
          <w:szCs w:val="22"/>
          <w:vertAlign w:val="subscript"/>
        </w:rPr>
        <w:t xml:space="preserve">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then roll forward</w:t>
      </w:r>
    </w:p>
    <w:p>
      <w:pPr>
        <w:spacing w:after="120" w:line="312"/>
        <w:jc w:val="both"/>
      </w:pPr>
      <w:r>
        <w:rPr>
          <w:rFonts w:ascii="Calibri" w:eastAsia="SimSun" w:hAnsi="Calibri"/>
          <w:b w:val="false"/>
          <w:bCs w:val="false"/>
          <w:color w:val="1A1A1A"/>
          <w:sz w:val="21"/>
          <w:szCs w:val="21"/>
        </w:rPr>
        <w:t xml:space="preserve">For each period t, the system is calibrated — constituency scores, covariance shrinkage, candidate models, ensemble coefficients, smoothing state — using only data available up to t; the optimizer produces the complete pipeline output; and the result is then evaluated on the out-of-sample window t+1. The window then rolls forward and the procedure repeats, concatenating the out-of-sample segments into a single continuous simulated live record. No information from the future test window may enter the training process [MS §81] — this is the hard wall that Section 23.4 fortifies with purging and embargo.</w:t>
      </w:r>
    </w:p>
    <w:p>
      <w:pPr>
        <w:spacing w:after="120" w:line="312"/>
        <w:jc w:val="both"/>
      </w:pPr>
      <w:r>
        <w:rPr>
          <w:rFonts w:ascii="Calibri" w:eastAsia="SimSun" w:hAnsi="Calibri"/>
          <w:b w:val="false"/>
          <w:bCs w:val="false"/>
          <w:color w:val="1A1A1A"/>
          <w:sz w:val="21"/>
          <w:szCs w:val="21"/>
        </w:rPr>
        <w:t xml:space="preserve">Both window schemes are run. The expanding window (train on all history up to t) measures how the system behaves as evidence accumulates; the rolling window (train on the most recent K years only) measures how it behaves when the regime is allowed to age out of the estimate. Cadence is also varied — quarterly re-estimation on the strategic review cycle (Section 10.10), and a faster cadence matching the tactical layer — because re-estimation frequency is itself a validated parameter, not an operational convenience. The concatenated out-of-sample record is the only performance record eligible to feed the model-selection criterion of Section 23.7 and the adaptive ensemble scores of Section 7.6.</w:t>
      </w:r>
    </w:p>
    <w:p>
      <w:pPr>
        <w:pStyle w:val="Heading2"/>
        <w:keepNext/>
        <w:spacing w:after="160" w:before="360" w:line="340" w:lineRule="atLeast"/>
      </w:pPr>
      <w:bookmarkStart w:id="100270" w:name="_Toc100270"/>
      <w:r>
        <w:rPr>
          <w:rFonts w:ascii="Calibri" w:eastAsia="Microsoft YaHei" w:hAnsi="Calibri"/>
          <w:b/>
          <w:bCs/>
          <w:color w:val="1A1A1A"/>
          <w:sz w:val="28"/>
          <w:szCs w:val="28"/>
        </w:rPr>
        <w:t xml:space="preserve">23.4 Purged and Leakage-Controlled Validation</w:t>
      </w:r>
      <w:bookmarkEnd w:id="100270"/>
    </w:p>
    <w:p>
      <w:pPr>
        <w:spacing w:after="120" w:line="312"/>
        <w:jc w:val="both"/>
      </w:pPr>
      <w:r>
        <w:rPr>
          <w:rFonts w:ascii="Calibri" w:eastAsia="SimSun" w:hAnsi="Calibri"/>
          <w:b w:val="false"/>
          <w:bCs w:val="false"/>
          <w:color w:val="1A1A1A"/>
          <w:sz w:val="21"/>
          <w:szCs w:val="21"/>
        </w:rPr>
        <w:t xml:space="preserve">Walk-forward alone is not airtight when observations overlap. MTQ Σ estimates 756-day volatilities, long-window correlations, regime labels and ensemble performance scores — statistics whose estimation windows can extend into or across the test period, quietly leaking future information into training. The modification review elevated leakage protection from good practice to a binding rule [MS §82, COO-24]:</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All model calibration, feature construction, optimizer parameter selection and ensemble weighting shall be performed without access to future test-period information. For overlapping data, leakage controls and purging shall be applied where required [COO-24].</w:t>
      </w:r>
    </w:p>
    <w:p>
      <w:pPr>
        <w:spacing w:after="120" w:line="312"/>
        <w:jc w:val="both"/>
      </w:pPr>
      <w:r>
        <w:rPr>
          <w:rFonts w:ascii="Calibri" w:eastAsia="SimSun" w:hAnsi="Calibri"/>
          <w:b w:val="false"/>
          <w:bCs w:val="false"/>
          <w:color w:val="1A1A1A"/>
          <w:sz w:val="21"/>
          <w:szCs w:val="21"/>
        </w:rPr>
        <w:t xml:space="preserve">This section is pinned because it is referenced from Section 7.6: the adaptive ensemble's Score_m uses out-of-sample statistics only, and those statistics are credible only if the out-of-sample label is honest. The mechanism has two parts. Purging removes from the training set any observation whose label window overlaps the test window — a 756-day volatility estimate whose window reaches into the test period is dropped, not truncated:</w:t>
      </w:r>
    </w:p>
    <w:p>
      <w:pPr>
        <w:spacing w:after="120" w:before="120" w:line="312"/>
        <w:jc w:val="center"/>
      </w:pPr>
      <w:r>
        <w:rPr>
          <w:rFonts w:ascii="Cambria" w:eastAsia="SimSun" w:hAnsi="Cambria"/>
          <w:i/>
          <w:iCs/>
          <w:color w:val="1A1A1A"/>
          <w:sz w:val="22"/>
          <w:szCs w:val="22"/>
        </w:rPr>
        <w:t xml:space="preserve">D</w:t>
      </w:r>
      <w:r>
        <w:rPr>
          <w:rFonts w:ascii="Cambria" w:eastAsia="SimSun" w:hAnsi="Cambria"/>
          <w:i/>
          <w:iCs/>
          <w:color w:val="1A1A1A"/>
          <w:sz w:val="22"/>
          <w:szCs w:val="22"/>
          <w:vertAlign w:val="subscript"/>
        </w:rPr>
        <w:t xml:space="preserve">train</w:t>
      </w:r>
      <w:r>
        <w:rPr>
          <w:rFonts w:ascii="Cambria" w:eastAsia="SimSun" w:hAnsi="Cambria"/>
          <w:i/>
          <w:iCs/>
          <w:color w:val="1A1A1A"/>
          <w:sz w:val="22"/>
          <w:szCs w:val="22"/>
          <w:vertAlign w:val="superscript"/>
        </w:rPr>
        <w:t xml:space="preserve">(purged)</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τ</w:t>
      </w:r>
      <w:r>
        <w:rPr>
          <w:rFonts w:ascii="Cambria" w:eastAsia="SimSun" w:hAnsi="Cambria"/>
          <w:i/>
          <w:iCs/>
          <w:color w:val="1A1A1A"/>
          <w:sz w:val="22"/>
          <w:szCs w:val="22"/>
        </w:rPr>
        <w:t xml:space="preserve">+h</w:t>
      </w:r>
      <w:r>
        <w:rPr>
          <w:rFonts w:ascii="Cambria" w:eastAsia="SimSun" w:hAnsi="Cambria"/>
          <w:i/>
          <w:iCs/>
          <w:color w:val="1A1A1A"/>
          <w:sz w:val="22"/>
          <w:szCs w:val="22"/>
          <w:vertAlign w:val="subscript"/>
        </w:rPr>
        <w:t xml:space="preserve">label</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[t,</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t+h</w:t>
      </w:r>
      <w:r>
        <w:rPr>
          <w:rFonts w:ascii="Cambria" w:eastAsia="SimSun" w:hAnsi="Cambria"/>
          <w:i/>
          <w:iCs/>
          <w:color w:val="1A1A1A"/>
          <w:sz w:val="22"/>
          <w:szCs w:val="22"/>
          <w:vertAlign w:val="subscript"/>
        </w:rPr>
        <w:t xml:space="preserve">test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Embargo then deletes a further block of training observations immediately following the test window, because serial correlation lets information cross the boundary even without literal overlap:</w:t>
      </w:r>
    </w:p>
    <w:p>
      <w:pPr>
        <w:spacing w:after="120" w:before="120" w:line="312"/>
        <w:jc w:val="center"/>
      </w:pPr>
      <w:r>
        <w:rPr>
          <w:rFonts w:ascii="Cambria" w:eastAsia="SimSun" w:hAnsi="Cambria"/>
          <w:i w:val="false"/>
          <w:iCs w:val="false"/>
          <w:color w:val="1A1A1A"/>
          <w:sz w:val="22"/>
          <w:szCs w:val="22"/>
        </w:rPr>
        <w:t xml:space="preserve">Embargo:</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(t+h</w:t>
      </w:r>
      <w:r>
        <w:rPr>
          <w:rFonts w:ascii="Cambria" w:eastAsia="SimSun" w:hAnsi="Cambria"/>
          <w:i/>
          <w:iCs/>
          <w:color w:val="1A1A1A"/>
          <w:sz w:val="22"/>
          <w:szCs w:val="22"/>
          <w:vertAlign w:val="subscript"/>
        </w:rPr>
        <w:t xml:space="preserve">test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t+h</w:t>
      </w:r>
      <w:r>
        <w:rPr>
          <w:rFonts w:ascii="Cambria" w:eastAsia="SimSun" w:hAnsi="Cambria"/>
          <w:i/>
          <w:iCs/>
          <w:color w:val="1A1A1A"/>
          <w:sz w:val="22"/>
          <w:szCs w:val="22"/>
          <w:vertAlign w:val="subscript"/>
        </w:rPr>
        <w:t xml:space="preserve">test</w:t>
      </w:r>
      <w:r>
        <w:rPr>
          <w:rFonts w:ascii="Cambria" w:eastAsia="SimSun" w:hAnsi="Cambria"/>
          <w:i/>
          <w:iCs/>
          <w:color w:val="1A1A1A"/>
          <w:sz w:val="22"/>
          <w:szCs w:val="22"/>
        </w:rPr>
        <w:t xml:space="preserve">+h</w:t>
      </w:r>
      <w:r>
        <w:rPr>
          <w:rFonts w:ascii="Cambria" w:eastAsia="SimSun" w:hAnsi="Cambria"/>
          <w:i/>
          <w:iCs/>
          <w:color w:val="1A1A1A"/>
          <w:sz w:val="22"/>
          <w:szCs w:val="22"/>
          <w:vertAlign w:val="subscript"/>
        </w:rPr>
        <w:t xml:space="preserve">embargo</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excluded from training</w:t>
      </w:r>
    </w:p>
    <w:p>
      <w:pPr>
        <w:spacing w:after="120" w:line="312"/>
        <w:jc w:val="both"/>
      </w:pPr>
      <w:r>
        <w:rPr>
          <w:rFonts w:ascii="Calibri" w:eastAsia="SimSun" w:hAnsi="Calibri"/>
          <w:b w:val="false"/>
          <w:bCs w:val="false"/>
          <w:color w:val="1A1A1A"/>
          <w:sz w:val="21"/>
          <w:szCs w:val="21"/>
        </w:rPr>
        <w:t xml:space="preserve">The embargo length h_{embargo} is set at least as long as the longest autocorrelation in the return and signal series — by default the 30-day horizon — and is itself a published methodology parameter. Four estimation targets receive the treatment explicitly: volatility, correlations, regimes and model ensemble weights [MS §82], because these are exactly the quantities whose long windows make them the natural leakage channels.</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Why this matters enormously: MTQ Σ is intended to govern a monetary reference methodology [COO-24]. A leaked validation record does not merely flatter a trading strategy — it silently changes what is claimed about a unit of account. Every out-of-sample number in this document's evidence base inherits its credibility from this section, and any methodology version that cannot demonstrate purge and embargo discipline in its validation logs is inadmissible at the gates of Section 23.12.</w:t>
      </w:r>
    </w:p>
    <w:p>
      <w:pPr>
        <w:pStyle w:val="Heading2"/>
        <w:keepNext/>
        <w:spacing w:after="160" w:before="360" w:line="340" w:lineRule="atLeast"/>
      </w:pPr>
      <w:bookmarkStart w:id="100271" w:name="_Toc100271"/>
      <w:r>
        <w:rPr>
          <w:rFonts w:ascii="Calibri" w:eastAsia="Microsoft YaHei" w:hAnsi="Calibri"/>
          <w:b/>
          <w:bCs/>
          <w:color w:val="1A1A1A"/>
          <w:sz w:val="28"/>
          <w:szCs w:val="28"/>
        </w:rPr>
        <w:t xml:space="preserve">23.5 Monte Carlo Testing</w:t>
      </w:r>
      <w:bookmarkEnd w:id="100271"/>
    </w:p>
    <w:p>
      <w:pPr>
        <w:spacing w:after="120" w:line="312"/>
        <w:jc w:val="both"/>
      </w:pPr>
      <w:r>
        <w:rPr>
          <w:rFonts w:ascii="Calibri" w:eastAsia="SimSun" w:hAnsi="Calibri"/>
          <w:b w:val="false"/>
          <w:bCs w:val="false"/>
          <w:color w:val="1A1A1A"/>
          <w:sz w:val="21"/>
          <w:szCs w:val="21"/>
        </w:rPr>
        <w:t xml:space="preserve">Historical data contains one realized path; a monetary reference must survive the paths that did not happen. Monte Carlo testing therefore generates N simulated paths under multiple distributions and regimes, and tests the stability of the live weight trajectory W_t under path variations [MS §83]:</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(k)</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k=1</w:t>
      </w:r>
      <w:r>
        <w:rPr>
          <w:rFonts w:ascii="Cambria" w:eastAsia="SimSun" w:hAnsi="Cambria"/>
          <w:i/>
          <w:iCs/>
          <w:color w:val="1A1A1A"/>
          <w:sz w:val="22"/>
          <w:szCs w:val="22"/>
          <w:vertAlign w:val="superscript"/>
        </w:rPr>
        <w:t xml:space="preserve">N</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generated under multiple distributions and regimes</w:t>
      </w:r>
    </w:p>
    <w:p>
      <w:pPr>
        <w:spacing w:after="120" w:line="312"/>
        <w:jc w:val="both"/>
      </w:pPr>
      <w:r>
        <w:rPr>
          <w:rFonts w:ascii="Calibri" w:eastAsia="SimSun" w:hAnsi="Calibri"/>
          <w:b w:val="false"/>
          <w:bCs w:val="false"/>
          <w:color w:val="1A1A1A"/>
          <w:sz w:val="21"/>
          <w:szCs w:val="21"/>
        </w:rPr>
        <w:t xml:space="preserve">The scenario families are constructed so that each attacks a different assumption of the engine, and each family's generator is versioned with the methodology so results are reproducible (Section 24.1):</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Family</w:t>
            </w:r>
          </w:p>
        </w:tc>
        <w:tc>
          <w:tcPr>
            <w:tcW w:type="pct" w:w="5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Generator</w:t>
            </w:r>
          </w:p>
        </w:tc>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Failure assumption attacked</w:t>
            </w:r>
          </w:p>
        </w:tc>
      </w:tr>
      <w:tr>
        <w:trPr>
          <w:cantSplit/>
        </w:trPr>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Historical block bootstrap</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Resampled blocks of joint currency/gold returns, preserving short-horizon dependence</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That the future resembles reordered history.</w:t>
            </w:r>
          </w:p>
        </w:tc>
      </w:tr>
      <w:tr>
        <w:trPr>
          <w:cantSplit/>
        </w:trPr>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Parametric Gaussian</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Multivariate normal with the shrunk covariance of Section 6.2</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Behavior under idealized, thin-tailed dynamics.</w:t>
            </w:r>
          </w:p>
        </w:tc>
      </w:tr>
      <w:tr>
        <w:trPr>
          <w:cantSplit/>
        </w:trPr>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Fat-tailed</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Multivariate Student-t with heavy degrees of freedom</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That tails are Gaussian-sized.</w:t>
            </w:r>
          </w:p>
        </w:tc>
      </w:tr>
      <w:tr>
        <w:trPr>
          <w:cantSplit/>
        </w:trPr>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Regime-switching</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Markov switching among the six regimes of Section 5.4 with stress transitions</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That regimes arrive gently and rarely.</w:t>
            </w:r>
          </w:p>
        </w:tc>
      </w:tr>
      <w:tr>
        <w:trPr>
          <w:cantSplit/>
        </w:trPr>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Jump / crisis</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Jump-diffusion paths with synchronized FX and gold jumps</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That moves are continuous.</w:t>
            </w:r>
          </w:p>
        </w:tc>
      </w:tr>
      <w:tr>
        <w:trPr>
          <w:cantSplit/>
        </w:trPr>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Correlation collapse</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Paths with ρ_{ij} arrow 1</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That diversification persists when needed (Section 23.9).</w:t>
            </w:r>
          </w:p>
        </w:tc>
      </w:tr>
      <w:tr>
        <w:trPr>
          <w:cantSplit/>
        </w:trPr>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Purchasing-power drift</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Paths with persistent divergence between currency returns and the GPP index</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That purchasing-power tracking is easy.</w:t>
            </w:r>
          </w:p>
        </w:tc>
      </w:tr>
    </w:tbl>
    <w:p>
      <w:pPr>
        <w:spacing w:after="120"/>
      </w:pPr>
    </w:p>
    <w:p>
      <w:pPr>
        <w:spacing w:after="120" w:line="312"/>
        <w:jc w:val="both"/>
      </w:pPr>
      <w:r>
        <w:rPr>
          <w:rFonts w:ascii="Calibri" w:eastAsia="SimSun" w:hAnsi="Calibri"/>
          <w:b w:val="false"/>
          <w:bCs w:val="false"/>
          <w:color w:val="1A1A1A"/>
          <w:sz w:val="21"/>
          <w:szCs w:val="21"/>
        </w:rPr>
        <w:t xml:space="preserve">For each family the program reports the dispersion of the resulting weight trajectories, the distribution of turnover and execution cost, the drawdown distribution against the constitutional MDD envelope, and the reserve coverage distribution (Section 23.11). The stability requirement is not that W_t be constant — the whole architecture exists to let weights move — but that the distribution of outcomes remain inside the envelopes, the velocity limits and the cost budget across the path population. A model family whose behavior bifurcates under modest path variation is treated as non-robust by the selection criterion of Section 23.7 regardless of its mean performance.</w:t>
      </w:r>
    </w:p>
    <w:p>
      <w:pPr>
        <w:pStyle w:val="Heading2"/>
        <w:keepNext/>
        <w:spacing w:after="160" w:before="360" w:line="340" w:lineRule="atLeast"/>
      </w:pPr>
      <w:bookmarkStart w:id="100272" w:name="_Toc100272"/>
      <w:r>
        <w:rPr>
          <w:rFonts w:ascii="Calibri" w:eastAsia="Microsoft YaHei" w:hAnsi="Calibri"/>
          <w:b/>
          <w:bCs/>
          <w:color w:val="1A1A1A"/>
          <w:sz w:val="28"/>
          <w:szCs w:val="28"/>
        </w:rPr>
        <w:t xml:space="preserve">23.6 Parameter Perturbation and Robustness Testing</w:t>
      </w:r>
      <w:bookmarkEnd w:id="100272"/>
    </w:p>
    <w:p>
      <w:pPr>
        <w:spacing w:after="120" w:line="312"/>
        <w:jc w:val="both"/>
      </w:pPr>
      <w:r>
        <w:rPr>
          <w:rFonts w:ascii="Calibri" w:eastAsia="SimSun" w:hAnsi="Calibri"/>
          <w:b w:val="false"/>
          <w:bCs w:val="false"/>
          <w:color w:val="1A1A1A"/>
          <w:sz w:val="21"/>
          <w:szCs w:val="21"/>
        </w:rPr>
        <w:t xml:space="preserve">A methodology with dozens of calibrated parameters can always be tuned to look good once. The defense is perturbation: for every important parameter θ, the validation program runs the system at θ+δ and at θ−δ, and measures how much performance moves [MS §84, COO-25]. This section is pinned because it is the referenced discipline of Sections 4.5 (score-construction weights) and 6.2 (shrinkage intensity):</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Performance(</w:t>
      </w:r>
      <w:r>
        <w:rPr>
          <w:rFonts w:ascii="Cambria" w:eastAsia="SimSun" w:hAnsi="Cambria"/>
          <w:i w:val="false"/>
          <w:iCs w:val="false"/>
          <w:color w:val="1A1A1A"/>
          <w:sz w:val="22"/>
          <w:szCs w:val="22"/>
        </w:rPr>
        <w:t xml:space="preserve">θ</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Perf(</w:t>
      </w:r>
      <w:r>
        <w:rPr>
          <w:rFonts w:ascii="Cambria" w:eastAsia="SimSun" w:hAnsi="Cambria"/>
          <w:i w:val="false"/>
          <w:iCs w:val="false"/>
          <w:color w:val="1A1A1A"/>
          <w:sz w:val="22"/>
          <w:szCs w:val="22"/>
        </w:rPr>
        <w:t xml:space="preserve">θ</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 Perf(</w:t>
      </w:r>
      <w:r>
        <w:rPr>
          <w:rFonts w:ascii="Cambria" w:eastAsia="SimSun" w:hAnsi="Cambria"/>
          <w:i w:val="false"/>
          <w:iCs w:val="false"/>
          <w:color w:val="1A1A1A"/>
          <w:sz w:val="22"/>
          <w:szCs w:val="22"/>
        </w:rPr>
        <w:t xml:space="preserve">θ</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p>
    <w:p>
      <w:pPr>
        <w:spacing w:after="120" w:before="120" w:line="312"/>
        <w:jc w:val="center"/>
      </w:pPr>
      <w:r>
        <w:rPr>
          <w:rFonts w:ascii="Cambria" w:eastAsia="SimSun" w:hAnsi="Cambria"/>
          <w:i/>
          <w:iCs/>
          <w:color w:val="1A1A1A"/>
          <w:sz w:val="22"/>
          <w:szCs w:val="22"/>
        </w:rPr>
        <w:t xml:space="preserve">Perf(</w:t>
      </w:r>
      <w:r>
        <w:rPr>
          <w:rFonts w:ascii="Cambria" w:eastAsia="SimSun" w:hAnsi="Cambria"/>
          <w:i w:val="false"/>
          <w:iCs w:val="false"/>
          <w:color w:val="1A1A1A"/>
          <w:sz w:val="22"/>
          <w:szCs w:val="22"/>
        </w:rPr>
        <w:t xml:space="preserve">θ</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Perf(</w:t>
      </w:r>
      <w:r>
        <w:rPr>
          <w:rFonts w:ascii="Cambria" w:eastAsia="SimSun" w:hAnsi="Cambria"/>
          <w:i w:val="false"/>
          <w:iCs w:val="false"/>
          <w:color w:val="1A1A1A"/>
          <w:sz w:val="22"/>
          <w:szCs w:val="22"/>
        </w:rPr>
        <w:t xml:space="preserve">θ</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rather than collapsing under tiny perturbations [MS §84]</w:t>
      </w:r>
    </w:p>
    <w:p>
      <w:pPr>
        <w:spacing w:after="120" w:line="312"/>
        <w:jc w:val="both"/>
      </w:pPr>
      <w:r>
        <w:rPr>
          <w:rFonts w:ascii="Calibri" w:eastAsia="SimSun" w:hAnsi="Calibri"/>
          <w:b w:val="false"/>
          <w:bCs w:val="false"/>
          <w:color w:val="1A1A1A"/>
          <w:sz w:val="21"/>
          <w:szCs w:val="21"/>
        </w:rPr>
        <w:t xml:space="preserve">A robust model should not collapse under modest parameter changes [COO-25]. The perturbation set δ is scaled to each parameter's natural variation — a few percent of the parameter's range for bounded parameters, one estimation standard error for statistically calibrated ones — and every run re-executes the full pipeline of Section 23.3, not the optimizer in isolation, because a parameter that is harmless in the optimizer can be destructive after smoothing and execution. The parameters subject to the study are exactly the contents of the parameter registry (Section 22.4):</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 family</w:t>
            </w:r>
          </w:p>
        </w:tc>
        <w:tc>
          <w:tcPr>
            <w:tcW w:type="pct" w:w="4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Examples</w:t>
            </w:r>
          </w:p>
        </w:tc>
        <w:tc>
          <w:tcPr>
            <w:tcW w:type="pct" w:w="2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Registry reference</w:t>
            </w:r>
          </w:p>
        </w:tc>
      </w:tr>
      <w:tr>
        <w:trPr>
          <w:cantSplit/>
        </w:trPr>
        <w:tc>
          <w:tcPr>
            <w:tcW w:type="pct" w:w="2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Objective coefficients</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λ_1 … λ_8 of the composite objective</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7.4</w:t>
            </w:r>
          </w:p>
        </w:tc>
      </w:tr>
      <w:tr>
        <w:trPr>
          <w:cantSplit/>
        </w:trPr>
        <w:tc>
          <w:tcPr>
            <w:tcW w:type="pct" w:w="2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Candidate-model parameters</w:t>
            </w:r>
          </w:p>
        </w:tc>
        <w:tc>
          <w:tcPr>
            <w:tcW w:type="pct" w:w="4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Shrinkage λ, CVaR confidence level, ERC tolerance</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6.2–6.6</w:t>
            </w:r>
          </w:p>
        </w:tc>
      </w:tr>
      <w:tr>
        <w:trPr>
          <w:cantSplit/>
        </w:trPr>
        <w:tc>
          <w:tcPr>
            <w:tcW w:type="pct" w:w="2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Signal construction</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Horizon weights ω_k, z-score windows, ε guards</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5.1–5.3</w:t>
            </w:r>
          </w:p>
        </w:tc>
      </w:tr>
      <w:tr>
        <w:trPr>
          <w:cantSplit/>
        </w:trPr>
        <w:tc>
          <w:tcPr>
            <w:tcW w:type="pct" w:w="2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Ensemble mechanics</w:t>
            </w:r>
          </w:p>
        </w:tc>
        <w:tc>
          <w:tcPr>
            <w:tcW w:type="pct" w:w="4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Temperature η, score orientation, member set</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7.5–7.6</w:t>
            </w:r>
          </w:p>
        </w:tc>
      </w:tr>
      <w:tr>
        <w:trPr>
          <w:cantSplit/>
        </w:trPr>
        <w:tc>
          <w:tcPr>
            <w:tcW w:type="pct" w:w="2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Constituency coefficients</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a_k scoring weights, Q_{min}, hysteresis band</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4.2, 4.5, 4.7</w:t>
            </w:r>
          </w:p>
        </w:tc>
      </w:tr>
      <w:tr>
        <w:trPr>
          <w:cantSplit/>
        </w:trPr>
        <w:tc>
          <w:tcPr>
            <w:tcW w:type="pct" w:w="2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Stability constraints</w:t>
            </w:r>
          </w:p>
        </w:tc>
        <w:tc>
          <w:tcPr>
            <w:tcW w:type="pct" w:w="4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Envelopes, velocity limits, smoothing ρ</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8</w:t>
            </w:r>
          </w:p>
        </w:tc>
      </w:tr>
      <w:tr>
        <w:trPr>
          <w:cantSplit/>
        </w:trPr>
        <w:tc>
          <w:tcPr>
            <w:tcW w:type="pct" w:w="2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 parameters</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thresholds, urgency scaling, LCR buffers</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Chapters 10–11, Section 13.4</w:t>
            </w:r>
          </w:p>
        </w:tc>
      </w:tr>
    </w:tbl>
    <w:p>
      <w:pPr>
        <w:spacing w:after="120"/>
      </w:pPr>
    </w:p>
    <w:p>
      <w:pPr>
        <w:spacing w:after="120" w:line="312"/>
        <w:jc w:val="both"/>
      </w:pPr>
      <w:r>
        <w:rPr>
          <w:rFonts w:ascii="Calibri" w:eastAsia="SimSun" w:hAnsi="Calibri"/>
          <w:b w:val="false"/>
          <w:bCs w:val="false"/>
          <w:color w:val="1A1A1A"/>
          <w:sz w:val="21"/>
          <w:szCs w:val="21"/>
        </w:rPr>
        <w:t xml:space="preserve">Each parameter receives a robustness bound B_θ set by the Risk Council, and the perturbation result must satisfy ΔPerformance ≤ B_θ. Parameters that fail are not silently retuned: the parameter is re-derived, the input is re-transformed, or the model is rejected (Section 4.5 records this loop for the constituency engine; Section 6.2 records it for the shrinkage estimator). Results enter the Robustness term of the selection criterion (Section 23.7), so perturbation performance is not a side report — it is a scored input to which model survives.</w:t>
      </w:r>
    </w:p>
    <w:p>
      <w:pPr>
        <w:pStyle w:val="Heading2"/>
        <w:keepNext/>
        <w:spacing w:after="160" w:before="360" w:line="340" w:lineRule="atLeast"/>
      </w:pPr>
      <w:bookmarkStart w:id="100273" w:name="_Toc100273"/>
      <w:r>
        <w:rPr>
          <w:rFonts w:ascii="Calibri" w:eastAsia="Microsoft YaHei" w:hAnsi="Calibri"/>
          <w:b/>
          <w:bCs/>
          <w:color w:val="1A1A1A"/>
          <w:sz w:val="28"/>
          <w:szCs w:val="28"/>
        </w:rPr>
        <w:t xml:space="preserve">23.7 The Model-Selection Criterion</w:t>
      </w:r>
      <w:bookmarkEnd w:id="100273"/>
    </w:p>
    <w:p>
      <w:pPr>
        <w:spacing w:after="120" w:line="312"/>
        <w:jc w:val="both"/>
      </w:pPr>
      <w:r>
        <w:rPr>
          <w:rFonts w:ascii="Calibri" w:eastAsia="SimSun" w:hAnsi="Calibri"/>
          <w:b w:val="false"/>
          <w:bCs w:val="false"/>
          <w:color w:val="1A1A1A"/>
          <w:sz w:val="21"/>
          <w:szCs w:val="21"/>
        </w:rPr>
        <w:t xml:space="preserve">When several candidate models, parameterizations or methodology versions compete, the winner is not the highest return [MS §85]. Return is not the objective of a monetary reference; stability is. This section is pinned because Section 6.7 references it as the reason drawdown behavior is scored explicitly. The decision function is: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Score = a(-Volatility) + b(-CVaR) + c(-MDD) + d(-PPError) + e(-Turnover) + f(-Cost) + g(Diversification) + h(Robustness)</w:t>
      </w:r>
    </w:p>
    <w:p>
      <w:pPr>
        <w:spacing w:after="120" w:line="312"/>
        <w:jc w:val="both"/>
      </w:pPr>
      <w:r>
        <w:rPr>
          <w:rFonts w:ascii="Calibri" w:eastAsia="SimSun" w:hAnsi="Calibri"/>
          <w:b w:val="false"/>
          <w:bCs w:val="false"/>
          <w:color w:val="1A1A1A"/>
          <w:sz w:val="21"/>
          <w:szCs w:val="21"/>
        </w:rPr>
        <w:t xml:space="preserve">with coefficients a through h determined through governance and research [MS §85] — set by the Risk Council within constitutional envelopes, published with the methodology version, and themselves subject to the perturbation study of Section 23.6 so that the ranking of models is not an artifact of the ranking weights. Every term is oriented so that higher is more stable: volatility, CVaR, maximum drawdown, purchasing-power error, turnover and cost enter negatively; diversification and robustness enter positively.</w:t>
      </w:r>
    </w:p>
    <w:p>
      <w:pPr>
        <w:spacing w:after="120" w:line="312"/>
        <w:jc w:val="both"/>
      </w:pPr>
      <w:r>
        <w:rPr>
          <w:rFonts w:ascii="Calibri" w:eastAsia="SimSun" w:hAnsi="Calibri"/>
          <w:b w:val="false"/>
          <w:bCs w:val="false"/>
          <w:color w:val="1A1A1A"/>
          <w:sz w:val="21"/>
          <w:szCs w:val="21"/>
        </w:rPr>
        <w:t xml:space="preserve">Two terms deserve emphasis. The drawdown coefficient c is explicitly non-zero because purchasing-power protection is experienced as drawdown, not as variance — a unit whose value never oscillates but occasionally drops 15% has failed its users even if its volatility statistics look excellent (Section 6.7). The robustness coefficient h aggregates the perturbation sensitivities of Section 23.6 and the Monte Carlo dispersion of Section 23.5, so a model that scores well only on the single realized history — the signature of overfitting — is penalized exactly where it is weakest.</w:t>
      </w:r>
    </w:p>
    <w:p>
      <w:pPr>
        <w:spacing w:after="120" w:line="312"/>
        <w:jc w:val="both"/>
      </w:pPr>
      <w:r>
        <w:rPr>
          <w:rFonts w:ascii="Calibri" w:eastAsia="SimSun" w:hAnsi="Calibri"/>
          <w:b w:val="false"/>
          <w:bCs w:val="false"/>
          <w:color w:val="1A1A1A"/>
          <w:sz w:val="21"/>
          <w:szCs w:val="21"/>
        </w:rPr>
        <w:t xml:space="preserve">The criterion operates at three levels: choosing among candidate models inside the ensemble (feeding the adaptive weights of Section 7.6, whose Score_m is consistent with this function); choosing the ensemble architecture itself; and promoting a new methodology version through the gates of Section 23.12. At every level the comparison uses the purged, walk-forward, out-of-sample record — never in-sample statistics, and never a single favorable window.</w:t>
      </w:r>
    </w:p>
    <w:p>
      <w:pPr>
        <w:pStyle w:val="Heading2"/>
        <w:keepNext/>
        <w:spacing w:after="160" w:before="360" w:line="340" w:lineRule="atLeast"/>
      </w:pPr>
      <w:bookmarkStart w:id="100274" w:name="_Toc100274"/>
      <w:r>
        <w:rPr>
          <w:rFonts w:ascii="Calibri" w:eastAsia="Microsoft YaHei" w:hAnsi="Calibri"/>
          <w:b/>
          <w:bCs/>
          <w:color w:val="1A1A1A"/>
          <w:sz w:val="28"/>
          <w:szCs w:val="28"/>
        </w:rPr>
        <w:t xml:space="preserve">23.8 Gold-Specific Stress Tests</w:t>
      </w:r>
      <w:bookmarkEnd w:id="100274"/>
    </w:p>
    <w:p>
      <w:pPr>
        <w:spacing w:after="120" w:line="312"/>
        <w:jc w:val="both"/>
      </w:pPr>
      <w:r>
        <w:rPr>
          <w:rFonts w:ascii="Calibri" w:eastAsia="SimSun" w:hAnsi="Calibri"/>
          <w:b w:val="false"/>
          <w:bCs w:val="false"/>
          <w:color w:val="1A1A1A"/>
          <w:sz w:val="21"/>
          <w:szCs w:val="21"/>
        </w:rPr>
        <w:t xml:space="preserve">Gold is the largest single component envelope in the basket (Section 8.1) and the component whose market structure is most layered — price, liquidity, tokenized issuers, physical custody and oracles can each fail independently. The modification review found the quantitative test suite for this stack missing and made it mandatory [COO-21, MS §86]. The complete suite is: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Scenario</w:t>
            </w:r>
          </w:p>
        </w:tc>
        <w:tc>
          <w:tcPr>
            <w:tcW w:type="pct" w:w="3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Shock definition</w:t>
            </w:r>
          </w:p>
        </w:tc>
        <w:tc>
          <w:tcPr>
            <w:tcW w:type="pct" w:w="4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Primary layers under test</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+50%</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Sudden and gradual +50% gold price moves</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Upper envelope, velocity, index drift, purchasing-power tracking</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+25%</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Strong gold rally, single- and multi-quarter paths</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Reconstitution cost, turnover budget, MARP gates</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−10%</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Mild gold decline</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De-weighting response, drawdown accounting</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−20%</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Severe gold decline</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MDD envelope, CVaR objective, crisis score (Section 5.5)</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−30%</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Extreme gold decline</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MDD bound, reserve coverage, recovery mechanism</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Sudden liquidity reduction</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Gold-market depth collapse, spread blowout</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 layer, LCR (Section 13.4), no-trade thresholds</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Tokenized-gold issuer failure</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gold token issuer becomes insolvent or fraudulent</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substitution, registry rules, oracle independence</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Physical custody interruption</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Custodian halts redemption or attestation</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Reference continuity, reserve reallocation, legal segregation</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disagreement</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Canonical gold sources diverge beyond tolerance</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consensus, deviation handling, fallback chain (Chapter 17)</w:t>
            </w:r>
          </w:p>
        </w:tc>
      </w:tr>
    </w:tbl>
    <w:p>
      <w:pPr>
        <w:spacing w:after="120"/>
      </w:pPr>
    </w:p>
    <w:p>
      <w:pPr>
        <w:spacing w:after="120" w:line="312"/>
        <w:jc w:val="both"/>
      </w:pPr>
      <w:r>
        <w:rPr>
          <w:rFonts w:ascii="Calibri" w:eastAsia="SimSun" w:hAnsi="Calibri"/>
          <w:b w:val="false"/>
          <w:bCs w:val="false"/>
          <w:color w:val="1A1A1A"/>
          <w:sz w:val="21"/>
          <w:szCs w:val="21"/>
        </w:rPr>
        <w:t xml:space="preserve">The binding requirement is total: MTQ Σ must remain operational under all defined cases [MS §86]. Operational means the index keeps publishing from validated inputs, the weight pipeline keeps running inside its constitutional constraints, the reserve stress equation of Section 23.11 is evaluated and reported, and no discretionary monetary manipulation is required to keep the system coherent. Each scenario is now specified in full: what is tested, the pass criteria, and the consequences of failure.</w:t>
      </w:r>
    </w:p>
    <w:p>
      <w:pPr>
        <w:pStyle w:val="Heading3"/>
        <w:keepNext/>
        <w:spacing w:after="120" w:before="300" w:line="312"/>
      </w:pPr>
      <w:bookmarkStart w:id="100275" w:name="_Toc100275"/>
      <w:r>
        <w:rPr>
          <w:rFonts w:ascii="Calibri" w:eastAsia="Microsoft YaHei" w:hAnsi="Calibri"/>
          <w:b/>
          <w:bCs/>
          <w:color w:val="333333"/>
          <w:sz w:val="24"/>
          <w:szCs w:val="24"/>
        </w:rPr>
        <w:t xml:space="preserve">23.8.1 Gold Price Shocks (+50%, +25%, −10%, −20%, −30%)</w:t>
      </w:r>
      <w:bookmarkEnd w:id="100275"/>
    </w:p>
    <w:p>
      <w:pPr>
        <w:spacing w:after="120" w:line="312"/>
        <w:jc w:val="both"/>
      </w:pPr>
      <w:r>
        <w:rPr>
          <w:rFonts w:ascii="Calibri" w:eastAsia="SimSun" w:hAnsi="Calibri"/>
          <w:b w:val="false"/>
          <w:bCs w:val="false"/>
          <w:color w:val="1A1A1A"/>
          <w:sz w:val="21"/>
          <w:szCs w:val="21"/>
        </w:rPr>
        <w:t xml:space="preserve">What is tested: the pressure each price path puts on the full weight pipeline. A +50% or +25% shock tests whether the gold weight is pushed against its 32% upper envelope, whether the velocity limits and the projection of Section 8.1 keep the reconstitution gradual, how much turnover and execution cost the correction consumes, and whether purchasing-power tracking improves (gold rising usually means fiat purchasing power falling) rather than degrades. The −10%, −20% and −30% shocks test the drawdown machinery: the CVaR objective, the crisis-score scaling of λ_{CVaR,t}, the stress-adaptive smoothing (ρ rising to 0.75), and the constitutional MDD envelope of Section 6.7. Both instantaneous and multi-quarter gradual variants are run, because the engine's correct response differs by path shape.</w:t>
      </w:r>
    </w:p>
    <w:p>
      <w:pPr>
        <w:spacing w:after="120" w:line="312"/>
        <w:jc w:val="both"/>
      </w:pPr>
      <w:r>
        <w:rPr>
          <w:rFonts w:ascii="Calibri" w:eastAsia="SimSun" w:hAnsi="Calibri"/>
          <w:b w:val="false"/>
          <w:bCs w:val="false"/>
          <w:color w:val="1A1A1A"/>
          <w:sz w:val="21"/>
          <w:szCs w:val="21"/>
        </w:rPr>
        <w:t xml:space="preserve">Pass criteria: weights remain inside the envelopes at every step (or leave them only through the governed projection path, never by breach); drawdown stays within the constitutional envelope even in the −30% case at maximum gold weight; turnover stays within the validated budget; coverage under Section 23.11 remains at or above one; and index publication is uninterrupted. Consequences of failure: the gold envelope, velocity limits, smoothing parameters or crisis-mode thresholds are revised through governance as a new methodology version — a failed stress test changes the architecture, never the reporting. A failure that cannot be repaired by parameter revision escalates to the recovery-mechanism design of Section 23.11.</w:t>
      </w:r>
    </w:p>
    <w:p>
      <w:pPr>
        <w:pStyle w:val="Heading3"/>
        <w:keepNext/>
        <w:spacing w:after="120" w:before="300" w:line="312"/>
      </w:pPr>
      <w:bookmarkStart w:id="100276" w:name="_Toc100276"/>
      <w:r>
        <w:rPr>
          <w:rFonts w:ascii="Calibri" w:eastAsia="Microsoft YaHei" w:hAnsi="Calibri"/>
          <w:b/>
          <w:bCs/>
          <w:color w:val="333333"/>
          <w:sz w:val="24"/>
          <w:szCs w:val="24"/>
        </w:rPr>
        <w:t xml:space="preserve">23.8.2 Sudden Gold-Market Liquidity Reduction</w:t>
      </w:r>
      <w:bookmarkEnd w:id="100276"/>
    </w:p>
    <w:p>
      <w:pPr>
        <w:spacing w:after="120" w:line="312"/>
        <w:jc w:val="both"/>
      </w:pPr>
      <w:r>
        <w:rPr>
          <w:rFonts w:ascii="Calibri" w:eastAsia="SimSun" w:hAnsi="Calibri"/>
          <w:b w:val="false"/>
          <w:bCs w:val="false"/>
          <w:color w:val="1A1A1A"/>
          <w:sz w:val="21"/>
          <w:szCs w:val="21"/>
        </w:rPr>
        <w:t xml:space="preserve">What is tested: a sharp collapse in gold-market depth — bid-ask spreads widening severalfold, quoted size shrinking, settlement windows stretching — with the price path left deliberately ambiguous, because the hazard here is execution, not valuation. The scenario exercises the no-trade threshold widening and execution-size reduction of crisis mode (Section 13.7), the liquidity coverage requirement of Section 13.4, and the MARP logic of Chapters 10–11 that must defer corrections into thin markets rather than pay crisis spreads to hit a target weight.</w:t>
      </w:r>
    </w:p>
    <w:p>
      <w:pPr>
        <w:spacing w:after="120" w:line="312"/>
        <w:jc w:val="both"/>
      </w:pPr>
      <w:r>
        <w:rPr>
          <w:rFonts w:ascii="Calibri" w:eastAsia="SimSun" w:hAnsi="Calibri"/>
          <w:b w:val="false"/>
          <w:bCs w:val="false"/>
          <w:color w:val="1A1A1A"/>
          <w:sz w:val="21"/>
          <w:szCs w:val="21"/>
        </w:rPr>
        <w:t xml:space="preserve">Pass criteria: no forced execution into the thin market — MARP demonstrably defers, and the deferral itself is logged with its cost-benefit justification (Section 24.4); the reserve preserves its liquidity buffers; the index continues to publish from validated oracle consensus; and when liquidity normalizes, the deferred corrections execute within the velocity limits. Consequences of failure: liquidity buffers, thresholds or instrument eligibility are re-specified — if the reserve holds an instrument whose market cannot absorb an emergency reallocation, that instrument fails the eligibility framework of Chapter 15 and is replaced.</w:t>
      </w:r>
    </w:p>
    <w:p>
      <w:pPr>
        <w:pStyle w:val="Heading3"/>
        <w:keepNext/>
        <w:spacing w:after="120" w:before="300" w:line="312"/>
      </w:pPr>
      <w:bookmarkStart w:id="100277" w:name="_Toc100277"/>
      <w:r>
        <w:rPr>
          <w:rFonts w:ascii="Calibri" w:eastAsia="Microsoft YaHei" w:hAnsi="Calibri"/>
          <w:b/>
          <w:bCs/>
          <w:color w:val="333333"/>
          <w:sz w:val="24"/>
          <w:szCs w:val="24"/>
        </w:rPr>
        <w:t xml:space="preserve">23.8.3 Tokenized-Gold Issuer Failure</w:t>
      </w:r>
      <w:bookmarkEnd w:id="100277"/>
    </w:p>
    <w:p>
      <w:pPr>
        <w:spacing w:after="120" w:line="312"/>
        <w:jc w:val="both"/>
      </w:pPr>
      <w:r>
        <w:rPr>
          <w:rFonts w:ascii="Calibri" w:eastAsia="SimSun" w:hAnsi="Calibri"/>
          <w:b w:val="false"/>
          <w:bCs w:val="false"/>
          <w:color w:val="1A1A1A"/>
          <w:sz w:val="21"/>
          <w:szCs w:val="21"/>
        </w:rPr>
        <w:t xml:space="preserve">What is tested: the decoupling that Section 3.4 built on purpose. Reference-basket gold exposure is to the gold price reference unit (Section 17.4), not to any token; a tokenized-gold issuer (an insolvency, a frozen redemption window, a proof-of-reserves failure) is a reserve-implementation event, not a reference event. The scenario verifies that the canonical gold price continues from the remaining independent sources (Chapter 17), that the failed issuer's price feed is suspended from consensus without capturing it, and that the reserve substitutes instruments under the Chapter 15 registry and Chapter 14 reserve rules, with the failed position marked at recovery value.</w:t>
      </w:r>
    </w:p>
    <w:p>
      <w:pPr>
        <w:spacing w:after="120" w:line="312"/>
        <w:jc w:val="both"/>
      </w:pPr>
      <w:r>
        <w:rPr>
          <w:rFonts w:ascii="Calibri" w:eastAsia="SimSun" w:hAnsi="Calibri"/>
          <w:b w:val="false"/>
          <w:bCs w:val="false"/>
          <w:color w:val="1A1A1A"/>
          <w:sz w:val="21"/>
          <w:szCs w:val="21"/>
        </w:rPr>
        <w:t xml:space="preserve">Pass criteria: the index and weights are unaffected in their computation path (weights respond to the gold price and eligibility, not to issuer identity); the reserve stress equation of Section 23.11 is re-evaluated with the failed instrument at stressed recovery value and either coverage remains at or above one, or the governed recovery mechanism of Section 23.11 activates explicitly. Consequences of failure: the instrument is delisted, the reserve is restructured toward more resilient instruments or physical bullion, and if coverage cannot be restored without discretionary action, the event enters the governed recovery framework — the one place the architecture permits a shortfall to be handled by rule rather than by improvisation.</w:t>
      </w:r>
    </w:p>
    <w:p>
      <w:pPr>
        <w:pStyle w:val="Heading3"/>
        <w:keepNext/>
        <w:spacing w:after="120" w:before="300" w:line="312"/>
      </w:pPr>
      <w:bookmarkStart w:id="100278" w:name="_Toc100278"/>
      <w:r>
        <w:rPr>
          <w:rFonts w:ascii="Calibri" w:eastAsia="Microsoft YaHei" w:hAnsi="Calibri"/>
          <w:b/>
          <w:bCs/>
          <w:color w:val="333333"/>
          <w:sz w:val="24"/>
          <w:szCs w:val="24"/>
        </w:rPr>
        <w:t xml:space="preserve">23.8.4 Physical-Gold Custody Interruption</w:t>
      </w:r>
      <w:bookmarkEnd w:id="100278"/>
    </w:p>
    <w:p>
      <w:pPr>
        <w:spacing w:after="120" w:line="312"/>
        <w:jc w:val="both"/>
      </w:pPr>
      <w:r>
        <w:rPr>
          <w:rFonts w:ascii="Calibri" w:eastAsia="SimSun" w:hAnsi="Calibri"/>
          <w:b w:val="false"/>
          <w:bCs w:val="false"/>
          <w:color w:val="1A1A1A"/>
          <w:sz w:val="21"/>
          <w:szCs w:val="21"/>
        </w:rPr>
        <w:t xml:space="preserve">What is tested: the interruption class of the physical leg — a custodian halts redemptions, an audit or attestation lapses, or a jurisdictional event freezes access. The reference side is again expected to be immune: canonical pricing runs on the multi-source oracle layer. The reserve side is not immune: physical gold that cannot be delivered, audited or reallocated is temporarily impaired even if title is legally clean, so the scenario measures how long the reserve can operate with that leg frozen, and whether the legal segregation specified in the custody architecture holds the asset out of the custodian's estate.</w:t>
      </w:r>
    </w:p>
    <w:p>
      <w:pPr>
        <w:spacing w:after="120" w:line="312"/>
        <w:jc w:val="both"/>
      </w:pPr>
      <w:r>
        <w:rPr>
          <w:rFonts w:ascii="Calibri" w:eastAsia="SimSun" w:hAnsi="Calibri"/>
          <w:b w:val="false"/>
          <w:bCs w:val="false"/>
          <w:color w:val="1A1A1A"/>
          <w:sz w:val="21"/>
          <w:szCs w:val="21"/>
        </w:rPr>
        <w:t xml:space="preserve">Pass criteria: the reference methodology operates without interruption; reserve coverage is evaluated with the physical leg marked at a stressed liquidity discount, with the same coverage-or-governed-recovery rule as Section 23.8.3; and the reserve's diversification across instruments (tokenized, allocated physical, multi-custodian) keeps the interruption from becoming a coverage failure. Consequences of failure: custody arrangements are re-specified — additional custodians, stronger segregation terms, or a larger tokenized allocation — as a governed reserve-policy version, with the interruption scenario re-run before the change is accepted.</w:t>
      </w:r>
    </w:p>
    <w:p>
      <w:pPr>
        <w:pStyle w:val="Heading3"/>
        <w:keepNext/>
        <w:spacing w:after="120" w:before="300" w:line="312"/>
      </w:pPr>
      <w:bookmarkStart w:id="100279" w:name="_Toc100279"/>
      <w:r>
        <w:rPr>
          <w:rFonts w:ascii="Calibri" w:eastAsia="Microsoft YaHei" w:hAnsi="Calibri"/>
          <w:b/>
          <w:bCs/>
          <w:color w:val="333333"/>
          <w:sz w:val="24"/>
          <w:szCs w:val="24"/>
        </w:rPr>
        <w:t xml:space="preserve">23.8.5 Oracle Disagreement</w:t>
      </w:r>
      <w:bookmarkEnd w:id="100279"/>
    </w:p>
    <w:p>
      <w:pPr>
        <w:spacing w:after="120" w:line="312"/>
        <w:jc w:val="both"/>
      </w:pPr>
      <w:r>
        <w:rPr>
          <w:rFonts w:ascii="Calibri" w:eastAsia="SimSun" w:hAnsi="Calibri"/>
          <w:b w:val="false"/>
          <w:bCs w:val="false"/>
          <w:color w:val="1A1A1A"/>
          <w:sz w:val="21"/>
          <w:szCs w:val="21"/>
        </w:rPr>
        <w:t xml:space="preserve">What is tested: the canonical price mechanism itself. In this scenario the independent gold sources diverge beyond their tolerance band — a split market, a stale feed, or a manipulated source. The scenario exercises the deviation detection, source weighting, staleness handling and fallback chain of Chapter 17, plus the execution-layer rule that pausing rebalancing is preferable to transacting on a contested price. The 2015 franc depeg is the historical archetype: sources that usually agree can violently disagree exactly when accuracy matters most.</w:t>
      </w:r>
    </w:p>
    <w:p>
      <w:pPr>
        <w:spacing w:after="120" w:line="312"/>
        <w:jc w:val="both"/>
      </w:pPr>
      <w:r>
        <w:rPr>
          <w:rFonts w:ascii="Calibri" w:eastAsia="SimSun" w:hAnsi="Calibri"/>
          <w:b w:val="false"/>
          <w:bCs w:val="false"/>
          <w:color w:val="1A1A1A"/>
          <w:sz w:val="21"/>
          <w:szCs w:val="21"/>
        </w:rPr>
        <w:t xml:space="preserve">Pass criteria: the published gold price remains a consensus of validated sources with the disagreeing source identified, down-weighted or suspended according to the oracle rules; the staleness rules of Section 5.3 (last known value, WATCH flag, rebalancing pause beyond five minutes) hold; no single source can capture the canonical price; and every step of the resolution is recorded with the OracleVersion of Section 24.2. Consequences of failure: the source set, tolerances or aggregation method are revised through oracle governance; a source that demonstrably captured the price is removed from the eligible set, and the oracle version increments so all downstream calculations remain attributable to a definite configuration.</w:t>
      </w:r>
    </w:p>
    <w:p>
      <w:pPr>
        <w:pStyle w:val="Heading2"/>
        <w:keepNext/>
        <w:spacing w:after="160" w:before="360" w:line="340" w:lineRule="atLeast"/>
      </w:pPr>
      <w:bookmarkStart w:id="100280" w:name="_Toc100280"/>
      <w:r>
        <w:rPr>
          <w:rFonts w:ascii="Calibri" w:eastAsia="Microsoft YaHei" w:hAnsi="Calibri"/>
          <w:b/>
          <w:bCs/>
          <w:color w:val="1A1A1A"/>
          <w:sz w:val="28"/>
          <w:szCs w:val="28"/>
        </w:rPr>
        <w:t xml:space="preserve">23.9 Currency-Specific Stress Tests</w:t>
      </w:r>
      <w:bookmarkEnd w:id="100280"/>
    </w:p>
    <w:p>
      <w:pPr>
        <w:spacing w:after="120" w:line="312"/>
        <w:jc w:val="both"/>
      </w:pPr>
      <w:r>
        <w:rPr>
          <w:rFonts w:ascii="Calibri" w:eastAsia="SimSun" w:hAnsi="Calibri"/>
          <w:b w:val="false"/>
          <w:bCs w:val="false"/>
          <w:color w:val="1A1A1A"/>
          <w:sz w:val="21"/>
          <w:szCs w:val="21"/>
        </w:rPr>
        <w:t xml:space="preserve">Each basket currency is shocked in isolation at −20%, and in combinations, and the correlation structure is pushed toward the degenerate limit [MS §87, COO-22]. This section is pinned because Section 6.5 references it as the explicit test of the diversification failure mode:</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ρ</w:t>
      </w:r>
      <w:r>
        <w:rPr>
          <w:rFonts w:ascii="Cambria" w:eastAsia="SimSun" w:hAnsi="Cambria"/>
          <w:i/>
          <w:iCs/>
          <w:color w:val="1A1A1A"/>
          <w:sz w:val="22"/>
          <w:szCs w:val="22"/>
          <w:vertAlign w:val="subscript"/>
        </w:rPr>
        <w:t xml:space="preserve">ij</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for all pairs </w:t>
      </w:r>
      <w:r>
        <w:rPr>
          <w:rFonts w:ascii="Cambria" w:eastAsia="SimSun" w:hAnsi="Cambria"/>
          <w:i/>
          <w:iCs/>
          <w:color w:val="1A1A1A"/>
          <w:sz w:val="22"/>
          <w:szCs w:val="22"/>
        </w:rPr>
        <w:t xml:space="preserve"> i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j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(collapse of diversification [COO-22])</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Scenario</w:t>
            </w:r>
          </w:p>
        </w:tc>
        <w:tc>
          <w:tcPr>
            <w:tcW w:type="pct" w:w="4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Composition</w:t>
            </w:r>
          </w:p>
        </w:tc>
        <w:tc>
          <w:tcPr>
            <w:tcW w:type="pct" w:w="4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What the result must show</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−20%</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alone, others stable</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Bounded index impact (envelope-capped), orderly de-weighting, no panic turnover</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 −20%</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 alone</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Same bounds; EURC reserve instruments marked under Section 23.10</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 −20%</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 alone</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Same bounds; registry-resolved implementation unaffected in the reference</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 −20%</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 alone</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Same bounds; hysteresis must not oscillate on the stressed score</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 −20%</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 alone</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Same bounds; CNH/renminbi liquidity stress handled by execution gates</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CHF −20%</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CHF alone</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Same bounds; depeg-class event with abrupt gap risk</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Combinations</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Pairs, the dollar-crisis pattern (USD −20% with gold +25%), all-currency stress vs gold</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Envelope and MDD discipline under correlated failure</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Correlation collapse</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ρ_{ij} arrow 1 on every pair</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Graceful degradation of the diversification objective, not a corner solution</w:t>
            </w:r>
          </w:p>
        </w:tc>
      </w:tr>
    </w:tbl>
    <w:p>
      <w:pPr>
        <w:spacing w:after="120"/>
      </w:pPr>
    </w:p>
    <w:p>
      <w:pPr>
        <w:spacing w:after="120" w:line="312"/>
        <w:jc w:val="both"/>
      </w:pPr>
      <w:r>
        <w:rPr>
          <w:rFonts w:ascii="Calibri" w:eastAsia="SimSun" w:hAnsi="Calibri"/>
          <w:b w:val="false"/>
          <w:bCs w:val="false"/>
          <w:color w:val="1A1A1A"/>
          <w:sz w:val="21"/>
          <w:szCs w:val="21"/>
        </w:rPr>
        <w:t xml:space="preserve">The isolated shocks establish the arithmetic bound the architecture must honor: with component weights capped by the envelopes of Section 8.1 (USD at most 32%, every other currency lower), a −20% single-currency shock produces an index impact strictly smaller than the cap times the shock — the worst case is bounded before any adaptation responds. The pass criteria are that this bound holds in simulation, that the de-weighting of the shocked currency respects velocity limits and costs, and that the coverage inequality of Section 23.11 survives the reserve-side mark-downs. Combinations test the correlated cases, in particular the historical dollar-crisis pattern in which the dollar falls while gold rallies, which stresses the two largest envelopes in opposite directions simultaneously.</w:t>
      </w:r>
    </w:p>
    <w:p>
      <w:pPr>
        <w:spacing w:after="120" w:line="312"/>
        <w:jc w:val="both"/>
      </w:pPr>
      <w:r>
        <w:rPr>
          <w:rFonts w:ascii="Calibri" w:eastAsia="SimSun" w:hAnsi="Calibri"/>
          <w:b w:val="false"/>
          <w:bCs w:val="false"/>
          <w:color w:val="1A1A1A"/>
          <w:sz w:val="21"/>
          <w:szCs w:val="21"/>
        </w:rPr>
        <w:t xml:space="preserve">The correlation-collapse scenario deserves its own statement, because it is the falsifier of the whole diversification thesis: diversification can disappear during crises [MS §87]. When every ρ_{ij} tends to one, the maximum-diversification candidate of Section 6.5 does not break — its objective degenerates toward equal weighting, which remains admissible — and the shrunk covariance estimator of Section 6.2 is already biased toward exactly such a structured target. The pass criterion is graceful: the basket may lose its risk-reduction premium, but it must not concentrate, must not breach the MDD envelope, and the ensemble must not let one model's collapse propagate into the live weights. The scenario is run jointly with the Monte Carlo correlation-collapse family of Section 23.5 so that the evidence is distributional, not anecdotal.</w:t>
      </w:r>
    </w:p>
    <w:p>
      <w:pPr>
        <w:pStyle w:val="Heading2"/>
        <w:keepNext/>
        <w:spacing w:after="160" w:before="360" w:line="340" w:lineRule="atLeast"/>
      </w:pPr>
      <w:bookmarkStart w:id="100281" w:name="_Toc100281"/>
      <w:r>
        <w:rPr>
          <w:rFonts w:ascii="Calibri" w:eastAsia="Microsoft YaHei" w:hAnsi="Calibri"/>
          <w:b/>
          <w:bCs/>
          <w:color w:val="1A1A1A"/>
          <w:sz w:val="28"/>
          <w:szCs w:val="28"/>
        </w:rPr>
        <w:t xml:space="preserve">23.10 Stable-Value Asset Stress</w:t>
      </w:r>
      <w:bookmarkEnd w:id="100281"/>
    </w:p>
    <w:p>
      <w:pPr>
        <w:spacing w:after="120" w:line="312"/>
        <w:jc w:val="both"/>
      </w:pPr>
      <w:r>
        <w:rPr>
          <w:rFonts w:ascii="Calibri" w:eastAsia="SimSun" w:hAnsi="Calibri"/>
          <w:b w:val="false"/>
          <w:bCs w:val="false"/>
          <w:color w:val="1A1A1A"/>
          <w:sz w:val="21"/>
          <w:szCs w:val="21"/>
        </w:rPr>
        <w:t xml:space="preserve">Reserve implementation involves tokenized fiat and other stable-value instruments — USDC and EURC at genesis, with successors admitted through the registry — and these instruments carry a failure taxonomy of their own. Any reserve implementation involving such assets must test the full set [MS §88]:</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Scenario</w:t>
            </w:r>
          </w:p>
        </w:tc>
        <w:tc>
          <w:tcPr>
            <w:tcW w:type="pct" w:w="4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4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Primary defense under test</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Depeg</w:t>
            </w:r>
          </w:p>
        </w:tc>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Market price deviates persistently from par</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Marking discipline, coverage evaluation at market not par</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 halt</w:t>
            </w:r>
          </w:p>
        </w:tc>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Issuer suspends conversion to fiat</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buffers, instrument substitution</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Issuer failure</w:t>
            </w:r>
          </w:p>
        </w:tc>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Insolvency or fraud of the issuing entity</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Segregation, diversification across issuers, recovery values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Custody failure</w:t>
            </w:r>
          </w:p>
        </w:tc>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Failure of the custodial arrangement holding the instrument</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Legal segregation, multi-custodian structure</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collapse</w:t>
            </w:r>
          </w:p>
        </w:tc>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Secondary-market depth disappears</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(Section 13.4), MARP deferral</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Regulatory restriction</w:t>
            </w:r>
          </w:p>
        </w:tc>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instrument becomes restricted or sanctioned</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Instrument eligibility (Chapter 15), jurisdiction diversification</w:t>
            </w:r>
          </w:p>
        </w:tc>
      </w:tr>
    </w:tbl>
    <w:p>
      <w:pPr>
        <w:spacing w:after="120"/>
      </w:pPr>
    </w:p>
    <w:p>
      <w:pPr>
        <w:spacing w:after="120" w:line="312"/>
        <w:jc w:val="both"/>
      </w:pPr>
      <w:r>
        <w:rPr>
          <w:rFonts w:ascii="Calibri" w:eastAsia="SimSun" w:hAnsi="Calibri"/>
          <w:b w:val="false"/>
          <w:bCs w:val="false"/>
          <w:color w:val="1A1A1A"/>
          <w:sz w:val="21"/>
          <w:szCs w:val="21"/>
        </w:rPr>
        <w:t xml:space="preserve">The governing sentence of this suite is verbatim from the specification, and it is a constitutional constraint on reserve design, not a testing preference: reserve policy must survive an individual instrument failure without requiring discretionary monetary manipulation [MS §88]. Surviving means the reference methodology is untouched (currency exposure is defined by the currency, Section 3.4, not by the token), the reserve restructures under pre-existing rules, and the coverage inequality of the next section is either maintained or handed to the explicitly governed recovery mechanism.</w:t>
      </w:r>
    </w:p>
    <w:p>
      <w:pPr>
        <w:spacing w:after="120" w:line="312"/>
        <w:jc w:val="both"/>
      </w:pPr>
      <w:r>
        <w:rPr>
          <w:rFonts w:ascii="Calibri" w:eastAsia="SimSun" w:hAnsi="Calibri"/>
          <w:b w:val="false"/>
          <w:bCs w:val="false"/>
          <w:color w:val="1A1A1A"/>
          <w:sz w:val="21"/>
          <w:szCs w:val="21"/>
        </w:rPr>
        <w:t xml:space="preserve">Two design consequences are tested rather than assumed. First, diversification across issuers and custodial arrangements must be real: the scenario suite runs each failure with the affected instrument at several plausible weights, so that the maximum exposure to any single stable-value instrument is a validated bound, not a hope. Second, marking discipline must hold under stress — a depegged instrument is marked at its market and recovery value in every coverage calculation, never at par, because a coverage ratio computed at par is not a coverage ratio.</w:t>
      </w:r>
    </w:p>
    <w:p>
      <w:pPr>
        <w:pStyle w:val="Heading2"/>
        <w:keepNext/>
        <w:spacing w:after="160" w:before="360" w:line="340" w:lineRule="atLeast"/>
      </w:pPr>
      <w:bookmarkStart w:id="100282" w:name="_Toc100282"/>
      <w:r>
        <w:rPr>
          <w:rFonts w:ascii="Calibri" w:eastAsia="Microsoft YaHei" w:hAnsi="Calibri"/>
          <w:b/>
          <w:bCs/>
          <w:color w:val="1A1A1A"/>
          <w:sz w:val="28"/>
          <w:szCs w:val="28"/>
        </w:rPr>
        <w:t xml:space="preserve">23.11 The Reserve Stress Equation</w:t>
      </w:r>
      <w:bookmarkEnd w:id="100282"/>
    </w:p>
    <w:p>
      <w:pPr>
        <w:spacing w:after="120" w:line="312"/>
        <w:jc w:val="both"/>
      </w:pPr>
      <w:r>
        <w:rPr>
          <w:rFonts w:ascii="Calibri" w:eastAsia="SimSun" w:hAnsi="Calibri"/>
          <w:b w:val="false"/>
          <w:bCs w:val="false"/>
          <w:color w:val="1A1A1A"/>
          <w:sz w:val="21"/>
          <w:szCs w:val="21"/>
        </w:rPr>
        <w:t xml:space="preserve">Every scenario in this chapter — every gold shock, currency shock, stable-value failure, liquidity event and custody interruption — is ultimately scored through one equation, supplied by the modification review and binding on the whole architecture [MS §89, COO-23]. Under scenario 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CoverageRatio</w:t>
      </w:r>
      <w:r>
        <w:rPr>
          <w:rFonts w:ascii="Cambria" w:eastAsia="SimSun" w:hAnsi="Cambria"/>
          <w:i/>
          <w:iCs/>
          <w:color w:val="1A1A1A"/>
          <w:sz w:val="22"/>
          <w:szCs w:val="22"/>
          <w:vertAlign w:val="subscript"/>
        </w:rPr>
        <w:t xml:space="preserve">s</w:t>
      </w:r>
      <w:r>
        <w:rPr>
          <w:rFonts w:ascii="Cambria" w:eastAsia="SimSun" w:hAnsi="Cambria"/>
          <w:i/>
          <w:iCs/>
          <w:color w:val="1A1A1A"/>
          <w:sz w:val="22"/>
          <w:szCs w:val="22"/>
        </w:rPr>
        <w:t xml:space="preserve"> = (ReserveNAV</w:t>
      </w:r>
      <w:r>
        <w:rPr>
          <w:rFonts w:ascii="Cambria" w:eastAsia="SimSun" w:hAnsi="Cambria"/>
          <w:i/>
          <w:iCs/>
          <w:color w:val="1A1A1A"/>
          <w:sz w:val="22"/>
          <w:szCs w:val="22"/>
          <w:vertAlign w:val="subscript"/>
        </w:rPr>
        <w:t xml:space="preserve">s</w:t>
      </w:r>
      <w:r>
        <w:rPr>
          <w:rFonts w:ascii="Cambria" w:eastAsia="SimSun" w:hAnsi="Cambria"/>
          <w:i/>
          <w:iCs/>
          <w:color w:val="1A1A1A"/>
          <w:sz w:val="22"/>
          <w:szCs w:val="22"/>
        </w:rPr>
        <w:t xml:space="preserve">)/(Obligations</w:t>
      </w:r>
      <w:r>
        <w:rPr>
          <w:rFonts w:ascii="Cambria" w:eastAsia="SimSun" w:hAnsi="Cambria"/>
          <w:i/>
          <w:iCs/>
          <w:color w:val="1A1A1A"/>
          <w:sz w:val="22"/>
          <w:szCs w:val="22"/>
          <w:vertAlign w:val="subscript"/>
        </w:rPr>
        <w:t xml:space="preserve">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for scenario </w:t>
      </w:r>
      <w:r>
        <w:rPr>
          <w:rFonts w:ascii="Cambria" w:eastAsia="SimSun" w:hAnsi="Cambria"/>
          <w:i/>
          <w:iCs/>
          <w:color w:val="1A1A1A"/>
          <w:sz w:val="22"/>
          <w:szCs w:val="22"/>
        </w:rPr>
        <w:t xml:space="preserve"> s</w:t>
      </w:r>
    </w:p>
    <w:p>
      <w:pPr>
        <w:spacing w:after="120" w:before="120" w:line="312"/>
        <w:jc w:val="center"/>
      </w:pPr>
      <w:r>
        <w:rPr>
          <w:rFonts w:ascii="Cambria" w:eastAsia="SimSun" w:hAnsi="Cambria"/>
          <w:i/>
          <w:iCs/>
          <w:color w:val="1A1A1A"/>
          <w:sz w:val="22"/>
          <w:szCs w:val="22"/>
        </w:rPr>
        <w:t xml:space="preserve">CoverageRatio</w:t>
      </w:r>
      <w:r>
        <w:rPr>
          <w:rFonts w:ascii="Cambria" w:eastAsia="SimSun" w:hAnsi="Cambria"/>
          <w:i/>
          <w:iCs/>
          <w:color w:val="1A1A1A"/>
          <w:sz w:val="22"/>
          <w:szCs w:val="22"/>
          <w:vertAlign w:val="subscript"/>
        </w:rPr>
        <w:t xml:space="preserve">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for all defined acceptable stress cases</w:t>
      </w:r>
    </w:p>
    <w:p>
      <w:pPr>
        <w:spacing w:after="120" w:line="312"/>
        <w:jc w:val="both"/>
      </w:pPr>
      <w:r>
        <w:rPr>
          <w:rFonts w:ascii="Calibri" w:eastAsia="SimSun" w:hAnsi="Calibri"/>
          <w:b w:val="false"/>
          <w:bCs w:val="false"/>
          <w:color w:val="1A1A1A"/>
          <w:sz w:val="21"/>
          <w:szCs w:val="21"/>
        </w:rPr>
        <w:t xml:space="preserve">ReserveNAV_s is the net asset value of the reserve portfolio marked under scenario s — applying the scenario's haircuts, depegs, liquidity discounts and recovery values to each instrument, per the marking discipline of Section 23.10. Obligations_s is the value of outstanding MTQ Σ claims evaluated under the same scenario. The equation is tested against every defined stress scenario in the suite [COO-23]: the gold cases of Section 23.8, the currency cases of Section 23.9, and the stable-value cases of Section 23.10, individually and in the combinations that compound marks against each other.</w:t>
      </w:r>
    </w:p>
    <w:p>
      <w:pPr>
        <w:spacing w:after="120" w:line="312"/>
        <w:jc w:val="both"/>
      </w:pPr>
      <w:r>
        <w:rPr>
          <w:rFonts w:ascii="Calibri" w:eastAsia="SimSun" w:hAnsi="Calibri"/>
          <w:b w:val="false"/>
          <w:bCs w:val="false"/>
          <w:color w:val="1A1A1A"/>
          <w:sz w:val="21"/>
          <w:szCs w:val="21"/>
        </w:rPr>
        <w:t xml:space="preserve">The inequality is required for all defined acceptable stress cases; where unavoidable tail events exceed the base reserve model, the system must maintain an explicitly governed recovery mechanism rather than an implicit one [MS §89]. That mechanism — funded, rule-based, and activated by defined coverage thresholds rather than discretion — is specified with the reserve architecture in Chapter 14. The equation is a reserve property, not a weight property: it never justifies tilting the reference basket to repair coverage, because the basket is a methodology (Section 3.1) and the reserve is an implementation; conflating the two is precisely the failure the three-layer separation exists to prevent (Section 2.2).</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Reporting rule: every stress-test report in the validation program states CoverageRatio_s per scenario, the marking assumptions used, and — where the ratio falls below one — which governed recovery path activates. A stress report without its coverage line is incomplete and does not count toward the gates of Section 23.12.</w:t>
      </w:r>
    </w:p>
    <w:p>
      <w:pPr>
        <w:pStyle w:val="Heading2"/>
        <w:keepNext/>
        <w:spacing w:after="160" w:before="360" w:line="340" w:lineRule="atLeast"/>
      </w:pPr>
      <w:bookmarkStart w:id="100283" w:name="_Toc100283"/>
      <w:r>
        <w:rPr>
          <w:rFonts w:ascii="Calibri" w:eastAsia="Microsoft YaHei" w:hAnsi="Calibri"/>
          <w:b/>
          <w:bCs/>
          <w:color w:val="1A1A1A"/>
          <w:sz w:val="28"/>
          <w:szCs w:val="28"/>
        </w:rPr>
        <w:t xml:space="preserve">23.12 Validation Gates and Production Preconditions</w:t>
      </w:r>
      <w:bookmarkEnd w:id="100283"/>
    </w:p>
    <w:p>
      <w:pPr>
        <w:spacing w:after="120" w:line="312"/>
        <w:jc w:val="both"/>
      </w:pPr>
      <w:r>
        <w:rPr>
          <w:rFonts w:ascii="Calibri" w:eastAsia="SimSun" w:hAnsi="Calibri"/>
          <w:b w:val="false"/>
          <w:bCs w:val="false"/>
          <w:color w:val="1A1A1A"/>
          <w:sz w:val="21"/>
          <w:szCs w:val="21"/>
        </w:rPr>
        <w:t xml:space="preserve">The program of this chapter consolidates into a gate sequence: an ordered set of conditions, each of which must be satisfied and evidenced before the next is meaningful, and all of which must be satisfied before the adaptive architecture may govern live value at production scale. The gate table itself — gate identifiers, owners, evidence artifacts and sign-off records — is maintained in Section 25.5; this section states the preconditions that the table enforces: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Gate</w:t>
            </w:r>
          </w:p>
        </w:tc>
        <w:tc>
          <w:tcPr>
            <w:tcW w:type="pct" w:w="6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Precondition</w:t>
            </w:r>
          </w:p>
        </w:tc>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Evidence source</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G1 — Historical evidence</w:t>
            </w:r>
          </w:p>
        </w:tc>
        <w:tc>
          <w:tcPr>
            <w:tcW w:type="pct" w:w="6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Backtest from 2010 complete, multi-horizon, full pipeline with costs</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23.2</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G2 — Out-of-sample integrity</w:t>
            </w:r>
          </w:p>
        </w:tc>
        <w:tc>
          <w:tcPr>
            <w:tcW w:type="pct" w:w="6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Walk-forward record complete; purging and embargo applied; zero leakage findings</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23.3–23.4</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G3 — Synthetic robustness</w:t>
            </w:r>
          </w:p>
        </w:tc>
        <w:tc>
          <w:tcPr>
            <w:tcW w:type="pct" w:w="6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Monte Carlo families pass; weight/turnover/drawdown distributions in bounds</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23.5</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G4 — Parameter robustness</w:t>
            </w:r>
          </w:p>
        </w:tc>
        <w:tc>
          <w:tcPr>
            <w:tcW w:type="pct" w:w="6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Perturbation study complete; ΔPerformance ≤ B_θ for every registry parameter</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23.6</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G5 — Model selection</w:t>
            </w:r>
          </w:p>
        </w:tc>
        <w:tc>
          <w:tcPr>
            <w:tcW w:type="pct" w:w="6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Selection criterion applied on OOS records only; coefficients published</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23.7</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G6 — Stress suite pass</w:t>
            </w:r>
          </w:p>
        </w:tc>
        <w:tc>
          <w:tcPr>
            <w:tcW w:type="pct" w:w="6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 gold, currency, correlation and stable-value scenarios pass; CoverageRatio_s ≥ 1 or governed recovery active</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23.8–23.11</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G7 — Reproducibility audit</w:t>
            </w:r>
          </w:p>
        </w:tc>
        <w:tc>
          <w:tcPr>
            <w:tcW w:type="pct" w:w="6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Independent party re-runs MASE from published versions and obtains identical weights</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24.1–24.2</w:t>
            </w:r>
          </w:p>
        </w:tc>
      </w:tr>
    </w:tbl>
    <w:p>
      <w:pPr>
        <w:spacing w:after="120"/>
      </w:pPr>
    </w:p>
    <w:p>
      <w:pPr>
        <w:spacing w:after="120" w:line="312"/>
        <w:jc w:val="both"/>
      </w:pPr>
      <w:r>
        <w:rPr>
          <w:rFonts w:ascii="Calibri" w:eastAsia="SimSun" w:hAnsi="Calibri"/>
          <w:b w:val="false"/>
          <w:bCs w:val="false"/>
          <w:color w:val="1A1A1A"/>
          <w:sz w:val="21"/>
          <w:szCs w:val="21"/>
        </w:rPr>
        <w:t xml:space="preserve">The status rule is strict. Testnet operation, simulation environments and publication of methodology drafts may proceed before the gates pass — that is the purpose of a testnet — but production deployment of the adaptive weights may not, and any performance figure quoted before the gates close carries the illustrative-prior label of Section 23.1. Failure at a gate does not end the program; it routes back to the specific architecture layer implicated (a G4 failure to the parameter registry of Section 22.4, a G6 failure to the envelopes of Chapter 8 or the reserve policy of Chapter 14) and the affected version re-enters validation. The locked/not-locked status of every constant, parameter and threshold touched by this program is tracked in Chapter 26.6, so that at any moment the document can state which numbers are settled evidence and which remain open research.</w:t>
      </w:r>
    </w:p>
    <w:p>
      <w:pPr>
        <w:pStyle w:val="Heading1"/>
        <w:keepNext/>
        <w:pBdr>
          <w:bottom w:val="single" w:color="C9A84C" w:sz="12" w:space="6"/>
        </w:pBdr>
        <w:spacing w:after="220" w:before="480" w:line="380" w:lineRule="atLeast"/>
      </w:pPr>
      <w:bookmarkStart w:id="100284" w:name="_Toc100284"/>
      <w:r>
        <w:rPr>
          <w:rFonts w:ascii="Calibri" w:eastAsia="Microsoft YaHei" w:hAnsi="Calibri"/>
          <w:b/>
          <w:bCs/>
          <w:color w:val="1A1A1A"/>
          <w:sz w:val="32"/>
          <w:szCs w:val="32"/>
        </w:rPr>
        <w:t xml:space="preserve">24. Transparency, Reproducibility and Publication</w:t>
      </w:r>
      <w:bookmarkEnd w:id="100284"/>
    </w:p>
    <w:p>
      <w:pPr>
        <w:pStyle w:val="Heading2"/>
        <w:keepNext/>
        <w:spacing w:after="160" w:before="360" w:line="340" w:lineRule="atLeast"/>
      </w:pPr>
      <w:bookmarkStart w:id="100285" w:name="_Toc100285"/>
      <w:r>
        <w:rPr>
          <w:rFonts w:ascii="Calibri" w:eastAsia="Microsoft YaHei" w:hAnsi="Calibri"/>
          <w:b/>
          <w:bCs/>
          <w:color w:val="1A1A1A"/>
          <w:sz w:val="28"/>
          <w:szCs w:val="28"/>
        </w:rPr>
        <w:t xml:space="preserve">24.1 Deterministic Reproducibility</w:t>
      </w:r>
      <w:bookmarkEnd w:id="100285"/>
    </w:p>
    <w:p>
      <w:pPr>
        <w:spacing w:after="120" w:line="312"/>
        <w:jc w:val="both"/>
      </w:pPr>
      <w:r>
        <w:rPr>
          <w:rFonts w:ascii="Calibri" w:eastAsia="SimSun" w:hAnsi="Calibri"/>
          <w:b w:val="false"/>
          <w:bCs w:val="false"/>
          <w:color w:val="1A1A1A"/>
          <w:sz w:val="21"/>
          <w:szCs w:val="21"/>
        </w:rPr>
        <w:t xml:space="preserve">The transparency architecture rests on a single computational fact: given identical inputs, the system must produce identical outputs. Given identical data Data_t and parameters Parameters_t — and identical methodology, model, parameter and oracle versions — the system must produce W_t^{Live} identically [MS §92]:</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(Data</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Parameters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Versions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identical</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Longrightarrow</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Live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identical</w:t>
      </w:r>
    </w:p>
    <w:p>
      <w:pPr>
        <w:spacing w:after="120" w:line="312"/>
        <w:jc w:val="both"/>
      </w:pPr>
      <w:r>
        <w:rPr>
          <w:rFonts w:ascii="Calibri" w:eastAsia="SimSun" w:hAnsi="Calibri"/>
          <w:b w:val="false"/>
          <w:bCs w:val="false"/>
          <w:color w:val="1A1A1A"/>
          <w:sz w:val="21"/>
          <w:szCs w:val="21"/>
        </w:rPr>
        <w:t xml:space="preserve">This section is pinned because the MASE registry of Listing 2 depends on it: the contract intentionally does not re-solve the optimization on-chain, and that omission is safe only because anyone can re-run MASE off-chain from the published versions and obtain the identical target, which the contract then verifies against the constitution. Deterministic reproducibility is what allows independent auditors to reproduce the result [MS §92] — the auditor is not asked to trust the submitter, only to execute the same deterministic function on the same versioned inputs.</w:t>
      </w:r>
    </w:p>
    <w:p>
      <w:pPr>
        <w:spacing w:after="120" w:line="312"/>
        <w:jc w:val="both"/>
      </w:pPr>
      <w:r>
        <w:rPr>
          <w:rFonts w:ascii="Calibri" w:eastAsia="SimSun" w:hAnsi="Calibri"/>
          <w:b w:val="false"/>
          <w:bCs w:val="false"/>
          <w:color w:val="1A1A1A"/>
          <w:sz w:val="21"/>
          <w:szCs w:val="21"/>
        </w:rPr>
        <w:t xml:space="preserve">Determinism is a system requirement, not a default. It imposes concrete engineering rules, each of which is part of the methodology version: random number generators are seeded with published constants (the Monte Carlo families of Section 23.5 are thereby reproducible path-for-path); floating-point operations are specified in a fixed order and precision; no computation may depend on wall-clock time, network latency or environment state; software versions are recorded; and input data is snapshotted immutably under its DataVersion so that a later revision of a source series cannot silently change what a past calculation consumed. A re-run that diverges in even one weight at one timestamp is a defect that blocks the G7 gate of Section 23.12.</w:t>
      </w:r>
    </w:p>
    <w:p>
      <w:pPr>
        <w:pStyle w:val="Heading2"/>
        <w:keepNext/>
        <w:spacing w:after="160" w:before="360" w:line="340" w:lineRule="atLeast"/>
      </w:pPr>
      <w:bookmarkStart w:id="100286" w:name="_Toc100286"/>
      <w:r>
        <w:rPr>
          <w:rFonts w:ascii="Calibri" w:eastAsia="Microsoft YaHei" w:hAnsi="Calibri"/>
          <w:b/>
          <w:bCs/>
          <w:color w:val="1A1A1A"/>
          <w:sz w:val="28"/>
          <w:szCs w:val="28"/>
        </w:rPr>
        <w:t xml:space="preserve">24.2 Data, Model, Parameter and Oracle Versioning</w:t>
      </w:r>
      <w:bookmarkEnd w:id="100286"/>
    </w:p>
    <w:p>
      <w:pPr>
        <w:spacing w:after="120" w:line="312"/>
        <w:jc w:val="both"/>
      </w:pPr>
      <w:r>
        <w:rPr>
          <w:rFonts w:ascii="Calibri" w:eastAsia="SimSun" w:hAnsi="Calibri"/>
          <w:b w:val="false"/>
          <w:bCs w:val="false"/>
          <w:color w:val="1A1A1A"/>
          <w:sz w:val="21"/>
          <w:szCs w:val="21"/>
        </w:rPr>
        <w:t xml:space="preserve">Reproducibility requires that every calculation be attributable to exactly the inputs, models, parameters and oracle configuration that produced it. Every live calculation stores the full version tuple and result record [MS §93, COO-26] — this section is pinned, referenced from Sections 4.3 and 6.1, and is the backbone of institutional auditability [COO-26]:</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Field</w:t>
            </w:r>
          </w:p>
        </w:tc>
        <w:tc>
          <w:tcPr>
            <w:tcW w:type="pct" w:w="8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DataVersion</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 hash of the exact input snapshot consumed: price series, COFER and BIS observations, CPI and GPP inputs, oracle histories (Sections 4.3, 6.1).</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ModelVersion</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Identity of the candidate-model set and ensemble architecture: which models participate, in which mathematical form, with which covariance and objective structure (Chapters 6–7).</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ParameterVersion</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Identity of the parameter vector from the registry (Section 22.4): objective coefficients λ, thresholds, horizon weights, ensemble temperature, envelopes.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OracleVersion</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Identity of the canonical oracle configuration: source set, aggregation method, tolerances, staleness rules (Chapter 17).</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Weight</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computed weight vector itself — the numerical output posted to and enforced by the registry (Listing 2).</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Output</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full result record accompanying the weight: component scores, constraint-status flags, and the intermediate states of the pipeline of Section 24.5.</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DecisionID</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Unique identifier linking this calculation to the rebalancing decision log of Section 24.4, closing the loop between computation and execution.</w:t>
            </w:r>
          </w:p>
        </w:tc>
      </w:tr>
    </w:tbl>
    <w:p>
      <w:pPr>
        <w:spacing w:after="120"/>
      </w:pPr>
    </w:p>
    <w:p>
      <w:pPr>
        <w:spacing w:after="120" w:line="312"/>
        <w:jc w:val="both"/>
      </w:pPr>
      <w:r>
        <w:rPr>
          <w:rFonts w:ascii="Calibri" w:eastAsia="SimSun" w:hAnsi="Calibri"/>
          <w:b w:val="false"/>
          <w:bCs w:val="false"/>
          <w:color w:val="1A1A1A"/>
          <w:sz w:val="21"/>
          <w:szCs w:val="21"/>
        </w:rPr>
        <w:t xml:space="preserve">Together these fields create a complete audit trail [MS §93] — for a single calculation, and across time, because version histories let an auditor reconstruct the exact state of the entire system at any past date. The registry events of Listing 2 carry the methodology and data versions on every accepted update; the parameter registry of Section 22.4 carries parameter provenance and change history; the oracle layer carries its configuration version; and the locked/not-locked ledger of Chapter 26.6 records which of these values are constitutionally settled and which remain validation-stage. The auditability is institutional in the COO's sense: a regulator, an exchange, a reserve auditor or any independent party can verify not only what the system did, but exactly which versioned machinery did it.</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Version discipline: a version identifier changes only through the governed process for its layer — data revisions are new DataVersions (never silent overwrites, Section 4.3), parameter changes are new ParameterVersions through the registry, and oracle changes are new OracleVersions through oracle governance. Any calculation whose stored versions do not correspond to a published, governed version is invalid by construction.</w:t>
      </w:r>
    </w:p>
    <w:p>
      <w:pPr>
        <w:pStyle w:val="Heading2"/>
        <w:keepNext/>
        <w:spacing w:after="160" w:before="360" w:line="340" w:lineRule="atLeast"/>
      </w:pPr>
      <w:bookmarkStart w:id="100287" w:name="_Toc100287"/>
      <w:r>
        <w:rPr>
          <w:rFonts w:ascii="Calibri" w:eastAsia="Microsoft YaHei" w:hAnsi="Calibri"/>
          <w:b/>
          <w:bCs/>
          <w:color w:val="1A1A1A"/>
          <w:sz w:val="28"/>
          <w:szCs w:val="28"/>
        </w:rPr>
        <w:t xml:space="preserve">24.3 Weight Publication</w:t>
      </w:r>
      <w:bookmarkEnd w:id="100287"/>
    </w:p>
    <w:p>
      <w:pPr>
        <w:spacing w:after="120" w:line="312"/>
        <w:jc w:val="both"/>
      </w:pPr>
      <w:r>
        <w:rPr>
          <w:rFonts w:ascii="Calibri" w:eastAsia="SimSun" w:hAnsi="Calibri"/>
          <w:b w:val="false"/>
          <w:bCs w:val="false"/>
          <w:color w:val="1A1A1A"/>
          <w:sz w:val="21"/>
          <w:szCs w:val="21"/>
        </w:rPr>
        <w:t xml:space="preserve">Reproducibility makes results verifiable in principle; publication makes them verifiable in practice. This section is pinned, referenced from Section 4.2, and it is also where the no-fixed-weighting principle of Section 3.1 becomes operational: only the published W_t series describes the composition of MTQ Σ, so the publication is, in the strict sense, the definition of the basket's realized state. For each effective period, the system publishes W_t together with [MS §94]:</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Published artifact</w:t>
            </w:r>
          </w:p>
        </w:tc>
        <w:tc>
          <w:tcPr>
            <w:tcW w:type="pct" w:w="7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Content</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Source data</w:t>
            </w:r>
          </w:p>
        </w:tc>
        <w:tc>
          <w:tcPr>
            <w:tcW w:type="pct" w:w="7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versioned input snapshot (DataVersion) — prices, institutional data, oracle histories — sufficient to re-run the entire pipeline (Section 24.1).</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Methodology version</w:t>
            </w:r>
          </w:p>
        </w:tc>
        <w:tc>
          <w:tcPr>
            <w:tcW w:type="pct" w:w="7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full version tuple of Section 24.2 under which the weights were computed.</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Scoring tables</w:t>
            </w:r>
          </w:p>
        </w:tc>
        <w:tc>
          <w:tcPr>
            <w:tcW w:type="pct" w:w="7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Component-level scores: constituency eligibility scores Q_i (Section 4.2), candidate-model scores, ensemble coefficients α_m (Section 7.6).</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Eligibility decisions</w:t>
            </w:r>
          </w:p>
        </w:tc>
        <w:tc>
          <w:tcPr>
            <w:tcW w:type="pct" w:w="7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universe actually used: admitted, retired, monitored candidates, with thresholds and hysteresis state (Sections 4.2, 4.7).</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Constraint status</w:t>
            </w:r>
          </w:p>
        </w:tc>
        <w:tc>
          <w:tcPr>
            <w:tcW w:type="pct" w:w="7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Envelope checks, velocity compliance, sum-to-one, smoothing state — pass/fail per constraint, per component.</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Deviation from prior period</w:t>
            </w:r>
          </w:p>
        </w:tc>
        <w:tc>
          <w:tcPr>
            <w:tcW w:type="pct" w:w="7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W_t against W_{t-1} with the attributed causes (signal changes, regime shifts, score movements).</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 decision</w:t>
            </w:r>
          </w:p>
        </w:tc>
        <w:tc>
          <w:tcPr>
            <w:tcW w:type="pct" w:w="7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MARP outcome for the period — executed corrections with DecisionIDs, or the logged no-trade decision with its justification (Section 24.4).</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Transaction-cost estimate</w:t>
            </w:r>
          </w:p>
        </w:tc>
        <w:tc>
          <w:tcPr>
            <w:tcW w:type="pct" w:w="7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modeled and realized cost of any weight movement, spread and slippage (Chapters 10–11).</w:t>
            </w:r>
          </w:p>
        </w:tc>
      </w:tr>
    </w:tbl>
    <w:p>
      <w:pPr>
        <w:spacing w:after="120"/>
      </w:pPr>
    </w:p>
    <w:p>
      <w:pPr>
        <w:spacing w:after="120" w:line="312"/>
        <w:jc w:val="both"/>
      </w:pPr>
      <w:r>
        <w:rPr>
          <w:rFonts w:ascii="Calibri" w:eastAsia="SimSun" w:hAnsi="Calibri"/>
          <w:b w:val="false"/>
          <w:bCs w:val="false"/>
          <w:color w:val="1A1A1A"/>
          <w:sz w:val="21"/>
          <w:szCs w:val="21"/>
        </w:rPr>
        <w:t xml:space="preserve">The publication set is deliberately larger than the weight vector: scoring tables and eligibility decisions make the constituency engine as auditable as the weighting engine (Section 4.5), and the deviation attribution connects composition change to its causes rather than presenting it as unexplained drift. Because both the weight series and the underlying price series are public, any auditor can perform the decomposition of Chapter 9 — separating index movement into price effect and composition effect — and verify that composition effects occurred only through the logged, justified, velocity-bounded path. Publication is what converts the deterministic function of Section 24.1 from an internal property into a public check on a monetary reference.</w:t>
      </w:r>
    </w:p>
    <w:p>
      <w:pPr>
        <w:pStyle w:val="Heading2"/>
        <w:keepNext/>
        <w:spacing w:after="160" w:before="360" w:line="340" w:lineRule="atLeast"/>
      </w:pPr>
      <w:bookmarkStart w:id="100288" w:name="_Toc100288"/>
      <w:r>
        <w:rPr>
          <w:rFonts w:ascii="Calibri" w:eastAsia="Microsoft YaHei" w:hAnsi="Calibri"/>
          <w:b/>
          <w:bCs/>
          <w:color w:val="1A1A1A"/>
          <w:sz w:val="28"/>
          <w:szCs w:val="28"/>
        </w:rPr>
        <w:t xml:space="preserve">24.4 The Rebalancing Decision Log</w:t>
      </w:r>
      <w:bookmarkEnd w:id="100288"/>
    </w:p>
    <w:p>
      <w:pPr>
        <w:spacing w:after="120" w:line="312"/>
        <w:jc w:val="both"/>
      </w:pPr>
      <w:r>
        <w:rPr>
          <w:rFonts w:ascii="Calibri" w:eastAsia="SimSun" w:hAnsi="Calibri"/>
          <w:b w:val="false"/>
          <w:bCs w:val="false"/>
          <w:color w:val="1A1A1A"/>
          <w:sz w:val="21"/>
          <w:szCs w:val="21"/>
        </w:rPr>
        <w:t xml:space="preserve">Weights describe state; the decision log describes action. For each executed trade, the system assigns a DecisionID, and that record must contain the complete economics of the decision [MS §95]:</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Field</w:t>
            </w:r>
          </w:p>
        </w:tc>
        <w:tc>
          <w:tcPr>
            <w:tcW w:type="pct" w:w="7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DecisionID</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Unique identifier of the trade decision; the join key to the version records of Section 24.2.</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TargetWeight</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weight vector the pipeline called for (the smoothed target the trade serves).</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ActualWeight</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live weight vector measured before the trade — the state the correction starts from.</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Drift</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deviation between target and actual, per component, that triggered evaluation.</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RiskScore</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risk state at decision time — crisis score, regime, liquidity conditions (Sections 5.4–5.5).</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ExpectedBenefit</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modeled benefit of correcting the drift (tracking error reduction, risk reduction).</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ExpectedCost</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modeled cost — spreads, slippage, market impact — of executing the correction.</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ExecutionAmount</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size actually traded, per component, after threshold and sizing rules.</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ExecutionPrice</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realized prices achieved, against which the cost model is later scored.</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PostTradeWeight</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weight vector after execution — the new actual state, and the next period's starting point.</w:t>
            </w:r>
          </w:p>
        </w:tc>
      </w:tr>
    </w:tbl>
    <w:p>
      <w:pPr>
        <w:spacing w:after="120"/>
      </w:pPr>
    </w:p>
    <w:p>
      <w:pPr>
        <w:spacing w:after="120" w:line="312"/>
        <w:jc w:val="both"/>
      </w:pPr>
      <w:r>
        <w:rPr>
          <w:rFonts w:ascii="Calibri" w:eastAsia="SimSun" w:hAnsi="Calibri"/>
          <w:b w:val="false"/>
          <w:bCs w:val="false"/>
          <w:color w:val="1A1A1A"/>
          <w:sz w:val="21"/>
          <w:szCs w:val="21"/>
        </w:rPr>
        <w:t xml:space="preserve">This makes the system auditable [MS §95]. The log captures the full decision logic: the inputs (target, actual, drift, risk score), the thresholds that determined whether action was warranted, the urgency classification that determined timing, the cost-benefit outcome (ExpectedBenefit against ExpectedCost — the MARP test of Section 10.8), and the execution facts (amount, price, post-trade state). The same record structure is written for no-trade decisions, with the threshold comparison and justification in place of execution fields, so that inaction is as explainable as action — silence in the log is never ambiguous.</w:t>
      </w:r>
    </w:p>
    <w:p>
      <w:pPr>
        <w:spacing w:after="120" w:line="312"/>
        <w:jc w:val="both"/>
      </w:pPr>
      <w:r>
        <w:rPr>
          <w:rFonts w:ascii="Calibri" w:eastAsia="SimSun" w:hAnsi="Calibri"/>
          <w:b w:val="false"/>
          <w:bCs w:val="false"/>
          <w:color w:val="1A1A1A"/>
          <w:sz w:val="21"/>
          <w:szCs w:val="21"/>
        </w:rPr>
        <w:t xml:space="preserve">The log feeds the audit chain in both directions. Upstream, each entry carries the version tuple of Section 24.2, so every trade is attributable to the exact machinery that motivated it; downstream, the aggregate record becomes attribution evidence for the performance reporting of Chapter 9 and a validation input — realized versus expected costs calibrate the execution-cost models of Chapters 10–11, and realized slippage under stress feeds back into the stress scenarios of Sections 23.8–23.9. Entries are append-only; the decision log is a permanent, hash-chained record whose integrity is checkable against the published weight series.</w:t>
      </w:r>
    </w:p>
    <w:p>
      <w:pPr>
        <w:pStyle w:val="Heading2"/>
        <w:keepNext/>
        <w:spacing w:after="160" w:before="360" w:line="340" w:lineRule="atLeast"/>
      </w:pPr>
      <w:bookmarkStart w:id="100289" w:name="_Toc100289"/>
      <w:r>
        <w:rPr>
          <w:rFonts w:ascii="Calibri" w:eastAsia="Microsoft YaHei" w:hAnsi="Calibri"/>
          <w:b/>
          <w:bCs/>
          <w:color w:val="1A1A1A"/>
          <w:sz w:val="28"/>
          <w:szCs w:val="28"/>
        </w:rPr>
        <w:t xml:space="preserve">24.5 The Final Live-Weight Equation</w:t>
      </w:r>
      <w:bookmarkEnd w:id="100289"/>
    </w:p>
    <w:p>
      <w:pPr>
        <w:spacing w:after="120" w:line="312"/>
        <w:jc w:val="both"/>
      </w:pPr>
      <w:r>
        <w:rPr>
          <w:rFonts w:ascii="Calibri" w:eastAsia="SimSun" w:hAnsi="Calibri"/>
          <w:b w:val="false"/>
          <w:bCs w:val="false"/>
          <w:color w:val="1A1A1A"/>
          <w:sz w:val="21"/>
          <w:szCs w:val="21"/>
        </w:rPr>
        <w:t xml:space="preserve">The complete conceptual pipeline — the single equation that summarizes the entire architecture from data to executed weights — is [MS §96]:</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Live</w:t>
      </w:r>
      <w:r>
        <w:rPr>
          <w:rFonts w:ascii="Cambria" w:eastAsia="SimSun" w:hAnsi="Cambria"/>
          <w:i/>
          <w:iCs/>
          <w:color w:val="1A1A1A"/>
          <w:sz w:val="22"/>
          <w:szCs w:val="22"/>
        </w:rPr>
        <w:t xml:space="preserve"> = Execute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Smooth</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Constrain</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Ensemble</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Constituency</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Data</w:t>
      </w:r>
      <w:r>
        <w:rPr>
          <w:rFonts w:ascii="Cambria" w:eastAsia="SimSun" w:hAnsi="Cambria"/>
          <w:i/>
          <w:iCs/>
          <w:color w:val="1A1A1A"/>
          <w:sz w:val="22"/>
          <w:szCs w:val="22"/>
          <w:vertAlign w:val="subscript"/>
        </w:rPr>
        <w:t xml:space="preserve">t</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Read from the inside out, the equation names the four layers in execution order: the constituency layer decides who is in the universe, the ensemble layer decides how much each component should weigh, the constraint layer makes the result constitutionally admissible, the smoothing layer makes it temporally stable, and the execution layer decides what actually trades. The equation is expanded in four explicit steps, and each step is implemented by the chapters this document has already built.</w:t>
      </w:r>
    </w:p>
    <w:p>
      <w:pPr>
        <w:spacing w:after="120" w:line="312"/>
        <w:jc w:val="both"/>
      </w:pPr>
      <w:r>
        <w:rPr>
          <w:rFonts w:ascii="Calibri" w:eastAsia="SimSun" w:hAnsi="Calibri"/>
          <w:b w:val="false"/>
          <w:bCs w:val="false"/>
          <w:color w:val="1A1A1A"/>
          <w:sz w:val="21"/>
          <w:szCs w:val="21"/>
        </w:rPr>
        <w:t xml:space="preserve">Step 1 — the target. From the versioned data, through the eligible universe and the multi-model ensemble, MASE produces the target weights:</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 MASE</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Data</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Prior</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CVaR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PP</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Regime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Cost</w:t>
      </w:r>
      <w:r>
        <w:rPr>
          <w:rFonts w:ascii="Cambria" w:eastAsia="SimSun" w:hAnsi="Cambria"/>
          <w:i/>
          <w:iCs/>
          <w:color w:val="1A1A1A"/>
          <w:sz w:val="22"/>
          <w:szCs w:val="22"/>
          <w:vertAlign w:val="subscript"/>
        </w:rPr>
        <w:t xml:space="preserve">t</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This is the work of Chapters 4 through 7: the constituency engine filters the universe (Chapter 4), the input signals and regime model condition the state (Chapter 5), the candidate models propose solutions (Chapter 6), and the composite objective with the adaptive ensemble synthesizes them (Chapter 7), with W^{Prior} entering only as the soft anchor of Section 7.1. The target is an unconstrained-in-spirit optimum — it expresses what stability mathematics wants, before the constitution speaks.</w:t>
      </w:r>
    </w:p>
    <w:p>
      <w:pPr>
        <w:spacing w:after="120" w:line="312"/>
        <w:jc w:val="both"/>
      </w:pPr>
      <w:r>
        <w:rPr>
          <w:rFonts w:ascii="Calibri" w:eastAsia="SimSun" w:hAnsi="Calibri"/>
          <w:b w:val="false"/>
          <w:bCs w:val="false"/>
          <w:color w:val="1A1A1A"/>
          <w:sz w:val="21"/>
          <w:szCs w:val="21"/>
        </w:rPr>
        <w:t xml:space="preserve">Step 2 — the constraint. The target is projected onto the admissible set:</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Constrained</w:t>
      </w:r>
      <w:r>
        <w:rPr>
          <w:rFonts w:ascii="Cambria" w:eastAsia="SimSun" w:hAnsi="Cambria"/>
          <w:i/>
          <w:iCs/>
          <w:color w:val="1A1A1A"/>
          <w:sz w:val="22"/>
          <w:szCs w:val="22"/>
        </w:rPr>
        <w:t xml:space="preserve"> = Projection</w:t>
      </w:r>
      <w:r>
        <w:rPr>
          <w:rFonts w:ascii="Cambria" w:eastAsia="SimSun" w:hAnsi="Cambria"/>
          <w:i/>
          <w:iCs/>
          <w:color w:val="1A1A1A"/>
          <w:sz w:val="22"/>
          <w:szCs w:val="22"/>
          <w:vertAlign w:val="subscript"/>
        </w:rPr>
        <w:t xml:space="preserve">Ct</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Target</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This is Chapter 8: the constitutional envelopes, sum-to-one and non-negativity, the weight-velocity limits, and the eligibility bounds define the set \mathcal{C}_t, and the projection is applied after the ensemble average (Section 7.5) because an average of admissible solutions is not automatically admissible itself. The projection step is where the constitution has the final word over the mathematics — no optimizer output reaches the smoothing layer without passing it.</w:t>
      </w:r>
    </w:p>
    <w:p>
      <w:pPr>
        <w:spacing w:after="120" w:line="312"/>
        <w:jc w:val="both"/>
      </w:pPr>
      <w:r>
        <w:rPr>
          <w:rFonts w:ascii="Calibri" w:eastAsia="SimSun" w:hAnsi="Calibri"/>
          <w:b w:val="false"/>
          <w:bCs w:val="false"/>
          <w:color w:val="1A1A1A"/>
          <w:sz w:val="21"/>
          <w:szCs w:val="21"/>
        </w:rPr>
        <w:t xml:space="preserve">Step 3 — the smoothing. The constrained target is blended with the previous live state:</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Smooth</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ρ</w:t>
      </w:r>
      <w:r>
        <w:rPr>
          <w:rFonts w:ascii="Cambria" w:eastAsia="SimSun" w:hAnsi="Cambria"/>
          <w:i/>
          <w:iCs/>
          <w:color w:val="1A1A1A"/>
          <w:sz w:val="22"/>
          <w:szCs w:val="22"/>
          <w:vertAlign w:val="subscript"/>
        </w:rPr>
        <w:t xml:space="preserve">t</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t-1</w:t>
      </w:r>
      <w:r>
        <w:rPr>
          <w:rFonts w:ascii="Cambria" w:eastAsia="SimSun" w:hAnsi="Cambria"/>
          <w:i/>
          <w:iCs/>
          <w:color w:val="1A1A1A"/>
          <w:sz w:val="22"/>
          <w:szCs w:val="22"/>
        </w:rPr>
        <w:t xml:space="preserve"> + (1-</w:t>
      </w:r>
      <w:r>
        <w:rPr>
          <w:rFonts w:ascii="Cambria" w:eastAsia="SimSun" w:hAnsi="Cambria"/>
          <w:i w:val="false"/>
          <w:iCs w:val="false"/>
          <w:color w:val="1A1A1A"/>
          <w:sz w:val="22"/>
          <w:szCs w:val="22"/>
        </w:rPr>
        <w:t xml:space="preserve">ρ</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Constrained</w:t>
      </w:r>
    </w:p>
    <w:p>
      <w:pPr>
        <w:spacing w:after="120" w:line="312"/>
        <w:jc w:val="both"/>
      </w:pPr>
      <w:r>
        <w:rPr>
          <w:rFonts w:ascii="Calibri" w:eastAsia="SimSun" w:hAnsi="Calibri"/>
          <w:b w:val="false"/>
          <w:bCs w:val="false"/>
          <w:color w:val="1A1A1A"/>
          <w:sz w:val="21"/>
          <w:szCs w:val="21"/>
        </w:rPr>
        <w:t xml:space="preserve">This is the stress-adaptive smoothing rule of Chapter 8 (Section 8.4): ρ_t = 0.50 in normal conditions and rises to 0.75 when the crisis score is elevated, so that the basket moves deliberately in calm markets and even more deliberately in turbulent ones. The smoothing rule, the velocity limits and the rebalancing direction lock (Section 11.5) together implement the stability-in-time requirement — and the distinction between W_t^{Target} and W_t^{Smooth} is one of the four weight states of Section 2.3, which are never equivalent.</w:t>
      </w:r>
    </w:p>
    <w:p>
      <w:pPr>
        <w:spacing w:after="120" w:line="312"/>
        <w:jc w:val="both"/>
      </w:pPr>
      <w:r>
        <w:rPr>
          <w:rFonts w:ascii="Calibri" w:eastAsia="SimSun" w:hAnsi="Calibri"/>
          <w:b w:val="false"/>
          <w:bCs w:val="false"/>
          <w:color w:val="1A1A1A"/>
          <w:sz w:val="21"/>
          <w:szCs w:val="21"/>
        </w:rPr>
        <w:t xml:space="preserve">Step 4 — the execution. The smoothed vector is given to the execution engine against the actual state:</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Execution</w:t>
      </w:r>
      <w:r>
        <w:rPr>
          <w:rFonts w:ascii="Cambria" w:eastAsia="SimSun" w:hAnsi="Cambria"/>
          <w:i/>
          <w:iCs/>
          <w:color w:val="1A1A1A"/>
          <w:sz w:val="22"/>
          <w:szCs w:val="22"/>
        </w:rPr>
        <w:t xml:space="preserve"> = MARP</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Smooth</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Actual</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Cost</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Reserve</w:t>
      </w:r>
      <w:r>
        <w:rPr>
          <w:rFonts w:ascii="Cambria" w:eastAsia="SimSun" w:hAnsi="Cambria"/>
          <w:i/>
          <w:iCs/>
          <w:color w:val="1A1A1A"/>
          <w:sz w:val="22"/>
          <w:szCs w:val="22"/>
          <w:vertAlign w:val="subscript"/>
        </w:rPr>
        <w:t xml:space="preserve">t</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This is Chapters 10 and 11: MARP compares the smoothed target with the actual weights, applies the no-trade thresholds and the cost-benefit test, scales and times execution against liquidity and cost, and respects the reserve state — producing what actually trades, logged field-by-field under its DecisionID (Section 24.4). W_t^{Execution} becomes the actual weight vector of the next period, closing the loop; and because every stage consumed versioned inputs under the discipline of Sections 24.1–24.2, the entire composed map — from Data_t to executed weights — is deterministic, published, and reproducible by anyone.</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The final equation is the audit trail in miniature: Data_t (Section 24.2 versioning), through Constituency and Ensemble (Chapter 4; Chapters 5–7), through Constrain and Smooth (Chapter 8), to Execute (Chapters 10–11) — with every state transition published (Section 24.3) and every executed movement logged (Section 24.4). Validation (Chapter 23) establishes that the pipeline deserves to run; transparency (this chapter) establishes that its running can always be checked.</w:t>
      </w:r>
    </w:p>
    <w:p>
      <w:pPr>
        <w:pStyle w:val="Heading1"/>
        <w:keepNext/>
        <w:pBdr>
          <w:bottom w:val="single" w:color="C9A84C" w:sz="12" w:space="6"/>
        </w:pBdr>
        <w:spacing w:after="220" w:before="480" w:line="380" w:lineRule="atLeast"/>
      </w:pPr>
      <w:bookmarkStart w:id="100290" w:name="_Toc100290"/>
      <w:r>
        <w:rPr>
          <w:rFonts w:ascii="Calibri" w:eastAsia="Microsoft YaHei" w:hAnsi="Calibri"/>
          <w:b/>
          <w:bCs/>
          <w:color w:val="1A1A1A"/>
          <w:sz w:val="32"/>
          <w:szCs w:val="32"/>
        </w:rPr>
        <w:t xml:space="preserve">25. Claims and Honest Status</w:t>
      </w:r>
      <w:bookmarkEnd w:id="100290"/>
    </w:p>
    <w:p>
      <w:pPr>
        <w:pStyle w:val="Heading2"/>
        <w:keepNext/>
        <w:spacing w:after="160" w:before="360" w:line="340" w:lineRule="atLeast"/>
      </w:pPr>
      <w:bookmarkStart w:id="100291" w:name="_Toc100291"/>
      <w:r>
        <w:rPr>
          <w:rFonts w:ascii="Calibri" w:eastAsia="Microsoft YaHei" w:hAnsi="Calibri"/>
          <w:b/>
          <w:bCs/>
          <w:color w:val="1A1A1A"/>
          <w:sz w:val="28"/>
          <w:szCs w:val="28"/>
        </w:rPr>
        <w:t xml:space="preserve">25.1 Purpose — The Honesty Architecture</w:t>
      </w:r>
      <w:bookmarkEnd w:id="100291"/>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This chapter is the honest status declaration of the MTQ Σ protocol. It explicitly states what the protocol can and cannot claim, based on the current state of the specification, the implementation and the institutional validation — and it makes honesty an enforced architectural property rather than a marketing preference [BP §15.1].</w:t>
      </w:r>
    </w:p>
    <w:p>
      <w:pPr>
        <w:spacing w:after="120" w:line="312"/>
        <w:jc w:val="both"/>
      </w:pPr>
      <w:r>
        <w:rPr>
          <w:rFonts w:ascii="Calibri" w:eastAsia="SimSun" w:hAnsi="Calibri"/>
          <w:b w:val="false"/>
          <w:bCs w:val="false"/>
          <w:color w:val="1A1A1A"/>
          <w:sz w:val="21"/>
          <w:szCs w:val="21"/>
        </w:rPr>
        <w:t xml:space="preserve">The declarations in this chapter are </w:t>
      </w:r>
      <w:r>
        <w:rPr>
          <w:rFonts w:ascii="Calibri" w:eastAsia="SimSun" w:hAnsi="Calibri"/>
          <w:b/>
          <w:bCs/>
          <w:color w:val="1A1A1A"/>
          <w:sz w:val="21"/>
          <w:szCs w:val="21"/>
        </w:rPr>
        <w:t xml:space="preserve">binding</w:t>
      </w:r>
      <w:r>
        <w:rPr>
          <w:rFonts w:ascii="Calibri" w:eastAsia="SimSun" w:hAnsi="Calibri"/>
          <w:b w:val="false"/>
          <w:bCs w:val="false"/>
          <w:color w:val="1A1A1A"/>
          <w:sz w:val="21"/>
          <w:szCs w:val="21"/>
        </w:rPr>
        <w:t xml:space="preserve"> and </w:t>
      </w:r>
      <w:r>
        <w:rPr>
          <w:rFonts w:ascii="Calibri" w:eastAsia="SimSun" w:hAnsi="Calibri"/>
          <w:b/>
          <w:bCs/>
          <w:color w:val="1A1A1A"/>
          <w:sz w:val="21"/>
          <w:szCs w:val="21"/>
        </w:rPr>
        <w:t xml:space="preserve">non-negotiable</w:t>
      </w:r>
      <w:r>
        <w:rPr>
          <w:rFonts w:ascii="Calibri" w:eastAsia="SimSun" w:hAnsi="Calibri"/>
          <w:b w:val="false"/>
          <w:bCs w:val="false"/>
          <w:color w:val="1A1A1A"/>
          <w:sz w:val="21"/>
          <w:szCs w:val="21"/>
        </w:rPr>
        <w:t xml:space="preserve">. Any external communication that contradicts them is a misrepresentation of the protocol's true state. The core principle is carried verbatim from the blueprint:</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Never claim what you cannot prove. Never promise what you cannot deliver. Never market what you have not tested.</w:t>
      </w:r>
    </w:p>
    <w:p>
      <w:pPr>
        <w:spacing w:after="120" w:line="312"/>
        <w:jc w:val="both"/>
      </w:pPr>
      <w:r>
        <w:rPr>
          <w:rFonts w:ascii="Calibri" w:eastAsia="SimSun" w:hAnsi="Calibri"/>
          <w:b w:val="false"/>
          <w:bCs w:val="false"/>
          <w:color w:val="1A1A1A"/>
          <w:sz w:val="21"/>
          <w:szCs w:val="21"/>
        </w:rPr>
        <w:t xml:space="preserve">The honesty architecture has four enforcement points. First, the document itself: constitutional invariant I10 (Section 2.6) makes honest status publication a hard rule, and the status declaration of Section 1.7 binds every reader of this specification. Second, the validation program: Chapter 23 defines the research discipline — rebuilt backtests, walk-forward evaluation, leakage control, parameter perturbation and robustness scoring — that any performance, optimality or robustness claim must survive before it can be made. Third, the transparency layer: Chapter 24 publishes weights, data versions and rebalancing decisions, so a false claim is always contradicted by the public record. Fourth, the smart contracts: Section 25.7 places the status declaration and the validation-gate state on-chain, where anyone can query them at any time and where no marketing document can override them.</w:t>
      </w:r>
    </w:p>
    <w:p>
      <w:pPr>
        <w:spacing w:after="120" w:line="312"/>
        <w:jc w:val="both"/>
      </w:pPr>
      <w:r>
        <w:rPr>
          <w:rFonts w:ascii="Calibri" w:eastAsia="SimSun" w:hAnsi="Calibri"/>
          <w:b w:val="false"/>
          <w:bCs w:val="false"/>
          <w:color w:val="1A1A1A"/>
          <w:sz w:val="21"/>
          <w:szCs w:val="21"/>
        </w:rPr>
        <w:t xml:space="preserve">The chapter therefore carries, in order: the claims that are supported by the specification (Section 25.2); the claims that are explicitly not supported and must be removed from public materials (Section 25.3); the honest status table (Section 25.4); the validation gates on the path to production (Section 25.5); the honest messaging guide (Section 25.6); and the on-chain implementation of all of the above (Section 25.7).</w:t>
      </w:r>
    </w:p>
    <w:p>
      <w:pPr>
        <w:pStyle w:val="Heading2"/>
        <w:keepNext/>
        <w:spacing w:after="160" w:before="360" w:line="340" w:lineRule="atLeast"/>
      </w:pPr>
      <w:bookmarkStart w:id="100292" w:name="_Toc100292"/>
      <w:r>
        <w:rPr>
          <w:rFonts w:ascii="Calibri" w:eastAsia="Microsoft YaHei" w:hAnsi="Calibri"/>
          <w:b/>
          <w:bCs/>
          <w:color w:val="1A1A1A"/>
          <w:sz w:val="28"/>
          <w:szCs w:val="28"/>
        </w:rPr>
        <w:t xml:space="preserve">25.2 Claims Supported by the Specification</w:t>
      </w:r>
      <w:bookmarkEnd w:id="100292"/>
    </w:p>
    <w:p>
      <w:pPr>
        <w:spacing w:after="120" w:line="312"/>
        <w:jc w:val="both"/>
      </w:pPr>
      <w:r>
        <w:rPr>
          <w:rFonts w:ascii="Calibri" w:eastAsia="SimSun" w:hAnsi="Calibri"/>
          <w:b w:val="false"/>
          <w:bCs w:val="false"/>
          <w:color w:val="1A1A1A"/>
          <w:sz w:val="21"/>
          <w:szCs w:val="21"/>
        </w:rPr>
        <w:t xml:space="preserve">The following claims are mathematically demonstrable from the equations, constraints and logic presented in this document. Each row cites the chapter that constitutes the supporting evidence. Rows carried from the blueprint have been updated where the v1.2 evidence referenced the fixed-quantity GFB Index: under v2.0 the same claim is supported by the adaptive methodology that replaces it [BP §15.2].</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Claim</w:t>
            </w:r>
          </w:p>
        </w:tc>
        <w:tc>
          <w:tcPr>
            <w:tcW w:type="pct" w:w="6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Supporting Evidence</w:t>
            </w:r>
          </w:p>
        </w:tc>
      </w:tr>
      <w:tr>
        <w:trPr>
          <w:cantSplit/>
        </w:trPr>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a non-USD, multi-currency-and-gold reference unit.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reference index is defined by the adaptive basket of Chapter 3 with live weights computed by MASE (Chapters 5–7) and valued by the chain-linked index of Chapter 9; it is independent of any single fiat peg.</w:t>
            </w:r>
          </w:p>
        </w:tc>
      </w:tr>
      <w:tr>
        <w:trPr>
          <w:cantSplit/>
        </w:trPr>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is asset-backed.</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Reserve Engine holds real eligible assets (USDC, EURC, PAXG, etc.) with a target 110% collateralization ratio (Chapters 13–15).</w:t>
            </w:r>
          </w:p>
        </w:tc>
      </w:tr>
      <w:tr>
        <w:trPr>
          <w:cantSplit/>
        </w:trPr>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is priced against the reference index, not against USD.</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mint formula is MTQ_minted = X_net / P_{MTQ,t}, where P_{MTQ,t} is derived from the chain-linked reference index I_t (Chapter 19; Chapter 9).</w:t>
            </w:r>
          </w:p>
        </w:tc>
      </w:tr>
      <w:tr>
        <w:trPr>
          <w:cantSplit/>
        </w:trPr>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enforces a reserve-ratio floor.</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 = V_{net,t} / L_t is computed with asset-specific haircuts and must remain at or above the 1.00 hard floor to avoid the EMERGENCY state (Chapter 14; invariant I2).</w:t>
            </w:r>
          </w:p>
        </w:tc>
      </w:tr>
      <w:tr>
        <w:trPr>
          <w:cantSplit/>
        </w:trPr>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uses a multi-source oracle architecture.</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Prices are sourced from Chainlink, Pyth and Chronicle with timestamp, confidence and deviation checks, and the canonical gold price requires an independent-source quorum (Chapter 17; invariant I9).</w:t>
            </w:r>
          </w:p>
        </w:tc>
      </w:tr>
      <w:tr>
        <w:trPr>
          <w:cantSplit/>
        </w:trPr>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includes a staged de-peg eject mechanism.</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De-pegged assets are liquidated in stages (10% → 25% → 50% → 100%) to minimize market impact, with an anti-gaming reintegration score (Chapter 21).</w:t>
            </w:r>
          </w:p>
        </w:tc>
      </w:tr>
      <w:tr>
        <w:trPr>
          <w:cantSplit/>
        </w:trPr>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is designed for Sharia review.</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architecture contains no interest-bearing components; revenue comes from service fees and gold appreciation (Section 2.8).</w:t>
            </w:r>
          </w:p>
        </w:tc>
      </w:tr>
      <w:tr>
        <w:trPr>
          <w:cantSplit/>
        </w:trPr>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Composition is algorithmic, bounded and reproducible (v2.0).</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Every live weight is reproducible from published data and rules; the submission path is verified on-chain against constitutional envelopes (Chapters 7, 24).</w:t>
            </w:r>
          </w:p>
        </w:tc>
      </w:tr>
      <w:tr>
        <w:trPr>
          <w:cantSplit/>
        </w:trPr>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Daily calculation does not mean daily trading (v2.0).</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zones, cost-benefit gates and partial rebalancing bound trade frequency to economically justified events (Chapters 10–11; invariant I11).</w:t>
            </w:r>
          </w:p>
        </w:tc>
      </w:tr>
      <w:tr>
        <w:trPr>
          <w:cantSplit/>
        </w:trPr>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exposure is adaptive, not fixed (v2.0).</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receives an independent adaptive allocation within its admissibility envelope; tokenized gold is an eligible instrument, not the definition of gold (Section 3.3; Section 8.1).</w:t>
            </w:r>
          </w:p>
        </w:tc>
      </w:tr>
    </w:tbl>
    <w:p>
      <w:pPr>
        <w:spacing w:after="120"/>
      </w:pPr>
    </w:p>
    <w:p>
      <w:pPr>
        <w:spacing w:after="120" w:line="312"/>
        <w:jc w:val="both"/>
      </w:pPr>
      <w:r>
        <w:rPr>
          <w:rFonts w:ascii="Calibri" w:eastAsia="SimSun" w:hAnsi="Calibri"/>
          <w:b w:val="false"/>
          <w:bCs w:val="false"/>
          <w:color w:val="1A1A1A"/>
          <w:sz w:val="21"/>
          <w:szCs w:val="21"/>
        </w:rPr>
        <w:t xml:space="preserve">A claim belongs on this list only while its evidence chapter remains part of the locked specification. If a methodology revision removes or weakens the underlying mechanism, the claim must be re-examined before it is repeated: the supported-claims table is versioned with the methodology (Chapter 24), not frozen. Conversely, a claim that graduates — for example, a volatility figure after independent model validation — moves only when the required evidence of Section 25.5 exists, never before.</w:t>
      </w:r>
    </w:p>
    <w:p>
      <w:pPr>
        <w:pStyle w:val="Heading2"/>
        <w:keepNext/>
        <w:spacing w:after="160" w:before="360" w:line="340" w:lineRule="atLeast"/>
      </w:pPr>
      <w:bookmarkStart w:id="100293" w:name="_Toc100293"/>
      <w:r>
        <w:rPr>
          <w:rFonts w:ascii="Calibri" w:eastAsia="Microsoft YaHei" w:hAnsi="Calibri"/>
          <w:b/>
          <w:bCs/>
          <w:color w:val="1A1A1A"/>
          <w:sz w:val="28"/>
          <w:szCs w:val="28"/>
        </w:rPr>
        <w:t xml:space="preserve">25.3 Claims NOT Supported by the Current Specification</w:t>
      </w:r>
      <w:bookmarkEnd w:id="100293"/>
    </w:p>
    <w:p>
      <w:pPr>
        <w:spacing w:after="120" w:line="312"/>
        <w:jc w:val="both"/>
      </w:pPr>
      <w:r>
        <w:rPr>
          <w:rFonts w:ascii="Calibri" w:eastAsia="SimSun" w:hAnsi="Calibri"/>
          <w:b w:val="false"/>
          <w:bCs w:val="false"/>
          <w:color w:val="1A1A1A"/>
          <w:sz w:val="21"/>
          <w:szCs w:val="21"/>
        </w:rPr>
        <w:t xml:space="preserve">These claims must be removed from all public-facing materials until independently validated. The first eight rows are carried from the blueprint; the final three are added by v2.0 because the adaptive architecture creates new ways to misstate the protocol — fixed composition, guaranteed outcomes and final optimal percentages [BP §15.3; MS §102].</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Claim</w:t>
            </w:r>
          </w:p>
        </w:tc>
        <w:tc>
          <w:tcPr>
            <w:tcW w:type="pct" w:w="5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Why It Is Not Supported</w:t>
            </w:r>
          </w:p>
        </w:tc>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Required Evidence</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 Halal / Fatwa-ready"</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Sharia compliance requires a formal fatwa from an independent, qualified Sharia board. This blueprint is a design, not a certification.</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Independent Sharia board opinion (not yet obtained; roadmap in Section 2.8).</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"σ_NAV = 4.34%"</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This number was derived from preliminary simulations, but the methodology, dataset and confidence intervals are not disclosed in the specification.</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Full simulation methodology, data period and independent validation.</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"94/100 Utility Score"</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There is no mathematically defined utility function in the blueprint.</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Formal utility function, weighting and validation.</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"4x rebalances / year"</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This is a design target, not a demonstrated result. Rebalance frequency depends on market conditions and, under v2.0, on MARP gate decisions.</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Historical back-testing and live monitoring data.</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"Optimal"</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Optimality requires an objective function, constraints and validation. v2.0 specifies the objective (Section 7.4) in full, but its output has not been independently validated.</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Formal optimization methodology and independent review (Gate 2, Section 25.5).</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"Crisis-Proof"</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system is crisis-proof. The protocol is designed to be resilient, but resilience is not a guarantee.</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Formal stress-testing and independent validation (Section 23.9).</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MTQ = 1 Big Mac"</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Big Mac Index is a marketing metaphor, not a constitutionally guaranteed parity.</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Formal purchasing-power basket and independent validation (Section 6.8).</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"World's first"</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This is an unsubstantiated marketing claim.</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Evidence of prior-art search and independent confirmation.</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holds 27% USD, 26% gold, …" (v2.0)</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Those percentages are the strategic prior — a starting anchor. The live weight vector W_t is computed by the published methodology and changes with conditions (Section 3.1; Section 26.4).</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None possible — the claim is definitionally false under invariant I3.</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"Guaranteed purchasing power / guaranteed returns" (v2.0)</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purchasing-power objective is an optimization target, not a promise. The architecture reduces risk; it does not eliminate it.</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None possible — no guarantee exists anywhere in the specification.</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current percentages are the final optimal weights" (v2.0)</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numerical weighting percentage may be described as the final optimal weight until it survives the complete MTQ Σ research program (Chapter 23) and Gate 2 validation.</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Research program completion and independent model validation [MS §102].</w:t>
            </w:r>
          </w:p>
        </w:tc>
      </w:tr>
    </w:tbl>
    <w:p>
      <w:pPr>
        <w:spacing w:after="120"/>
      </w:pPr>
    </w:p>
    <w:p>
      <w:pPr>
        <w:spacing w:after="120" w:line="312"/>
        <w:jc w:val="both"/>
      </w:pPr>
      <w:r>
        <w:rPr>
          <w:rFonts w:ascii="Calibri" w:eastAsia="SimSun" w:hAnsi="Calibri"/>
          <w:b w:val="false"/>
          <w:bCs w:val="false"/>
          <w:color w:val="1A1A1A"/>
          <w:sz w:val="21"/>
          <w:szCs w:val="21"/>
        </w:rPr>
        <w:t xml:space="preserve">The last three rows are architectural rather than evidential: no amount of validation can make them true, because they contradict the definition of the unit itself. The first eight are evidential — they may become supportable after the corresponding validation gates pass, at which point the honest status table (Section 25.4) and the on-chain status functions (Section 25.7) are updated through governance, never by silent editing of marketing materials. The discipline is symmetric in both directions: an unsupported claim is not merely omitted from communications, it is actively refuted — the on-chain status string denies fixed composition, and the publication layer (Chapter 24) publishes the actual live weights that falsify any quoted percentage. A project that will one day be able to prove its performance claims must first be scrupulous about the claims it cannot yet prove, because the credibility of the validated claim is built on the discipline of the rejected one.</w:t>
      </w:r>
    </w:p>
    <w:p>
      <w:pPr>
        <w:pStyle w:val="Heading2"/>
        <w:keepNext/>
        <w:spacing w:after="160" w:before="360" w:line="340" w:lineRule="atLeast"/>
      </w:pPr>
      <w:bookmarkStart w:id="100294" w:name="_Toc100294"/>
      <w:r>
        <w:rPr>
          <w:rFonts w:ascii="Calibri" w:eastAsia="Microsoft YaHei" w:hAnsi="Calibri"/>
          <w:b/>
          <w:bCs/>
          <w:color w:val="1A1A1A"/>
          <w:sz w:val="28"/>
          <w:szCs w:val="28"/>
        </w:rPr>
        <w:t xml:space="preserve">25.4 The Honest Status Table</w:t>
      </w:r>
      <w:bookmarkEnd w:id="100294"/>
    </w:p>
    <w:p>
      <w:pPr>
        <w:spacing w:after="120" w:line="312"/>
        <w:jc w:val="both"/>
      </w:pPr>
      <w:r>
        <w:rPr>
          <w:rFonts w:ascii="Calibri" w:eastAsia="SimSun" w:hAnsi="Calibri"/>
          <w:b w:val="false"/>
          <w:bCs w:val="false"/>
          <w:color w:val="1A1A1A"/>
          <w:sz w:val="21"/>
          <w:szCs w:val="21"/>
        </w:rPr>
        <w:t xml:space="preserve">The table below is the single consolidated status statement for the protocol. It is carried from the blueprint and updated for the v2.0 adaptive architecture: rows whose v1.2 evidence referenced the fixed-quantity GFB Index or the J(ΔW) rebalancing objective now reference the adaptive methodology that supersedes them, and two rows are added for the weighting layer and the live weights themselves [BP §15.4].</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Metric</w:t>
            </w:r>
          </w:p>
        </w:tc>
        <w:tc>
          <w:tcPr>
            <w:tcW w:type="pct" w:w="2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Status</w:t>
            </w:r>
          </w:p>
        </w:tc>
        <w:tc>
          <w:tcPr>
            <w:tcW w:type="pct" w:w="5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Evidence</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Production-Ready?</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w:t>
            </w:r>
            <w:r>
              <w:rPr>
                <w:rFonts w:ascii="Calibri" w:eastAsia="SimSun" w:hAnsi="Calibri"/>
                <w:b w:val="false"/>
                <w:bCs w:val="false"/>
                <w:color w:val="1A1A1A"/>
                <w:sz w:val="19"/>
                <w:szCs w:val="19"/>
              </w:rPr>
              <w:t xml:space="preserve"> — CANDIDATE FOR PUBLIC TESTING (Testnet)</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independent audit has been completed. No mainnet deployment. The Chapter 23 research program is not complete.</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Adaptive Weighting (MASE)</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r>
              <w:rPr>
                <w:rFonts w:ascii="Calibri" w:eastAsia="SimSun" w:hAnsi="Calibri"/>
                <w:b w:val="false"/>
                <w:bCs w:val="false"/>
                <w:color w:val="1A1A1A"/>
                <w:sz w:val="19"/>
                <w:szCs w:val="19"/>
              </w:rPr>
              <w:t xml:space="preserve"> — multi-model ensemble</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Methodology, constraints and the on-chain submission path are fully specified (Chapters 5–8, Listing 2); live coefficients are validation-stage values.</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Live Weights</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VALIDATION-STAGE</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genesis snapshot equals the strategic prior; every subsequent target is a research output until Gate 2 passes (Section 25.5).</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Sharia Status</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DESIGNED FOR SHARIA REVIEW</w:t>
            </w:r>
            <w:r>
              <w:rPr>
                <w:rFonts w:ascii="Calibri" w:eastAsia="SimSun" w:hAnsi="Calibri"/>
                <w:b w:val="false"/>
                <w:bCs w:val="false"/>
                <w:color w:val="1A1A1A"/>
                <w:sz w:val="19"/>
                <w:szCs w:val="19"/>
              </w:rPr>
              <w:t xml:space="preserve"> — NOT YET CERTIFIED</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Sharia board has issued a fatwa (Section 2.8).</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Mathematical Consistency</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w:t>
            </w:r>
            <w:r>
              <w:rPr>
                <w:rFonts w:ascii="Calibri" w:eastAsia="SimSun" w:hAnsi="Calibri"/>
                <w:b w:val="false"/>
                <w:bCs w:val="false"/>
                <w:color w:val="1A1A1A"/>
                <w:sz w:val="19"/>
                <w:szCs w:val="19"/>
              </w:rPr>
              <w:t xml:space="preserve"> — dimensionally coherent</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 equations in Chapters 2–26 are dimensionally consistent.</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Architecture</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r>
              <w:rPr>
                <w:rFonts w:ascii="Calibri" w:eastAsia="SimSun" w:hAnsi="Calibri"/>
                <w:b w:val="false"/>
                <w:bCs w:val="false"/>
                <w:color w:val="1A1A1A"/>
                <w:sz w:val="19"/>
                <w:szCs w:val="19"/>
              </w:rPr>
              <w:t xml:space="preserve"> — multi-source with validation</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Pyth, Chronicle with timestamp, confidence and deviation checks (Chapter 17).</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Geopolitical Eject</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r>
              <w:rPr>
                <w:rFonts w:ascii="Calibri" w:eastAsia="SimSun" w:hAnsi="Calibri"/>
                <w:b w:val="false"/>
                <w:bCs w:val="false"/>
                <w:color w:val="1A1A1A"/>
                <w:sz w:val="19"/>
                <w:szCs w:val="19"/>
              </w:rPr>
              <w:t xml:space="preserve"> — staged liquidation with reintegration score</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 → 25% → 50% → 100% ladder; R_score ≥ 0.80 for re-entry (Chapter 21).</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 Redemption</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w:t>
            </w:r>
            <w:r>
              <w:rPr>
                <w:rFonts w:ascii="Calibri" w:eastAsia="SimSun" w:hAnsi="Calibri"/>
                <w:b w:val="false"/>
                <w:bCs w:val="false"/>
                <w:color w:val="1A1A1A"/>
                <w:sz w:val="19"/>
                <w:szCs w:val="19"/>
              </w:rPr>
              <w:t xml:space="preserve"> — priced against the reference index</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MTQ_minted = X_net / P_{MTQ,t}; RedeemValue = Y × NAV_t (Chapter 19).</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 Engine</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r>
              <w:rPr>
                <w:rFonts w:ascii="Calibri" w:eastAsia="SimSun" w:hAnsi="Calibri"/>
                <w:b w:val="false"/>
                <w:bCs w:val="false"/>
                <w:color w:val="1A1A1A"/>
                <w:sz w:val="19"/>
                <w:szCs w:val="19"/>
              </w:rPr>
              <w:t xml:space="preserve"> — dynamic cost-benefit optimization</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MARP executes only economically justified partial corrections, with liquidity-aware sizing (Chapters 10–11).</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Governance</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r>
              <w:rPr>
                <w:rFonts w:ascii="Calibri" w:eastAsia="SimSun" w:hAnsi="Calibri"/>
                <w:b w:val="false"/>
                <w:bCs w:val="false"/>
                <w:color w:val="1A1A1A"/>
                <w:sz w:val="19"/>
                <w:szCs w:val="19"/>
              </w:rPr>
              <w:t xml:space="preserve"> — four-layer hierarchy; NOT YET TESTED</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(7/7), Monetary (DAO 51%), Risk (4/7), Emergency (4/7) (Chapter 22).</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Smart Contract Audit</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 CONDUCTED</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independent smart-contract audit has been performed.</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Independent Model Validation</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 CONDUCTED</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independent quantitative validation of the reserve model, the reference index, or the MASE/MARP engines.</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Institutional Review</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 CONDUCTED</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central bank, regulator or institutional review has been completed.</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Public Testnet</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PLANNED</w:t>
            </w:r>
            <w:r>
              <w:rPr>
                <w:rFonts w:ascii="Calibri" w:eastAsia="SimSun" w:hAnsi="Calibri"/>
                <w:b w:val="false"/>
                <w:bCs w:val="false"/>
                <w:color w:val="1A1A1A"/>
                <w:sz w:val="19"/>
                <w:szCs w:val="19"/>
              </w:rPr>
              <w:t xml:space="preserve"> — NOT YET DEPLOYED</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Testnet deployment targets Arc, Monad and Solana Devnet (Appendix D); the public-testnet gate also contemplates a public testnet such as Arbitrum Sepolia.</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Mainnet Deployment</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 PLANNED</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Mainnet deployment will only occur after all validation gates are passed (Section 25.5).</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Reading rule: SPECIFIED means the mechanism is fully defined in this document with validation-stage parameters; FIXED means the formula is constitutionally closed; DECLARED (Chapter 26) means the statement is a governance-adopted declaration. Nothing in this table authorizes production use.</w:t>
      </w:r>
    </w:p>
    <w:p>
      <w:pPr>
        <w:pStyle w:val="Heading2"/>
        <w:keepNext/>
        <w:spacing w:after="160" w:before="360" w:line="340" w:lineRule="atLeast"/>
      </w:pPr>
      <w:bookmarkStart w:id="100295" w:name="_Toc100295"/>
      <w:r>
        <w:rPr>
          <w:rFonts w:ascii="Calibri" w:eastAsia="Microsoft YaHei" w:hAnsi="Calibri"/>
          <w:b/>
          <w:bCs/>
          <w:color w:val="1A1A1A"/>
          <w:sz w:val="28"/>
          <w:szCs w:val="28"/>
        </w:rPr>
        <w:t xml:space="preserve">25.5 The Validation Gates</w:t>
      </w:r>
      <w:bookmarkEnd w:id="100295"/>
    </w:p>
    <w:p>
      <w:pPr>
        <w:spacing w:after="120" w:line="312"/>
        <w:jc w:val="both"/>
      </w:pPr>
      <w:r>
        <w:rPr>
          <w:rFonts w:ascii="Calibri" w:eastAsia="SimSun" w:hAnsi="Calibri"/>
          <w:b w:val="false"/>
          <w:bCs w:val="false"/>
          <w:color w:val="1A1A1A"/>
          <w:sz w:val="21"/>
          <w:szCs w:val="21"/>
        </w:rPr>
        <w:t xml:space="preserve">Before mainnet deployment, the protocol must pass the following eleven gates. The sequence is ordered deliberately: audits and independent validation precede public exposure, and the final deployment decision is a constitutional act, not a developer decision [BP §15.5].</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Gate</w:t>
            </w:r>
          </w:p>
        </w:tc>
        <w:tc>
          <w:tcPr>
            <w:tcW w:type="pct" w:w="4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Requirement</w:t>
            </w:r>
          </w:p>
        </w:tc>
        <w:tc>
          <w:tcPr>
            <w:tcW w:type="pct" w:w="3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Evidence</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Smart Contract Audit</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Complete audit by a top-tier firm (CertiK, Hacken, Trail of Bits).</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Audit report; all critical issues remediated.</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Independent Model Validation</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Quantitative validation of the reserve model, the reference index, and the MASE/MARP engines.</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Validation report from a qualified quantitative firm (fed by the Chapter 23 research program).</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Sharia Certification</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Independent Sharia board fatwa confirming the protocol is compliant.</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Fatwa document; board credentials.</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Legal Opinion</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Legal opinion confirming the protocol's classification in the target jurisdiction.</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Legal opinion from qualified counsel.</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Public Testnet Deployment</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Successful deployment on a public testnet (Arbitrum Sepolia or equivalent; devnet targets in Appendix D) with 100+ simulated users.</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Testnet deployment; transaction logs; community feedback.</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Penetration Testing</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Independent security audit of the deployed smart contracts.</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Penetration test report; no critical vulnerabilities.</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Institutional Review</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Review by a central bank, regulator or qualified financial institution.</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Review report; no material objections.</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Bootstrapping</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Sufficient seed liquidity to support the target reserve ratio with real assets.</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On-chain proof of reserve assets.</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Governance Launch</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and Multi-Sig councils are operational with signers in place.</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On-chain governance logs; signer confirmations.</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Community Stress Test</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30-day stress test with real-time monitoring and incident response.</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 test report; no critical incidents.</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Mainnet Deployment Approval</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Formal approval from the Constitutional Council (7/7).</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On-chain governance vote and execution.</w:t>
            </w:r>
          </w:p>
        </w:tc>
      </w:tr>
    </w:tbl>
    <w:p>
      <w:pPr>
        <w:spacing w:after="120"/>
      </w:pPr>
    </w:p>
    <w:p>
      <w:pPr>
        <w:spacing w:after="120" w:line="312"/>
        <w:jc w:val="both"/>
      </w:pPr>
      <w:r>
        <w:rPr>
          <w:rFonts w:ascii="Calibri" w:eastAsia="SimSun" w:hAnsi="Calibri"/>
          <w:b w:val="false"/>
          <w:bCs w:val="false"/>
          <w:color w:val="1A1A1A"/>
          <w:sz w:val="21"/>
          <w:szCs w:val="21"/>
        </w:rPr>
        <w:t xml:space="preserve">Gate 2 deserves emphasis because the adaptive architecture makes it heavier than in v1.2: the independent firm must validate not only the reserve model and the index but the weighting and execution engines as well — the rebuilt backtests, walk-forward results, perturbation studies and robustness scores of Chapter 23 are the internal preparation for that engagement, not a substitute for it. The on-chain counterpart of this table is implemented in Section 25.7: the gate list, the per-gate pass state and the production-authorization flag are published as contract state, so the path to production is queryable by anyone at any time. The source blueprint repeats this gate table verbatim in its final section (BP §16.3); that duplicate is not reproduced again in Chapter 26 — Section 25.5 is the authoritative statement.</w:t>
      </w:r>
    </w:p>
    <w:p>
      <w:pPr>
        <w:pStyle w:val="Heading2"/>
        <w:keepNext/>
        <w:spacing w:after="160" w:before="360" w:line="340" w:lineRule="atLeast"/>
      </w:pPr>
      <w:bookmarkStart w:id="100296" w:name="_Toc100296"/>
      <w:r>
        <w:rPr>
          <w:rFonts w:ascii="Calibri" w:eastAsia="Microsoft YaHei" w:hAnsi="Calibri"/>
          <w:b/>
          <w:bCs/>
          <w:color w:val="1A1A1A"/>
          <w:sz w:val="28"/>
          <w:szCs w:val="28"/>
        </w:rPr>
        <w:t xml:space="preserve">25.6 The Honest Messaging Guide</w:t>
      </w:r>
      <w:bookmarkEnd w:id="100296"/>
    </w:p>
    <w:p>
      <w:pPr>
        <w:spacing w:after="120" w:line="312"/>
        <w:jc w:val="both"/>
      </w:pPr>
      <w:r>
        <w:rPr>
          <w:rFonts w:ascii="Calibri" w:eastAsia="SimSun" w:hAnsi="Calibri"/>
          <w:b w:val="false"/>
          <w:bCs w:val="false"/>
          <w:color w:val="1A1A1A"/>
          <w:sz w:val="21"/>
          <w:szCs w:val="21"/>
        </w:rPr>
        <w:t xml:space="preserve">All external communications — documentation, website, exchange listings, social channels and investor materials — must be reviewed against this guide before publication. The guide operationalizes the core principle of Section 25.1: each approved sentence is either supported by the specification (Section 25.2) or is a status statement consistent with Section 25.4; each forbidden sentence is an unsupported claim (Section 25.3). A v2.0 row is added to both lists for composition claims, which are the most likely misstatement of an adaptive basket [BP §15.6].</w:t>
      </w:r>
    </w:p>
    <w:p>
      <w:pPr>
        <w:pStyle w:val="Heading3"/>
        <w:keepNext/>
        <w:spacing w:after="120" w:before="300" w:line="312"/>
      </w:pPr>
      <w:bookmarkStart w:id="100297" w:name="_Toc100297"/>
      <w:r>
        <w:rPr>
          <w:rFonts w:ascii="Calibri" w:eastAsia="Microsoft YaHei" w:hAnsi="Calibri"/>
          <w:b/>
          <w:bCs/>
          <w:color w:val="333333"/>
          <w:sz w:val="24"/>
          <w:szCs w:val="24"/>
        </w:rPr>
        <w:t xml:space="preserve">25.6.1 What to Say (Supported Claims)</w:t>
      </w:r>
      <w:bookmarkEnd w:id="100297"/>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Context</w:t>
            </w:r>
          </w:p>
        </w:tc>
        <w:tc>
          <w:tcPr>
            <w:tcW w:type="pct" w:w="8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Correct Statement</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Elevator Pitch</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a non-USD, multi-currency-and-gold reference unit backed by an over-collateralized reserve of stablecoins and tokenized gold, with composition set by a transparent adaptive methodology."</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Value Proposition</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"It is designed to maintain global purchasing power, independent of any single fiat currency."</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Current Status</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a candidate for public testing. It is not yet production-authorized."</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Sharia Status</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is designed for Sharia review. Independent certification is pending."</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Security</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uses a multi-source oracle architecture with timestamp, confidence, and deviation checks."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Composition (v2.0)</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published percentages are the starting prior; the live weights are computed by the published adaptive methodology and change with conditions."</w:t>
            </w:r>
          </w:p>
        </w:tc>
      </w:tr>
    </w:tbl>
    <w:p>
      <w:pPr>
        <w:spacing w:after="120"/>
      </w:pPr>
    </w:p>
    <w:p>
      <w:pPr>
        <w:pStyle w:val="Heading3"/>
        <w:keepNext/>
        <w:spacing w:after="120" w:before="300" w:line="312"/>
      </w:pPr>
      <w:bookmarkStart w:id="100298" w:name="_Toc100298"/>
      <w:r>
        <w:rPr>
          <w:rFonts w:ascii="Calibri" w:eastAsia="Microsoft YaHei" w:hAnsi="Calibri"/>
          <w:b/>
          <w:bCs/>
          <w:color w:val="333333"/>
          <w:sz w:val="24"/>
          <w:szCs w:val="24"/>
        </w:rPr>
        <w:t xml:space="preserve">25.6.2 What NOT to Say (Unsupported Claims)</w:t>
      </w:r>
      <w:bookmarkEnd w:id="100298"/>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Context</w:t>
            </w:r>
          </w:p>
        </w:tc>
        <w:tc>
          <w:tcPr>
            <w:tcW w:type="pct" w:w="3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Incorrect Statement</w:t>
            </w:r>
          </w:p>
        </w:tc>
        <w:tc>
          <w:tcPr>
            <w:tcW w:type="pct" w:w="5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Correct Statement</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Stability</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MTQ Σ is worth exactly $1.00."</w:t>
            </w:r>
          </w:p>
        </w:tc>
        <w:tc>
          <w:tcPr>
            <w:tcW w:type="pct" w:w="5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MTQ Σ is priced against the reference index, which fluctuates with global currencies and gold."</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Safety</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risk-free."</w:t>
            </w:r>
          </w:p>
        </w:tc>
        <w:tc>
          <w:tcPr>
            <w:tcW w:type="pct" w:w="5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backed by an over-collateralized reserve, which reduces but does not eliminate risk."</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Performance</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"σ_NAV = 4.34%."</w:t>
            </w:r>
          </w:p>
        </w:tc>
        <w:tc>
          <w:tcPr>
            <w:tcW w:type="pct" w:w="5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is designed to minimize NAV volatility relative to global purchasing power; exact performance will be validated in production."</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Adoption</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the world's first global purchasing power unit."</w:t>
            </w:r>
          </w:p>
        </w:tc>
        <w:tc>
          <w:tcPr>
            <w:tcW w:type="pct" w:w="5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a novel approach to global purchasing power preservation."</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Regulation</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fully regulated."</w:t>
            </w:r>
          </w:p>
        </w:tc>
        <w:tc>
          <w:tcPr>
            <w:tcW w:type="pct" w:w="5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a permissionless protocol; regulatory status depends on jurisdiction."</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Composition (v2.0)</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holds 27% USD and 26% gold."</w:t>
            </w:r>
          </w:p>
        </w:tc>
        <w:tc>
          <w:tcPr>
            <w:tcW w:type="pct" w:w="5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"Those percentages are the starting prior; the live weights are adaptive, published daily, and reproducible from the methodology."</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Review rule: if a proposed statement cannot be traced to Section 25.2 or Section 25.6.1, it does not pass review. Statements about future validation results are permitted only in the conditional voice ("will be validated in production"), never in the assertive voice.</w:t>
      </w:r>
    </w:p>
    <w:p>
      <w:pPr>
        <w:pStyle w:val="Heading2"/>
        <w:keepNext/>
        <w:spacing w:after="160" w:before="360" w:line="340" w:lineRule="atLeast"/>
      </w:pPr>
      <w:bookmarkStart w:id="100299" w:name="_Toc100299"/>
      <w:r>
        <w:rPr>
          <w:rFonts w:ascii="Calibri" w:eastAsia="Microsoft YaHei" w:hAnsi="Calibri"/>
          <w:b/>
          <w:bCs/>
          <w:color w:val="1A1A1A"/>
          <w:sz w:val="28"/>
          <w:szCs w:val="28"/>
        </w:rPr>
        <w:t xml:space="preserve">25.7 Smart Contract Implementation — Honest Status</w:t>
      </w:r>
      <w:bookmarkEnd w:id="100299"/>
    </w:p>
    <w:p>
      <w:pPr>
        <w:spacing w:after="120" w:line="312"/>
        <w:jc w:val="both"/>
      </w:pPr>
      <w:r>
        <w:rPr>
          <w:rFonts w:ascii="Calibri" w:eastAsia="SimSun" w:hAnsi="Calibri"/>
          <w:b w:val="false"/>
          <w:bCs w:val="false"/>
          <w:color w:val="1A1A1A"/>
          <w:sz w:val="21"/>
          <w:szCs w:val="21"/>
        </w:rPr>
        <w:t xml:space="preserve">The declarations of this chapter are enforced on-chain by a dedicated contract implementing invariant I10 (Section 2.6): the honest status string, the validation-gate list and the production-authorization flag are public state, callable by anyone at any time. The design extends the getHonestStatus() pattern introduced in Listing 1 (Section 2.7): the status string is updated to state the adaptive-methodology rule explicitly — live weights are validation-stage values produced by a published, reproducible methodology, and the four weight states of Section 2.3 are distinct — so that a query of the contract refutes both v1.2-era fixed-weight misreadings and performance-marketing claims in one call. Gate state is mutable only by the Constitutional Council, with an evidence hash committing each gate to its published audit or validation report [BP §15.7].</w:t>
      </w:r>
    </w:p>
    <w:p>
      <w:pPr>
        <w:keepNext/>
        <w:spacing w:after="80" w:before="280" w:line="312"/>
      </w:pPr>
      <w:r>
        <w:rPr>
          <w:rFonts w:ascii="Calibri" w:eastAsia="SimSun" w:hAnsi="Calibri"/>
          <w:b/>
          <w:bCs/>
          <w:color w:val="8A6D1F"/>
          <w:sz w:val="19"/>
          <w:szCs w:val="19"/>
        </w:rPr>
        <w:t xml:space="preserve">Listing 15 — Honest status declaration (adapts BP §15.7)</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@title MTQSigmaHonestStatus — on-chain honesty architecture (Listing 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@notice Implements constitutional invariant I10: the protocol must be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honest about its status, and validation-gate status is published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on-chain (Section 2.6). All read functions are public.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MTQSigmaHonestStatus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Governance (Chapter 22)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constitutionalCouncil;   // 7/7 Multi-Sig — final gate authority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 — evidence attestation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The 11 validation gates (Section 25.5)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string[11] public validationGates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"Smart Contract Audit",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"Independent Model Validation",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"Sharia Certification",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"Legal Opinion",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"Public Testnet Deployment",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"Penetration Testing",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"Institutional Review",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"Liquidity Bootstrapping",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"Governance Launch",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"Community Stress Test",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"Mainnet Deployment Approval"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bool[11] public gatePassed;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uint256[11] public gatePassedAt;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bytes32[11] public gateEvidenceHash;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Events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GateMarkedPassed(uint256 indexed gateId, string gate, bytes32 evidenceHash,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GateRevoked(uint256 indexed gateId, string reason,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onlyConstitutionalCouncil()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constitutionalCouncil, "Only Constitutional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Returns the honest status of the protocol (testnet-specific).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Public and callable by anyone. Extends the getHonestStatus()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pattern of Listing 1 (Section 2.7) for the adaptive v2.0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architecture: it states the methodology rule, the simulated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testnet environment, and the four-state weight distinction.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getHonestStatus() public pure returns (string memory)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"MTQ Sigma v2.0-testnet — ADAPTIVE METHODOLOGY, NOT FIXED WEIGHTS.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"DEPLOYED ON ARC / MONAD / SOLANA DEVNET. NOT PRODUCTION-AUTHORIZED.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"All oracles and assets are SIMULATED for testing purposes. Live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"weights are validation-stage values computed by the published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"MASE/MARP methodology and reproducible from published data. The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"strategic prior is a starting anchor, not the live composition: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"W-Prior, W-Target, W-Smooth and W-Execution are four distinct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"states. No percentage is a final optimal weight until all 11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"validation gates have passed.";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Returns the list of validation gates that must be passed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before mainnet deployment can be considered (Section 25.5).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getValidationGates() public view returns (string[11] memory)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validationGates;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Returns a boolean indicating whether all validation gates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have been passed.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As of v2.0-testnet this always returns false, because no gate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has been attested. Authorization derives from gate state, not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from a hard-coded constant, so it degrades honestly if a gate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is revoked.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isProductionAuthorized() public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11;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(!gatePassed[i])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Returns the status of one validation gate.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getGateStatus(uint256 gateId)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public view returns (bool passed, uint256 passedAt, bytes32 evidenceHash)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require(gateId &lt; 11, "Invalid gate");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(gatePassed[gateId], gatePassedAt[gateId], gateEvidenceHash[gateId]);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Marks a validation gate as passed with an evidence commitment.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Only the Constitutional Council (7/7) may attest a gate.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evidence hash commits to the audit or validation report, so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on-chain status is checkable against the published document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(Chapter 24 publication layer).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markGatePassed(uint256 gateId, bytes32 evidenceHash)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onlyConstitutionalCouncil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require(gateId &lt; 11, "Invalid gate");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require(!gatePassed[gateId], "Gate already passed");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gatePassed[gateId] =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gatePassedAt[gateId]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gateEvidenceHash[gateId] = evidenceHash;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GateMarkedPassed(gateId, validationGates[gateId], evidenceHash,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Revokes a gate if its evidence is later invalidated.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Revocation re-opens the path to production automatically,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because isProductionAuthorized() recomputes from gate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revokeGate(uint256 gateId, string calldata reason)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onlyConstitutionalCouncil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require(gateId &lt; 11, "Invalid gate");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require(gatePassed[gateId], "Gate not passed");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gatePassed[gateId] =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gatePassedAt[gateId]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gateEvidenceHash[gateId] = bytes32(0);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GateRevoked(gateId, reason,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One-call summary for integrators and dashboards.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getStatusSummary()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view returns (string memory status, bool authorized)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(getHonestStatus(), isProductionAuthorized());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the three functions of BP §15.7 — getHonestStatus(), getValidationGates() and isProductionAuthorized() — are carried substantially intact; the gate-state machinery (markGatePassed, revokeGate, getGateStatus) is added so that invariant I10 is enforced rather than merely asserted, and isProductionAuthorized() derives from gate state while returning false in exactly the states the blueprint hard-coded. The status string extends the Listing 1 pattern (Section 2.7) to state the adaptive-methodology rule and the four-state distinction. The 11-gate array is unchanged from BP §15.5/§16.3.</w:t>
      </w:r>
    </w:p>
    <w:p>
      <w:pPr>
        <w:pStyle w:val="Heading1"/>
        <w:keepNext/>
        <w:pBdr>
          <w:bottom w:val="single" w:color="C9A84C" w:sz="12" w:space="6"/>
        </w:pBdr>
        <w:spacing w:after="220" w:before="480" w:line="380" w:lineRule="atLeast"/>
      </w:pPr>
      <w:bookmarkStart w:id="100300" w:name="_Toc100300"/>
      <w:r>
        <w:rPr>
          <w:rFonts w:ascii="Calibri" w:eastAsia="Microsoft YaHei" w:hAnsi="Calibri"/>
          <w:b/>
          <w:bCs/>
          <w:color w:val="1A1A1A"/>
          <w:sz w:val="32"/>
          <w:szCs w:val="32"/>
        </w:rPr>
        <w:t xml:space="preserve">26. Final Declarations and Architecture Summary</w:t>
      </w:r>
      <w:bookmarkEnd w:id="100300"/>
    </w:p>
    <w:p>
      <w:pPr>
        <w:pStyle w:val="Heading2"/>
        <w:keepNext/>
        <w:spacing w:after="160" w:before="360" w:line="340" w:lineRule="atLeast"/>
      </w:pPr>
      <w:bookmarkStart w:id="100301" w:name="_Toc100301"/>
      <w:r>
        <w:rPr>
          <w:rFonts w:ascii="Calibri" w:eastAsia="Microsoft YaHei" w:hAnsi="Calibri"/>
          <w:b/>
          <w:bCs/>
          <w:color w:val="1A1A1A"/>
          <w:sz w:val="28"/>
          <w:szCs w:val="28"/>
        </w:rPr>
        <w:t xml:space="preserve">26.1 The Final Declaration</w:t>
      </w:r>
      <w:bookmarkEnd w:id="100301"/>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MTQ Σ v2.0 is a closed-loop monetary architecture: every obligation the unit creates is defined, measured, collateralized, executed, verified and published inside one constitutionally governed loop [BP §16.1].</w:t>
      </w:r>
    </w:p>
    <w:p>
      <w:pPr>
        <w:spacing w:after="120" w:line="312"/>
        <w:jc w:val="both"/>
      </w:pPr>
      <w:r>
        <w:rPr>
          <w:rFonts w:ascii="Calibri" w:eastAsia="SimSun" w:hAnsi="Calibri"/>
          <w:b w:val="false"/>
          <w:bCs w:val="false"/>
          <w:color w:val="1A1A1A"/>
          <w:sz w:val="21"/>
          <w:szCs w:val="21"/>
        </w:rPr>
        <w:t xml:space="preserve">The declaration below restates the whole architecture in one place. It is carried from the blueprint's final declaration with the v1.2 fixed-quantity references replaced by methodology references, because under invariant I3 the reference value is defined by a fixed, published, auditable methodology — not by fixed weights: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w:t>
      </w:r>
      <w:r>
        <w:rPr>
          <w:rFonts w:ascii="Calibri" w:eastAsia="SimSun" w:hAnsi="Calibri"/>
          <w:b/>
          <w:bCs/>
          <w:color w:val="1A1A1A"/>
          <w:sz w:val="21"/>
          <w:szCs w:val="21"/>
        </w:rPr>
        <w:t xml:space="preserve">adaptive reference index</w:t>
      </w:r>
      <w:r>
        <w:rPr>
          <w:rFonts w:ascii="Calibri" w:eastAsia="SimSun" w:hAnsi="Calibri"/>
          <w:b w:val="false"/>
          <w:bCs w:val="false"/>
          <w:color w:val="1A1A1A"/>
          <w:sz w:val="21"/>
          <w:szCs w:val="21"/>
        </w:rPr>
        <w:t xml:space="preserve"> — a methodology-defined, chain-linked basket of eligible currencies and gold — defines the reference value (Chapters 3 and 9).</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w:t>
      </w:r>
      <w:r>
        <w:rPr>
          <w:rFonts w:ascii="Calibri" w:eastAsia="SimSun" w:hAnsi="Calibri"/>
          <w:b/>
          <w:bCs/>
          <w:color w:val="1A1A1A"/>
          <w:sz w:val="21"/>
          <w:szCs w:val="21"/>
        </w:rPr>
        <w:t xml:space="preserve">Reserve NAV</w:t>
      </w:r>
      <w:r>
        <w:rPr>
          <w:rFonts w:ascii="Calibri" w:eastAsia="SimSun" w:hAnsi="Calibri"/>
          <w:b w:val="false"/>
          <w:bCs w:val="false"/>
          <w:color w:val="1A1A1A"/>
          <w:sz w:val="21"/>
          <w:szCs w:val="21"/>
        </w:rPr>
        <w:t xml:space="preserve"> collateralizes the token (Chapter 14).</w:t>
      </w:r>
    </w:p>
    <w:p>
      <w:pPr>
        <w:pStyle w:val="ListParagraph"/>
        <w:numPr>
          <w:ilvl w:val="0"/>
          <w:numId w:val="2"/>
        </w:numPr>
        <w:spacing w:after="60" w:line="312"/>
        <w:jc w:val="left"/>
      </w:pPr>
      <w:r>
        <w:rPr>
          <w:rFonts w:ascii="Calibri" w:eastAsia="SimSun" w:hAnsi="Calibri"/>
          <w:b/>
          <w:bCs/>
          <w:color w:val="1A1A1A"/>
          <w:sz w:val="21"/>
          <w:szCs w:val="21"/>
        </w:rPr>
        <w:t xml:space="preserve">Minting is priced against the reference index</w:t>
      </w:r>
      <w:r>
        <w:rPr>
          <w:rFonts w:ascii="Calibri" w:eastAsia="SimSun" w:hAnsi="Calibri"/>
          <w:b w:val="false"/>
          <w:bCs w:val="false"/>
          <w:color w:val="1A1A1A"/>
          <w:sz w:val="21"/>
          <w:szCs w:val="21"/>
        </w:rPr>
        <w:t xml:space="preserve">, breaking the 1:1 USD peg (Chapter 19).</w:t>
      </w:r>
    </w:p>
    <w:p>
      <w:pPr>
        <w:pStyle w:val="ListParagraph"/>
        <w:numPr>
          <w:ilvl w:val="0"/>
          <w:numId w:val="2"/>
        </w:numPr>
        <w:spacing w:after="60" w:line="312"/>
        <w:jc w:val="left"/>
      </w:pPr>
      <w:r>
        <w:rPr>
          <w:rFonts w:ascii="Calibri" w:eastAsia="SimSun" w:hAnsi="Calibri"/>
          <w:b/>
          <w:bCs/>
          <w:color w:val="1A1A1A"/>
          <w:sz w:val="21"/>
          <w:szCs w:val="21"/>
        </w:rPr>
        <w:t xml:space="preserve">Redemption is priced against NAV</w:t>
      </w:r>
      <w:r>
        <w:rPr>
          <w:rFonts w:ascii="Calibri" w:eastAsia="SimSun" w:hAnsi="Calibri"/>
          <w:b w:val="false"/>
          <w:bCs w:val="false"/>
          <w:color w:val="1A1A1A"/>
          <w:sz w:val="21"/>
          <w:szCs w:val="21"/>
        </w:rPr>
        <w:t xml:space="preserve"> and releases the full proportional basket (Chapter 19).</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w:t>
      </w:r>
      <w:r>
        <w:rPr>
          <w:rFonts w:ascii="Calibri" w:eastAsia="SimSun" w:hAnsi="Calibri"/>
          <w:b/>
          <w:bCs/>
          <w:color w:val="1A1A1A"/>
          <w:sz w:val="21"/>
          <w:szCs w:val="21"/>
        </w:rPr>
        <w:t xml:space="preserve">weighting layer (MASE)</w:t>
      </w:r>
      <w:r>
        <w:rPr>
          <w:rFonts w:ascii="Calibri" w:eastAsia="SimSun" w:hAnsi="Calibri"/>
          <w:b w:val="false"/>
          <w:bCs w:val="false"/>
          <w:color w:val="1A1A1A"/>
          <w:sz w:val="21"/>
          <w:szCs w:val="21"/>
        </w:rPr>
        <w:t xml:space="preserve"> computes live targets through a constrained, robust, multi-model ensemble (Chapters 5–7).</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w:t>
      </w:r>
      <w:r>
        <w:rPr>
          <w:rFonts w:ascii="Calibri" w:eastAsia="SimSun" w:hAnsi="Calibri"/>
          <w:b/>
          <w:bCs/>
          <w:color w:val="1A1A1A"/>
          <w:sz w:val="21"/>
          <w:szCs w:val="21"/>
        </w:rPr>
        <w:t xml:space="preserve">execution layer (MARP)</w:t>
      </w:r>
      <w:r>
        <w:rPr>
          <w:rFonts w:ascii="Calibri" w:eastAsia="SimSun" w:hAnsi="Calibri"/>
          <w:b w:val="false"/>
          <w:bCs w:val="false"/>
          <w:color w:val="1A1A1A"/>
          <w:sz w:val="21"/>
          <w:szCs w:val="21"/>
        </w:rPr>
        <w:t xml:space="preserve"> uses dynamic cost-benefit optimization with liquidity-aware sizing (Chapters 10–11).</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w:t>
      </w:r>
      <w:r>
        <w:rPr>
          <w:rFonts w:ascii="Calibri" w:eastAsia="SimSun" w:hAnsi="Calibri"/>
          <w:b/>
          <w:bCs/>
          <w:color w:val="1A1A1A"/>
          <w:sz w:val="21"/>
          <w:szCs w:val="21"/>
        </w:rPr>
        <w:t xml:space="preserve">Buffer</w:t>
      </w:r>
      <w:r>
        <w:rPr>
          <w:rFonts w:ascii="Calibri" w:eastAsia="SimSun" w:hAnsi="Calibri"/>
          <w:b w:val="false"/>
          <w:bCs w:val="false"/>
          <w:color w:val="1A1A1A"/>
          <w:sz w:val="21"/>
          <w:szCs w:val="21"/>
        </w:rPr>
        <w:t xml:space="preserve"> has three distinct layers (BASE, STRESS, EMERGENCY) with smooth ramping (Chapter 16).</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w:t>
      </w:r>
      <w:r>
        <w:rPr>
          <w:rFonts w:ascii="Calibri" w:eastAsia="SimSun" w:hAnsi="Calibri"/>
          <w:b/>
          <w:bCs/>
          <w:color w:val="1A1A1A"/>
          <w:sz w:val="21"/>
          <w:szCs w:val="21"/>
        </w:rPr>
        <w:t xml:space="preserve">Oracle Architecture</w:t>
      </w:r>
      <w:r>
        <w:rPr>
          <w:rFonts w:ascii="Calibri" w:eastAsia="SimSun" w:hAnsi="Calibri"/>
          <w:b w:val="false"/>
          <w:bCs w:val="false"/>
          <w:color w:val="1A1A1A"/>
          <w:sz w:val="21"/>
          <w:szCs w:val="21"/>
        </w:rPr>
        <w:t xml:space="preserve"> uses three independent sources with timestamp, confidence and deviation checks (Chapter 17).</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w:t>
      </w:r>
      <w:r>
        <w:rPr>
          <w:rFonts w:ascii="Calibri" w:eastAsia="SimSun" w:hAnsi="Calibri"/>
          <w:b/>
          <w:bCs/>
          <w:color w:val="1A1A1A"/>
          <w:sz w:val="21"/>
          <w:szCs w:val="21"/>
        </w:rPr>
        <w:t xml:space="preserve">Geopolitical Eject</w:t>
      </w:r>
      <w:r>
        <w:rPr>
          <w:rFonts w:ascii="Calibri" w:eastAsia="SimSun" w:hAnsi="Calibri"/>
          <w:b w:val="false"/>
          <w:bCs w:val="false"/>
          <w:color w:val="1A1A1A"/>
          <w:sz w:val="21"/>
          <w:szCs w:val="21"/>
        </w:rPr>
        <w:t xml:space="preserve"> system uses staged liquidation (10% → 25% → 50% → 100%) with a reintegration score (Chapter 21).</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w:t>
      </w:r>
      <w:r>
        <w:rPr>
          <w:rFonts w:ascii="Calibri" w:eastAsia="SimSun" w:hAnsi="Calibri"/>
          <w:b/>
          <w:bCs/>
          <w:color w:val="1A1A1A"/>
          <w:sz w:val="21"/>
          <w:szCs w:val="21"/>
        </w:rPr>
        <w:t xml:space="preserve">Risk State Machine</w:t>
      </w:r>
      <w:r>
        <w:rPr>
          <w:rFonts w:ascii="Calibri" w:eastAsia="SimSun" w:hAnsi="Calibri"/>
          <w:b w:val="false"/>
          <w:bCs w:val="false"/>
          <w:color w:val="1A1A1A"/>
          <w:sz w:val="21"/>
          <w:szCs w:val="21"/>
        </w:rPr>
        <w:t xml:space="preserve"> has six states (NORMAL, CAUTION, STRESS, DEFENSIVE, EMERGENCY, RECOVERY) with deterministic transitions (Chapter 18).</w:t>
      </w:r>
    </w:p>
    <w:p>
      <w:pPr>
        <w:pStyle w:val="ListParagraph"/>
        <w:numPr>
          <w:ilvl w:val="0"/>
          <w:numId w:val="2"/>
        </w:numPr>
        <w:spacing w:after="60" w:line="312"/>
        <w:jc w:val="left"/>
      </w:pPr>
      <w:r>
        <w:rPr>
          <w:rFonts w:ascii="Calibri" w:eastAsia="SimSun" w:hAnsi="Calibri"/>
          <w:b/>
          <w:bCs/>
          <w:color w:val="1A1A1A"/>
          <w:sz w:val="21"/>
          <w:szCs w:val="21"/>
        </w:rPr>
        <w:t xml:space="preserve">All 76 points of the independent monetary audit have been reconciled</w:t>
      </w:r>
      <w:r>
        <w:rPr>
          <w:rFonts w:ascii="Calibri" w:eastAsia="SimSun" w:hAnsi="Calibri"/>
          <w:b w:val="false"/>
          <w:bCs w:val="false"/>
          <w:color w:val="1A1A1A"/>
          <w:sz w:val="21"/>
          <w:szCs w:val="21"/>
        </w:rPr>
        <w:t xml:space="preserve"> in the v1.2 lineage, and the v2.0 modification program closes the architectural gaps identified in the COO review (Section 26.6.3).</w:t>
      </w:r>
    </w:p>
    <w:p>
      <w:pPr>
        <w:spacing w:after="120" w:line="312"/>
        <w:jc w:val="both"/>
      </w:pPr>
      <w:r>
        <w:rPr>
          <w:rFonts w:ascii="Calibri" w:eastAsia="SimSun" w:hAnsi="Calibri"/>
          <w:b/>
          <w:bCs/>
          <w:color w:val="1A1A1A"/>
          <w:sz w:val="21"/>
          <w:szCs w:val="21"/>
        </w:rPr>
        <w:t xml:space="preserve">This is not yet production-authorized.</w:t>
      </w:r>
      <w:r>
        <w:rPr>
          <w:rFonts w:ascii="Calibri" w:eastAsia="SimSun" w:hAnsi="Calibri"/>
          <w:b w:val="false"/>
          <w:bCs w:val="false"/>
          <w:color w:val="1A1A1A"/>
          <w:sz w:val="21"/>
          <w:szCs w:val="21"/>
        </w:rPr>
        <w:t xml:space="preserve"> It is a candidate for testnet validation.</w:t>
      </w:r>
    </w:p>
    <w:p>
      <w:pPr>
        <w:spacing w:after="120" w:line="312"/>
        <w:jc w:val="both"/>
      </w:pPr>
      <w:r>
        <w:rPr>
          <w:rFonts w:ascii="Calibri" w:eastAsia="SimSun" w:hAnsi="Calibri"/>
          <w:b/>
          <w:bCs/>
          <w:color w:val="1A1A1A"/>
          <w:sz w:val="21"/>
          <w:szCs w:val="21"/>
        </w:rPr>
        <w:t xml:space="preserve">The reference methodology defines what one MTQ Σ is intended to represent. The reserve portfolio exists to collateralize that obligation.</w:t>
      </w:r>
    </w:p>
    <w:p>
      <w:pPr>
        <w:spacing w:after="120" w:line="312"/>
        <w:jc w:val="both"/>
      </w:pPr>
      <w:r>
        <w:rPr>
          <w:rFonts w:ascii="Calibri" w:eastAsia="SimSun" w:hAnsi="Calibri"/>
          <w:b w:val="false"/>
          <w:bCs w:val="false"/>
          <w:color w:val="1A1A1A"/>
          <w:sz w:val="21"/>
          <w:szCs w:val="21"/>
        </w:rPr>
        <w:t xml:space="preserve">The last sentence is the v2.0 form of the blueprint's closing statement: where v1.2 said the GFB Index defines the obligation, v2.0 says the methodology defines it. The obligation is unchanged — one unit of global purchasing-power-representative value, fully collateralized — but its definition is now an auditable process rather than a static quantity table, which is precisely what makes the unit adaptive without making it discretionary.</w:t>
      </w:r>
    </w:p>
    <w:p>
      <w:pPr>
        <w:pStyle w:val="Heading2"/>
        <w:keepNext/>
        <w:spacing w:after="160" w:before="360" w:line="340" w:lineRule="atLeast"/>
      </w:pPr>
      <w:bookmarkStart w:id="100302" w:name="_Toc100302"/>
      <w:r>
        <w:rPr>
          <w:rFonts w:ascii="Calibri" w:eastAsia="Microsoft YaHei" w:hAnsi="Calibri"/>
          <w:b/>
          <w:bCs/>
          <w:color w:val="1A1A1A"/>
          <w:sz w:val="28"/>
          <w:szCs w:val="28"/>
        </w:rPr>
        <w:t xml:space="preserve">26.2 The Critical Distinction — Four Weight States</w:t>
      </w:r>
      <w:bookmarkEnd w:id="100302"/>
    </w:p>
    <w:p>
      <w:pPr>
        <w:spacing w:after="120" w:line="312"/>
        <w:jc w:val="both"/>
      </w:pPr>
      <w:r>
        <w:rPr>
          <w:rFonts w:ascii="Calibri" w:eastAsia="SimSun" w:hAnsi="Calibri"/>
          <w:b w:val="false"/>
          <w:bCs w:val="false"/>
          <w:color w:val="1A1A1A"/>
          <w:sz w:val="21"/>
          <w:szCs w:val="21"/>
        </w:rPr>
        <w:t xml:space="preserve">The single most load-bearing distinction of the entire architecture receives a final restatement here; the full treatment, including the producing subsystem for each state, is Section 2.3 [MS §97]. The four states are not equivalent:</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Prior</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Smooth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Execution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3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State</w:t>
            </w:r>
          </w:p>
        </w:tc>
        <w:tc>
          <w:tcPr>
            <w:tcW w:type="pct" w:w="7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One-Line Definition</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Prior (W^{Prior})</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Long-term starting preference — a soft stabilizing anchor, never a target to be hit.</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Target (W^{Target})</w:t>
            </w:r>
          </w:p>
        </w:tc>
        <w:tc>
          <w:tcPr>
            <w:tcW w:type="pct" w:w="7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Current mathematical optimum, before constitutional constraints are applied.</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Smoothed (W^{Smooth})</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Risk-controlled transition toward the constrained target, paced by the stress-adaptive smoothing rule.</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 (W^{Execution})</w:t>
            </w:r>
          </w:p>
        </w:tc>
        <w:tc>
          <w:tcPr>
            <w:tcW w:type="pct" w:w="7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Actual trade decision after cost, liquidity and reserve testing by MARP.</w:t>
            </w:r>
          </w:p>
        </w:tc>
      </w:tr>
    </w:tbl>
    <w:p>
      <w:pPr>
        <w:spacing w:after="120"/>
      </w:pPr>
    </w:p>
    <w:p>
      <w:pPr>
        <w:spacing w:after="120" w:line="312"/>
        <w:jc w:val="both"/>
      </w:pPr>
      <w:r>
        <w:rPr>
          <w:rFonts w:ascii="Calibri" w:eastAsia="SimSun" w:hAnsi="Calibri"/>
          <w:b w:val="false"/>
          <w:bCs w:val="false"/>
          <w:color w:val="1A1A1A"/>
          <w:sz w:val="21"/>
          <w:szCs w:val="21"/>
        </w:rPr>
        <w:t xml:space="preserve">This distinction eliminates the danger of accidentally creating a fixed-weight basket. Even if the target happens to equal the prior for many consecutive days — and in calm regimes it may — the system remains adaptive, because what is constitutional is the path from data to decision, not the destination. The COO review identifies this inequality as the safeguard that makes MTQ Σ dynamic rather than fixed-weight [COO-28], and it is echoed on-chain by the honest status string of Listing 15. Every downstream system — index valuation (Chapter 9), execution (Chapters 10–11), publication (Chapter 24) — consumes exactly one of these states, and conflating them in any implementation is a specification defect.</w:t>
      </w:r>
    </w:p>
    <w:p>
      <w:pPr>
        <w:pStyle w:val="Heading2"/>
        <w:keepNext/>
        <w:spacing w:after="160" w:before="360" w:line="340" w:lineRule="atLeast"/>
      </w:pPr>
      <w:bookmarkStart w:id="100303" w:name="_Toc100303"/>
      <w:r>
        <w:rPr>
          <w:rFonts w:ascii="Calibri" w:eastAsia="Microsoft YaHei" w:hAnsi="Calibri"/>
          <w:b/>
          <w:bCs/>
          <w:color w:val="1A1A1A"/>
          <w:sz w:val="28"/>
          <w:szCs w:val="28"/>
        </w:rPr>
        <w:t xml:space="preserve">26.3 The Final Conceptual Flow</w:t>
      </w:r>
      <w:bookmarkEnd w:id="100303"/>
    </w:p>
    <w:p>
      <w:pPr>
        <w:spacing w:after="120" w:line="312"/>
        <w:jc w:val="both"/>
      </w:pPr>
      <w:r>
        <w:rPr>
          <w:rFonts w:ascii="Calibri" w:eastAsia="SimSun" w:hAnsi="Calibri"/>
          <w:b w:val="false"/>
          <w:bCs w:val="false"/>
          <w:color w:val="1A1A1A"/>
          <w:sz w:val="21"/>
          <w:szCs w:val="21"/>
        </w:rPr>
        <w:t xml:space="preserve">Two diagrams summarize the complete architecture. They are deliberately complementary: the first is the data-flow view — what happens to the data, in order, from global inputs to published audit; the second is the two-engine hierarchy view — how the Reference Index and the Reserve run as parallel constitutional systems that merge at execution [MS §98; COO-28].</w:t>
      </w:r>
    </w:p>
    <w:p>
      <w:pPr>
        <w:pStyle w:val="Heading3"/>
        <w:keepNext/>
        <w:spacing w:after="120" w:before="300" w:line="312"/>
      </w:pPr>
      <w:bookmarkStart w:id="100304" w:name="_Toc100304"/>
      <w:r>
        <w:rPr>
          <w:rFonts w:ascii="Calibri" w:eastAsia="Microsoft YaHei" w:hAnsi="Calibri"/>
          <w:b/>
          <w:bCs/>
          <w:color w:val="333333"/>
          <w:sz w:val="24"/>
          <w:szCs w:val="24"/>
        </w:rPr>
        <w:t xml:space="preserve">26.3.1 The End-to-End Data-Flow View</w:t>
      </w:r>
      <w:bookmarkEnd w:id="100304"/>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GLOBAL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Reserve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Trade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FX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Gold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Liquidity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Inflation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Stress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CONSTITUENCY ENGINE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ELIGIBLE CURRENCY UNIVERSE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MASE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Institutional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Trade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Minimum Variance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Risk Parity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Diversification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CVaR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Purchasing Power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Regime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Limited Tactical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ENSEMBLE OPTIMIZER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ROBUST CONSTRAINTS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SMOOTHING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DAILY TARGET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MARP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No-trade?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Natural flow?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Cost-benefit?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Partial rebalance?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ACTUAL EXECUTION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RESERVE VERIFICATION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AUDIT / PUBLISH</w:t>
      </w:r>
    </w:p>
    <w:p>
      <w:pPr>
        <w:spacing w:after="120"/>
      </w:pPr>
    </w:p>
    <w:p>
      <w:pPr>
        <w:spacing w:after="120" w:line="312"/>
        <w:jc w:val="both"/>
      </w:pPr>
      <w:r>
        <w:rPr>
          <w:rFonts w:ascii="Calibri" w:eastAsia="SimSun" w:hAnsi="Calibri"/>
          <w:b w:val="false"/>
          <w:bCs w:val="false"/>
          <w:color w:val="1A1A1A"/>
          <w:sz w:val="21"/>
          <w:szCs w:val="21"/>
        </w:rPr>
        <w:t xml:space="preserve">The pipeline is strictly one-directional: data determines eligibility, eligibility bounds the optimizer, the optimizer proposes, constraints dispose, smoothing paces, MARP decides, and verification plus publication close the loop. The complete live-weight equation that formalizes this pipeline — including the projection and smoothing operators — is specified in Chapter 24, where deterministic reproducibility makes every arrow auditable.</w:t>
      </w:r>
    </w:p>
    <w:p>
      <w:pPr>
        <w:pStyle w:val="Heading3"/>
        <w:keepNext/>
        <w:spacing w:after="120" w:before="300" w:line="312"/>
      </w:pPr>
      <w:bookmarkStart w:id="100305" w:name="_Toc100305"/>
      <w:r>
        <w:rPr>
          <w:rFonts w:ascii="Calibri" w:eastAsia="Microsoft YaHei" w:hAnsi="Calibri"/>
          <w:b/>
          <w:bCs/>
          <w:color w:val="333333"/>
          <w:sz w:val="24"/>
          <w:szCs w:val="24"/>
        </w:rPr>
        <w:t xml:space="preserve">26.3.2 The Two-Engine Hierarchy View (COO-Approved Final Architecture)</w:t>
      </w:r>
      <w:bookmarkEnd w:id="100305"/>
    </w:p>
    <w:p>
      <w:pPr>
        <w:spacing w:after="120" w:line="312"/>
        <w:jc w:val="both"/>
      </w:pPr>
      <w:r>
        <w:rPr>
          <w:rFonts w:ascii="Calibri" w:eastAsia="SimSun" w:hAnsi="Calibri"/>
          <w:b w:val="false"/>
          <w:bCs w:val="false"/>
          <w:color w:val="1A1A1A"/>
          <w:sz w:val="21"/>
          <w:szCs w:val="21"/>
        </w:rPr>
        <w:t xml:space="preserve">The COO-approved merged architecture shows the same pipeline organized as two parallel engines under one unit, merging at MARP and separating again only at the audit layer [COO-28]:</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MTQ Σ</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REFERENCE INDEX                               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CONSTITUENCY ENGINE                    RESERVE ENGINE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ELIGIBLE UNIVERSE                     Coverage / Liquidity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Custody / 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MASE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Institutional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Stability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Purchasing Power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ROBUST ENSEMBLE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CONSTRAINT PROJECTION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DYNAMIC BOUNDS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SMOOTHING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DAILY TARGET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MARP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CASH FLOW         NO-TRADE ZONE         RISK TRIGGER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COST-BENEFIT GATE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PARTIAL EXECUTION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VERIFICATION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AUDIT / PUBLICATION</w:t>
      </w:r>
    </w:p>
    <w:p>
      <w:pPr>
        <w:spacing w:after="120"/>
      </w:pPr>
    </w:p>
    <w:p>
      <w:pPr>
        <w:pStyle w:val="Heading3"/>
        <w:keepNext/>
        <w:spacing w:after="120" w:before="300" w:line="312"/>
      </w:pPr>
      <w:bookmarkStart w:id="100306" w:name="_Toc100306"/>
      <w:r>
        <w:rPr>
          <w:rFonts w:ascii="Calibri" w:eastAsia="Microsoft YaHei" w:hAnsi="Calibri"/>
          <w:b/>
          <w:bCs/>
          <w:color w:val="333333"/>
          <w:sz w:val="24"/>
          <w:szCs w:val="24"/>
        </w:rPr>
        <w:t xml:space="preserve">26.3.3 How the Two Views Relate</w:t>
      </w:r>
      <w:bookmarkEnd w:id="100306"/>
    </w:p>
    <w:p>
      <w:pPr>
        <w:spacing w:after="120" w:line="312"/>
        <w:jc w:val="both"/>
      </w:pPr>
      <w:r>
        <w:rPr>
          <w:rFonts w:ascii="Calibri" w:eastAsia="SimSun" w:hAnsi="Calibri"/>
          <w:b w:val="false"/>
          <w:bCs w:val="false"/>
          <w:color w:val="1A1A1A"/>
          <w:sz w:val="21"/>
          <w:szCs w:val="21"/>
        </w:rPr>
        <w:t xml:space="preserve">The two diagrams are the same architecture seen from two angles. The data-flow view (Section 26.3.1) reads vertically: it answers "what happens next to the data" and makes the sequence of mathematical stages explicit, including the full MASE candidate fan-out (ten model families) and the five MARP decision questions. The hierarchy view (Section 26.3.2) reads horizontally: it answers "which constitutional system owns each stage" — the Reference Index column (constituency, MASE, ensemble, constraints, smoothing, daily target) and the Reserve column (coverage, liquidity, custody, gold), which run in parallel under the single identity MTQ Σ and converge only at MARP. The convergence is the architectural point: the reserve engine's coverage, liquidity, custody and gold state feed the cash-flow, no-trade-zone and risk-trigger inputs of MARP, so execution is priced against reserve reality, not against the index alone. Downstream of MARP the views re-merge completely — cost-benefit gate, partial execution, verification, audit and publication are shared obligations of both engines. The COO review presents the hierarchy view as the final merged architecture precisely because it shows, in one picture, that index mathematics and reserve economics are separate until the moment a trade must be justified.</w:t>
      </w:r>
    </w:p>
    <w:p>
      <w:pPr>
        <w:pStyle w:val="Heading2"/>
        <w:keepNext/>
        <w:spacing w:after="160" w:before="360" w:line="340" w:lineRule="atLeast"/>
      </w:pPr>
      <w:bookmarkStart w:id="100307" w:name="_Toc100307"/>
      <w:r>
        <w:rPr>
          <w:rFonts w:ascii="Calibri" w:eastAsia="Microsoft YaHei" w:hAnsi="Calibri"/>
          <w:b/>
          <w:bCs/>
          <w:color w:val="1A1A1A"/>
          <w:sz w:val="28"/>
          <w:szCs w:val="28"/>
        </w:rPr>
        <w:t xml:space="preserve">26.4 The Final Strategic Basket Statement</w:t>
      </w:r>
      <w:bookmarkEnd w:id="100307"/>
    </w:p>
    <w:p>
      <w:pPr>
        <w:spacing w:after="120" w:line="312"/>
        <w:jc w:val="both"/>
      </w:pPr>
      <w:r>
        <w:rPr>
          <w:rFonts w:ascii="Calibri" w:eastAsia="SimSun" w:hAnsi="Calibri"/>
          <w:b w:val="false"/>
          <w:bCs w:val="false"/>
          <w:color w:val="1A1A1A"/>
          <w:sz w:val="21"/>
          <w:szCs w:val="21"/>
        </w:rPr>
        <w:t xml:space="preserve">The current starting prior remains [MS §99]:</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StrategicPrior</w:t>
      </w:r>
      <w:r>
        <w:rPr>
          <w:rFonts w:ascii="Cambria" w:eastAsia="SimSun" w:hAnsi="Cambria"/>
          <w:i/>
          <w:iCs/>
          <w:color w:val="1A1A1A"/>
          <w:sz w:val="22"/>
          <w:szCs w:val="22"/>
        </w:rPr>
        <w:t xml:space="preserve"> = [USD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27</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EUR</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20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JPY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9</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GBP</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8</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CNY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5</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CHF</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5</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Gold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26</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but this is </w:t>
      </w:r>
      <w:r>
        <w:rPr>
          <w:rFonts w:ascii="Calibri" w:eastAsia="SimSun" w:hAnsi="Calibri"/>
          <w:b/>
          <w:bCs/>
          <w:color w:val="1A1A1A"/>
          <w:sz w:val="21"/>
          <w:szCs w:val="21"/>
        </w:rPr>
        <w:t xml:space="preserve">NOT the live weighting</w:t>
      </w:r>
      <w:r>
        <w:rPr>
          <w:rFonts w:ascii="Calibri" w:eastAsia="SimSun" w:hAnsi="Calibri"/>
          <w:b w:val="false"/>
          <w:bCs w:val="false"/>
          <w:color w:val="1A1A1A"/>
          <w:sz w:val="21"/>
          <w:szCs w:val="21"/>
        </w:rPr>
        <w:t xml:space="preserve">. The published prior is a research snapshot — the genesis anchor and the soft reference of the StrategicDrift penalty (Section 7.1) — and quoting it as the composition of MTQ Σ is the most common and most serious misstatement of the protocol (Sections 25.3 and 25.6.2). The live weight vector is: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USD,t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EUR,t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JPY,t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GBP,t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CNY,t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CHF,t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with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1</w:t>
      </w:r>
    </w:p>
    <w:p>
      <w:pPr>
        <w:spacing w:after="120" w:line="312"/>
        <w:jc w:val="both"/>
      </w:pPr>
      <w:r>
        <w:rPr>
          <w:rFonts w:ascii="Calibri" w:eastAsia="SimSun" w:hAnsi="Calibri"/>
          <w:b w:val="false"/>
          <w:bCs w:val="false"/>
          <w:color w:val="1A1A1A"/>
          <w:sz w:val="21"/>
          <w:szCs w:val="21"/>
        </w:rPr>
        <w:t xml:space="preserve">with every component changing according to the MASE/MARP architecture, and therefore:</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26</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and</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USD,t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27</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in general</w:t>
      </w:r>
    </w:p>
    <w:p>
      <w:pPr>
        <w:spacing w:after="120" w:line="312"/>
        <w:jc w:val="both"/>
      </w:pPr>
      <w:r>
        <w:rPr>
          <w:rFonts w:ascii="Calibri" w:eastAsia="SimSun" w:hAnsi="Calibri"/>
          <w:b w:val="false"/>
          <w:bCs w:val="false"/>
          <w:color w:val="1A1A1A"/>
          <w:sz w:val="21"/>
          <w:szCs w:val="21"/>
        </w:rPr>
        <w:t xml:space="preserve">The same applies to every other component. Only the published W_t series (Section 24.3) describes the composition of MTQ Σ at any time, and only for the effective period it covers. When the research program revises the prior (Chapter 23), the change flows through governance as a new methodology version and is re-published — the definition of the unit, which is the methodology, never wavers.</w:t>
      </w:r>
    </w:p>
    <w:p>
      <w:pPr>
        <w:pStyle w:val="Heading2"/>
        <w:keepNext/>
        <w:spacing w:after="160" w:before="360" w:line="340" w:lineRule="atLeast"/>
      </w:pPr>
      <w:bookmarkStart w:id="100308" w:name="_Toc100308"/>
      <w:r>
        <w:rPr>
          <w:rFonts w:ascii="Calibri" w:eastAsia="Microsoft YaHei" w:hAnsi="Calibri"/>
          <w:b/>
          <w:bCs/>
          <w:color w:val="1A1A1A"/>
          <w:sz w:val="28"/>
          <w:szCs w:val="28"/>
        </w:rPr>
        <w:t xml:space="preserve">26.5 The COO-Approved Principles</w:t>
      </w:r>
      <w:bookmarkEnd w:id="100308"/>
    </w:p>
    <w:p>
      <w:pPr>
        <w:pStyle w:val="Heading3"/>
        <w:keepNext/>
        <w:spacing w:after="120" w:before="300" w:line="312"/>
      </w:pPr>
      <w:bookmarkStart w:id="100309" w:name="_Toc100309"/>
      <w:r>
        <w:rPr>
          <w:rFonts w:ascii="Calibri" w:eastAsia="Microsoft YaHei" w:hAnsi="Calibri"/>
          <w:b/>
          <w:bCs/>
          <w:color w:val="333333"/>
          <w:sz w:val="24"/>
          <w:szCs w:val="24"/>
        </w:rPr>
        <w:t xml:space="preserve">26.5.1 The Rebalancing Principle</w:t>
      </w:r>
      <w:bookmarkEnd w:id="100309"/>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MTQ Σ shall be continuously monitored and mathematically recalculated, but shall not be continuously traded. The system shall rebalance only when predefined economic, risk, structural, reserve, liquidity or emergency conditions justify the expected execution cost. Natural cash flows shall be preferred, deviations shall normally be corrected partially, and every trade shall be subject to transaction-cost, liquidity, turnover and reserve constraints.</w:t>
      </w:r>
    </w:p>
    <w:p>
      <w:pPr>
        <w:spacing w:after="120" w:line="312"/>
        <w:jc w:val="both"/>
      </w:pPr>
      <w:r>
        <w:rPr>
          <w:rFonts w:ascii="Calibri" w:eastAsia="SimSun" w:hAnsi="Calibri"/>
          <w:b w:val="false"/>
          <w:bCs w:val="false"/>
          <w:color w:val="1A1A1A"/>
          <w:sz w:val="21"/>
          <w:szCs w:val="21"/>
        </w:rPr>
        <w:t xml:space="preserve">This is the operating constitution of the execution layer, and every mechanism of Chapters 10–13 exists to enforce one of its clauses [MS §100]. Continuously monitored and recalculated is the daily MASE computation (Chapter 7); shall not be continuously traded is the no-trade zone (Chapter 10) and invariant I11; justification of expected execution cost is the cost-benefit gate (Chapter 11); preference for natural cash flows is the flow-redirection rule that lets mints and redptions do the rebalancing work before any external trade (Appendix C.3); partial correction is the β-coefficient rule (Appendix C.2); and the final clause binds every trade to transaction-cost, liquidity, turnover and reserve constraints simultaneously, which is why MARP consumes four independent gate families rather than a single threshold. The principle converts a philosophical commitment — stability without churn — into checkable rules.</w:t>
      </w:r>
    </w:p>
    <w:p>
      <w:pPr>
        <w:pStyle w:val="Heading3"/>
        <w:keepNext/>
        <w:spacing w:after="120" w:before="300" w:line="312"/>
      </w:pPr>
      <w:bookmarkStart w:id="100310" w:name="_Toc100310"/>
      <w:r>
        <w:rPr>
          <w:rFonts w:ascii="Calibri" w:eastAsia="Microsoft YaHei" w:hAnsi="Calibri"/>
          <w:b/>
          <w:bCs/>
          <w:color w:val="333333"/>
          <w:sz w:val="24"/>
          <w:szCs w:val="24"/>
        </w:rPr>
        <w:t xml:space="preserve">26.5.2 The Monetary Principle</w:t>
      </w:r>
      <w:bookmarkEnd w:id="100310"/>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MTQ Σ does not promise a fixed composition. It promises a fixed methodology.</w:t>
      </w:r>
    </w:p>
    <w:p>
      <w:pPr>
        <w:spacing w:after="120" w:line="312"/>
        <w:jc w:val="both"/>
      </w:pPr>
      <w:r>
        <w:rPr>
          <w:rFonts w:ascii="Calibri" w:eastAsia="SimSun" w:hAnsi="Calibri"/>
          <w:b w:val="false"/>
          <w:bCs w:val="false"/>
          <w:color w:val="1A1A1A"/>
          <w:sz w:val="21"/>
          <w:szCs w:val="21"/>
        </w:rPr>
        <w:t xml:space="preserve">This is the correct distinction, and it is the one-sentence answer to every question of the form "what does MTQ Σ hold?" [MS §101]. The weights may change. The currencies may change. The gold allocation may change. The optimization model may adapt. But the rules governing how those changes occur remain transparent, bounded, auditable and constitutionally controlled. The distinction matters because a fixed composition and a fixed methodology fail differently: a fixed composition fails catastrophically when the world it assumed moves on, while a fixed methodology fails visibly — a constraint is breached, a gate rejects a trade, a weight leaves its envelope — and the failure is correctable through the same published rules. Promising the methodology is also what makes the promise verifiable: anyone can reproduce the weights from published data (Chapter 24), whereas no one can verify a promise about future composition.</w:t>
      </w:r>
    </w:p>
    <w:p>
      <w:pPr>
        <w:pStyle w:val="Heading2"/>
        <w:keepNext/>
        <w:spacing w:after="160" w:before="360" w:line="340" w:lineRule="atLeast"/>
      </w:pPr>
      <w:bookmarkStart w:id="100311" w:name="_Toc100311"/>
      <w:r>
        <w:rPr>
          <w:rFonts w:ascii="Calibri" w:eastAsia="Microsoft YaHei" w:hAnsi="Calibri"/>
          <w:b/>
          <w:bCs/>
          <w:color w:val="1A1A1A"/>
          <w:sz w:val="28"/>
          <w:szCs w:val="28"/>
        </w:rPr>
        <w:t xml:space="preserve">26.6 Final Architecture Status — Locked and Not Locked</w:t>
      </w:r>
      <w:bookmarkEnd w:id="100311"/>
    </w:p>
    <w:p>
      <w:pPr>
        <w:spacing w:after="120" w:line="312"/>
        <w:jc w:val="both"/>
      </w:pPr>
      <w:r>
        <w:rPr>
          <w:rFonts w:ascii="Calibri" w:eastAsia="SimSun" w:hAnsi="Calibri"/>
          <w:b w:val="false"/>
          <w:bCs w:val="false"/>
          <w:color w:val="1A1A1A"/>
          <w:sz w:val="21"/>
          <w:szCs w:val="21"/>
        </w:rPr>
        <w:t xml:space="preserve">The final architecture status distinguishes concepts that are locked — constitutional, part of the definition of the system — from quantities that are not locked and must be quantitatively validated before they can be called final [MS §102]. Both lists are carried in full.</w:t>
      </w:r>
    </w:p>
    <w:p>
      <w:pPr>
        <w:pStyle w:val="Heading3"/>
        <w:keepNext/>
        <w:spacing w:after="120" w:before="300" w:line="312"/>
      </w:pPr>
      <w:bookmarkStart w:id="100312" w:name="_Toc100312"/>
      <w:r>
        <w:rPr>
          <w:rFonts w:ascii="Calibri" w:eastAsia="Microsoft YaHei" w:hAnsi="Calibri"/>
          <w:b/>
          <w:bCs/>
          <w:color w:val="333333"/>
          <w:sz w:val="24"/>
          <w:szCs w:val="24"/>
        </w:rPr>
        <w:t xml:space="preserve">26.6.1 Locked Concepts</w:t>
      </w:r>
      <w:bookmarkEnd w:id="100312"/>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t>
            </w:r>
          </w:p>
        </w:tc>
        <w:tc>
          <w:tcPr>
            <w:tcW w:type="pct" w:w="8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Locked Concept (constitutional)</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the project identity.</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is an explicit reference-basket component.</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is not merely a weighting multiplier.</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reference allocation and gold reserve allocation are separate.</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Currency selection and currency weighting are separate.</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USD/EUR/JPY/GBP/CNY/CHF are the initial core candidate universe.</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CAD/AUD/SGD and other currencies remain eligible candidates.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percentages are priors, not fixed live weights.</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is the adaptive weighting engine.</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Multiple optimizers are combined.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Robust covariance is used.</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CVaR is included.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13</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Purchasing-power stability is included.</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14</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Regime analysis is included.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15</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Hard constraints exist.</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16</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priors are soft anchors.</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17</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Turnover is penalized.</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18</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 is cost-aware.</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19</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Daily calculation does not mean daily trading.</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zones are used.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Bands can adapt.</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Partial rebalancing is preferred.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23</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Natural cash flow is preferred.</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and index management are separate.</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Multi-source gold valuation is required.</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26</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Tokenized gold is an eligible instrument, not the definition of gold.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27</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artificial price support.</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28</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discretionary buybacks.</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29</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 controls protect system integrity rather than market price.</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30</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Backtests must be rebuilt for MTQ Σ.</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31</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Walk-forward and out-of-sample validation are mandatory.</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32</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Model robustness matters more than maximum historical return.</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33</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Every live weight must be reproducible from published data and rules.</w:t>
            </w:r>
          </w:p>
        </w:tc>
      </w:tr>
    </w:tbl>
    <w:p>
      <w:pPr>
        <w:spacing w:after="120"/>
      </w:pPr>
    </w:p>
    <w:p>
      <w:pPr>
        <w:pStyle w:val="Heading3"/>
        <w:keepNext/>
        <w:spacing w:after="120" w:before="300" w:line="312"/>
      </w:pPr>
      <w:bookmarkStart w:id="100313" w:name="_Toc100313"/>
      <w:r>
        <w:rPr>
          <w:rFonts w:ascii="Calibri" w:eastAsia="Microsoft YaHei" w:hAnsi="Calibri"/>
          <w:b/>
          <w:bCs/>
          <w:color w:val="333333"/>
          <w:sz w:val="24"/>
          <w:szCs w:val="24"/>
        </w:rPr>
        <w:t xml:space="preserve">26.6.2 Not Locked — Must Be Quantitatively Validated</w:t>
      </w:r>
      <w:bookmarkEnd w:id="100313"/>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t>
            </w:r>
          </w:p>
        </w:tc>
        <w:tc>
          <w:tcPr>
            <w:tcW w:type="pct" w:w="8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Not Locked — Must Be Quantitatively Validated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final currency weights.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final gold weight.</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gold corridor.</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currency corridors.</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MASE model coefficients.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ensemble coefficients.</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no-trade thresholds.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smoothing factor.</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partial-rebalance coefficient.</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turnover penalty.</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crisis thresholds.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reserve gold allocation.</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13</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reserve liquidity buffer.</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14</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review frequency where data quality suggests an alternative.</w:t>
            </w:r>
          </w:p>
        </w:tc>
      </w:tr>
    </w:tbl>
    <w:p>
      <w:pPr>
        <w:spacing w:after="120"/>
      </w:pPr>
    </w:p>
    <w:p>
      <w:pPr>
        <w:spacing w:after="120" w:line="312"/>
        <w:jc w:val="both"/>
      </w:pPr>
      <w:r>
        <w:rPr>
          <w:rFonts w:ascii="Calibri" w:eastAsia="SimSun" w:hAnsi="Calibri"/>
          <w:b w:val="false"/>
          <w:bCs w:val="false"/>
          <w:color w:val="1A1A1A"/>
          <w:sz w:val="21"/>
          <w:szCs w:val="21"/>
        </w:rPr>
        <w:t xml:space="preserve">This distinction is deliberate. </w:t>
      </w:r>
      <w:r>
        <w:rPr>
          <w:rFonts w:ascii="Calibri" w:eastAsia="SimSun" w:hAnsi="Calibri"/>
          <w:b/>
          <w:bCs/>
          <w:color w:val="1A1A1A"/>
          <w:sz w:val="21"/>
          <w:szCs w:val="21"/>
        </w:rPr>
        <w:t xml:space="preserve">No numerical weighting percentage should be described as "the final optimal weight" until it survives the complete MTQ Σ research program</w:t>
      </w:r>
      <w:r>
        <w:rPr>
          <w:rFonts w:ascii="Calibri" w:eastAsia="SimSun" w:hAnsi="Calibri"/>
          <w:b w:val="false"/>
          <w:bCs w:val="false"/>
          <w:color w:val="1A1A1A"/>
          <w:sz w:val="21"/>
          <w:szCs w:val="21"/>
        </w:rPr>
        <w:t xml:space="preserve"> (Chapter 23) and Gate 2 of the validation sequence (Section 25.5). Every number in this document is therefore either a constitutional envelope, a validation-stage research value, or a genesis snapshot — never a final optimum.</w:t>
      </w:r>
    </w:p>
    <w:p>
      <w:pPr>
        <w:pStyle w:val="Heading3"/>
        <w:keepNext/>
        <w:spacing w:after="120" w:before="300" w:line="312"/>
      </w:pPr>
      <w:bookmarkStart w:id="100314" w:name="_Toc100314"/>
      <w:r>
        <w:rPr>
          <w:rFonts w:ascii="Calibri" w:eastAsia="Microsoft YaHei" w:hAnsi="Calibri"/>
          <w:b/>
          <w:bCs/>
          <w:color w:val="333333"/>
          <w:sz w:val="24"/>
          <w:szCs w:val="24"/>
        </w:rPr>
        <w:t xml:space="preserve">26.6.3 The Second Mathematical Layer (COO Final Conclusion)</w:t>
      </w:r>
      <w:bookmarkEnd w:id="100314"/>
    </w:p>
    <w:p>
      <w:pPr>
        <w:spacing w:after="120" w:line="312"/>
        <w:jc w:val="both"/>
      </w:pPr>
      <w:r>
        <w:rPr>
          <w:rFonts w:ascii="Calibri" w:eastAsia="SimSun" w:hAnsi="Calibri"/>
          <w:b w:val="false"/>
          <w:bCs w:val="false"/>
          <w:color w:val="1A1A1A"/>
          <w:sz w:val="21"/>
          <w:szCs w:val="21"/>
        </w:rPr>
        <w:t xml:space="preserve">The COO review's final conclusion frames the status of this document relative to its predecessor [COO-28]: the consolidated modification specification was not wrong — it was an excellent consolidated architectural document — but compared with the final architecture it was missing a second mathematical layer that must not be omitted before MTQ Σ is called production-ready. The missing pieces were principally: index valuation, chain-linking, risk mathematics, adaptive ensemble mathematics, execution economics, liquidity mathematics, stress mathematics and audit mathematics.</w:t>
      </w:r>
    </w:p>
    <w:p>
      <w:pPr>
        <w:spacing w:after="120" w:line="312"/>
        <w:jc w:val="both"/>
      </w:pPr>
      <w:r>
        <w:rPr>
          <w:rFonts w:ascii="Calibri" w:eastAsia="SimSun" w:hAnsi="Calibri"/>
          <w:b w:val="false"/>
          <w:bCs w:val="false"/>
          <w:color w:val="1A1A1A"/>
          <w:sz w:val="21"/>
          <w:szCs w:val="21"/>
        </w:rPr>
        <w:t xml:space="preserve">That second layer is now part of the locked architecture: index valuation and chain-linking (Chapter 9), risk mathematics (Chapter 6), adaptive ensemble mathematics (Chapters 5 and 7), execution economics (Chapters 10–12), liquidity mathematics (Chapter 13), stress mathematics (Chapters 18 and 23) and audit mathematics (Chapter 24). And one conceptual point remains absolutely explicit, as the COO review requires:</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Prior</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Smooth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Execution</w:t>
      </w:r>
    </w:p>
    <w:p>
      <w:pPr>
        <w:spacing w:after="120" w:line="312"/>
        <w:jc w:val="both"/>
      </w:pPr>
      <w:r>
        <w:rPr>
          <w:rFonts w:ascii="Calibri" w:eastAsia="SimSun" w:hAnsi="Calibri"/>
          <w:b w:val="false"/>
          <w:bCs w:val="false"/>
          <w:color w:val="1A1A1A"/>
          <w:sz w:val="21"/>
          <w:szCs w:val="21"/>
        </w:rPr>
        <w:t xml:space="preserve">That is the safeguard that makes MTQ Σ dynamic rather than fixed-weight. With the second layer locked, the honest status of the architecture is: conceptually complete and specified end-to-end, quantitatively unvalidated — which is exactly the state the validation gates of Section 25.5 exist to resolve.</w:t>
      </w:r>
    </w:p>
    <w:p>
      <w:pPr>
        <w:pStyle w:val="Heading2"/>
        <w:keepNext/>
        <w:spacing w:after="160" w:before="360" w:line="340" w:lineRule="atLeast"/>
      </w:pPr>
      <w:bookmarkStart w:id="100315" w:name="_Toc100315"/>
      <w:r>
        <w:rPr>
          <w:rFonts w:ascii="Calibri" w:eastAsia="Microsoft YaHei" w:hAnsi="Calibri"/>
          <w:b/>
          <w:bCs/>
          <w:color w:val="1A1A1A"/>
          <w:sz w:val="28"/>
          <w:szCs w:val="28"/>
        </w:rPr>
        <w:t xml:space="preserve">26.7 The Final One-Sentence Definition</w:t>
      </w:r>
      <w:bookmarkEnd w:id="100315"/>
    </w:p>
    <w:p>
      <w:pPr>
        <w:spacing w:after="120" w:line="312"/>
        <w:jc w:val="both"/>
      </w:pPr>
      <w:r>
        <w:rPr>
          <w:rFonts w:ascii="Calibri" w:eastAsia="SimSun" w:hAnsi="Calibri"/>
          <w:b w:val="false"/>
          <w:bCs w:val="false"/>
          <w:color w:val="1A1A1A"/>
          <w:sz w:val="21"/>
          <w:szCs w:val="21"/>
        </w:rPr>
        <w:t xml:space="preserve">The definition of the unit, in one sentence [MS §103]:</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MTQ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is a transparent, dynamically weighted, multi-currency-and-gold monetary reference architecture in which the live composition is continuously calculated by a constrained, robust, multi-model stability engine and changed only through cost-aware, risk-aware, liquidity-aware rebalancing rules.</w:t>
      </w:r>
    </w:p>
    <w:p>
      <w:pPr>
        <w:spacing w:after="120" w:line="312"/>
        <w:jc w:val="both"/>
      </w:pPr>
      <w:r>
        <w:rPr>
          <w:rFonts w:ascii="Calibri" w:eastAsia="SimSun" w:hAnsi="Calibri"/>
          <w:b w:val="false"/>
          <w:bCs w:val="false"/>
          <w:color w:val="1A1A1A"/>
          <w:sz w:val="21"/>
          <w:szCs w:val="21"/>
        </w:rPr>
        <w:t xml:space="preserve">Every clause of the sentence is load-bearing and traceable: transparent (publication layer, Chapter 24); dynamically weighted (invariant I3); multi-currency-and-gold (Chapters 3–4); continuously calculated (daily MASE, Chapter 7); constrained, robust, multi-model (Chapters 6–8); and changed only through cost-aware, risk-aware, liquidity-aware rules (MARP, Chapters 10–13). If a summary of MTQ Σ ever contradicts this sentence, the summary is wrong. The sentence is also the boundary of legitimate paraphrase: shorter descriptions may drop clauses (an elevator pitch need not mention liquidity-awareness), but no description may add a clause the architecture does not have — a fixed weight, a peg, a guarantee — without becoming a misrepresentation. In any conflict between a derived summary and this definition, the definition governs, exactly as this document governs its sources (Section 26.8.3).</w:t>
      </w:r>
    </w:p>
    <w:p>
      <w:pPr>
        <w:pStyle w:val="Heading2"/>
        <w:keepNext/>
        <w:spacing w:after="160" w:before="360" w:line="340" w:lineRule="atLeast"/>
      </w:pPr>
      <w:bookmarkStart w:id="100316" w:name="_Toc100316"/>
      <w:r>
        <w:rPr>
          <w:rFonts w:ascii="Calibri" w:eastAsia="Microsoft YaHei" w:hAnsi="Calibri"/>
          <w:b/>
          <w:bCs/>
          <w:color w:val="1A1A1A"/>
          <w:sz w:val="28"/>
          <w:szCs w:val="28"/>
        </w:rPr>
        <w:t xml:space="preserve">26.8 Complete Specification Summary and Source of Truth</w:t>
      </w:r>
      <w:bookmarkEnd w:id="100316"/>
    </w:p>
    <w:p>
      <w:pPr>
        <w:pStyle w:val="Heading3"/>
        <w:keepNext/>
        <w:spacing w:after="120" w:before="300" w:line="312"/>
      </w:pPr>
      <w:bookmarkStart w:id="100317" w:name="_Toc100317"/>
      <w:r>
        <w:rPr>
          <w:rFonts w:ascii="Calibri" w:eastAsia="Microsoft YaHei" w:hAnsi="Calibri"/>
          <w:b/>
          <w:bCs/>
          <w:color w:val="333333"/>
          <w:sz w:val="24"/>
          <w:szCs w:val="24"/>
        </w:rPr>
        <w:t xml:space="preserve">26.8.1 Complete Specification Summary Table</w:t>
      </w:r>
      <w:bookmarkEnd w:id="100317"/>
    </w:p>
    <w:p>
      <w:pPr>
        <w:spacing w:after="120" w:line="312"/>
        <w:jc w:val="both"/>
      </w:pPr>
      <w:r>
        <w:rPr>
          <w:rFonts w:ascii="Calibri" w:eastAsia="SimSun" w:hAnsi="Calibri"/>
          <w:b w:val="false"/>
          <w:bCs w:val="false"/>
          <w:color w:val="1A1A1A"/>
          <w:sz w:val="21"/>
          <w:szCs w:val="21"/>
        </w:rPr>
        <w:t xml:space="preserve">The table below summarizes the complete specification by chapter, updating the blueprint's final summary so that fixed-quantity rows become adaptive-methodology rows [BP §16.2]. Status values: FIXED (constitutionally closed formula), SPECIFIED (fully defined mechanism with validation-stage parameters), DECLARED (governance-adopted declaration).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Section</w:t>
            </w:r>
          </w:p>
        </w:tc>
        <w:tc>
          <w:tcPr>
            <w:tcW w:type="pct" w:w="2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Component</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Status</w:t>
            </w:r>
          </w:p>
        </w:tc>
        <w:tc>
          <w:tcPr>
            <w:tcW w:type="pct" w:w="5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Key Parameters / Content</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Core variables and constitutional separation</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 = 1.00; RR target 1.10 / stress 1.05 / hard 1.00; invariants I1–I12; adaptive weight registry (Listing 1).</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3</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Adaptive reference basket</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prior as soft anchor; gold as first-class component; genesis snapshot q_i; I_0 = 1.0000.</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4</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Currency Constituency Engine</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Eligibility score Q_i (eight components); thresholds Q_min / Q_entry / Q_exit; COFER and BIS inputs; transition ramps.</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5</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input signals and regime detection</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Multi-horizon volatility; gold-relative purchasing-power signal; z-scores; six regimes; CrisisScore_t.</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6</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estimation and candidate models</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Σ_robust shrinkage; minimum variance; ERC; maximum diversification; CVaR_95; MDD control; purchasing-power objective.</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7</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Composite objective and ensemble</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Eight-term objective (λ_1–λ_8); candidate families; adaptive α_m (softmax, temperature η); Listing 2 registry.</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8</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Robust constraints and dynamic bounds</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Admissibility envelopes; velocity limits; adaptive no-trade bands; stress-adaptive smoothing ρ_t.</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9</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Index valuation and chain-linking</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I_t = G_t · Σ_i w_{i,t} (P_{i,t}/P_{i,0}); chain-link normalization; base fixings immutable.</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10</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 philosophy (MARP rules)</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zones θ_{i,t}; partial rebalancing β; natural-flow preference; no daily trading (I11).</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11</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MARP execution engine</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Cost-benefit objective J(ΔW); direction lock; liquidity-aware sizing; execution contract.</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12</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 and slippage</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Two-sided bounds: sell ≥ oracle × (1 − τ), buy ≤ oracle × (1 + τ).</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13</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architecture</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Coverage, liquidity, custody; gold reserve allocation separate from reference allocation (I12); first-loss layering.</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14</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NAV and risk ratios</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V_{net,t} = Σ_j Q_j · P_j · (1 − H_j); RR_t = V_{net,t}/L_t; LCR_t.</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15</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Asset Admission Registry</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Eight eligibility criteria; four states (ACTIVE, WATCH, RESTRICTED, EJECTED).</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16</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Dynamic buffer</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BASE (62.5% gold), STRESS (85%), EMERGENCY (100%); 24-hour ramping; first-loss waterfall.</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17</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architecture</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Pyth, Chronicle; staleness &lt; 60 s; confidence &lt; 1%; deviation &lt; 2.5%; canonical gold quorum.</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18</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state machine</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Six states; 48-hour recovery confirmation; four-layer governance interlock.</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19</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and redemption</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MTQ_minted = X_net / P_{MTQ,t}; RedeemValue = Y × NAV_t (invariants I5, I6).</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20</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 and treasury</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 deposit → initial supply → Genesis Reserve; treasury sweep threshold $10,000.</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21</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Geopolitical eject</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Staged liquidation 10% → 25% → 50% → 100%; reintegration score R ≥ 0.80.</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22</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Governance</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(7/7), Monetary (DAO 51%), Risk (4/7), Emergency (4/7); parameter registry.</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23</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Validation and research program</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Backtest rebuild; walk-forward; leakage control; parameter perturbation; robustness scoring.</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24</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Transparency, publication and audit</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Deterministic reproducibility; data versioning; weight publication; decision log; final live-weight equation.</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25</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Honest status</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DECLARED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Supported and unsupported claims; honest status table; 11 validation gates; Listing 15.</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26</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Final declarations</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DECLARED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Final declaration; four-state distinction; conceptual flows; locked / not-locked status; one-sentence definition.</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The validation-gate table of BP §16.3 duplicates BP §15.5 verbatim; it is not repeated here. The authoritative gate sequence is Section 25.5, enforced on-chain by Listing 15.</w:t>
      </w:r>
    </w:p>
    <w:p>
      <w:pPr>
        <w:pStyle w:val="Heading3"/>
        <w:keepNext/>
        <w:spacing w:after="120" w:before="300" w:line="312"/>
      </w:pPr>
      <w:bookmarkStart w:id="100318" w:name="_Toc100318"/>
      <w:r>
        <w:rPr>
          <w:rFonts w:ascii="Calibri" w:eastAsia="Microsoft YaHei" w:hAnsi="Calibri"/>
          <w:b/>
          <w:bCs/>
          <w:color w:val="333333"/>
          <w:sz w:val="24"/>
          <w:szCs w:val="24"/>
        </w:rPr>
        <w:t xml:space="preserve">26.8.2 Final Honest Status Declaration</w:t>
      </w:r>
      <w:bookmarkEnd w:id="100318"/>
    </w:p>
    <w:p>
      <w:pPr>
        <w:spacing w:after="120" w:line="312"/>
        <w:jc w:val="both"/>
      </w:pPr>
      <w:r>
        <w:rPr>
          <w:rFonts w:ascii="Calibri" w:eastAsia="SimSun" w:hAnsi="Calibri"/>
          <w:b w:val="false"/>
          <w:bCs w:val="false"/>
          <w:color w:val="1A1A1A"/>
          <w:sz w:val="21"/>
          <w:szCs w:val="21"/>
        </w:rPr>
        <w:t xml:space="preserve">The final honest status declaration consolidates the deployment-state rows for the testnet edition [BP §16.4]:</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Aspect</w:t>
            </w:r>
          </w:p>
        </w:tc>
        <w:tc>
          <w:tcPr>
            <w:tcW w:type="pct" w:w="7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Status</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Production-Ready?</w:t>
            </w:r>
          </w:p>
        </w:tc>
        <w:tc>
          <w:tcPr>
            <w:tcW w:type="pct" w:w="7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w:t>
            </w:r>
            <w:r>
              <w:rPr>
                <w:rFonts w:ascii="Calibri" w:eastAsia="SimSun" w:hAnsi="Calibri"/>
                <w:b w:val="false"/>
                <w:bCs w:val="false"/>
                <w:color w:val="1A1A1A"/>
                <w:sz w:val="19"/>
                <w:szCs w:val="19"/>
              </w:rPr>
              <w:t xml:space="preserve"> — deployed only on testnet (Arc, Monad, Solana Devnet; Appendix D).</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Oracles</w:t>
            </w:r>
          </w:p>
        </w:tc>
        <w:tc>
          <w:tcPr>
            <w:tcW w:type="pct" w:w="7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MOCKED</w:t>
            </w:r>
            <w:r>
              <w:rPr>
                <w:rFonts w:ascii="Calibri" w:eastAsia="SimSun" w:hAnsi="Calibri"/>
                <w:b w:val="false"/>
                <w:bCs w:val="false"/>
                <w:color w:val="1A1A1A"/>
                <w:sz w:val="19"/>
                <w:szCs w:val="19"/>
              </w:rPr>
              <w:t xml:space="preserve"> — all price feeds are simulated for testnet.</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Assets</w:t>
            </w:r>
          </w:p>
        </w:tc>
        <w:tc>
          <w:tcPr>
            <w:tcW w:type="pct" w:w="7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MOCKED</w:t>
            </w:r>
            <w:r>
              <w:rPr>
                <w:rFonts w:ascii="Calibri" w:eastAsia="SimSun" w:hAnsi="Calibri"/>
                <w:b w:val="false"/>
                <w:bCs w:val="false"/>
                <w:color w:val="1A1A1A"/>
                <w:sz w:val="19"/>
                <w:szCs w:val="19"/>
              </w:rPr>
              <w:t xml:space="preserve"> — all ERC-20 assets are testnet mocks (except native USDC on Arc).</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Live Weights (v2.0)</w:t>
            </w:r>
          </w:p>
        </w:tc>
        <w:tc>
          <w:tcPr>
            <w:tcW w:type="pct" w:w="7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VALIDATION-STAGE</w:t>
            </w:r>
            <w:r>
              <w:rPr>
                <w:rFonts w:ascii="Calibri" w:eastAsia="SimSun" w:hAnsi="Calibri"/>
                <w:b w:val="false"/>
                <w:bCs w:val="false"/>
                <w:color w:val="1A1A1A"/>
                <w:sz w:val="19"/>
                <w:szCs w:val="19"/>
              </w:rPr>
              <w:t xml:space="preserve"> — genesis snapshot equals the strategic prior; all subsequent targets are research outputs.</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Mainnet Deployment</w:t>
            </w:r>
          </w:p>
        </w:tc>
        <w:tc>
          <w:tcPr>
            <w:tcW w:type="pct" w:w="7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 PLANNED</w:t>
            </w:r>
            <w:r>
              <w:rPr>
                <w:rFonts w:ascii="Calibri" w:eastAsia="SimSun" w:hAnsi="Calibri"/>
                <w:b w:val="false"/>
                <w:bCs w:val="false"/>
                <w:color w:val="1A1A1A"/>
                <w:sz w:val="19"/>
                <w:szCs w:val="19"/>
              </w:rPr>
              <w:t xml:space="preserve"> — pending the 11 validation gates (Section 25.5).</w:t>
            </w:r>
          </w:p>
        </w:tc>
      </w:tr>
    </w:tbl>
    <w:p>
      <w:pPr>
        <w:spacing w:after="120"/>
      </w:pPr>
    </w:p>
    <w:p>
      <w:pPr>
        <w:pStyle w:val="Heading3"/>
        <w:keepNext/>
        <w:spacing w:after="120" w:before="300" w:line="312"/>
      </w:pPr>
      <w:bookmarkStart w:id="100319" w:name="_Toc100319"/>
      <w:r>
        <w:rPr>
          <w:rFonts w:ascii="Calibri" w:eastAsia="Microsoft YaHei" w:hAnsi="Calibri"/>
          <w:b/>
          <w:bCs/>
          <w:color w:val="333333"/>
          <w:sz w:val="24"/>
          <w:szCs w:val="24"/>
        </w:rPr>
        <w:t xml:space="preserve">26.8.3 The Single Source of Truth</w:t>
      </w:r>
      <w:bookmarkEnd w:id="100319"/>
    </w:p>
    <w:p>
      <w:pPr>
        <w:spacing w:after="120" w:line="312"/>
        <w:jc w:val="both"/>
      </w:pPr>
      <w:r>
        <w:rPr>
          <w:rFonts w:ascii="Calibri" w:eastAsia="SimSun" w:hAnsi="Calibri"/>
          <w:b w:val="false"/>
          <w:bCs w:val="false"/>
          <w:color w:val="1A1A1A"/>
          <w:sz w:val="21"/>
          <w:szCs w:val="21"/>
        </w:rPr>
        <w:t xml:space="preserve">This document — </w:t>
      </w:r>
      <w:r>
        <w:rPr>
          <w:rFonts w:ascii="Calibri" w:eastAsia="SimSun" w:hAnsi="Calibri"/>
          <w:b/>
          <w:bCs/>
          <w:color w:val="1A1A1A"/>
          <w:sz w:val="21"/>
          <w:szCs w:val="21"/>
        </w:rPr>
        <w:t xml:space="preserve">MTQ Σ — Master Monetary Architecture &amp; Quantitative Specification v1.0</w:t>
      </w:r>
      <w:r>
        <w:rPr>
          <w:rFonts w:ascii="Calibri" w:eastAsia="SimSun" w:hAnsi="Calibri"/>
          <w:b w:val="false"/>
          <w:bCs w:val="false"/>
          <w:color w:val="1A1A1A"/>
          <w:sz w:val="21"/>
          <w:szCs w:val="21"/>
        </w:rPr>
        <w:t xml:space="preserve"> — is the single authoritative source for the MTQ Σ protocol [BP §16.5; COO-27].</w:t>
      </w:r>
    </w:p>
    <w:p>
      <w:pPr>
        <w:pStyle w:val="ListParagraph"/>
        <w:numPr>
          <w:ilvl w:val="0"/>
          <w:numId w:val="2"/>
        </w:numPr>
        <w:spacing w:after="60" w:line="312"/>
        <w:jc w:val="left"/>
      </w:pPr>
      <w:r>
        <w:rPr>
          <w:rFonts w:ascii="Calibri" w:eastAsia="SimSun" w:hAnsi="Calibri"/>
          <w:b/>
          <w:bCs/>
          <w:color w:val="1A1A1A"/>
          <w:sz w:val="21"/>
          <w:szCs w:val="21"/>
        </w:rPr>
        <w:t xml:space="preserve">Supersedes:</w:t>
      </w:r>
      <w:r>
        <w:rPr>
          <w:rFonts w:ascii="Calibri" w:eastAsia="SimSun" w:hAnsi="Calibri"/>
          <w:b w:val="false"/>
          <w:bCs w:val="false"/>
          <w:color w:val="1A1A1A"/>
          <w:sz w:val="21"/>
          <w:szCs w:val="21"/>
        </w:rPr>
        <w:t xml:space="preserve"> the Source of Truth Blueprint v1.2 (Final Closed-Loop Monetary Architecture, Testnet Edition), the Consolidated Final Modification Specification — Baseline v1.0, and the COO review, all of which are fully folded into this edition; earlier versions and internal working documents are historical only.</w:t>
      </w:r>
    </w:p>
    <w:p>
      <w:pPr>
        <w:pStyle w:val="ListParagraph"/>
        <w:numPr>
          <w:ilvl w:val="0"/>
          <w:numId w:val="2"/>
        </w:numPr>
        <w:spacing w:after="60" w:line="312"/>
        <w:jc w:val="left"/>
      </w:pPr>
      <w:r>
        <w:rPr>
          <w:rFonts w:ascii="Calibri" w:eastAsia="SimSun" w:hAnsi="Calibri"/>
          <w:b/>
          <w:bCs/>
          <w:color w:val="1A1A1A"/>
          <w:sz w:val="21"/>
          <w:szCs w:val="21"/>
        </w:rPr>
        <w:t xml:space="preserve">Authority:</w:t>
      </w:r>
      <w:r>
        <w:rPr>
          <w:rFonts w:ascii="Calibri" w:eastAsia="SimSun" w:hAnsi="Calibri"/>
          <w:b w:val="false"/>
          <w:bCs w:val="false"/>
          <w:color w:val="1A1A1A"/>
          <w:sz w:val="21"/>
          <w:szCs w:val="21"/>
        </w:rPr>
        <w:t xml:space="preserve"> this document is the canonical reference for developers, auditors, validators and governance bodies. Where any other material — including the on-chain honest status strings — disagrees with this specification, this specification governs until a governed version change.</w:t>
      </w:r>
    </w:p>
    <w:p>
      <w:pPr>
        <w:pStyle w:val="ListParagraph"/>
        <w:numPr>
          <w:ilvl w:val="0"/>
          <w:numId w:val="2"/>
        </w:numPr>
        <w:spacing w:after="60" w:line="312"/>
        <w:jc w:val="left"/>
      </w:pPr>
      <w:r>
        <w:rPr>
          <w:rFonts w:ascii="Calibri" w:eastAsia="SimSun" w:hAnsi="Calibri"/>
          <w:b/>
          <w:bCs/>
          <w:color w:val="1A1A1A"/>
          <w:sz w:val="21"/>
          <w:szCs w:val="21"/>
        </w:rPr>
        <w:t xml:space="preserve">Amendments:</w:t>
      </w:r>
      <w:r>
        <w:rPr>
          <w:rFonts w:ascii="Calibri" w:eastAsia="SimSun" w:hAnsi="Calibri"/>
          <w:b w:val="false"/>
          <w:bCs w:val="false"/>
          <w:color w:val="1A1A1A"/>
          <w:sz w:val="21"/>
          <w:szCs w:val="21"/>
        </w:rPr>
        <w:t xml:space="preserve"> any future change must be made through the governance process of Chapter 22 and documented as a new version (v1.1, v1.2, etc.); the parameter registry and methodology versioning of Chapters 22 and 24 are the machine-readable counterparts of this rule.</w:t>
      </w:r>
    </w:p>
    <w:p>
      <w:pPr>
        <w:spacing w:after="120" w:line="312"/>
        <w:jc w:val="both"/>
      </w:pPr>
      <w:r>
        <w:rPr>
          <w:rFonts w:ascii="Calibri" w:eastAsia="SimSun" w:hAnsi="Calibri"/>
          <w:b w:val="false"/>
          <w:bCs w:val="false"/>
          <w:color w:val="1A1A1A"/>
          <w:sz w:val="21"/>
          <w:szCs w:val="21"/>
        </w:rPr>
        <w:t xml:space="preserve">The title itself is a COO decision carried into this edition [COO-27]: the working title "Consolidated Final Modification Specification" was correct while the work modified the historical architecture, but the next master document is titled "Master Monetary Architecture &amp; Quantitative Specification" because the project is no longer merely modifying the historical architecture — it is now defining an original mathematical system. This document is that master document.</w:t>
      </w:r>
    </w:p>
    <w:p>
      <w:pPr>
        <w:pStyle w:val="Heading3"/>
        <w:keepNext/>
        <w:spacing w:after="120" w:before="300" w:line="312"/>
      </w:pPr>
      <w:bookmarkStart w:id="100320" w:name="_Toc100320"/>
      <w:r>
        <w:rPr>
          <w:rFonts w:ascii="Calibri" w:eastAsia="Microsoft YaHei" w:hAnsi="Calibri"/>
          <w:b/>
          <w:bCs/>
          <w:color w:val="333333"/>
          <w:sz w:val="24"/>
          <w:szCs w:val="24"/>
        </w:rPr>
        <w:t xml:space="preserve">26.8.4 Final Project Information</w:t>
      </w:r>
      <w:bookmarkEnd w:id="100320"/>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Field</w:t>
            </w:r>
          </w:p>
        </w:tc>
        <w:tc>
          <w:tcPr>
            <w:tcW w:type="pct" w:w="8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Project</w:t>
            </w:r>
          </w:p>
        </w:tc>
        <w:tc>
          <w:tcPr>
            <w:tcW w:type="pct" w:w="8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 The Global Purchasing Power Unit</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Document</w:t>
            </w:r>
          </w:p>
        </w:tc>
        <w:tc>
          <w:tcPr>
            <w:tcW w:type="pct" w:w="8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 Master Monetary Architecture &amp; Quantitative Specification v1.0</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Source lineage</w:t>
            </w:r>
          </w:p>
        </w:tc>
        <w:tc>
          <w:tcPr>
            <w:tcW w:type="pct" w:w="8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Source of Truth Blueprint v1.2 (Final Closed-Loop) + Consolidated Final Modification Specification (Baseline v1.0) + COO Review</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Status</w:t>
            </w:r>
          </w:p>
        </w:tc>
        <w:tc>
          <w:tcPr>
            <w:tcW w:type="pct" w:w="8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CANDIDATE FOR PUBLIC TESTING — NOT PRODUCTION-AUTHORIZED</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Date</w:t>
            </w:r>
          </w:p>
        </w:tc>
        <w:tc>
          <w:tcPr>
            <w:tcW w:type="pct" w:w="8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2026 — see version history (Section 1.4) [BP §16.6]</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Contact</w:t>
            </w:r>
          </w:p>
        </w:tc>
        <w:tc>
          <w:tcPr>
            <w:tcW w:type="pct" w:w="8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[Governance-maintained contact — placeholder; to be set by the DAO per Chapter 22]</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Repository</w:t>
            </w:r>
          </w:p>
        </w:tc>
        <w:tc>
          <w:tcPr>
            <w:tcW w:type="pct" w:w="8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https://github.com/MITHQALMTQ/mithqal</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License</w:t>
            </w:r>
          </w:p>
        </w:tc>
        <w:tc>
          <w:tcPr>
            <w:tcW w:type="pct" w:w="8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MIT (code) / CC BY-SA 4.0 (documentation)</w:t>
            </w:r>
          </w:p>
        </w:tc>
      </w:tr>
    </w:tbl>
    <w:p>
      <w:pPr>
        <w:spacing w:after="120"/>
      </w:pPr>
    </w:p>
    <w:p>
      <w:pPr>
        <w:spacing w:after="120" w:line="312"/>
        <w:jc w:val="both"/>
      </w:pPr>
      <w:r>
        <w:rPr>
          <w:rFonts w:ascii="Calibri" w:eastAsia="SimSun" w:hAnsi="Calibri"/>
          <w:b w:val="false"/>
          <w:bCs w:val="false"/>
          <w:color w:val="1A1A1A"/>
          <w:sz w:val="21"/>
          <w:szCs w:val="21"/>
        </w:rPr>
        <w:t xml:space="preserve">The contact field is intentionally a placeholder in this edition: point-of-contact information is operational metadata, not specification content, and it is maintained by governance so that it survives personnel changes. The repository and license rows are carried from the blueprint so that code provenance and reuse terms travel with the document [BP §16.6]. With this table the specification closes: 26 chapters, five appendices, one architecture, one methodology, one honest status — and one next step, which is not a design task but a validation one: pass the gates of Section 25.5 in order, honestly, and only then update the declarations this chapter froze in the candidate state.</w:t>
      </w:r>
    </w:p>
    <w:p>
      <w:pPr>
        <w:pStyle w:val="Heading1"/>
        <w:keepNext/>
        <w:pBdr>
          <w:bottom w:val="single" w:color="C9A84C" w:sz="12" w:space="6"/>
        </w:pBdr>
        <w:spacing w:after="220" w:before="480" w:line="380" w:lineRule="atLeast"/>
      </w:pPr>
      <w:bookmarkStart w:id="100321" w:name="_Toc100321"/>
      <w:r>
        <w:rPr>
          <w:rFonts w:ascii="Calibri" w:eastAsia="Microsoft YaHei" w:hAnsi="Calibri"/>
          <w:b/>
          <w:bCs/>
          <w:color w:val="1A1A1A"/>
          <w:sz w:val="32"/>
          <w:szCs w:val="32"/>
        </w:rPr>
        <w:t xml:space="preserve">Appendix A — Glossary of Symbols and Terms</w:t>
      </w:r>
      <w:bookmarkEnd w:id="100321"/>
    </w:p>
    <w:p>
      <w:pPr>
        <w:pStyle w:val="Heading2"/>
        <w:keepNext/>
        <w:spacing w:after="160" w:before="360" w:line="340" w:lineRule="atLeast"/>
      </w:pPr>
      <w:bookmarkStart w:id="100322" w:name="_Toc100322"/>
      <w:r>
        <w:rPr>
          <w:rFonts w:ascii="Calibri" w:eastAsia="Microsoft YaHei" w:hAnsi="Calibri"/>
          <w:b/>
          <w:bCs/>
          <w:color w:val="1A1A1A"/>
          <w:sz w:val="28"/>
          <w:szCs w:val="28"/>
        </w:rPr>
        <w:t xml:space="preserve">A.1 Symbols</w:t>
      </w:r>
      <w:bookmarkEnd w:id="100322"/>
    </w:p>
    <w:p>
      <w:pPr>
        <w:spacing w:after="120" w:line="312"/>
        <w:jc w:val="both"/>
      </w:pPr>
      <w:r>
        <w:rPr>
          <w:rFonts w:ascii="Calibri" w:eastAsia="SimSun" w:hAnsi="Calibri"/>
          <w:b w:val="false"/>
          <w:bCs w:val="false"/>
          <w:color w:val="1A1A1A"/>
          <w:sz w:val="21"/>
          <w:szCs w:val="21"/>
        </w:rPr>
        <w:t xml:space="preserve">Symbols are listed in the order they first appear in the document. Where a symbol is reused with a distinct meaning (for example λ), both meanings are given in one row with their separate defining sections.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6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First Defined</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unit of account for MTQ Σ; PAR = 1.00 basket-unit, immutable.</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W_t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Live weight vector of the reference basket at time t; produced by the full MASE/MARP pipeline and published daily.</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Chapter 24</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W^{Prior}</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prior vector (currently USD 27%, EUR 20%, JPY 9%, GBP 8%, CNY 5%, CHF 5%, Gold 26%); a soft anchor, deviation-penalized.</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§2.3; §3.2</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W^{Target}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Current mathematical optimum before constitutional constraints are applied.</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§2.3; Chapter 7</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W^{Smooth}</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Risk-controlled transition toward the constrained target, paced by stress-adaptive smoothing.</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§2.3; §8.4</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W^{Execution}</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Actual trade decision after cost, liquidity and reserve testing by MARP.</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§2.3; Chapters 10–11</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P_{i,t}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Reference price of component i versus USD at time t, from the multi-source oracle layer.</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Chapter 17</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I_t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value of the chain-linked reference index; normalized to 1.00 at genesis.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Chapter 9</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NAV_t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Net asset value of the reserve (gross of nothing — see V_{net,t}); collateralizes the token.</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Chapter 14</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G_t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Cumulative chain-link normalization factor that splices index history across weight revisions.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9</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D_t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Weight deviation |W^{Target}_i − W^{Actual}_i| that drives MARP trigger tests.</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10; Appendix C</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B_t^− / B_t^+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Lower and upper dynamic-buffer boundaries between buffer states.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16</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V_{net,t}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Net (post-haircut) reserve value: Σ_j Q_j · P_j · (1 − H_j).</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§14.1</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L_t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 liability: S_{circ,t} × P_{MTQ,t}.</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S_t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 MTQ Σ supply (minted − burned); S_{circ,t} excludes the Genesis Reserve.</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ratio V_{net,t} / L_t; target 1.10, stress floor 1.05, hard floor 1.00.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Chapter 14</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LCR_t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coverage ratio: liquid assets over stress-redemption demand; target ≥ 1.00.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Chapter 13</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Q_i</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Composite currency eligibility score of the Constituency Engine (six positive, two negative components).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§4.2</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Q̃_i</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Normalized eligibility score entering the institutionally-informed ensemble member.</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§4.5; §7.5</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Q_j</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Quantity of reserve asset j held (distinct from the eligibility score by subscript context).</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§14.1</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S_i^{Structural}</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Aggregated z-score structural score of currency i: Σ_k a_k z_{i,k}.</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§4.5</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σ_i^{MH}</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Multi-horizon blended volatility of component i (30/90/252/756-day windows).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§5.1</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Σ_robust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Shrunk covariance estimator: λF + (1 − λ)Σ̂.</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§6.2</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Covariance shrinkage intensity (§6.2); as a vector λ_1…λ_8, the governed weights of the MASE composite objective (§7.4).</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§6.2; §7.4</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ρ_t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Stress-adaptive smoothing factor: W^{Smooth} = ρ_t W_{t−1} + (1 − ρ_t) W^{Constrained}.</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§8.4</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θ_{i,t}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zone half-width (band) for component i (the v1.2 legacy θ_t macro-shift is retained only as history, §5.3).</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10</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RC_i</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contribution of component i: w_i (Σw)_i.</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§6.4</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HHI</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Herfindahl–Hirschman concentration index of the weight vector: Σ_i w_i².</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§7.2</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CVaR_α</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Conditional value-at-risk (expected shortfall) at confidence level α.</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§6.6</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VaR_α</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Value-at-risk at confidence level α.</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§6.6</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MDD</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Maximum drawdown of the portfolio value path.</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§6.7</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GPP_t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Global purchasing-power index (consumption-weighted global price level).</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§6.8</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PPError</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Purchasing-power tracking error: R_{MTQ,t} − R_{GPP,t}.</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§6.8</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CrisisScore_t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Aggregated stress-evidence score; scales the tail-risk weight and the crisis execution mode.</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§5.5</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α_m</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Adaptive ensemble coefficient of candidate model m (softmax over performance-stability scores).</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§7.6</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η</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Softmax temperature bounding how fast ensemble influence can shift.</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§7.6</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Layer 2 adaptive weighting engine (the stability engine): computes how much weight each eligible component receives.</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 Chapters 5–7</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MARP</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Layer 3 execution engine: decides when, whether and how rebalancing trades execute (cost-aware, risk-aware, liquidity-aware).</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 Chapters 10–11</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ERC</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Equal Risk Contribution (risk parity) candidate model.</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§6.4</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COFER</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IMF Currency Composition of Official Foreign Exchange Reserves; primary reserve-relevance input.</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§4.3.1</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BIS</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Bank for International Settlements; its Triennial Survey supplies FX turnover shares.</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§4.3.2</w:t>
            </w:r>
          </w:p>
        </w:tc>
      </w:tr>
    </w:tbl>
    <w:p>
      <w:pPr>
        <w:spacing w:after="120"/>
      </w:pPr>
    </w:p>
    <w:p>
      <w:pPr>
        <w:pStyle w:val="Heading2"/>
        <w:keepNext/>
        <w:spacing w:after="160" w:before="360" w:line="340" w:lineRule="atLeast"/>
      </w:pPr>
      <w:bookmarkStart w:id="100323" w:name="_Toc100323"/>
      <w:r>
        <w:rPr>
          <w:rFonts w:ascii="Calibri" w:eastAsia="Microsoft YaHei" w:hAnsi="Calibri"/>
          <w:b/>
          <w:bCs/>
          <w:color w:val="1A1A1A"/>
          <w:sz w:val="28"/>
          <w:szCs w:val="28"/>
        </w:rPr>
        <w:t xml:space="preserve">A.2 Terms</w:t>
      </w:r>
      <w:bookmarkEnd w:id="100323"/>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Term</w:t>
            </w:r>
          </w:p>
        </w:tc>
        <w:tc>
          <w:tcPr>
            <w:tcW w:type="pct" w:w="7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First Defined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w:t>
            </w:r>
          </w:p>
        </w:tc>
        <w:tc>
          <w:tcPr>
            <w:tcW w:type="pct" w:w="7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Method of splicing index definitions across weight or universe revisions so that the published index history remains comparable and base fixings never change.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9</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zone</w:t>
            </w:r>
          </w:p>
        </w:tc>
        <w:tc>
          <w:tcPr>
            <w:tcW w:type="pct" w:w="7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Band around the target within which deviation does not justify a trade; the primary anti-churn mechanism.</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10</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Direction lock</w:t>
            </w:r>
          </w:p>
        </w:tc>
        <w:tc>
          <w:tcPr>
            <w:tcW w:type="pct" w:w="7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24-hour whipsaw guard preventing immediate reversal of a rebalancing trade; overridable only in stress (RR below the stress floor).</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§11.5</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Hysteresis</w:t>
            </w:r>
          </w:p>
        </w:tc>
        <w:tc>
          <w:tcPr>
            <w:tcW w:type="pct" w:w="7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Entry/exit threshold dead band (Q_entry &gt; Q_exit) that prevents constituency oscillation.</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§4.7</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w:t>
            </w:r>
          </w:p>
        </w:tc>
        <w:tc>
          <w:tcPr>
            <w:tcW w:type="pct" w:w="7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Asset-specific valuation discount H_j applied when computing V_{net,t}.</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§14.1</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Treasury sweep</w:t>
            </w:r>
          </w:p>
        </w:tc>
        <w:tc>
          <w:tcPr>
            <w:tcW w:type="pct" w:w="7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Automatic transfer of operational surplus above the $10,000 threshold to the Cold Treasury.</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20</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First-loss waterfall</w:t>
            </w:r>
          </w:p>
        </w:tc>
        <w:tc>
          <w:tcPr>
            <w:tcW w:type="pct" w:w="7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Deterministic order in which buffer layers absorb losses before the core reserve (BASE first, then STRESS, then EMERGENCY).</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16</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Staged liquidation</w:t>
            </w:r>
          </w:p>
        </w:tc>
        <w:tc>
          <w:tcPr>
            <w:tcW w:type="pct" w:w="7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Eject ladder 10% → 25% → 50% → 100% that minimizes market impact when an asset must be removed.</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21</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Reintegration score</w:t>
            </w:r>
          </w:p>
        </w:tc>
        <w:tc>
          <w:tcPr>
            <w:tcW w:type="pct" w:w="7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Anti-gaming score (threshold R ≥ 0.80) gating re-admission of an ejected asset.</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21</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Parameter registry</w:t>
            </w:r>
          </w:p>
        </w:tc>
        <w:tc>
          <w:tcPr>
            <w:tcW w:type="pct" w:w="7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Governed, versioned store of all methodology and risk parameters; changes require the appropriate council.</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§22.3</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Decision log</w:t>
            </w:r>
          </w:p>
        </w:tc>
        <w:tc>
          <w:tcPr>
            <w:tcW w:type="pct" w:w="7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Per-trade record (DecisionID, target weight, actual weight, drift, cost, outcome) published for every executed or rejected rebalance.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24</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prior</w:t>
            </w:r>
          </w:p>
        </w:tc>
        <w:tc>
          <w:tcPr>
            <w:tcW w:type="pct" w:w="7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starting soft-anchor vector [27/20/9/8/5/5/26]; research data, not a definition of the unit.</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§3.2</w:t>
            </w:r>
          </w:p>
        </w:tc>
      </w:tr>
    </w:tbl>
    <w:p>
      <w:pPr>
        <w:spacing w:after="120"/>
      </w:pPr>
    </w:p>
    <w:p>
      <w:pPr>
        <w:pStyle w:val="Heading1"/>
        <w:keepNext/>
        <w:pBdr>
          <w:bottom w:val="single" w:color="C9A84C" w:sz="12" w:space="6"/>
        </w:pBdr>
        <w:spacing w:after="220" w:before="480" w:line="380" w:lineRule="atLeast"/>
      </w:pPr>
      <w:bookmarkStart w:id="100324" w:name="_Toc100324"/>
      <w:r>
        <w:rPr>
          <w:rFonts w:ascii="Calibri" w:eastAsia="Microsoft YaHei" w:hAnsi="Calibri"/>
          <w:b/>
          <w:bCs/>
          <w:color w:val="1A1A1A"/>
          <w:sz w:val="32"/>
          <w:szCs w:val="32"/>
        </w:rPr>
        <w:t xml:space="preserve">Appendix B — Deployment Checklist</w:t>
      </w:r>
      <w:bookmarkEnd w:id="100324"/>
    </w:p>
    <w:p>
      <w:pPr>
        <w:pStyle w:val="Heading2"/>
        <w:keepNext/>
        <w:spacing w:after="160" w:before="360" w:line="340" w:lineRule="atLeast"/>
      </w:pPr>
      <w:bookmarkStart w:id="100325" w:name="_Toc100325"/>
      <w:r>
        <w:rPr>
          <w:rFonts w:ascii="Calibri" w:eastAsia="Microsoft YaHei" w:hAnsi="Calibri"/>
          <w:b/>
          <w:bCs/>
          <w:color w:val="1A1A1A"/>
          <w:sz w:val="28"/>
          <w:szCs w:val="28"/>
        </w:rPr>
        <w:t xml:space="preserve">B.1 Phase 0 — Environment and Prerequisites</w:t>
      </w:r>
      <w:bookmarkEnd w:id="100325"/>
    </w:p>
    <w:p>
      <w:pPr>
        <w:spacing w:after="120" w:line="312"/>
        <w:jc w:val="both"/>
      </w:pPr>
      <w:r>
        <w:rPr>
          <w:rFonts w:ascii="Calibri" w:eastAsia="SimSun" w:hAnsi="Calibri"/>
          <w:b w:val="false"/>
          <w:bCs w:val="false"/>
          <w:color w:val="1A1A1A"/>
          <w:sz w:val="21"/>
          <w:szCs w:val="21"/>
        </w:rPr>
        <w:t xml:space="preserve">The checklist below compiles the developer deployment sequence from the blueprint's genesis and deployment modules into five phases [BP §13.7.4; BP §2.6.4]. It targets the testnet edition; every phase that differs on mainnet is governed by the validation gates of Section 25.5 and must not be executed before those gates pass.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Foundry installed (forge / cast); RPC endpoints configured for Arc, Monad and Solana Devnet (Appendix D).</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Deployer key secured; the onlyDeployer modifier protects the genesis function [BP §13.7.4].</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Governance modifiers (onlyConstitutionalCouncil, onlyMultiSig) implemented via the governance contracts of Chapter 22.</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Mock ERC-20 assets and mock oracle feeds prepared (Appendix D.3); native USDC on Arc identified.</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Genesis deposit funded in testnet assets (Chapter 20); sweep threshold configured.</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The honest-status contract (Listing 15) compiled and ready to deploy alongside the core contracts.</w:t>
      </w:r>
    </w:p>
    <w:p>
      <w:pPr>
        <w:pStyle w:val="Heading2"/>
        <w:keepNext/>
        <w:spacing w:after="160" w:before="360" w:line="340" w:lineRule="atLeast"/>
      </w:pPr>
      <w:bookmarkStart w:id="100326" w:name="_Toc100326"/>
      <w:r>
        <w:rPr>
          <w:rFonts w:ascii="Calibri" w:eastAsia="Microsoft YaHei" w:hAnsi="Calibri"/>
          <w:b/>
          <w:bCs/>
          <w:color w:val="1A1A1A"/>
          <w:sz w:val="28"/>
          <w:szCs w:val="28"/>
        </w:rPr>
        <w:t xml:space="preserve">B.2 Phase 1 — Roles and Addresses</w:t>
      </w:r>
      <w:bookmarkEnd w:id="100326"/>
    </w:p>
    <w:p>
      <w:pPr>
        <w:spacing w:after="120" w:line="312"/>
        <w:jc w:val="both"/>
      </w:pPr>
      <w:r>
        <w:rPr>
          <w:rFonts w:ascii="Calibri" w:eastAsia="SimSun" w:hAnsi="Calibri"/>
          <w:b w:val="false"/>
          <w:bCs w:val="false"/>
          <w:color w:val="1A1A1A"/>
          <w:sz w:val="21"/>
          <w:szCs w:val="21"/>
        </w:rPr>
        <w:t xml:space="preserve">Set the governance and operational addresses before any state-changing deployment step. On testnet the following values apply [BP §13.7.4]:</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dao — monetary-parameter authority (Chapter 22).</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riskCouncil — 4/7 Multi-Sig; approves MASE submitters and risk parameters.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emergencyCouncil — 4/7 Multi-Sig; emergency controls.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constitutionalCouncil — 7/7 Multi-Sig; envelopes, gates and constitutional changes.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genesisReserveAddress = 0xE71869C662733642bfBb262B8c6bad8B0fBfA7D0 (4/7 Safe) on Arc and Monad testnet.</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coldTreasury = same as the Genesis Reserve on testnet; a separate address on mainnet.</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keeper = deployer or a dedicated bot address (MASE submission, sweeps).</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On Solana Devnet the EVM-style genesis reserve address is not applicable; use the chain-native equivalent mechanism and record it in the deployment documentation [BP §13.7.4].</w:t>
      </w:r>
    </w:p>
    <w:p>
      <w:pPr>
        <w:pStyle w:val="Heading2"/>
        <w:keepNext/>
        <w:spacing w:after="160" w:before="360" w:line="340" w:lineRule="atLeast"/>
      </w:pPr>
      <w:bookmarkStart w:id="100327" w:name="_Toc100327"/>
      <w:r>
        <w:rPr>
          <w:rFonts w:ascii="Calibri" w:eastAsia="Microsoft YaHei" w:hAnsi="Calibri"/>
          <w:b/>
          <w:bCs/>
          <w:color w:val="1A1A1A"/>
          <w:sz w:val="28"/>
          <w:szCs w:val="28"/>
        </w:rPr>
        <w:t xml:space="preserve">B.3 Phase 2 — Oracle Configuration</w:t>
      </w:r>
      <w:bookmarkEnd w:id="100327"/>
    </w:p>
    <w:p>
      <w:pPr>
        <w:spacing w:after="120" w:line="312"/>
        <w:jc w:val="both"/>
      </w:pPr>
      <w:r>
        <w:rPr>
          <w:rFonts w:ascii="Calibri" w:eastAsia="SimSun" w:hAnsi="Calibri"/>
          <w:b w:val="false"/>
          <w:bCs w:val="false"/>
          <w:color w:val="1A1A1A"/>
          <w:sz w:val="21"/>
          <w:szCs w:val="21"/>
        </w:rPr>
        <w:t xml:space="preserve">Configure the multi-source oracle layer before genesis so that the first index valuation already reads validated prices (Chapter 17; addresses in Appendix D.4) [BP §9.5]:</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Deploy the OracleFeed mapping with Chainlink, Pyth and Chronicle addresses per asset pair (EUR/USD, GBP/USD, JPY/USD, CNY/USD (CNH), PAXG, VIX, DXY).</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Set stalenessThreshold = 60 seconds; confidence bound &lt; 1%; deviation bound &lt; 2.5% (invariant I9).</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Set minPrice / maxPrice sanity bounds per feed.</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Enable the canonical gold price quorum of independent sources (Chapter 17).</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On devnet, point every feed at its mock oracle and verify the heartbeat.</w:t>
      </w:r>
    </w:p>
    <w:p>
      <w:pPr>
        <w:pStyle w:val="Heading2"/>
        <w:keepNext/>
        <w:spacing w:after="160" w:before="360" w:line="340" w:lineRule="atLeast"/>
      </w:pPr>
      <w:bookmarkStart w:id="100328" w:name="_Toc100328"/>
      <w:r>
        <w:rPr>
          <w:rFonts w:ascii="Calibri" w:eastAsia="Microsoft YaHei" w:hAnsi="Calibri"/>
          <w:b/>
          <w:bCs/>
          <w:color w:val="1A1A1A"/>
          <w:sz w:val="28"/>
          <w:szCs w:val="28"/>
        </w:rPr>
        <w:t xml:space="preserve">B.4 Phase 3 — Contract Deployment and Genesis</w:t>
      </w:r>
      <w:bookmarkEnd w:id="100328"/>
    </w:p>
    <w:p>
      <w:pPr>
        <w:spacing w:after="120" w:line="312"/>
        <w:jc w:val="both"/>
      </w:pPr>
      <w:r>
        <w:rPr>
          <w:rFonts w:ascii="Calibri" w:eastAsia="SimSun" w:hAnsi="Calibri"/>
          <w:b w:val="false"/>
          <w:bCs w:val="false"/>
          <w:color w:val="1A1A1A"/>
          <w:sz w:val="21"/>
          <w:szCs w:val="21"/>
        </w:rPr>
        <w:t xml:space="preserve">Execute the genesis sequence exactly as specified; the base-fixing verification steps are the audit trail for the index denominator [BP §2.6.4; BP §13.7.4]:</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1. Ensure verifyGFBBase() is included in the reference-index contract.</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2. Call genesis() with the genesis deposit; confirm the initial supply is minted to the Genesis Reserve and circulating supply is zero (Chapter 20).</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3. Call _emitGenesisVerification() at the end of genesis() — mandatory on testnets so the event is present in the logs for audit testing (Appendix D.2).</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4. After deployment, call verifyGFBBase() to confirm the denominator is consistent with the hard-coded base fixings.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5. Record the emitted GenesisVerification event in the deployment documentation for the audit trail.</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6. Confirm the treasury sweep threshold ($10,000) and the Cold Treasury destination (Chapter 20).</w:t>
      </w:r>
    </w:p>
    <w:p>
      <w:pPr>
        <w:pStyle w:val="Heading2"/>
        <w:keepNext/>
        <w:spacing w:after="160" w:before="360" w:line="340" w:lineRule="atLeast"/>
      </w:pPr>
      <w:bookmarkStart w:id="100329" w:name="_Toc100329"/>
      <w:r>
        <w:rPr>
          <w:rFonts w:ascii="Calibri" w:eastAsia="Microsoft YaHei" w:hAnsi="Calibri"/>
          <w:b/>
          <w:bCs/>
          <w:color w:val="1A1A1A"/>
          <w:sz w:val="28"/>
          <w:szCs w:val="28"/>
        </w:rPr>
        <w:t xml:space="preserve">B.5 Phase 4 — Weight Registry Initialization</w:t>
      </w:r>
      <w:bookmarkEnd w:id="100329"/>
    </w:p>
    <w:p>
      <w:pPr>
        <w:spacing w:after="120" w:line="312"/>
        <w:jc w:val="both"/>
      </w:pPr>
      <w:r>
        <w:rPr>
          <w:rFonts w:ascii="Calibri" w:eastAsia="SimSun" w:hAnsi="Calibri"/>
          <w:b w:val="false"/>
          <w:bCs w:val="false"/>
          <w:color w:val="1A1A1A"/>
          <w:sz w:val="21"/>
          <w:szCs w:val="21"/>
        </w:rPr>
        <w:t xml:space="preserve">Initialize the adaptive weight registry to the genesis snapshot (Section 2.7; Listing 2):</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Set live weights to the strategic prior: [0.27, 0.20, 0.09, 0.08, 0.05, 0.05, 0.26] × 1e18, summing to exactly 1e18.</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Set methodologyVersion = keccak256 of the v2.0 methodology document hash; dataVersion = hash of the genesis data snapshot.</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Load the admissibility envelopes LOWER_BOUND / UPPER_BOUND and the velocity limits MAX_VELOCITY as validation-stage values (Section 8.1, Section 8.3).</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Confirm setEnvelopes() is guarded by onlyConstitutionalCouncil with the 90-day timelock.</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Approve the MASE submitter address via the Risk Council; record the approval.</w:t>
      </w:r>
    </w:p>
    <w:p>
      <w:pPr>
        <w:pStyle w:val="Heading2"/>
        <w:keepNext/>
        <w:spacing w:after="160" w:before="360" w:line="340" w:lineRule="atLeast"/>
      </w:pPr>
      <w:bookmarkStart w:id="100330" w:name="_Toc100330"/>
      <w:r>
        <w:rPr>
          <w:rFonts w:ascii="Calibri" w:eastAsia="Microsoft YaHei" w:hAnsi="Calibri"/>
          <w:b/>
          <w:bCs/>
          <w:color w:val="1A1A1A"/>
          <w:sz w:val="28"/>
          <w:szCs w:val="28"/>
        </w:rPr>
        <w:t xml:space="preserve">B.6 Phase 5 — Post-Deployment Verification</w:t>
      </w:r>
      <w:bookmarkEnd w:id="100330"/>
    </w:p>
    <w:p>
      <w:pPr>
        <w:spacing w:after="120" w:line="312"/>
        <w:jc w:val="both"/>
      </w:pPr>
      <w:r>
        <w:rPr>
          <w:rFonts w:ascii="Calibri" w:eastAsia="SimSun" w:hAnsi="Calibri"/>
          <w:b w:val="false"/>
          <w:bCs w:val="false"/>
          <w:color w:val="1A1A1A"/>
          <w:sz w:val="21"/>
          <w:szCs w:val="21"/>
        </w:rPr>
        <w:t xml:space="preserve">Verify the deployment with the Foundry commands below (environment: MTQ_CONTRACT, GENESIS_RESERVE_ADDRESS, COLD_TREASURY, RPC) [BP §13.7.4], then close out:</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Verify the reference-index base 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cast call $MTQ_CONTRACT "verifyGFBBase()" --rpc-url $RPC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Check the Genesis Reserve token 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cast call $MTQ_CONTRACT "balanceOf(address)" $GENESIS_RESERVE_ADDRESS --rpc-url $RPC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Check the operational wallet balance (the contract itself)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cast balance $MTQ_CONTRACT --rpc-url $RPC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Check the Cold Treasury 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cast balance $COLD_TREASURY --rpc-url $RPC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Honest-status checks (v2.0 additions; Listing 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cast call $STATUS_CONTRACT "getHonestStatus()" --rpc-url $RPC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cast call $STATUS_CONTRACT "getValidationGates()" --rpc-url $RPC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cast call $STATUS_CONTRACT "isProductionAuthorized()" --rpc-url $RPC</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isProductionAuthorized() must return false on every testnet deployment.</w:t>
      </w:r>
    </w:p>
    <w:p>
      <w:pPr>
        <w:spacing w:after="120"/>
      </w:pPr>
    </w:p>
    <w:p>
      <w:pPr>
        <w:pStyle w:val="ListParagraph"/>
        <w:numPr>
          <w:ilvl w:val="0"/>
          <w:numId w:val="2"/>
        </w:numPr>
        <w:spacing w:after="60" w:line="312"/>
        <w:jc w:val="left"/>
      </w:pPr>
      <w:r>
        <w:rPr>
          <w:rFonts w:ascii="Calibri" w:eastAsia="SimSun" w:hAnsi="Calibri"/>
          <w:b w:val="false"/>
          <w:bCs w:val="false"/>
          <w:color w:val="1A1A1A"/>
          <w:sz w:val="21"/>
          <w:szCs w:val="21"/>
        </w:rPr>
        <w:t xml:space="preserve">□ Confirm getHonestStatus() returns the adaptive-methodology status string (Listing 15).</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Confirm isProductionAuthorized() returns false and all gates read as not passed.</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Record all deployment events (GenesisVerification, WeightsAccepted or initialization, gate state) in the deployment documentation and publish via the Chapter 24 layer.</w:t>
      </w:r>
    </w:p>
    <w:p>
      <w:pPr>
        <w:pStyle w:val="Heading1"/>
        <w:keepNext/>
        <w:pBdr>
          <w:bottom w:val="single" w:color="C9A84C" w:sz="12" w:space="6"/>
        </w:pBdr>
        <w:spacing w:after="220" w:before="480" w:line="380" w:lineRule="atLeast"/>
      </w:pPr>
      <w:bookmarkStart w:id="100331" w:name="_Toc100331"/>
      <w:r>
        <w:rPr>
          <w:rFonts w:ascii="Calibri" w:eastAsia="Microsoft YaHei" w:hAnsi="Calibri"/>
          <w:b/>
          <w:bCs/>
          <w:color w:val="1A1A1A"/>
          <w:sz w:val="32"/>
          <w:szCs w:val="32"/>
        </w:rPr>
        <w:t xml:space="preserve">Appendix C — Worked Examples</w:t>
      </w:r>
      <w:bookmarkEnd w:id="100331"/>
    </w:p>
    <w:p>
      <w:pPr>
        <w:pStyle w:val="Heading2"/>
        <w:keepNext/>
        <w:spacing w:after="160" w:before="360" w:line="340" w:lineRule="atLeast"/>
      </w:pPr>
      <w:bookmarkStart w:id="100332" w:name="_Toc100332"/>
      <w:r>
        <w:rPr>
          <w:rFonts w:ascii="Calibri" w:eastAsia="Microsoft YaHei" w:hAnsi="Calibri"/>
          <w:b/>
          <w:bCs/>
          <w:color w:val="1A1A1A"/>
          <w:sz w:val="28"/>
          <w:szCs w:val="28"/>
        </w:rPr>
        <w:t xml:space="preserve">C.1 Example 1 — Normal Operating Day (No-Trade Zone)</w:t>
      </w:r>
      <w:bookmarkEnd w:id="100332"/>
    </w:p>
    <w:p>
      <w:pPr>
        <w:spacing w:after="120" w:line="312"/>
        <w:jc w:val="both"/>
      </w:pPr>
      <w:r>
        <w:rPr>
          <w:rFonts w:ascii="Calibri" w:eastAsia="SimSun" w:hAnsi="Calibri"/>
          <w:b/>
          <w:bCs/>
          <w:color w:val="1A1A1A"/>
          <w:sz w:val="21"/>
          <w:szCs w:val="21"/>
        </w:rPr>
        <w:t xml:space="preserve">Scenario.</w:t>
      </w:r>
      <w:r>
        <w:rPr>
          <w:rFonts w:ascii="Calibri" w:eastAsia="SimSun" w:hAnsi="Calibri"/>
          <w:b w:val="false"/>
          <w:bCs w:val="false"/>
          <w:color w:val="1A1A1A"/>
          <w:sz w:val="21"/>
          <w:szCs w:val="21"/>
        </w:rPr>
        <w:t xml:space="preserve"> MASE completes its daily calculation and posts a USD target of 28.2%, while the actual USD weight in the basket is 28.5% [MS §68]. The system is running in a calm regime; the USD no-trade zone half-width is θ_{USD} = 1.0%.</w:t>
      </w:r>
    </w:p>
    <w:p>
      <w:pPr>
        <w:spacing w:after="120" w:line="312"/>
        <w:jc w:val="both"/>
      </w:pPr>
      <w:r>
        <w:rPr>
          <w:rFonts w:ascii="Calibri" w:eastAsia="SimSun" w:hAnsi="Calibri"/>
          <w:b/>
          <w:bCs/>
          <w:color w:val="1A1A1A"/>
          <w:sz w:val="21"/>
          <w:szCs w:val="21"/>
        </w:rPr>
        <w:t xml:space="preserve">Math walkthrough.</w:t>
      </w:r>
      <w:r>
        <w:rPr>
          <w:rFonts w:ascii="Calibri" w:eastAsia="SimSun" w:hAnsi="Calibri"/>
          <w:b w:val="false"/>
          <w:bCs w:val="false"/>
          <w:color w:val="1A1A1A"/>
          <w:sz w:val="21"/>
          <w:szCs w:val="21"/>
        </w:rPr>
        <w:t xml:space="preserve"> The deviation is:</w:t>
      </w:r>
    </w:p>
    <w:p>
      <w:pPr>
        <w:spacing w:after="120" w:before="120" w:line="312"/>
        <w:jc w:val="center"/>
      </w:pPr>
      <w:r>
        <w:rPr>
          <w:rFonts w:ascii="Cambria" w:eastAsia="SimSun" w:hAnsi="Cambria"/>
          <w:i/>
          <w:iCs/>
          <w:color w:val="1A1A1A"/>
          <w:sz w:val="22"/>
          <w:szCs w:val="22"/>
        </w:rPr>
        <w:t xml:space="preserve">D = |W</w:t>
      </w:r>
      <w:r>
        <w:rPr>
          <w:rFonts w:ascii="Cambria" w:eastAsia="SimSun" w:hAnsi="Cambria"/>
          <w:i/>
          <w:iCs/>
          <w:color w:val="1A1A1A"/>
          <w:sz w:val="22"/>
          <w:szCs w:val="22"/>
          <w:vertAlign w:val="subscript"/>
        </w:rPr>
        <w:t xml:space="preserve">USD</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USD</w:t>
      </w:r>
      <w:r>
        <w:rPr>
          <w:rFonts w:ascii="Cambria" w:eastAsia="SimSun" w:hAnsi="Cambria"/>
          <w:i/>
          <w:iCs/>
          <w:color w:val="1A1A1A"/>
          <w:sz w:val="22"/>
          <w:szCs w:val="22"/>
          <w:vertAlign w:val="superscript"/>
        </w:rPr>
        <w:t xml:space="preserve">Actual</w:t>
      </w:r>
      <w:r>
        <w:rPr>
          <w:rFonts w:ascii="Cambria" w:eastAsia="SimSun" w:hAnsi="Cambria"/>
          <w:i/>
          <w:iCs/>
          <w:color w:val="1A1A1A"/>
          <w:sz w:val="22"/>
          <w:szCs w:val="22"/>
        </w:rPr>
        <w:t xml:space="preserve">| = |28.2</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- 28.5</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0.3</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MARP trigger test compares the deviation to the no-trade band:</w:t>
      </w:r>
    </w:p>
    <w:p>
      <w:pPr>
        <w:spacing w:after="120" w:before="120" w:line="312"/>
        <w:jc w:val="center"/>
      </w:pPr>
      <w:r>
        <w:rPr>
          <w:rFonts w:ascii="Cambria" w:eastAsia="SimSun" w:hAnsi="Cambria"/>
          <w:i/>
          <w:iCs/>
          <w:color w:val="1A1A1A"/>
          <w:sz w:val="22"/>
          <w:szCs w:val="22"/>
        </w:rPr>
        <w:t xml:space="preserve">D = 0.3</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&lt; </w:t>
      </w: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USD</w:t>
      </w:r>
      <w:r>
        <w:rPr>
          <w:rFonts w:ascii="Cambria" w:eastAsia="SimSun" w:hAnsi="Cambria"/>
          <w:i/>
          <w:iCs/>
          <w:color w:val="1A1A1A"/>
          <w:sz w:val="22"/>
          <w:szCs w:val="22"/>
        </w:rPr>
        <w:t xml:space="preserve"> = 1.0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Trade</w:t>
      </w:r>
      <w:r>
        <w:rPr>
          <w:rFonts w:ascii="Cambria" w:eastAsia="SimSun" w:hAnsi="Cambria"/>
          <w:i/>
          <w:iCs/>
          <w:color w:val="1A1A1A"/>
          <w:sz w:val="22"/>
          <w:szCs w:val="22"/>
        </w:rPr>
        <w:t xml:space="preserve"> = 0</w:t>
      </w:r>
    </w:p>
    <w:p>
      <w:pPr>
        <w:spacing w:after="120" w:line="312"/>
        <w:jc w:val="both"/>
      </w:pPr>
      <w:r>
        <w:rPr>
          <w:rFonts w:ascii="Calibri" w:eastAsia="SimSun" w:hAnsi="Calibri"/>
          <w:b/>
          <w:bCs/>
          <w:color w:val="1A1A1A"/>
          <w:sz w:val="21"/>
          <w:szCs w:val="21"/>
        </w:rPr>
        <w:t xml:space="preserve">Decision outcome.</w:t>
      </w:r>
      <w:r>
        <w:rPr>
          <w:rFonts w:ascii="Calibri" w:eastAsia="SimSun" w:hAnsi="Calibri"/>
          <w:b w:val="false"/>
          <w:bCs w:val="false"/>
          <w:color w:val="1A1A1A"/>
          <w:sz w:val="21"/>
          <w:szCs w:val="21"/>
        </w:rPr>
        <w:t xml:space="preserve"> No trade is executed. The deviation is recorded in the decision log with the trigger evaluation and the null trade (Chapter 24), the actual weight is carried forward, and tomorrow's calculation re-evaluates from the new state. No money is wasted: the cost of closing a 0.3% deviation — spread, slippage and gas — would exceed any risk or tracking benefit, which is exactly what the no-trade zone encodes (Chapter 10; invariant I11). A day like this is the expected common case, not an anomaly: daily calculation does not mean daily trading.</w:t>
      </w:r>
    </w:p>
    <w:p>
      <w:pPr>
        <w:pStyle w:val="Heading2"/>
        <w:keepNext/>
        <w:spacing w:after="160" w:before="360" w:line="340" w:lineRule="atLeast"/>
      </w:pPr>
      <w:bookmarkStart w:id="100333" w:name="_Toc100333"/>
      <w:r>
        <w:rPr>
          <w:rFonts w:ascii="Calibri" w:eastAsia="Microsoft YaHei" w:hAnsi="Calibri"/>
          <w:b/>
          <w:bCs/>
          <w:color w:val="1A1A1A"/>
          <w:sz w:val="28"/>
          <w:szCs w:val="28"/>
        </w:rPr>
        <w:t xml:space="preserve">C.2 Example 2 — Moderate Deviation (Partial Rebalancing)</w:t>
      </w:r>
      <w:bookmarkEnd w:id="100333"/>
    </w:p>
    <w:p>
      <w:pPr>
        <w:spacing w:after="120" w:line="312"/>
        <w:jc w:val="both"/>
      </w:pPr>
      <w:r>
        <w:rPr>
          <w:rFonts w:ascii="Calibri" w:eastAsia="SimSun" w:hAnsi="Calibri"/>
          <w:b/>
          <w:bCs/>
          <w:color w:val="1A1A1A"/>
          <w:sz w:val="21"/>
          <w:szCs w:val="21"/>
        </w:rPr>
        <w:t xml:space="preserve">Scenario.</w:t>
      </w:r>
      <w:r>
        <w:rPr>
          <w:rFonts w:ascii="Calibri" w:eastAsia="SimSun" w:hAnsi="Calibri"/>
          <w:b w:val="false"/>
          <w:bCs w:val="false"/>
          <w:color w:val="1A1A1A"/>
          <w:sz w:val="21"/>
          <w:szCs w:val="21"/>
        </w:rPr>
        <w:t xml:space="preserve"> MASE posts a gold target of 27.0% while the actual gold weight has drifted to 29.4% — for example because gold appreciated against the currency components. The gold no-trade zone half-width is θ_{Gold} = 2.0% and the partial-rebalance coefficient is β = 0.40 [MS §69].</w:t>
      </w:r>
    </w:p>
    <w:p>
      <w:pPr>
        <w:spacing w:after="120" w:line="312"/>
        <w:jc w:val="both"/>
      </w:pPr>
      <w:r>
        <w:rPr>
          <w:rFonts w:ascii="Calibri" w:eastAsia="SimSun" w:hAnsi="Calibri"/>
          <w:b/>
          <w:bCs/>
          <w:color w:val="1A1A1A"/>
          <w:sz w:val="21"/>
          <w:szCs w:val="21"/>
        </w:rPr>
        <w:t xml:space="preserve">Math walkthrough.</w:t>
      </w:r>
      <w:r>
        <w:rPr>
          <w:rFonts w:ascii="Calibri" w:eastAsia="SimSun" w:hAnsi="Calibri"/>
          <w:b w:val="false"/>
          <w:bCs w:val="false"/>
          <w:color w:val="1A1A1A"/>
          <w:sz w:val="21"/>
          <w:szCs w:val="21"/>
        </w:rPr>
        <w:t xml:space="preserve"> The deviation is:</w:t>
      </w:r>
    </w:p>
    <w:p>
      <w:pPr>
        <w:spacing w:after="120" w:before="120" w:line="312"/>
        <w:jc w:val="center"/>
      </w:pPr>
      <w:r>
        <w:rPr>
          <w:rFonts w:ascii="Cambria" w:eastAsia="SimSun" w:hAnsi="Cambria"/>
          <w:i/>
          <w:iCs/>
          <w:color w:val="1A1A1A"/>
          <w:sz w:val="22"/>
          <w:szCs w:val="22"/>
        </w:rPr>
        <w:t xml:space="preserve">D = |W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Actual</w:t>
      </w:r>
      <w:r>
        <w:rPr>
          <w:rFonts w:ascii="Cambria" w:eastAsia="SimSun" w:hAnsi="Cambria"/>
          <w:i/>
          <w:iCs/>
          <w:color w:val="1A1A1A"/>
          <w:sz w:val="22"/>
          <w:szCs w:val="22"/>
        </w:rPr>
        <w:t xml:space="preserve">| = |27.0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- 29.4</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2.4</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deviation exceeds the band, so the trade is triggered:</w:t>
      </w:r>
    </w:p>
    <w:p>
      <w:pPr>
        <w:spacing w:after="120" w:before="120" w:line="312"/>
        <w:jc w:val="center"/>
      </w:pPr>
      <w:r>
        <w:rPr>
          <w:rFonts w:ascii="Cambria" w:eastAsia="SimSun" w:hAnsi="Cambria"/>
          <w:i/>
          <w:iCs/>
          <w:color w:val="1A1A1A"/>
          <w:sz w:val="22"/>
          <w:szCs w:val="22"/>
        </w:rPr>
        <w:t xml:space="preserve">D = 2.4</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&gt; </w:t>
      </w: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 = 2.0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trigger</w:t>
      </w:r>
    </w:p>
    <w:p>
      <w:pPr>
        <w:spacing w:after="120" w:line="312"/>
        <w:jc w:val="both"/>
      </w:pPr>
      <w:r>
        <w:rPr>
          <w:rFonts w:ascii="Calibri" w:eastAsia="SimSun" w:hAnsi="Calibri"/>
          <w:b w:val="false"/>
          <w:bCs w:val="false"/>
          <w:color w:val="1A1A1A"/>
          <w:sz w:val="21"/>
          <w:szCs w:val="21"/>
        </w:rPr>
        <w:t xml:space="preserve">The executed size is the partial correction:</w:t>
      </w:r>
    </w:p>
    <w:p>
      <w:pPr>
        <w:spacing w:after="120" w:before="120" w:line="312"/>
        <w:jc w:val="center"/>
      </w:pPr>
      <w:r>
        <w:rPr>
          <w:rFonts w:ascii="Cambria" w:eastAsia="SimSun" w:hAnsi="Cambria"/>
          <w:i w:val="false"/>
          <w:iCs w:val="false"/>
          <w:color w:val="1A1A1A"/>
          <w:sz w:val="22"/>
          <w:szCs w:val="22"/>
        </w:rPr>
        <w:t xml:space="preserve">Trade</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β</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Actual</w:t>
      </w:r>
      <w:r>
        <w:rPr>
          <w:rFonts w:ascii="Cambria" w:eastAsia="SimSun" w:hAnsi="Cambria"/>
          <w:i/>
          <w:iCs/>
          <w:color w:val="1A1A1A"/>
          <w:sz w:val="22"/>
          <w:szCs w:val="22"/>
        </w:rPr>
        <w:t xml:space="preserve">) = 0.40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(27.0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- 29.4</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-0.96</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so 0.96 percentage points of portfolio allocation are sold from gold initially, rather than the entire 2.4-point deviation. After execution the actual gold weight is 28.44%, leaving a residual deviation of 1.44% — back inside the no-trade zone.</w:t>
      </w:r>
    </w:p>
    <w:p>
      <w:pPr>
        <w:spacing w:after="120" w:line="312"/>
        <w:jc w:val="both"/>
      </w:pPr>
      <w:r>
        <w:rPr>
          <w:rFonts w:ascii="Calibri" w:eastAsia="SimSun" w:hAnsi="Calibri"/>
          <w:b/>
          <w:bCs/>
          <w:color w:val="1A1A1A"/>
          <w:sz w:val="21"/>
          <w:szCs w:val="21"/>
        </w:rPr>
        <w:t xml:space="preserve">Decision outcome.</w:t>
      </w:r>
      <w:r>
        <w:rPr>
          <w:rFonts w:ascii="Calibri" w:eastAsia="SimSun" w:hAnsi="Calibri"/>
          <w:b w:val="false"/>
          <w:bCs w:val="false"/>
          <w:color w:val="1A1A1A"/>
          <w:sz w:val="21"/>
          <w:szCs w:val="21"/>
        </w:rPr>
        <w:t xml:space="preserve"> Only a fraction of the deviation is corrected per trigger. Partial rebalancing (Chapter 10) trades urgency against market impact: if the deviation is persistent, consecutive daily triggers walk the basket toward the target in approximately 40% steps, each sized to remain liquidity-friendly; if the deviation reverses, the system has not over-traded. The decision log records target, actual, drift, executed size and cost estimate (Chapter 24).</w:t>
      </w:r>
    </w:p>
    <w:p>
      <w:pPr>
        <w:pStyle w:val="Heading2"/>
        <w:keepNext/>
        <w:spacing w:after="160" w:before="360" w:line="340" w:lineRule="atLeast"/>
      </w:pPr>
      <w:bookmarkStart w:id="100334" w:name="_Toc100334"/>
      <w:r>
        <w:rPr>
          <w:rFonts w:ascii="Calibri" w:eastAsia="Microsoft YaHei" w:hAnsi="Calibri"/>
          <w:b/>
          <w:bCs/>
          <w:color w:val="1A1A1A"/>
          <w:sz w:val="28"/>
          <w:szCs w:val="28"/>
        </w:rPr>
        <w:t xml:space="preserve">C.3 Example 3 — Natural-Flow Rebalancing</w:t>
      </w:r>
      <w:bookmarkEnd w:id="100334"/>
    </w:p>
    <w:p>
      <w:pPr>
        <w:spacing w:after="120" w:line="312"/>
        <w:jc w:val="both"/>
      </w:pPr>
      <w:r>
        <w:rPr>
          <w:rFonts w:ascii="Calibri" w:eastAsia="SimSun" w:hAnsi="Calibri"/>
          <w:b/>
          <w:bCs/>
          <w:color w:val="1A1A1A"/>
          <w:sz w:val="21"/>
          <w:szCs w:val="21"/>
        </w:rPr>
        <w:t xml:space="preserve">Scenario.</w:t>
      </w:r>
      <w:r>
        <w:rPr>
          <w:rFonts w:ascii="Calibri" w:eastAsia="SimSun" w:hAnsi="Calibri"/>
          <w:b w:val="false"/>
          <w:bCs w:val="false"/>
          <w:color w:val="1A1A1A"/>
          <w:sz w:val="21"/>
          <w:szCs w:val="21"/>
        </w:rPr>
        <w:t xml:space="preserve"> A currency component is underweight and MARP determines it requires +1.5% of portfolio allocation. Before any external trade is considered, the natural-flow test examines incoming reserve flows — mints and redemptions that can be directed into the underweight component (Chapter 19) — and finds they contribute +0.9% [MS §70].</w:t>
      </w:r>
    </w:p>
    <w:p>
      <w:pPr>
        <w:spacing w:after="120" w:line="312"/>
        <w:jc w:val="both"/>
      </w:pPr>
      <w:r>
        <w:rPr>
          <w:rFonts w:ascii="Calibri" w:eastAsia="SimSun" w:hAnsi="Calibri"/>
          <w:b/>
          <w:bCs/>
          <w:color w:val="1A1A1A"/>
          <w:sz w:val="21"/>
          <w:szCs w:val="21"/>
        </w:rPr>
        <w:t xml:space="preserve">Math walkthrough.</w:t>
      </w:r>
      <w:r>
        <w:rPr>
          <w:rFonts w:ascii="Calibri" w:eastAsia="SimSun" w:hAnsi="Calibri"/>
          <w:b w:val="false"/>
          <w:bCs w:val="false"/>
          <w:color w:val="1A1A1A"/>
          <w:sz w:val="21"/>
          <w:szCs w:val="21"/>
        </w:rPr>
        <w:t xml:space="preserve"> The external trade requirement is the residual after natural flows:</w:t>
      </w:r>
    </w:p>
    <w:p>
      <w:pPr>
        <w:spacing w:after="120" w:before="120" w:line="312"/>
        <w:jc w:val="center"/>
      </w:pPr>
      <w:r>
        <w:rPr>
          <w:rFonts w:ascii="Cambria" w:eastAsia="SimSun" w:hAnsi="Cambria"/>
          <w:i w:val="false"/>
          <w:iCs w:val="false"/>
          <w:color w:val="1A1A1A"/>
          <w:sz w:val="22"/>
          <w:szCs w:val="22"/>
        </w:rPr>
        <w:t xml:space="preserve">TradeNeeded</w:t>
      </w:r>
      <w:r>
        <w:rPr>
          <w:rFonts w:ascii="Cambria" w:eastAsia="SimSun" w:hAnsi="Cambria"/>
          <w:i/>
          <w:iCs/>
          <w:color w:val="1A1A1A"/>
          <w:sz w:val="22"/>
          <w:szCs w:val="22"/>
        </w:rPr>
        <w:t xml:space="preserve"> = 1.5</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- 0.9</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0.6</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bCs/>
          <w:color w:val="1A1A1A"/>
          <w:sz w:val="21"/>
          <w:szCs w:val="21"/>
        </w:rPr>
        <w:t xml:space="preserve">Decision outcome.</w:t>
      </w:r>
      <w:r>
        <w:rPr>
          <w:rFonts w:ascii="Calibri" w:eastAsia="SimSun" w:hAnsi="Calibri"/>
          <w:b w:val="false"/>
          <w:bCs w:val="false"/>
          <w:color w:val="1A1A1A"/>
          <w:sz w:val="21"/>
          <w:szCs w:val="21"/>
        </w:rPr>
        <w:t xml:space="preserve"> Only 0.6% requires external execution. The natural-flow preference (locked concept 23; Section 26.5.1) means directed mints and redemptions do the rebalancing work at zero marginal execution cost — the flow would have arrived anyway, so using it to close the deviation converts an unavoidable balance-sheet event into free rebalancing. The executed external trade, if any, then passes through the same cost-benefit gate as Example 4 before it is sent. The treasury sweep (Chapter 20) composes with this mechanism by keeping operational balances lean so that flows route through the reserve rather than accumulating idle cash.</w:t>
      </w:r>
    </w:p>
    <w:p>
      <w:pPr>
        <w:pStyle w:val="Heading2"/>
        <w:keepNext/>
        <w:spacing w:after="160" w:before="360" w:line="340" w:lineRule="atLeast"/>
      </w:pPr>
      <w:bookmarkStart w:id="100335" w:name="_Toc100335"/>
      <w:r>
        <w:rPr>
          <w:rFonts w:ascii="Calibri" w:eastAsia="Microsoft YaHei" w:hAnsi="Calibri"/>
          <w:b/>
          <w:bCs/>
          <w:color w:val="1A1A1A"/>
          <w:sz w:val="28"/>
          <w:szCs w:val="28"/>
        </w:rPr>
        <w:t xml:space="preserve">C.4 Example 4 — Cost-Gate Rejection</w:t>
      </w:r>
      <w:bookmarkEnd w:id="100335"/>
    </w:p>
    <w:p>
      <w:pPr>
        <w:spacing w:after="120" w:line="312"/>
        <w:jc w:val="both"/>
      </w:pPr>
      <w:r>
        <w:rPr>
          <w:rFonts w:ascii="Calibri" w:eastAsia="SimSun" w:hAnsi="Calibri"/>
          <w:b/>
          <w:bCs/>
          <w:color w:val="1A1A1A"/>
          <w:sz w:val="21"/>
          <w:szCs w:val="21"/>
        </w:rPr>
        <w:t xml:space="preserve">Scenario.</w:t>
      </w:r>
      <w:r>
        <w:rPr>
          <w:rFonts w:ascii="Calibri" w:eastAsia="SimSun" w:hAnsi="Calibri"/>
          <w:b w:val="false"/>
          <w:bCs w:val="false"/>
          <w:color w:val="1A1A1A"/>
          <w:sz w:val="21"/>
          <w:szCs w:val="21"/>
        </w:rPr>
        <w:t xml:space="preserve"> A component is technically outside its preferred target, so a trade is eligible by the no-trade-zone test. MARP now runs the cost-benefit gate: the estimated benefit of the correction — risk reduction, tracking improvement — is B = 0.12% of portfolio value, while the expected execution cost — spread, slippage, fees — is C = 0.17% [MS §71].</w:t>
      </w:r>
    </w:p>
    <w:p>
      <w:pPr>
        <w:spacing w:after="120" w:line="312"/>
        <w:jc w:val="both"/>
      </w:pPr>
      <w:r>
        <w:rPr>
          <w:rFonts w:ascii="Calibri" w:eastAsia="SimSun" w:hAnsi="Calibri"/>
          <w:b/>
          <w:bCs/>
          <w:color w:val="1A1A1A"/>
          <w:sz w:val="21"/>
          <w:szCs w:val="21"/>
        </w:rPr>
        <w:t xml:space="preserve">Math walkthrough.</w:t>
      </w:r>
      <w:r>
        <w:rPr>
          <w:rFonts w:ascii="Calibri" w:eastAsia="SimSun" w:hAnsi="Calibri"/>
          <w:b w:val="false"/>
          <w:bCs w:val="false"/>
          <w:color w:val="1A1A1A"/>
          <w:sz w:val="21"/>
          <w:szCs w:val="21"/>
        </w:rPr>
        <w:t xml:space="preserve"> The gate compares benefit to cost:</w:t>
      </w:r>
    </w:p>
    <w:p>
      <w:pPr>
        <w:spacing w:after="120" w:before="120" w:line="312"/>
        <w:jc w:val="center"/>
      </w:pPr>
      <w:r>
        <w:rPr>
          <w:rFonts w:ascii="Cambria" w:eastAsia="SimSun" w:hAnsi="Cambria"/>
          <w:i/>
          <w:iCs/>
          <w:color w:val="1A1A1A"/>
          <w:sz w:val="22"/>
          <w:szCs w:val="22"/>
        </w:rPr>
        <w:t xml:space="preserve">B - C = 0.12</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- 0.17</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-0.05</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&lt; 0</w:t>
      </w:r>
    </w:p>
    <w:p>
      <w:pPr>
        <w:spacing w:after="120" w:line="312"/>
        <w:jc w:val="both"/>
      </w:pPr>
      <w:r>
        <w:rPr>
          <w:rFonts w:ascii="Calibri" w:eastAsia="SimSun" w:hAnsi="Calibri"/>
          <w:b/>
          <w:bCs/>
          <w:color w:val="1A1A1A"/>
          <w:sz w:val="21"/>
          <w:szCs w:val="21"/>
        </w:rPr>
        <w:t xml:space="preserve">Decision outcome.</w:t>
      </w:r>
      <w:r>
        <w:rPr>
          <w:rFonts w:ascii="Calibri" w:eastAsia="SimSun" w:hAnsi="Calibri"/>
          <w:b w:val="false"/>
          <w:bCs w:val="false"/>
          <w:color w:val="1A1A1A"/>
          <w:sz w:val="21"/>
          <w:szCs w:val="21"/>
        </w:rPr>
        <w:t xml:space="preserve"> The net value of the trade is negative, so:</w:t>
      </w:r>
    </w:p>
    <w:p>
      <w:pPr>
        <w:spacing w:after="120" w:before="120" w:line="312"/>
        <w:jc w:val="center"/>
      </w:pPr>
      <w:r>
        <w:rPr>
          <w:rFonts w:ascii="Cambria" w:eastAsia="SimSun" w:hAnsi="Cambria"/>
          <w:i w:val="false"/>
          <w:iCs w:val="false"/>
          <w:color w:val="1A1A1A"/>
          <w:sz w:val="22"/>
          <w:szCs w:val="22"/>
        </w:rPr>
        <w:t xml:space="preserve">Trade</w:t>
      </w:r>
      <w:r>
        <w:rPr>
          <w:rFonts w:ascii="Cambria" w:eastAsia="SimSun" w:hAnsi="Cambria"/>
          <w:i/>
          <w:iCs/>
          <w:color w:val="1A1A1A"/>
          <w:sz w:val="22"/>
          <w:szCs w:val="22"/>
        </w:rPr>
        <w:t xml:space="preserve"> = 0</w:t>
      </w:r>
    </w:p>
    <w:p>
      <w:pPr>
        <w:spacing w:after="120" w:line="312"/>
        <w:jc w:val="both"/>
      </w:pPr>
      <w:r>
        <w:rPr>
          <w:rFonts w:ascii="Calibri" w:eastAsia="SimSun" w:hAnsi="Calibri"/>
          <w:b w:val="false"/>
          <w:bCs w:val="false"/>
          <w:color w:val="1A1A1A"/>
          <w:sz w:val="21"/>
          <w:szCs w:val="21"/>
        </w:rPr>
        <w:t xml:space="preserve">even though the portfolio is technically outside its preferred target. This is exactly the behavior the architecture wants: the system refuses to execute value-destructive corrections and carries the deviation instead, re-testing every day as conditions — and costs — evolve. Two overrides exist and both are deliberate: a risk trigger (for example a crisis-score breach, Section 5.5) can justify a solvency-protecting trade on risk grounds rather than economic grounds, and the emergency path (Chapter 18) supersedes normal gating entirely. Absent those, a deviation that is cheaper to keep than to fix is kept, and the decision log records the rejection with its economics so the choice is auditable.</w:t>
      </w:r>
    </w:p>
    <w:p>
      <w:pPr>
        <w:pStyle w:val="Heading2"/>
        <w:keepNext/>
        <w:spacing w:after="160" w:before="360" w:line="340" w:lineRule="atLeast"/>
      </w:pPr>
      <w:bookmarkStart w:id="100336" w:name="_Toc100336"/>
      <w:r>
        <w:rPr>
          <w:rFonts w:ascii="Calibri" w:eastAsia="Microsoft YaHei" w:hAnsi="Calibri"/>
          <w:b/>
          <w:bCs/>
          <w:color w:val="1A1A1A"/>
          <w:sz w:val="28"/>
          <w:szCs w:val="28"/>
        </w:rPr>
        <w:t xml:space="preserve">C.5 Example 5 — Gold Adaptive Shift</w:t>
      </w:r>
      <w:bookmarkEnd w:id="100336"/>
    </w:p>
    <w:p>
      <w:pPr>
        <w:spacing w:after="120" w:line="312"/>
        <w:jc w:val="both"/>
      </w:pPr>
      <w:r>
        <w:rPr>
          <w:rFonts w:ascii="Calibri" w:eastAsia="SimSun" w:hAnsi="Calibri"/>
          <w:b/>
          <w:bCs/>
          <w:color w:val="1A1A1A"/>
          <w:sz w:val="21"/>
          <w:szCs w:val="21"/>
        </w:rPr>
        <w:t xml:space="preserve">Scenario.</w:t>
      </w:r>
      <w:r>
        <w:rPr>
          <w:rFonts w:ascii="Calibri" w:eastAsia="SimSun" w:hAnsi="Calibri"/>
          <w:b w:val="false"/>
          <w:bCs w:val="false"/>
          <w:color w:val="1A1A1A"/>
          <w:sz w:val="21"/>
          <w:szCs w:val="21"/>
        </w:rPr>
        <w:t xml:space="preserve"> The strategic prior for gold is W_{Gold}^{Prior} = 26%. On a given review, MASE calculates a gold target of 29.2% because: purchasing-power protection improved at the higher weight, diversification improved, crisis probability increased, and the marginal risk contribution of the additional gold remained acceptable [MS §72].</w:t>
      </w:r>
    </w:p>
    <w:p>
      <w:pPr>
        <w:spacing w:after="120" w:line="312"/>
        <w:jc w:val="both"/>
      </w:pPr>
      <w:r>
        <w:rPr>
          <w:rFonts w:ascii="Calibri" w:eastAsia="SimSun" w:hAnsi="Calibri"/>
          <w:b/>
          <w:bCs/>
          <w:color w:val="1A1A1A"/>
          <w:sz w:val="21"/>
          <w:szCs w:val="21"/>
        </w:rPr>
        <w:t xml:space="preserve">Math walkthrough.</w:t>
      </w:r>
      <w:r>
        <w:rPr>
          <w:rFonts w:ascii="Calibri" w:eastAsia="SimSun" w:hAnsi="Calibri"/>
          <w:b w:val="false"/>
          <w:bCs w:val="false"/>
          <w:color w:val="1A1A1A"/>
          <w:sz w:val="21"/>
          <w:szCs w:val="21"/>
        </w:rPr>
        <w:t xml:space="preserve"> The target is the optimizer's output, not the prior:</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 29.2</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Prior</w:t>
      </w:r>
      <w:r>
        <w:rPr>
          <w:rFonts w:ascii="Cambria" w:eastAsia="SimSun" w:hAnsi="Cambria"/>
          <w:i/>
          <w:iCs/>
          <w:color w:val="1A1A1A"/>
          <w:sz w:val="22"/>
          <w:szCs w:val="22"/>
        </w:rPr>
        <w:t xml:space="preserve"> = 26</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proposed target is checked against the gold admissibility envelope (20–32%, Section 8.1) — 29.2% is admissible — and against the velocity limit; the StrategicDrift penalty (Section 7.1) has already priced the 3.2-point departure from the prior inside the objective, so the deviation is paid for in the optimization, not forbidden.</w:t>
      </w:r>
    </w:p>
    <w:p>
      <w:pPr>
        <w:spacing w:after="120" w:line="312"/>
        <w:jc w:val="both"/>
      </w:pPr>
      <w:r>
        <w:rPr>
          <w:rFonts w:ascii="Calibri" w:eastAsia="SimSun" w:hAnsi="Calibri"/>
          <w:b/>
          <w:bCs/>
          <w:color w:val="1A1A1A"/>
          <w:sz w:val="21"/>
          <w:szCs w:val="21"/>
        </w:rPr>
        <w:t xml:space="preserve">Decision outcome.</w:t>
      </w:r>
      <w:r>
        <w:rPr>
          <w:rFonts w:ascii="Calibri" w:eastAsia="SimSun" w:hAnsi="Calibri"/>
          <w:b w:val="false"/>
          <w:bCs w:val="false"/>
          <w:color w:val="1A1A1A"/>
          <w:sz w:val="21"/>
          <w:szCs w:val="21"/>
        </w:rPr>
        <w:t xml:space="preserve"> The live target becomes 29.2%, not 26%. Conversely, if conditions change — crisis probability falls, gold correlations shift — MASE could calculate 23.8% without violating the design. Thus 26% is not fixed: it is the starting prior, and the same architecture that moved gold to 29.2% can move it back. The executed path then runs through smoothing (Section 8.4) and the MARP gates of Examples 1–4, so even a large target shift lands as a sequence of partial, cost-justified corrections. This example is the operational proof of the monetary principle of Section 26.5.2: fixed methodology, adaptive composition.</w:t>
      </w:r>
    </w:p>
    <w:p>
      <w:pPr>
        <w:pStyle w:val="Heading1"/>
        <w:keepNext/>
        <w:pBdr>
          <w:bottom w:val="single" w:color="C9A84C" w:sz="12" w:space="6"/>
        </w:pBdr>
        <w:spacing w:after="220" w:before="480" w:line="380" w:lineRule="atLeast"/>
      </w:pPr>
      <w:bookmarkStart w:id="100337" w:name="_Toc100337"/>
      <w:r>
        <w:rPr>
          <w:rFonts w:ascii="Calibri" w:eastAsia="Microsoft YaHei" w:hAnsi="Calibri"/>
          <w:b/>
          <w:bCs/>
          <w:color w:val="1A1A1A"/>
          <w:sz w:val="32"/>
          <w:szCs w:val="32"/>
        </w:rPr>
        <w:t xml:space="preserve">Appendix D — Testnet Deployment Specifics</w:t>
      </w:r>
      <w:bookmarkEnd w:id="100337"/>
    </w:p>
    <w:p>
      <w:pPr>
        <w:pStyle w:val="Heading2"/>
        <w:keepNext/>
        <w:spacing w:after="160" w:before="360" w:line="340" w:lineRule="atLeast"/>
      </w:pPr>
      <w:bookmarkStart w:id="100338" w:name="_Toc100338"/>
      <w:r>
        <w:rPr>
          <w:rFonts w:ascii="Calibri" w:eastAsia="Microsoft YaHei" w:hAnsi="Calibri"/>
          <w:b/>
          <w:bCs/>
          <w:color w:val="1A1A1A"/>
          <w:sz w:val="28"/>
          <w:szCs w:val="28"/>
        </w:rPr>
        <w:t xml:space="preserve">D.1 Target Chains</w:t>
      </w:r>
      <w:bookmarkEnd w:id="100338"/>
    </w:p>
    <w:p>
      <w:pPr>
        <w:spacing w:after="120" w:line="312"/>
        <w:jc w:val="both"/>
      </w:pPr>
      <w:r>
        <w:rPr>
          <w:rFonts w:ascii="Calibri" w:eastAsia="SimSun" w:hAnsi="Calibri"/>
          <w:b w:val="false"/>
          <w:bCs w:val="false"/>
          <w:color w:val="1A1A1A"/>
          <w:sz w:val="21"/>
          <w:szCs w:val="21"/>
        </w:rPr>
        <w:t xml:space="preserve">The v2.0 testnet edition is deployed on three development networks: </w:t>
      </w:r>
      <w:r>
        <w:rPr>
          <w:rFonts w:ascii="Calibri" w:eastAsia="SimSun" w:hAnsi="Calibri"/>
          <w:b/>
          <w:bCs/>
          <w:color w:val="1A1A1A"/>
          <w:sz w:val="21"/>
          <w:szCs w:val="21"/>
        </w:rPr>
        <w:t xml:space="preserve">Arc</w:t>
      </w:r>
      <w:r>
        <w:rPr>
          <w:rFonts w:ascii="Calibri" w:eastAsia="SimSun" w:hAnsi="Calibri"/>
          <w:b w:val="false"/>
          <w:bCs w:val="false"/>
          <w:color w:val="1A1A1A"/>
          <w:sz w:val="21"/>
          <w:szCs w:val="21"/>
        </w:rPr>
        <w:t xml:space="preserve">, </w:t>
      </w:r>
      <w:r>
        <w:rPr>
          <w:rFonts w:ascii="Calibri" w:eastAsia="SimSun" w:hAnsi="Calibri"/>
          <w:b/>
          <w:bCs/>
          <w:color w:val="1A1A1A"/>
          <w:sz w:val="21"/>
          <w:szCs w:val="21"/>
        </w:rPr>
        <w:t xml:space="preserve">Monad</w:t>
      </w:r>
      <w:r>
        <w:rPr>
          <w:rFonts w:ascii="Calibri" w:eastAsia="SimSun" w:hAnsi="Calibri"/>
          <w:b w:val="false"/>
          <w:bCs w:val="false"/>
          <w:color w:val="1A1A1A"/>
          <w:sz w:val="21"/>
          <w:szCs w:val="21"/>
        </w:rPr>
        <w:t xml:space="preserve"> and </w:t>
      </w:r>
      <w:r>
        <w:rPr>
          <w:rFonts w:ascii="Calibri" w:eastAsia="SimSun" w:hAnsi="Calibri"/>
          <w:b/>
          <w:bCs/>
          <w:color w:val="1A1A1A"/>
          <w:sz w:val="21"/>
          <w:szCs w:val="21"/>
        </w:rPr>
        <w:t xml:space="preserve">Solana Devnet</w:t>
      </w:r>
      <w:r>
        <w:rPr>
          <w:rFonts w:ascii="Calibri" w:eastAsia="SimSun" w:hAnsi="Calibri"/>
          <w:b w:val="false"/>
          <w:bCs w:val="false"/>
          <w:color w:val="1A1A1A"/>
          <w:sz w:val="21"/>
          <w:szCs w:val="21"/>
        </w:rPr>
        <w:t xml:space="preserve"> [BP §15.7; BP §13.7.4]. Arc and Monad are EVM-compatible and share the deployment sequence of Appendix B, including the EVM-style Genesis Reserve Safe; Solana Devnet requires the chain-native equivalent mechanism for the genesis reserve, and the honest status string of Listing 15 names all three networks. The public-testnet validation gate (Gate 5, Section 25.5) additionally contemplates a public testnet such as Arbitrum Sepolia with 100+ simulated users, which is a distinct, later stage than the devnet deployments described here. Chain selection is deliberate rather than convenient: deploying on three heterogeneous networks exercises the portability of the oracle layer (Chapter 17), the multi-chain deployment discipline of the genesis sequence (Phase 3), and the invariant that honest status is chain-independent — the same query must return the same truth on every network the contracts inhabit.</w:t>
      </w:r>
    </w:p>
    <w:p>
      <w:pPr>
        <w:pStyle w:val="Heading2"/>
        <w:keepNext/>
        <w:spacing w:after="160" w:before="360" w:line="340" w:lineRule="atLeast"/>
      </w:pPr>
      <w:bookmarkStart w:id="100339" w:name="_Toc100339"/>
      <w:r>
        <w:rPr>
          <w:rFonts w:ascii="Calibri" w:eastAsia="Microsoft YaHei" w:hAnsi="Calibri"/>
          <w:b/>
          <w:bCs/>
          <w:color w:val="1A1A1A"/>
          <w:sz w:val="28"/>
          <w:szCs w:val="28"/>
        </w:rPr>
        <w:t xml:space="preserve">D.2 Genesis Verification on Testnet (Manual Emission)</w:t>
      </w:r>
      <w:bookmarkEnd w:id="100339"/>
    </w:p>
    <w:p>
      <w:pPr>
        <w:spacing w:after="120" w:line="312"/>
        <w:jc w:val="both"/>
      </w:pPr>
      <w:r>
        <w:rPr>
          <w:rFonts w:ascii="Calibri" w:eastAsia="SimSun" w:hAnsi="Calibri"/>
          <w:b w:val="false"/>
          <w:bCs w:val="false"/>
          <w:color w:val="1A1A1A"/>
          <w:sz w:val="21"/>
          <w:szCs w:val="21"/>
        </w:rPr>
        <w:t xml:space="preserve">On testnets the deployer </w:t>
      </w:r>
      <w:r>
        <w:rPr>
          <w:rFonts w:ascii="Calibri" w:eastAsia="SimSun" w:hAnsi="Calibri"/>
          <w:b/>
          <w:bCs/>
          <w:color w:val="1A1A1A"/>
          <w:sz w:val="21"/>
          <w:szCs w:val="21"/>
        </w:rPr>
        <w:t xml:space="preserve">must</w:t>
      </w:r>
      <w:r>
        <w:rPr>
          <w:rFonts w:ascii="Calibri" w:eastAsia="SimSun" w:hAnsi="Calibri"/>
          <w:b w:val="false"/>
          <w:bCs w:val="false"/>
          <w:color w:val="1A1A1A"/>
          <w:sz w:val="21"/>
          <w:szCs w:val="21"/>
        </w:rPr>
        <w:t xml:space="preserve"> emit the GenesisVerification event manually after the genesis transaction by calling an internal _emitGenesisVerification() function, so that the event is present in the testnet logs for audit testing [BP §2.6.3]. The call is placed inside genesis() after the base denominator is set:</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Inside the genesis() function, after setting the base 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_emitGenesisVerification();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function _emitGenesisVerification()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GenesisVerification(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GFB_BASE_DENOMINATOR,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BASE_EUR_USD,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BASE_GBP_USD,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BASE_JPY_USD,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BASE_CNY_USD,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BASE_CHF_USD,   // v2.0: seven-component prior includes CHF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BASE_GOLD_USD,  // v2.0: gold base fixing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the v1.2 snippet emitted five currency fixings; the v2.0 genesis snapshot has seven components (six currencies plus gold, Section 3.4), so CHF and the gold fixing are added to the event. The developer checklist for this step is Phase 3 of Appendix B [BP §2.6.4].</w:t>
      </w:r>
    </w:p>
    <w:p>
      <w:pPr>
        <w:pStyle w:val="Heading2"/>
        <w:keepNext/>
        <w:spacing w:after="160" w:before="360" w:line="340" w:lineRule="atLeast"/>
      </w:pPr>
      <w:bookmarkStart w:id="100340" w:name="_Toc100340"/>
      <w:r>
        <w:rPr>
          <w:rFonts w:ascii="Calibri" w:eastAsia="Microsoft YaHei" w:hAnsi="Calibri"/>
          <w:b/>
          <w:bCs/>
          <w:color w:val="1A1A1A"/>
          <w:sz w:val="28"/>
          <w:szCs w:val="28"/>
        </w:rPr>
        <w:t xml:space="preserve">D.3 Mock Oracles, Mock Assets and the Mock Aggregator</w:t>
      </w:r>
      <w:bookmarkEnd w:id="100340"/>
    </w:p>
    <w:p>
      <w:pPr>
        <w:spacing w:after="120" w:line="312"/>
        <w:jc w:val="both"/>
      </w:pPr>
      <w:r>
        <w:rPr>
          <w:rFonts w:ascii="Calibri" w:eastAsia="SimSun" w:hAnsi="Calibri"/>
          <w:b w:val="false"/>
          <w:bCs w:val="false"/>
          <w:color w:val="1A1A1A"/>
          <w:sz w:val="21"/>
          <w:szCs w:val="21"/>
        </w:rPr>
        <w:t xml:space="preserve">Everything on the devnets is simulated, and the honest-status declaration states it (Section 25.7; Section 26.8.2) [BP §16.4]:</w:t>
      </w:r>
    </w:p>
    <w:p>
      <w:pPr>
        <w:pStyle w:val="ListParagraph"/>
        <w:numPr>
          <w:ilvl w:val="0"/>
          <w:numId w:val="2"/>
        </w:numPr>
        <w:spacing w:after="60" w:line="312"/>
        <w:jc w:val="left"/>
      </w:pPr>
      <w:r>
        <w:rPr>
          <w:rFonts w:ascii="Calibri" w:eastAsia="SimSun" w:hAnsi="Calibri"/>
          <w:b/>
          <w:bCs/>
          <w:color w:val="1A1A1A"/>
          <w:sz w:val="21"/>
          <w:szCs w:val="21"/>
        </w:rPr>
        <w:t xml:space="preserve">Oracles — MOCKED.</w:t>
      </w:r>
      <w:r>
        <w:rPr>
          <w:rFonts w:ascii="Calibri" w:eastAsia="SimSun" w:hAnsi="Calibri"/>
          <w:b w:val="false"/>
          <w:bCs w:val="false"/>
          <w:color w:val="1A1A1A"/>
          <w:sz w:val="21"/>
          <w:szCs w:val="21"/>
        </w:rPr>
        <w:t xml:space="preserve"> All price feeds (FX pairs, gold, VIX, DXY) are simulated: mock feeds are deployed behind the same OracleFeed interface, staleness/confidence/deviation checks are enforced against the mock heartbeat, and the canonical gold price quorum logic runs unchanged against mock sources, so the full code path of Chapter 17 is exercised.</w:t>
      </w:r>
    </w:p>
    <w:p>
      <w:pPr>
        <w:pStyle w:val="ListParagraph"/>
        <w:numPr>
          <w:ilvl w:val="0"/>
          <w:numId w:val="2"/>
        </w:numPr>
        <w:spacing w:after="60" w:line="312"/>
        <w:jc w:val="left"/>
      </w:pPr>
      <w:r>
        <w:rPr>
          <w:rFonts w:ascii="Calibri" w:eastAsia="SimSun" w:hAnsi="Calibri"/>
          <w:b/>
          <w:bCs/>
          <w:color w:val="1A1A1A"/>
          <w:sz w:val="21"/>
          <w:szCs w:val="21"/>
        </w:rPr>
        <w:t xml:space="preserve">Assets — MOCKED.</w:t>
      </w:r>
      <w:r>
        <w:rPr>
          <w:rFonts w:ascii="Calibri" w:eastAsia="SimSun" w:hAnsi="Calibri"/>
          <w:b w:val="false"/>
          <w:bCs w:val="false"/>
          <w:color w:val="1A1A1A"/>
          <w:sz w:val="21"/>
          <w:szCs w:val="21"/>
        </w:rPr>
        <w:t xml:space="preserve"> All ERC-20 reserve assets are testnet mocks, except native USDC on Arc. Mock assets exercise the Asset Admission Registry, haircut application and the staged-liquidation ladder of Chapter 21 without touching real value.</w:t>
      </w:r>
    </w:p>
    <w:p>
      <w:pPr>
        <w:pStyle w:val="ListParagraph"/>
        <w:numPr>
          <w:ilvl w:val="0"/>
          <w:numId w:val="2"/>
        </w:numPr>
        <w:spacing w:after="60" w:line="312"/>
        <w:jc w:val="left"/>
      </w:pPr>
      <w:r>
        <w:rPr>
          <w:rFonts w:ascii="Calibri" w:eastAsia="SimSun" w:hAnsi="Calibri"/>
          <w:b/>
          <w:bCs/>
          <w:color w:val="1A1A1A"/>
          <w:sz w:val="21"/>
          <w:szCs w:val="21"/>
        </w:rPr>
        <w:t xml:space="preserve">Aggregator — MOCK.</w:t>
      </w:r>
      <w:r>
        <w:rPr>
          <w:rFonts w:ascii="Calibri" w:eastAsia="SimSun" w:hAnsi="Calibri"/>
          <w:b w:val="false"/>
          <w:bCs w:val="false"/>
          <w:color w:val="1A1A1A"/>
          <w:sz w:val="21"/>
          <w:szCs w:val="21"/>
        </w:rPr>
        <w:t xml:space="preserve"> The multi-source aggregator consumes mock feeds exactly as it would consume production feeds, including timestamp, confidence and deviation rejection paths, so oracle-failure behavior is testable on demand.</w:t>
      </w:r>
    </w:p>
    <w:p>
      <w:pPr>
        <w:spacing w:after="120" w:line="312"/>
        <w:jc w:val="both"/>
      </w:pPr>
      <w:r>
        <w:rPr>
          <w:rFonts w:ascii="Calibri" w:eastAsia="SimSun" w:hAnsi="Calibri"/>
          <w:b w:val="false"/>
          <w:bCs w:val="false"/>
          <w:color w:val="1A1A1A"/>
          <w:sz w:val="21"/>
          <w:szCs w:val="21"/>
        </w:rPr>
        <w:t xml:space="preserve">The mock environment is a feature, not a compromise: because the honest-status contract always reports NOT PRODUCTION-AUTHORIZED while any gate is open, the devnet deployment can be used for audit rehearsal, incident-response drills and community familiarization without any risk of the testnet state being mistaken for production state.</w:t>
      </w:r>
    </w:p>
    <w:p>
      <w:pPr>
        <w:pStyle w:val="Heading2"/>
        <w:keepNext/>
        <w:spacing w:after="160" w:before="360" w:line="340" w:lineRule="atLeast"/>
      </w:pPr>
      <w:bookmarkStart w:id="100341" w:name="_Toc100341"/>
      <w:r>
        <w:rPr>
          <w:rFonts w:ascii="Calibri" w:eastAsia="Microsoft YaHei" w:hAnsi="Calibri"/>
          <w:b/>
          <w:bCs/>
          <w:color w:val="1A1A1A"/>
          <w:sz w:val="28"/>
          <w:szCs w:val="28"/>
        </w:rPr>
        <w:t xml:space="preserve">D.4 Asset-Specific Oracle Address Table</w:t>
      </w:r>
      <w:bookmarkEnd w:id="100341"/>
    </w:p>
    <w:p>
      <w:pPr>
        <w:spacing w:after="120" w:line="312"/>
        <w:jc w:val="both"/>
      </w:pPr>
      <w:r>
        <w:rPr>
          <w:rFonts w:ascii="Calibri" w:eastAsia="SimSun" w:hAnsi="Calibri"/>
          <w:b w:val="false"/>
          <w:bCs w:val="false"/>
          <w:color w:val="1A1A1A"/>
          <w:sz w:val="21"/>
          <w:szCs w:val="21"/>
        </w:rPr>
        <w:t xml:space="preserve">The contract must be deployed with the correct oracle addresses for the target chain. The table below carries the reference configuration; the placeholder addresses are Arbitrum-Mainnet-style feed slots to be replaced with the correct addresses for the target chain (devnet feeds point at the mocks of Section D.3) [BP §9.5]:</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 / Pair</w:t>
            </w:r>
          </w:p>
        </w:tc>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Chainlink Feed</w:t>
            </w:r>
          </w:p>
        </w:tc>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Pyth Feed ID</w:t>
            </w:r>
          </w:p>
        </w:tc>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Chronicle Feed</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EUR/USD</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0x…EURUSD</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0x…EURUSD_Pyth</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0x…EURUSD_Chronicle</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GBP/USD</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0x…GBPUSD</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0x…GBPUSD_Pyth</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0x…GBPUSD_Chronicle</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JPY/USD</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0x…JPYUSD</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0x…JPYUSD_Pyth</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0x…JPYUSD_Chronicle</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CNY/USD (CNH)</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0x…CNYUSD</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0x…CNYUSD_Pyth</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0x…CNYUSD_Chronicle</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 (Gold)</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0x…PAXG</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0x…PAXG_Pyth</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0x…PAXG_Chronicle</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VIX</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0x…VIX</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0x…VIX_Pyth</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0x…VIX_Chronicle</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DXY</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0x…DXY</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0x…DXY_Pyth</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0x…DXY_Chronicle</w:t>
            </w:r>
          </w:p>
        </w:tc>
      </w:tr>
    </w:tbl>
    <w:p>
      <w:pPr>
        <w:spacing w:after="120"/>
      </w:pPr>
    </w:p>
    <w:p>
      <w:pPr>
        <w:spacing w:after="120" w:line="312"/>
        <w:jc w:val="both"/>
      </w:pPr>
      <w:r>
        <w:rPr>
          <w:rFonts w:ascii="Calibri" w:eastAsia="SimSun" w:hAnsi="Calibri"/>
          <w:b w:val="false"/>
          <w:bCs w:val="false"/>
          <w:color w:val="1A1A1A"/>
          <w:sz w:val="21"/>
          <w:szCs w:val="21"/>
        </w:rPr>
        <w:t xml:space="preserve">Feeds are registered through the configuration map:</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struct OracleFeed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chainlink;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pyth;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chronicle;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stalenessThreshold; // in seconds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mapping(bytes32 =&gt; OracleFeed) public oracleFeeds;</w:t>
      </w:r>
    </w:p>
    <w:p>
      <w:pPr>
        <w:spacing w:after="120"/>
      </w:pPr>
    </w:p>
    <w:p>
      <w:pPr>
        <w:pStyle w:val="Heading2"/>
        <w:keepNext/>
        <w:spacing w:after="160" w:before="360" w:line="340" w:lineRule="atLeast"/>
      </w:pPr>
      <w:bookmarkStart w:id="100342" w:name="_Toc100342"/>
      <w:r>
        <w:rPr>
          <w:rFonts w:ascii="Calibri" w:eastAsia="Microsoft YaHei" w:hAnsi="Calibri"/>
          <w:b/>
          <w:bCs/>
          <w:color w:val="1A1A1A"/>
          <w:sz w:val="28"/>
          <w:szCs w:val="28"/>
        </w:rPr>
        <w:t xml:space="preserve">D.5 Testnet Honest-Status Declaration</w:t>
      </w:r>
      <w:bookmarkEnd w:id="100342"/>
    </w:p>
    <w:p>
      <w:pPr>
        <w:spacing w:after="120" w:line="312"/>
        <w:jc w:val="both"/>
      </w:pPr>
      <w:r>
        <w:rPr>
          <w:rFonts w:ascii="Calibri" w:eastAsia="SimSun" w:hAnsi="Calibri"/>
          <w:b w:val="false"/>
          <w:bCs w:val="false"/>
          <w:color w:val="1A1A1A"/>
          <w:sz w:val="21"/>
          <w:szCs w:val="21"/>
        </w:rPr>
        <w:t xml:space="preserve">The testnet deployment must include the honest-status contract of Listing 15, and its outputs are part of the deployment verification (Appendix B, Phase 5). The declaration in force on the devnets is: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getHonestStatus() returns the adaptive-methodology status string: deployed on Arc / Monad / Solana Devnet; not production-authorized; all oracles and assets simulated; live weights are validation-stage values; the strategic prior is a starting anchor; no percentage is a final optimal weight until all 11 gates pass.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getValidationGates() returns the 11-gate list of Section 25.5; all gates read as not passed.</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isProductionAuthorized() returns false, deriving from gate state rather than a constant.</w:t>
      </w:r>
    </w:p>
    <w:p>
      <w:pPr>
        <w:spacing w:after="120" w:line="312"/>
        <w:jc w:val="both"/>
      </w:pPr>
      <w:r>
        <w:rPr>
          <w:rFonts w:ascii="Calibri" w:eastAsia="SimSun" w:hAnsi="Calibri"/>
          <w:b w:val="false"/>
          <w:bCs w:val="false"/>
          <w:color w:val="1A1A1A"/>
          <w:sz w:val="21"/>
          <w:szCs w:val="21"/>
        </w:rPr>
        <w:t xml:space="preserve">Any dashboard, block explorer integration or documentation describing the devnet deployment must quote these functions rather than paraphrasing them — the on-chain string is the canonical statement, and the messaging guide of Section 25.6 governs every other description.</w:t>
      </w:r>
    </w:p>
    <w:p>
      <w:pPr>
        <w:pStyle w:val="Heading2"/>
        <w:keepNext/>
        <w:spacing w:after="160" w:before="360" w:line="340" w:lineRule="atLeast"/>
      </w:pPr>
      <w:bookmarkStart w:id="100343" w:name="_Toc100343"/>
      <w:r>
        <w:rPr>
          <w:rFonts w:ascii="Calibri" w:eastAsia="Microsoft YaHei" w:hAnsi="Calibri"/>
          <w:b/>
          <w:bCs/>
          <w:color w:val="1A1A1A"/>
          <w:sz w:val="28"/>
          <w:szCs w:val="28"/>
        </w:rPr>
        <w:t xml:space="preserve">D.6 Testnet Verification Sequence</w:t>
      </w:r>
      <w:bookmarkEnd w:id="100343"/>
    </w:p>
    <w:p>
      <w:pPr>
        <w:spacing w:after="120" w:line="312"/>
        <w:jc w:val="both"/>
      </w:pPr>
      <w:r>
        <w:rPr>
          <w:rFonts w:ascii="Calibri" w:eastAsia="SimSun" w:hAnsi="Calibri"/>
          <w:b w:val="false"/>
          <w:bCs w:val="false"/>
          <w:color w:val="1A1A1A"/>
          <w:sz w:val="21"/>
          <w:szCs w:val="21"/>
        </w:rPr>
        <w:t xml:space="preserve">The full Foundry command set for deployment verification is Phase 5 of Appendix B; the testnet-specific sequence adds the genesis-verification and honest-status steps in order [BP §13.7.4]:</w:t>
      </w:r>
    </w:p>
    <w:p>
      <w:pPr>
        <w:pStyle w:val="ListParagraph"/>
        <w:numPr>
          <w:ilvl w:val="0"/>
          <w:numId w:val="22"/>
        </w:numPr>
        <w:spacing w:after="60" w:line="312"/>
        <w:jc w:val="left"/>
      </w:pPr>
      <w:r>
        <w:rPr>
          <w:rFonts w:ascii="Calibri" w:eastAsia="SimSun" w:hAnsi="Calibri"/>
          <w:b w:val="false"/>
          <w:bCs w:val="false"/>
          <w:color w:val="1A1A1A"/>
          <w:sz w:val="21"/>
          <w:szCs w:val="21"/>
        </w:rPr>
        <w:t xml:space="preserve">1. Verify the base denominator: cast call $MTQ_CONTRACT "verifyGFBBase()" --rpc-url $RPC — the returned denominator must match the base fixings of the genesis snapshot (Section 3.4).</w:t>
      </w:r>
    </w:p>
    <w:p>
      <w:pPr>
        <w:pStyle w:val="ListParagraph"/>
        <w:numPr>
          <w:ilvl w:val="0"/>
          <w:numId w:val="22"/>
        </w:numPr>
        <w:spacing w:after="60" w:line="312"/>
        <w:jc w:val="left"/>
      </w:pPr>
      <w:r>
        <w:rPr>
          <w:rFonts w:ascii="Calibri" w:eastAsia="SimSun" w:hAnsi="Calibri"/>
          <w:b w:val="false"/>
          <w:bCs w:val="false"/>
          <w:color w:val="1A1A1A"/>
          <w:sz w:val="21"/>
          <w:szCs w:val="21"/>
        </w:rPr>
        <w:t xml:space="preserve">2. Confirm the GenesisVerification event is present in the genesis transaction logs (manual emission, Section D.2).</w:t>
      </w:r>
    </w:p>
    <w:p>
      <w:pPr>
        <w:pStyle w:val="ListParagraph"/>
        <w:numPr>
          <w:ilvl w:val="0"/>
          <w:numId w:val="22"/>
        </w:numPr>
        <w:spacing w:after="60" w:line="312"/>
        <w:jc w:val="left"/>
      </w:pPr>
      <w:r>
        <w:rPr>
          <w:rFonts w:ascii="Calibri" w:eastAsia="SimSun" w:hAnsi="Calibri"/>
          <w:b w:val="false"/>
          <w:bCs w:val="false"/>
          <w:color w:val="1A1A1A"/>
          <w:sz w:val="21"/>
          <w:szCs w:val="21"/>
        </w:rPr>
        <w:t xml:space="preserve">3. Check the Genesis Reserve token balance and circulating supply: cast call $MTQ_CONTRACT "balanceOf(address)" $GENESIS_RESERVE_ADDRESS --rpc-url $RPC — circulating supply must be zero at genesis.</w:t>
      </w:r>
    </w:p>
    <w:p>
      <w:pPr>
        <w:pStyle w:val="ListParagraph"/>
        <w:numPr>
          <w:ilvl w:val="0"/>
          <w:numId w:val="22"/>
        </w:numPr>
        <w:spacing w:after="60" w:line="312"/>
        <w:jc w:val="left"/>
      </w:pPr>
      <w:r>
        <w:rPr>
          <w:rFonts w:ascii="Calibri" w:eastAsia="SimSun" w:hAnsi="Calibri"/>
          <w:b w:val="false"/>
          <w:bCs w:val="false"/>
          <w:color w:val="1A1A1A"/>
          <w:sz w:val="21"/>
          <w:szCs w:val="21"/>
        </w:rPr>
        <w:t xml:space="preserve">4. Check the operational and treasury balances: cast balance $MTQ_CONTRACT --rpc-url $RPC and cast balance $COLD_TREASURY --rpc-url $RPC.</w:t>
      </w:r>
    </w:p>
    <w:p>
      <w:pPr>
        <w:pStyle w:val="ListParagraph"/>
        <w:numPr>
          <w:ilvl w:val="0"/>
          <w:numId w:val="22"/>
        </w:numPr>
        <w:spacing w:after="60" w:line="312"/>
        <w:jc w:val="left"/>
      </w:pPr>
      <w:r>
        <w:rPr>
          <w:rFonts w:ascii="Calibri" w:eastAsia="SimSun" w:hAnsi="Calibri"/>
          <w:b w:val="false"/>
          <w:bCs w:val="false"/>
          <w:color w:val="1A1A1A"/>
          <w:sz w:val="21"/>
          <w:szCs w:val="21"/>
        </w:rPr>
        <w:t xml:space="preserve">5. Query the honest-status contract: getHonestStatus(), getValidationGates(), isProductionAuthorized() — the last must return false.</w:t>
      </w:r>
    </w:p>
    <w:p>
      <w:pPr>
        <w:pStyle w:val="ListParagraph"/>
        <w:numPr>
          <w:ilvl w:val="0"/>
          <w:numId w:val="22"/>
        </w:numPr>
        <w:spacing w:after="60" w:line="312"/>
        <w:jc w:val="left"/>
      </w:pPr>
      <w:r>
        <w:rPr>
          <w:rFonts w:ascii="Calibri" w:eastAsia="SimSun" w:hAnsi="Calibri"/>
          <w:b w:val="false"/>
          <w:bCs w:val="false"/>
          <w:color w:val="1A1A1A"/>
          <w:sz w:val="21"/>
          <w:szCs w:val="21"/>
        </w:rPr>
        <w:t xml:space="preserve">6. Record all results in the deployment documentation and publish via the transparency layer (Chapter 24).</w:t>
      </w:r>
    </w:p>
    <w:p>
      <w:pPr>
        <w:pStyle w:val="Heading1"/>
        <w:keepNext/>
        <w:pBdr>
          <w:bottom w:val="single" w:color="C9A84C" w:sz="12" w:space="6"/>
        </w:pBdr>
        <w:spacing w:after="220" w:before="480" w:line="380" w:lineRule="atLeast"/>
      </w:pPr>
      <w:bookmarkStart w:id="100344" w:name="_Toc100344"/>
      <w:r>
        <w:rPr>
          <w:rFonts w:ascii="Calibri" w:eastAsia="Microsoft YaHei" w:hAnsi="Calibri"/>
          <w:b/>
          <w:bCs/>
          <w:color w:val="1A1A1A"/>
          <w:sz w:val="32"/>
          <w:szCs w:val="32"/>
        </w:rPr>
        <w:t xml:space="preserve">Appendix E — Source Lineage Cross-Reference</w:t>
      </w:r>
      <w:bookmarkEnd w:id="100344"/>
    </w:p>
    <w:p>
      <w:pPr>
        <w:pStyle w:val="Heading2"/>
        <w:keepNext/>
        <w:spacing w:after="160" w:before="360" w:line="340" w:lineRule="atLeast"/>
      </w:pPr>
      <w:bookmarkStart w:id="100345" w:name="_Toc100345"/>
      <w:r>
        <w:rPr>
          <w:rFonts w:ascii="Calibri" w:eastAsia="Microsoft YaHei" w:hAnsi="Calibri"/>
          <w:b/>
          <w:bCs/>
          <w:color w:val="1A1A1A"/>
          <w:sz w:val="28"/>
          <w:szCs w:val="28"/>
        </w:rPr>
        <w:t xml:space="preserve">E.1 Lineage Map</w:t>
      </w:r>
      <w:bookmarkEnd w:id="100345"/>
    </w:p>
    <w:p>
      <w:pPr>
        <w:spacing w:after="120" w:line="312"/>
        <w:jc w:val="both"/>
      </w:pPr>
      <w:r>
        <w:rPr>
          <w:rFonts w:ascii="Calibri" w:eastAsia="SimSun" w:hAnsi="Calibri"/>
          <w:b w:val="false"/>
          <w:bCs w:val="false"/>
          <w:color w:val="1A1A1A"/>
          <w:sz w:val="21"/>
          <w:szCs w:val="21"/>
        </w:rPr>
        <w:t xml:space="preserve">The consolidated document is built from three sources: the Source of Truth Blueprint v1.2 (BP, 16 sections, 80 solidity blocks), the Consolidated Final Modification Specification Baseline v1.0 (MS, 103 sections), and the COO Review (COO-1 through COO-28 plus the final conclusion). The map below records, chapter by chapter, which source material each part of the master document carries.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Master Document Section</w:t>
            </w:r>
          </w:p>
        </w:tc>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Source</w:t>
            </w:r>
          </w:p>
        </w:tc>
        <w:tc>
          <w:tcPr>
            <w:tcW w:type="pct" w:w="6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Content Carried</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1–2</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§1; MS §1–3, §90, §97; COO-1</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Introduction, document control, core variables, constitutional separation, three-layer architecture, four-state weight distinction, invariants, weight registry (Listing 1).</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3–4</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§2–11, §44–45; BP §2.1</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Adaptive reference basket, strategic prior, gold as first-class component, genesis weights; Constituency Engine, eligibility scoring, COFER/BIS inputs, transitions, hysteresis.</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5–7</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§12–30; BP §6; COO-3…COO-13</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input signals, regime detection, covariance and risk models, candidate optimizers, composite objective, ensemble architecture, MASE registry (Listing 2).</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8</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§31–34; COO-12</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Robust constraints, admissibility envelopes, velocity limits, adaptive bands, stress-adaptive smoothing.</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9</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§73–78; BP §2–3.3; COO-16…COO-18</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Index valuation, chain-linking, price and liability computation.</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§35–43, §66–67; COO-14…COO-15</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 philosophy, no-trade zones, partial rebalancing, natural-flow preference.</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11</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§7; MS</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MARP execution engine, cost-benefit objective, direction lock, execution contract.</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12</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§10; MS §65</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 and slippage bounds.</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13</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§46–52, §61; BP §4.3; COO-19</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architecture: coverage, liquidity, custody, gold reserve allocation.</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14</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§58–63; BP §4</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NAV, haircuts, reserve ratio, liquidity coverage ratio.</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15</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§5; MS §62–63</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Asset Admission Registry: eligibility criteria and asset states.</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16</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§8</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Dynamic buffer, three layers, ramping, first-loss waterfall.</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17</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§53–56; BP §9; COO-20</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architecture, multi-source validation, canonical gold price.</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18</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§64; BP §3</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state machine and deterministic transitions.</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19</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§12</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and redemption pricing.</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§13</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 event, accounting, treasury sweep.</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21</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§11, §14.1–14.3</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Geopolitical eject, staged liquidation, reintegration score.</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22</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§90–91; BP §14.4–14.5</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Governance separation, four-layer councils, parameter registry.</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23</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§79–89; COO-21…COO-25</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Validation and research program: backtests, walk-forward, perturbation, robustness.</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24</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§92–96; COO-26</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Deterministic reproducibility, data versioning, weight publication, decision log, final live-weight equation.</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25</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§15</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Claims and honest status: supported/unsupported claims, status table, validation gates, messaging guide, Listing 15.</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26</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§97–103; BP §16; COO-27/28</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Final declaration, four-state restatement, conceptual flows, strategic basket statement, COO-approved principles, locked/not-locked status, one-sentence definition, specification summary, source of truth.</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Appendix A</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Compiled</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Glossary of symbols and terms from all chapters.</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Appendix B</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§13.7.4, §2.6.4</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Developer deployment checklist: roles, oracles, genesis, weight registry, verification.</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Appendix C</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§68–72</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Five worked examples: no-trade, partial rebalance, natural flow, cost-gate, gold adaptive shift.</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Appendix D</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§2.6.3, §9.5, §15.7, §16.4</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Testnet chains, manual genesis verification, mocks, oracle addresses, honest status, verification sequence.</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Appendix E</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Compiled</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This lineage map.</w:t>
            </w:r>
          </w:p>
        </w:tc>
      </w:tr>
    </w:tbl>
    <w:p>
      <w:pPr>
        <w:spacing w:after="120"/>
      </w:pPr>
    </w:p>
    <w:p>
      <w:pPr>
        <w:pStyle w:val="Heading2"/>
        <w:keepNext/>
        <w:spacing w:after="160" w:before="360" w:line="340" w:lineRule="atLeast"/>
      </w:pPr>
      <w:bookmarkStart w:id="100346" w:name="_Toc100346"/>
      <w:r>
        <w:rPr>
          <w:rFonts w:ascii="Calibri" w:eastAsia="Microsoft YaHei" w:hAnsi="Calibri"/>
          <w:b/>
          <w:bCs/>
          <w:color w:val="1A1A1A"/>
          <w:sz w:val="28"/>
          <w:szCs w:val="28"/>
        </w:rPr>
        <w:t xml:space="preserve">E.2 Using the Lineage Map</w:t>
      </w:r>
      <w:bookmarkEnd w:id="100346"/>
    </w:p>
    <w:p>
      <w:pPr>
        <w:spacing w:after="120" w:line="312"/>
        <w:jc w:val="both"/>
      </w:pPr>
      <w:r>
        <w:rPr>
          <w:rFonts w:ascii="Calibri" w:eastAsia="SimSun" w:hAnsi="Calibri"/>
          <w:b w:val="false"/>
          <w:bCs w:val="false"/>
          <w:color w:val="1A1A1A"/>
          <w:sz w:val="21"/>
          <w:szCs w:val="21"/>
        </w:rPr>
        <w:t xml:space="preserve">The map serves three purposes. First, audit routing: an auditor who wants to verify a claim against its origin can jump from any chapter to the exact source sections it carries — for example, the no-trade-zone mechanics of Chapter 10 trace to MS §35–43 and COO-14/15, and the honest-status declarations of Chapter 25 trace to BP §15 in full. Second, change control: when a source document is revised (a new blueprint version, a new COO review round), the map identifies precisely which chapters of the master document are affected, so a version bump touches only the chapters whose lineage moved. Third, provenance of adaptations: where this document departs from a source — fixed quantities replaced by methodology references (Chapters 3, 9, 25, 26), fixed gold percentages replaced by adaptive allocation (Chapter 3), the five-currency genesis extended to seven components (Appendix D.2) — the departure is always an application of the Modification Specification's supersession rules, never an untracked edit. The single-source-of-truth declaration of Section 26.8.3 governs any conflict between this document and its sources: this document wins, and the map documents why.</w:t>
      </w:r>
    </w:p>
    <w:sectPr>
      <w:headerReference w:type="default" r:id="rId9"/>
      <w:footerReference w:type="default" r:id="rId10"/>
      <w:type w:val="nextPage"/>
      <w:pgSz w:w="11906" w:h="16838" w:orient="portrait"/>
      <w:pgMar w:top="1134" w:right="1134" w:bottom="1134" w:left="1417"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SimSun" w:hAnsi="Calibri"/>
        <w:color w:val="888888"/>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SimSun" w:hAnsi="Calibri"/>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0A8" w:sz="2" w:space="4"/>
      </w:pBdr>
      <w:spacing w:after="60"/>
      <w:jc w:val="right"/>
    </w:pPr>
    <w:r>
      <w:rPr>
        <w:rFonts w:ascii="Calibri" w:eastAsia="SimSun" w:hAnsi="Calibri"/>
        <w:color w:val="888888"/>
        <w:sz w:val="16"/>
        <w:szCs w:val="16"/>
      </w:rPr>
      <w:t xml:space="preserve">MTQ Σ — Master Monetary Architecture &amp; Quantitative Specification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0A8" w:sz="2" w:space="4"/>
      </w:pBdr>
      <w:spacing w:after="60"/>
      <w:jc w:val="right"/>
    </w:pPr>
    <w:r>
      <w:rPr>
        <w:rFonts w:ascii="Calibri" w:eastAsia="SimSun" w:hAnsi="Calibri"/>
        <w:color w:val="888888"/>
        <w:sz w:val="16"/>
        <w:szCs w:val="16"/>
      </w:rPr>
      <w:t xml:space="preserve">MTQ Σ — Master Monetary Architecture &amp; Quantitative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40"/>
      </w:pPr>
      <w:rPr>
        <w:color w:val="C9A84C"/>
      </w:r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abstractNum w:abstractNumId="8" w15:restartNumberingAfterBreak="0">
    <w:multiLevelType w:val="hybridMultilevel"/>
    <w:lvl w:ilvl="0" w15:tentative="1">
      <w:start w:val="1"/>
      <w:numFmt w:val="decimal"/>
      <w:lvlText w:val="%1."/>
      <w:lvlJc w:val="left"/>
      <w:pPr>
        <w:ind w:left="480" w:hanging="300"/>
      </w:pPr>
    </w:lvl>
  </w:abstractNum>
  <w:abstractNum w:abstractNumId="9" w15:restartNumberingAfterBreak="0">
    <w:multiLevelType w:val="hybridMultilevel"/>
    <w:lvl w:ilvl="0" w15:tentative="1">
      <w:start w:val="1"/>
      <w:numFmt w:val="decimal"/>
      <w:lvlText w:val="%1."/>
      <w:lvlJc w:val="left"/>
      <w:pPr>
        <w:ind w:left="480" w:hanging="300"/>
      </w:pPr>
    </w:lvl>
  </w:abstractNum>
  <w:abstractNum w:abstractNumId="10" w15:restartNumberingAfterBreak="0">
    <w:multiLevelType w:val="hybridMultilevel"/>
    <w:lvl w:ilvl="0" w15:tentative="1">
      <w:start w:val="1"/>
      <w:numFmt w:val="decimal"/>
      <w:lvlText w:val="%1."/>
      <w:lvlJc w:val="left"/>
      <w:pPr>
        <w:ind w:left="480" w:hanging="300"/>
      </w:pPr>
    </w:lvl>
  </w:abstractNum>
  <w:abstractNum w:abstractNumId="11" w15:restartNumberingAfterBreak="0">
    <w:multiLevelType w:val="hybridMultilevel"/>
    <w:lvl w:ilvl="0" w15:tentative="1">
      <w:start w:val="1"/>
      <w:numFmt w:val="decimal"/>
      <w:lvlText w:val="%1."/>
      <w:lvlJc w:val="left"/>
      <w:pPr>
        <w:ind w:left="480" w:hanging="300"/>
      </w:pPr>
    </w:lvl>
  </w:abstractNum>
  <w:abstractNum w:abstractNumId="12" w15:restartNumberingAfterBreak="0">
    <w:multiLevelType w:val="hybridMultilevel"/>
    <w:lvl w:ilvl="0" w15:tentative="1">
      <w:start w:val="1"/>
      <w:numFmt w:val="decimal"/>
      <w:lvlText w:val="%1."/>
      <w:lvlJc w:val="left"/>
      <w:pPr>
        <w:ind w:left="480" w:hanging="300"/>
      </w:pPr>
    </w:lvl>
  </w:abstractNum>
  <w:abstractNum w:abstractNumId="13" w15:restartNumberingAfterBreak="0">
    <w:multiLevelType w:val="hybridMultilevel"/>
    <w:lvl w:ilvl="0" w15:tentative="1">
      <w:start w:val="1"/>
      <w:numFmt w:val="decimal"/>
      <w:lvlText w:val="%1."/>
      <w:lvlJc w:val="left"/>
      <w:pPr>
        <w:ind w:left="480" w:hanging="300"/>
      </w:pPr>
    </w:lvl>
  </w:abstractNum>
  <w:abstractNum w:abstractNumId="14" w15:restartNumberingAfterBreak="0">
    <w:multiLevelType w:val="hybridMultilevel"/>
    <w:lvl w:ilvl="0" w15:tentative="1">
      <w:start w:val="1"/>
      <w:numFmt w:val="decimal"/>
      <w:lvlText w:val="%1."/>
      <w:lvlJc w:val="left"/>
      <w:pPr>
        <w:ind w:left="480" w:hanging="300"/>
      </w:pPr>
    </w:lvl>
  </w:abstractNum>
  <w:abstractNum w:abstractNumId="15" w15:restartNumberingAfterBreak="0">
    <w:multiLevelType w:val="hybridMultilevel"/>
    <w:lvl w:ilvl="0" w15:tentative="1">
      <w:start w:val="1"/>
      <w:numFmt w:val="decimal"/>
      <w:lvlText w:val="%1."/>
      <w:lvlJc w:val="left"/>
      <w:pPr>
        <w:ind w:left="480" w:hanging="300"/>
      </w:pPr>
    </w:lvl>
  </w:abstractNum>
  <w:abstractNum w:abstractNumId="16" w15:restartNumberingAfterBreak="0">
    <w:multiLevelType w:val="hybridMultilevel"/>
    <w:lvl w:ilvl="0" w15:tentative="1">
      <w:start w:val="1"/>
      <w:numFmt w:val="decimal"/>
      <w:lvlText w:val="%1."/>
      <w:lvlJc w:val="left"/>
      <w:pPr>
        <w:ind w:left="480" w:hanging="300"/>
      </w:pPr>
    </w:lvl>
  </w:abstractNum>
  <w:abstractNum w:abstractNumId="17" w15:restartNumberingAfterBreak="0">
    <w:multiLevelType w:val="hybridMultilevel"/>
    <w:lvl w:ilvl="0" w15:tentative="1">
      <w:start w:val="1"/>
      <w:numFmt w:val="decimal"/>
      <w:lvlText w:val="%1."/>
      <w:lvlJc w:val="left"/>
      <w:pPr>
        <w:ind w:left="480" w:hanging="300"/>
      </w:pPr>
    </w:lvl>
  </w:abstractNum>
  <w:abstractNum w:abstractNumId="18" w15:restartNumberingAfterBreak="0">
    <w:multiLevelType w:val="hybridMultilevel"/>
    <w:lvl w:ilvl="0" w15:tentative="1">
      <w:start w:val="1"/>
      <w:numFmt w:val="decimal"/>
      <w:lvlText w:val="%1."/>
      <w:lvlJc w:val="left"/>
      <w:pPr>
        <w:ind w:left="480" w:hanging="300"/>
      </w:pPr>
    </w:lvl>
  </w:abstractNum>
  <w:abstractNum w:abstractNumId="19" w15:restartNumberingAfterBreak="0">
    <w:multiLevelType w:val="hybridMultilevel"/>
    <w:lvl w:ilvl="0" w15:tentative="1">
      <w:start w:val="1"/>
      <w:numFmt w:val="decimal"/>
      <w:lvlText w:val="%1."/>
      <w:lvlJc w:val="left"/>
      <w:pPr>
        <w:ind w:left="480" w:hanging="300"/>
      </w:pPr>
    </w:lvl>
  </w:abstractNum>
  <w:abstractNum w:abstractNumId="20" w15:restartNumberingAfterBreak="0">
    <w:multiLevelType w:val="hybridMultilevel"/>
    <w:lvl w:ilvl="0" w15:tentative="1">
      <w:start w:val="1"/>
      <w:numFmt w:val="decimal"/>
      <w:lvlText w:val="%1."/>
      <w:lvlJc w:val="left"/>
      <w:pPr>
        <w:ind w:left="480" w:hanging="300"/>
      </w:pPr>
    </w:lvl>
  </w:abstractNum>
  <w:abstractNum w:abstractNumId="21" w15:restartNumberingAfterBreak="0">
    <w:multiLevelType w:val="hybridMultilevel"/>
    <w:lvl w:ilvl="0" w15:tentative="1">
      <w:start w:val="1"/>
      <w:numFmt w:val="decimal"/>
      <w:lvlText w:val="%1."/>
      <w:lvlJc w:val="left"/>
      <w:pPr>
        <w:ind w:left="480" w:hanging="300"/>
      </w:pPr>
    </w:lvl>
  </w:abstractNum>
  <w:abstractNum w:abstractNumId="22"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olor w:val="1A1A1A"/>
        <w:sz w:val="21"/>
        <w:szCs w:val="21"/>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Microsoft YaHei" w:hAnsi="Calibri"/>
      <w:b/>
      <w:bCs/>
      <w:color w:val="1A1A1A"/>
      <w:sz w:val="32"/>
      <w:szCs w:val="32"/>
    </w:rPr>
  </w:style>
  <w:style w:type="paragraph" w:styleId="Heading2">
    <w:pPr>
      <w:outlineLvl w:val="1"/>
    </w:pPr>
    <w:name w:val="Heading 2"/>
    <w:basedOn w:val="Normal"/>
    <w:next w:val="Normal"/>
    <w:qFormat/>
    <w:rPr>
      <w:rFonts w:ascii="Calibri" w:eastAsia="Microsoft YaHei" w:hAnsi="Calibri"/>
      <w:b/>
      <w:bCs/>
      <w:color w:val="1A1A1A"/>
      <w:sz w:val="28"/>
      <w:szCs w:val="28"/>
    </w:rPr>
  </w:style>
  <w:style w:type="paragraph" w:styleId="Heading3">
    <w:pPr>
      <w:outlineLvl w:val="2"/>
    </w:pPr>
    <w:name w:val="Heading 3"/>
    <w:basedOn w:val="Normal"/>
    <w:next w:val="Normal"/>
    <w:qFormat/>
    <w:rPr>
      <w:rFonts w:ascii="Calibri" w:eastAsia="Microsoft YaHei" w:hAnsi="Calibri"/>
      <w:b/>
      <w:bCs/>
      <w:color w:val="333333"/>
      <w:sz w:val="24"/>
      <w:szCs w:val="24"/>
    </w:rPr>
  </w:style>
  <w:style w:type="paragraph" w:styleId="Heading4">
    <w:pPr>
      <w:outlineLvl w:val="3"/>
    </w:pPr>
    <w:name w:val="Heading 4"/>
    <w:basedOn w:val="Normal"/>
    <w:next w:val="Normal"/>
    <w:qFormat/>
    <w:rPr>
      <w:rFonts w:ascii="Calibri" w:eastAsia="Microsoft YaHei" w:hAnsi="Calibri"/>
      <w:b/>
      <w:bCs/>
      <w:color w:val="333333"/>
      <w:sz w:val="22"/>
      <w:szCs w:val="22"/>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MTQ Σ — Master Monetary Architecture &amp; Quantitative Specification v1.0</dc:title>
  <dc:creator>MTQ Σ Protocol</dc:creator>
  <dc:description>Master monetary architecture and quantitative specification: adaptive MASE/MARP reference basket, chain-linked index valuation, reserve architecture, oracles, governance, validation and transparency.</dc:description>
  <cp:lastModifiedBy>Un-named</cp:lastModifiedBy>
  <cp:revision>1</cp:revision>
  <dcterms:created xsi:type="dcterms:W3CDTF">2026-09-08T01:23:31.380Z</dcterms:created>
  <dcterms:modified xsi:type="dcterms:W3CDTF">2026-09-08T01:23:31.380Z</dcterms:modified>
</cp:coreProperties>
</file>

<file path=docProps/custom.xml><?xml version="1.0" encoding="utf-8"?>
<Properties xmlns="http://schemas.openxmlformats.org/officeDocument/2006/custom-properties" xmlns:vt="http://schemas.openxmlformats.org/officeDocument/2006/docPropsVTypes"/>
</file>