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160859389a2a4746ac906666df569f5c8708ae"/>
    <w:p>
      <w:pPr>
        <w:pStyle w:val="Heading1"/>
      </w:pPr>
      <w:r>
        <w:t xml:space="preserve">MITHQAL — MASTER BLUEPRINT REBUILD, RECONCILIATION &amp; FINAL CONSOLIDATION PROMPT</w:t>
      </w:r>
    </w:p>
    <w:bookmarkStart w:id="20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Act simultaneously as all of the following senior experts: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Architecture, Project Structuring &amp; Blueprint Organization Expert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Software Architecture &amp; Systems Design Expert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Detailed Project Planning, Documentation &amp; Requirements Structuring Expert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 / Chief Operations Strategy Expert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CFO / Financial Architecture Expert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Banking, Treasury, Settlement &amp; Financial Infrastructure Expert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Macroeconomics, Monetary Systems &amp; Economic Design Expert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Geopolitical &amp; Cross-Jurisdictional Strategy Expert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Tokenomics, Economic Mechanism Design &amp; Settlement-Layer Architecture Expert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Institutional Infrastructure, Regulatory Architecture &amp; Central-Bank Engagement Expert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Program Manager and Production-Readiness Auditor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Blueprint Reconciliation, Version-Control &amp; Contradiction-Detection Expert</w:t>
      </w:r>
    </w:p>
    <w:p>
      <w:pPr>
        <w:pStyle w:val="FirstParagraph"/>
      </w:pPr>
      <w:r>
        <w:t xml:space="preserve">Your responsibility is not merely to rewrite the existing document. You must perform a</w:t>
      </w:r>
      <w:r>
        <w:t xml:space="preserve"> </w:t>
      </w:r>
      <w:r>
        <w:rPr>
          <w:b/>
          <w:bCs/>
        </w:rPr>
        <w:t xml:space="preserve">complete forensic reconstruction, reconciliation, consolidation and professional restructuring of the entire MITHQAL project</w:t>
      </w:r>
      <w:r>
        <w:t xml:space="preserve">.</w:t>
      </w:r>
    </w:p>
    <w:p>
      <w:pPr>
        <w:pStyle w:val="BodyText"/>
      </w:pPr>
      <w:r>
        <w:t xml:space="preserve">The final result must become the</w:t>
      </w:r>
      <w:r>
        <w:t xml:space="preserve"> </w:t>
      </w:r>
      <w:r>
        <w:rPr>
          <w:b/>
          <w:bCs/>
        </w:rPr>
        <w:t xml:space="preserve">single authoritative MITHQAL master blueprint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mary-objective"/>
    <w:p>
      <w:pPr>
        <w:pStyle w:val="Heading1"/>
      </w:pPr>
      <w:r>
        <w:t xml:space="preserve">1. PRIMARY OBJECTIVE</w:t>
      </w:r>
    </w:p>
    <w:p>
      <w:pPr>
        <w:pStyle w:val="FirstParagraph"/>
      </w:pPr>
      <w:r>
        <w:t xml:space="preserve">Rebuild the MITHQAL blueprint</w:t>
      </w:r>
      <w:r>
        <w:t xml:space="preserve"> </w:t>
      </w:r>
      <w:r>
        <w:rPr>
          <w:b/>
          <w:bCs/>
        </w:rPr>
        <w:t xml:space="preserve">from scratch as a new master blueprint</w:t>
      </w:r>
      <w:r>
        <w:t xml:space="preserve">, using: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original MITHQAL blueprint</w:t>
      </w:r>
      <w:r>
        <w:t xml:space="preserve"> </w:t>
      </w:r>
      <w:r>
        <w:t xml:space="preserve">as the authoritative historical baseline for all unchanged/core concepts;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modifications, amendments, decisions, corrections, additions and updates contained in the conversation/chat history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all latest architecture decisions;</w:t>
      </w:r>
    </w:p>
    <w:p>
      <w:pPr>
        <w:pStyle w:val="Compact"/>
        <w:numPr>
          <w:ilvl w:val="0"/>
          <w:numId w:val="1002"/>
        </w:numPr>
      </w:pPr>
      <w:r>
        <w:t xml:space="preserve">all latest economic, monetary, settlement, banking, institutional, legal and operational decisions;</w:t>
      </w:r>
    </w:p>
    <w:p>
      <w:pPr>
        <w:pStyle w:val="Compact"/>
        <w:numPr>
          <w:ilvl w:val="0"/>
          <w:numId w:val="1002"/>
        </w:numPr>
      </w:pPr>
      <w:r>
        <w:t xml:space="preserve">all latest version amendments;</w:t>
      </w:r>
    </w:p>
    <w:p>
      <w:pPr>
        <w:pStyle w:val="Compact"/>
        <w:numPr>
          <w:ilvl w:val="0"/>
          <w:numId w:val="1002"/>
        </w:numPr>
      </w:pPr>
      <w:r>
        <w:t xml:space="preserve">all previously accepted recommendations;</w:t>
      </w:r>
    </w:p>
    <w:p>
      <w:pPr>
        <w:pStyle w:val="Compact"/>
        <w:numPr>
          <w:ilvl w:val="0"/>
          <w:numId w:val="1002"/>
        </w:numPr>
      </w:pPr>
      <w:r>
        <w:t xml:space="preserve">all previously identified contradictions or weaknesses that were subsequently corrected.</w:t>
      </w:r>
    </w:p>
    <w:p>
      <w:pPr>
        <w:pStyle w:val="FirstParagraph"/>
      </w:pPr>
      <w:r>
        <w:t xml:space="preserve">The resulting blueprint must be:</w:t>
      </w:r>
    </w:p>
    <w:p>
      <w:pPr>
        <w:pStyle w:val="Compact"/>
        <w:numPr>
          <w:ilvl w:val="0"/>
          <w:numId w:val="1003"/>
        </w:numPr>
      </w:pPr>
      <w:r>
        <w:t xml:space="preserve">fully professional;</w:t>
      </w:r>
    </w:p>
    <w:p>
      <w:pPr>
        <w:pStyle w:val="Compact"/>
        <w:numPr>
          <w:ilvl w:val="0"/>
          <w:numId w:val="1003"/>
        </w:numPr>
      </w:pPr>
      <w:r>
        <w:t xml:space="preserve">internally consistent;</w:t>
      </w:r>
    </w:p>
    <w:p>
      <w:pPr>
        <w:pStyle w:val="Compact"/>
        <w:numPr>
          <w:ilvl w:val="0"/>
          <w:numId w:val="1003"/>
        </w:numPr>
      </w:pPr>
      <w:r>
        <w:t xml:space="preserve">logically ordered;</w:t>
      </w:r>
    </w:p>
    <w:p>
      <w:pPr>
        <w:pStyle w:val="Compact"/>
        <w:numPr>
          <w:ilvl w:val="0"/>
          <w:numId w:val="1003"/>
        </w:numPr>
      </w:pPr>
      <w:r>
        <w:t xml:space="preserve">highly detailed;</w:t>
      </w:r>
    </w:p>
    <w:p>
      <w:pPr>
        <w:pStyle w:val="Compact"/>
        <w:numPr>
          <w:ilvl w:val="0"/>
          <w:numId w:val="1003"/>
        </w:numPr>
      </w:pPr>
      <w:r>
        <w:t xml:space="preserve">fully expanded;</w:t>
      </w:r>
    </w:p>
    <w:p>
      <w:pPr>
        <w:pStyle w:val="Compact"/>
        <w:numPr>
          <w:ilvl w:val="0"/>
          <w:numId w:val="1003"/>
        </w:numPr>
      </w:pPr>
      <w:r>
        <w:t xml:space="preserve">implementation-ready;</w:t>
      </w:r>
    </w:p>
    <w:p>
      <w:pPr>
        <w:pStyle w:val="Compact"/>
        <w:numPr>
          <w:ilvl w:val="0"/>
          <w:numId w:val="1003"/>
        </w:numPr>
      </w:pPr>
      <w:r>
        <w:t xml:space="preserve">institution-ready;</w:t>
      </w:r>
    </w:p>
    <w:p>
      <w:pPr>
        <w:pStyle w:val="Compact"/>
        <w:numPr>
          <w:ilvl w:val="0"/>
          <w:numId w:val="1003"/>
        </w:numPr>
      </w:pPr>
      <w:r>
        <w:t xml:space="preserve">architecturally coherent;</w:t>
      </w:r>
    </w:p>
    <w:p>
      <w:pPr>
        <w:pStyle w:val="Compact"/>
        <w:numPr>
          <w:ilvl w:val="0"/>
          <w:numId w:val="1003"/>
        </w:numPr>
      </w:pPr>
      <w:r>
        <w:t xml:space="preserve">economically coherent;</w:t>
      </w:r>
    </w:p>
    <w:p>
      <w:pPr>
        <w:pStyle w:val="Compact"/>
        <w:numPr>
          <w:ilvl w:val="0"/>
          <w:numId w:val="1003"/>
        </w:numPr>
      </w:pPr>
      <w:r>
        <w:t xml:space="preserve">operationally coherent;</w:t>
      </w:r>
    </w:p>
    <w:p>
      <w:pPr>
        <w:pStyle w:val="Compact"/>
        <w:numPr>
          <w:ilvl w:val="0"/>
          <w:numId w:val="1003"/>
        </w:numPr>
      </w:pPr>
      <w:r>
        <w:t xml:space="preserve">technically coherent;</w:t>
      </w:r>
    </w:p>
    <w:p>
      <w:pPr>
        <w:pStyle w:val="Compact"/>
        <w:numPr>
          <w:ilvl w:val="0"/>
          <w:numId w:val="1003"/>
        </w:numPr>
      </w:pPr>
      <w:r>
        <w:t xml:space="preserve">regulatory-aware;</w:t>
      </w:r>
    </w:p>
    <w:p>
      <w:pPr>
        <w:pStyle w:val="Compact"/>
        <w:numPr>
          <w:ilvl w:val="0"/>
          <w:numId w:val="1003"/>
        </w:numPr>
      </w:pPr>
      <w:r>
        <w:t xml:space="preserve">globally extensible;</w:t>
      </w:r>
    </w:p>
    <w:p>
      <w:pPr>
        <w:pStyle w:val="Compact"/>
        <w:numPr>
          <w:ilvl w:val="0"/>
          <w:numId w:val="1003"/>
        </w:numPr>
      </w:pPr>
      <w:r>
        <w:t xml:space="preserve">version-controlled;</w:t>
      </w:r>
    </w:p>
    <w:p>
      <w:pPr>
        <w:pStyle w:val="Compact"/>
        <w:numPr>
          <w:ilvl w:val="0"/>
          <w:numId w:val="1003"/>
        </w:numPr>
      </w:pPr>
      <w:r>
        <w:t xml:space="preserve">free of contradictions;</w:t>
      </w:r>
    </w:p>
    <w:p>
      <w:pPr>
        <w:pStyle w:val="Compact"/>
        <w:numPr>
          <w:ilvl w:val="0"/>
          <w:numId w:val="1003"/>
        </w:numPr>
      </w:pPr>
      <w:r>
        <w:t xml:space="preserve">free of duplicated conflicting definitions;</w:t>
      </w:r>
    </w:p>
    <w:p>
      <w:pPr>
        <w:pStyle w:val="Compact"/>
        <w:numPr>
          <w:ilvl w:val="0"/>
          <w:numId w:val="1003"/>
        </w:numPr>
      </w:pPr>
      <w:r>
        <w:t xml:space="preserve">free of obsolete architecture unless explicitly retained as historical/legacy architecture.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simply append the new changes to the old blueprint.</w:t>
      </w:r>
    </w:p>
    <w:p>
      <w:pPr>
        <w:pStyle w:val="BodyText"/>
      </w:pPr>
      <w:r>
        <w:t xml:space="preserve">Instead:</w:t>
      </w:r>
    </w:p>
    <w:p>
      <w:pPr>
        <w:pStyle w:val="BlockText"/>
      </w:pPr>
      <w:r>
        <w:rPr>
          <w:b/>
          <w:bCs/>
        </w:rPr>
        <w:t xml:space="preserve">Reconstruct the entire blueprint so that the final document reads as though the latest architecture had always been the intended architecture.</w:t>
      </w:r>
    </w:p>
    <w:p>
      <w:r>
        <w:pict>
          <v:rect style="width:0;height:1.5pt" o:hralign="center" o:hrstd="t" o:hr="t"/>
        </w:pict>
      </w:r>
    </w:p>
    <w:bookmarkEnd w:id="22"/>
    <w:bookmarkStart w:id="28" w:name="source-of-truth-hierarchy"/>
    <w:p>
      <w:pPr>
        <w:pStyle w:val="Heading1"/>
      </w:pPr>
      <w:r>
        <w:t xml:space="preserve">2. SOURCE-OF-TRUTH HIERARCHY</w:t>
      </w:r>
    </w:p>
    <w:p>
      <w:pPr>
        <w:pStyle w:val="FirstParagraph"/>
      </w:pPr>
      <w:r>
        <w:t xml:space="preserve">Before generating the final blueprint, establish a strict hierarchy for resolving conflicts.</w:t>
      </w:r>
    </w:p>
    <w:p>
      <w:pPr>
        <w:pStyle w:val="BodyText"/>
      </w:pPr>
      <w:r>
        <w:t xml:space="preserve">Use this priority order:</w:t>
      </w:r>
    </w:p>
    <w:bookmarkStart w:id="23" w:name="X99bfae39a23a4ad203e07e19a1c8fc99cdddc6f"/>
    <w:p>
      <w:pPr>
        <w:pStyle w:val="Heading3"/>
      </w:pPr>
      <w:r>
        <w:t xml:space="preserve">Priority 1 — Latest Explicitly Approved Decisions</w:t>
      </w:r>
    </w:p>
    <w:p>
      <w:pPr>
        <w:pStyle w:val="FirstParagraph"/>
      </w:pPr>
      <w:r>
        <w:t xml:space="preserve">Any later decision in the chat history that explicitly modifies, replaces, approves or rejects an earlier architectural/economic/operational decision takes precedence.</w:t>
      </w:r>
    </w:p>
    <w:bookmarkEnd w:id="23"/>
    <w:bookmarkStart w:id="24" w:name="Xc988a37f13a3b8e14f48c434045b4937624ee84"/>
    <w:p>
      <w:pPr>
        <w:pStyle w:val="Heading3"/>
      </w:pPr>
      <w:r>
        <w:t xml:space="preserve">Priority 2 — Latest Accepted Blueprint Amendments</w:t>
      </w:r>
    </w:p>
    <w:p>
      <w:pPr>
        <w:pStyle w:val="FirstParagraph"/>
      </w:pPr>
      <w:r>
        <w:t xml:space="preserve">The newest accepted blueprint version/amendment takes precedence over earlier versions.</w:t>
      </w:r>
    </w:p>
    <w:bookmarkEnd w:id="24"/>
    <w:bookmarkStart w:id="25" w:name="X6e2f2d09168d8b60b779f2e8dbfc90e1be1781a"/>
    <w:p>
      <w:pPr>
        <w:pStyle w:val="Heading3"/>
      </w:pPr>
      <w:r>
        <w:t xml:space="preserve">Priority 3 — Original Blueprint Core Architecture</w:t>
      </w:r>
    </w:p>
    <w:p>
      <w:pPr>
        <w:pStyle w:val="FirstParagraph"/>
      </w:pPr>
      <w:r>
        <w:t xml:space="preserve">Any part of the original blueprint that was</w:t>
      </w:r>
      <w:r>
        <w:t xml:space="preserve"> </w:t>
      </w:r>
      <w:r>
        <w:rPr>
          <w:b/>
          <w:bCs/>
        </w:rPr>
        <w:t xml:space="preserve">not explicitly modified</w:t>
      </w:r>
      <w:r>
        <w:t xml:space="preserve"> </w:t>
      </w:r>
      <w:r>
        <w:t xml:space="preserve">must remain intact in substance.</w:t>
      </w:r>
    </w:p>
    <w:bookmarkEnd w:id="25"/>
    <w:bookmarkStart w:id="26" w:name="priority-4-consistency-corrections"/>
    <w:p>
      <w:pPr>
        <w:pStyle w:val="Heading3"/>
      </w:pPr>
      <w:r>
        <w:t xml:space="preserve">Priority 4 — Consistency Corrections</w:t>
      </w:r>
    </w:p>
    <w:p>
      <w:pPr>
        <w:pStyle w:val="FirstParagraph"/>
      </w:pPr>
      <w:r>
        <w:t xml:space="preserve">Where two sections create an accidental contradiction, reconcile them using the latest approved architecture and preserve the original intent wherever possible.</w:t>
      </w:r>
    </w:p>
    <w:bookmarkEnd w:id="26"/>
    <w:bookmarkStart w:id="27" w:name="priority-5-expert-improvement"/>
    <w:p>
      <w:pPr>
        <w:pStyle w:val="Heading3"/>
      </w:pPr>
      <w:r>
        <w:t xml:space="preserve">Priority 5 — Expert Improvement</w:t>
      </w:r>
    </w:p>
    <w:p>
      <w:pPr>
        <w:pStyle w:val="FirstParagraph"/>
      </w:pPr>
      <w:r>
        <w:t xml:space="preserve">Only after preserving all approved requirements may you make expert improvements necessary for coherence, implementation quality, risk reduction, clarity, security, scalability or institutional usability.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change approved business logic merely because you think a different approach is better.</w:t>
      </w:r>
    </w:p>
    <w:p>
      <w:pPr>
        <w:pStyle w:val="BodyText"/>
      </w:pPr>
      <w:r>
        <w:t xml:space="preserve">Whenever an expert improvement materially changes an approved concept, clearly mark it as:</w:t>
      </w:r>
    </w:p>
    <w:p>
      <w:pPr>
        <w:pStyle w:val="BodyText"/>
      </w:pPr>
      <w:r>
        <w:rPr>
          <w:b/>
          <w:bCs/>
        </w:rPr>
        <w:t xml:space="preserve">PROPOSED IMPROVEMENT — REQUIRES APPROVAL</w:t>
      </w:r>
    </w:p>
    <w:p>
      <w:pPr>
        <w:pStyle w:val="BodyText"/>
      </w:pPr>
      <w:r>
        <w:t xml:space="preserve">Do not present it as an already-approved requirement.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7a1bd2412e90dec8600737287a0e026273fef53"/>
    <w:p>
      <w:pPr>
        <w:pStyle w:val="Heading1"/>
      </w:pPr>
      <w:r>
        <w:t xml:space="preserve">3. FIRST TASK — FORENSIC REVIEW BEFORE REWRITING</w:t>
      </w:r>
    </w:p>
    <w:p>
      <w:pPr>
        <w:pStyle w:val="FirstParagraph"/>
      </w:pPr>
      <w:r>
        <w:t xml:space="preserve">Before creating the new blueprint, perform a complete internal audit of the available MITHQAL project history.</w:t>
      </w:r>
    </w:p>
    <w:p>
      <w:pPr>
        <w:pStyle w:val="BodyText"/>
      </w:pPr>
      <w:r>
        <w:t xml:space="preserve">Review:</w:t>
      </w:r>
    </w:p>
    <w:p>
      <w:pPr>
        <w:pStyle w:val="Compact"/>
        <w:numPr>
          <w:ilvl w:val="0"/>
          <w:numId w:val="1004"/>
        </w:numPr>
      </w:pPr>
      <w:r>
        <w:t xml:space="preserve">original blueprint;</w:t>
      </w:r>
    </w:p>
    <w:p>
      <w:pPr>
        <w:pStyle w:val="Compact"/>
        <w:numPr>
          <w:ilvl w:val="0"/>
          <w:numId w:val="1004"/>
        </w:numPr>
      </w:pPr>
      <w:r>
        <w:t xml:space="preserve">all amendments;</w:t>
      </w:r>
    </w:p>
    <w:p>
      <w:pPr>
        <w:pStyle w:val="Compact"/>
        <w:numPr>
          <w:ilvl w:val="0"/>
          <w:numId w:val="1004"/>
        </w:numPr>
      </w:pPr>
      <w:r>
        <w:t xml:space="preserve">all version changes;</w:t>
      </w:r>
    </w:p>
    <w:p>
      <w:pPr>
        <w:pStyle w:val="Compact"/>
        <w:numPr>
          <w:ilvl w:val="0"/>
          <w:numId w:val="1004"/>
        </w:numPr>
      </w:pPr>
      <w:r>
        <w:t xml:space="preserve">all architecture decisions;</w:t>
      </w:r>
    </w:p>
    <w:p>
      <w:pPr>
        <w:pStyle w:val="Compact"/>
        <w:numPr>
          <w:ilvl w:val="0"/>
          <w:numId w:val="1004"/>
        </w:numPr>
      </w:pPr>
      <w:r>
        <w:t xml:space="preserve">all settlement architecture decisions;</w:t>
      </w:r>
    </w:p>
    <w:p>
      <w:pPr>
        <w:pStyle w:val="Compact"/>
        <w:numPr>
          <w:ilvl w:val="0"/>
          <w:numId w:val="1004"/>
        </w:numPr>
      </w:pPr>
      <w:r>
        <w:t xml:space="preserve">all banking integration decisions;</w:t>
      </w:r>
    </w:p>
    <w:p>
      <w:pPr>
        <w:pStyle w:val="Compact"/>
        <w:numPr>
          <w:ilvl w:val="0"/>
          <w:numId w:val="1004"/>
        </w:numPr>
      </w:pPr>
      <w:r>
        <w:t xml:space="preserve">all reserve architecture decisions;</w:t>
      </w:r>
    </w:p>
    <w:p>
      <w:pPr>
        <w:pStyle w:val="Compact"/>
        <w:numPr>
          <w:ilvl w:val="0"/>
          <w:numId w:val="1004"/>
        </w:numPr>
      </w:pPr>
      <w:r>
        <w:t xml:space="preserve">all token/economic design decisions;</w:t>
      </w:r>
    </w:p>
    <w:p>
      <w:pPr>
        <w:pStyle w:val="Compact"/>
        <w:numPr>
          <w:ilvl w:val="0"/>
          <w:numId w:val="1004"/>
        </w:numPr>
      </w:pPr>
      <w:r>
        <w:t xml:space="preserve">all regulatory positioning decisions;</w:t>
      </w:r>
    </w:p>
    <w:p>
      <w:pPr>
        <w:pStyle w:val="Compact"/>
        <w:numPr>
          <w:ilvl w:val="0"/>
          <w:numId w:val="1004"/>
        </w:numPr>
      </w:pPr>
      <w:r>
        <w:t xml:space="preserve">all terminology decisions;</w:t>
      </w:r>
    </w:p>
    <w:p>
      <w:pPr>
        <w:pStyle w:val="Compact"/>
        <w:numPr>
          <w:ilvl w:val="0"/>
          <w:numId w:val="1004"/>
        </w:numPr>
      </w:pPr>
      <w:r>
        <w:t xml:space="preserve">all rejected approaches;</w:t>
      </w:r>
    </w:p>
    <w:p>
      <w:pPr>
        <w:pStyle w:val="Compact"/>
        <w:numPr>
          <w:ilvl w:val="0"/>
          <w:numId w:val="1004"/>
        </w:numPr>
      </w:pPr>
      <w:r>
        <w:t xml:space="preserve">all explicitly approved approaches;</w:t>
      </w:r>
    </w:p>
    <w:p>
      <w:pPr>
        <w:pStyle w:val="Compact"/>
        <w:numPr>
          <w:ilvl w:val="0"/>
          <w:numId w:val="1004"/>
        </w:numPr>
      </w:pPr>
      <w:r>
        <w:t xml:space="preserve">all previously discussed contradictions;</w:t>
      </w:r>
    </w:p>
    <w:p>
      <w:pPr>
        <w:pStyle w:val="Compact"/>
        <w:numPr>
          <w:ilvl w:val="0"/>
          <w:numId w:val="1004"/>
        </w:numPr>
      </w:pPr>
      <w:r>
        <w:t xml:space="preserve">all recent modifications;</w:t>
      </w:r>
    </w:p>
    <w:p>
      <w:pPr>
        <w:pStyle w:val="Compact"/>
        <w:numPr>
          <w:ilvl w:val="0"/>
          <w:numId w:val="1004"/>
        </w:numPr>
      </w:pPr>
      <w:r>
        <w:t xml:space="preserve">all latest changes in chat history.</w:t>
      </w:r>
    </w:p>
    <w:p>
      <w:pPr>
        <w:pStyle w:val="FirstParagraph"/>
      </w:pPr>
      <w:r>
        <w:t xml:space="preserve">Create an internal reconciliation matrix containing at minimum: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1732"/>
        <w:gridCol w:w="2227"/>
        <w:gridCol w:w="2722"/>
        <w:gridCol w:w="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Approved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p>
      <w:pPr>
        <w:pStyle w:val="BodyText"/>
      </w:pPr>
      <w:r>
        <w:t xml:space="preserve">Status values:</w:t>
      </w:r>
    </w:p>
    <w:p>
      <w:pPr>
        <w:pStyle w:val="Compact"/>
        <w:numPr>
          <w:ilvl w:val="0"/>
          <w:numId w:val="1005"/>
        </w:numPr>
      </w:pPr>
      <w:r>
        <w:t xml:space="preserve">UNCHANGED</w:t>
      </w:r>
    </w:p>
    <w:p>
      <w:pPr>
        <w:pStyle w:val="Compact"/>
        <w:numPr>
          <w:ilvl w:val="0"/>
          <w:numId w:val="1005"/>
        </w:numPr>
      </w:pPr>
      <w:r>
        <w:t xml:space="preserve">MODIFIED</w:t>
      </w:r>
    </w:p>
    <w:p>
      <w:pPr>
        <w:pStyle w:val="Compact"/>
        <w:numPr>
          <w:ilvl w:val="0"/>
          <w:numId w:val="1005"/>
        </w:numPr>
      </w:pPr>
      <w:r>
        <w:t xml:space="preserve">REPLACED</w:t>
      </w:r>
    </w:p>
    <w:p>
      <w:pPr>
        <w:pStyle w:val="Compact"/>
        <w:numPr>
          <w:ilvl w:val="0"/>
          <w:numId w:val="1005"/>
        </w:numPr>
      </w:pPr>
      <w:r>
        <w:t xml:space="preserve">EXPANDED</w:t>
      </w:r>
    </w:p>
    <w:p>
      <w:pPr>
        <w:pStyle w:val="Compact"/>
        <w:numPr>
          <w:ilvl w:val="0"/>
          <w:numId w:val="1005"/>
        </w:numPr>
      </w:pPr>
      <w:r>
        <w:t xml:space="preserve">CLARIFIED</w:t>
      </w:r>
    </w:p>
    <w:p>
      <w:pPr>
        <w:pStyle w:val="Compact"/>
        <w:numPr>
          <w:ilvl w:val="0"/>
          <w:numId w:val="1005"/>
        </w:numPr>
      </w:pPr>
      <w:r>
        <w:t xml:space="preserve">DEPRECATED</w:t>
      </w:r>
    </w:p>
    <w:p>
      <w:pPr>
        <w:pStyle w:val="Compact"/>
        <w:numPr>
          <w:ilvl w:val="0"/>
          <w:numId w:val="1005"/>
        </w:numPr>
      </w:pPr>
      <w:r>
        <w:t xml:space="preserve">REJECTED</w:t>
      </w:r>
    </w:p>
    <w:p>
      <w:pPr>
        <w:pStyle w:val="Compact"/>
        <w:numPr>
          <w:ilvl w:val="0"/>
          <w:numId w:val="1005"/>
        </w:numPr>
      </w:pPr>
      <w:r>
        <w:t xml:space="preserve">NEW</w:t>
      </w:r>
    </w:p>
    <w:p>
      <w:pPr>
        <w:pStyle w:val="Compact"/>
        <w:numPr>
          <w:ilvl w:val="0"/>
          <w:numId w:val="1005"/>
        </w:numPr>
      </w:pPr>
      <w:r>
        <w:t xml:space="preserve">REQUIRES APPROVAL</w:t>
      </w:r>
    </w:p>
    <w:p>
      <w:pPr>
        <w:pStyle w:val="FirstParagraph"/>
      </w:pPr>
      <w:r>
        <w:t xml:space="preserve">Do this reconciliation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writing the final blueprint.</w:t>
      </w:r>
    </w:p>
    <w:p>
      <w:r>
        <w:pict>
          <v:rect style="width:0;height:1.5pt" o:hralign="center" o:hrstd="t" o:hr="t"/>
        </w:pict>
      </w:r>
    </w:p>
    <w:bookmarkEnd w:id="29"/>
    <w:bookmarkStart w:id="30" w:name="X01c1a8cc7563614e2d3d6f1cee53a463cedaadc"/>
    <w:p>
      <w:pPr>
        <w:pStyle w:val="Heading1"/>
      </w:pPr>
      <w:r>
        <w:t xml:space="preserve">4. CRITICAL RULE — PRESERVE ALL UNMODIFIED CORE</w:t>
      </w:r>
    </w:p>
    <w:p>
      <w:pPr>
        <w:pStyle w:val="FirstParagraph"/>
      </w:pPr>
      <w:r>
        <w:t xml:space="preserve">The new blueprint must NOT accidentally delete concepts from the original blueprint.</w:t>
      </w:r>
    </w:p>
    <w:p>
      <w:pPr>
        <w:pStyle w:val="BodyText"/>
      </w:pPr>
      <w:r>
        <w:t xml:space="preserve">Apply this rule:</w:t>
      </w:r>
    </w:p>
    <w:p>
      <w:pPr>
        <w:pStyle w:val="BlockText"/>
      </w:pPr>
      <w:r>
        <w:rPr>
          <w:b/>
          <w:bCs/>
        </w:rPr>
        <w:t xml:space="preserve">UNCHANGED CORE MUST REMAIN. MODIFIED CORE MUST BE UPDATED. NEW REQUIREMENTS MUST BE INTEGRATED. OBSOLETE REQUIREMENTS MUST BE MARKED OR REMOVED ONLY WHEN THE LATEST approved architecture clearly replaces them.</w:t>
      </w:r>
    </w:p>
    <w:p>
      <w:pPr>
        <w:pStyle w:val="FirstParagraph"/>
      </w:pPr>
      <w:r>
        <w:t xml:space="preserve">You must specifically check that no important original:</w:t>
      </w:r>
    </w:p>
    <w:p>
      <w:pPr>
        <w:pStyle w:val="Compact"/>
        <w:numPr>
          <w:ilvl w:val="0"/>
          <w:numId w:val="1006"/>
        </w:numPr>
      </w:pPr>
      <w:r>
        <w:t xml:space="preserve">architecture;</w:t>
      </w:r>
    </w:p>
    <w:p>
      <w:pPr>
        <w:pStyle w:val="Compact"/>
        <w:numPr>
          <w:ilvl w:val="0"/>
          <w:numId w:val="1006"/>
        </w:numPr>
      </w:pPr>
      <w:r>
        <w:t xml:space="preserve">subsystem;</w:t>
      </w:r>
    </w:p>
    <w:p>
      <w:pPr>
        <w:pStyle w:val="Compact"/>
        <w:numPr>
          <w:ilvl w:val="0"/>
          <w:numId w:val="1006"/>
        </w:numPr>
      </w:pPr>
      <w:r>
        <w:t xml:space="preserve">workflow;</w:t>
      </w:r>
    </w:p>
    <w:p>
      <w:pPr>
        <w:pStyle w:val="Compact"/>
        <w:numPr>
          <w:ilvl w:val="0"/>
          <w:numId w:val="1006"/>
        </w:numPr>
      </w:pPr>
      <w:r>
        <w:t xml:space="preserve">security model;</w:t>
      </w:r>
    </w:p>
    <w:p>
      <w:pPr>
        <w:pStyle w:val="Compact"/>
        <w:numPr>
          <w:ilvl w:val="0"/>
          <w:numId w:val="1006"/>
        </w:numPr>
      </w:pPr>
      <w:r>
        <w:t xml:space="preserve">economic rule;</w:t>
      </w:r>
    </w:p>
    <w:p>
      <w:pPr>
        <w:pStyle w:val="Compact"/>
        <w:numPr>
          <w:ilvl w:val="0"/>
          <w:numId w:val="1006"/>
        </w:numPr>
      </w:pPr>
      <w:r>
        <w:t xml:space="preserve">operational model;</w:t>
      </w:r>
    </w:p>
    <w:p>
      <w:pPr>
        <w:pStyle w:val="Compact"/>
        <w:numPr>
          <w:ilvl w:val="0"/>
          <w:numId w:val="1006"/>
        </w:numPr>
      </w:pPr>
      <w:r>
        <w:t xml:space="preserve">participant definition;</w:t>
      </w:r>
    </w:p>
    <w:p>
      <w:pPr>
        <w:pStyle w:val="Compact"/>
        <w:numPr>
          <w:ilvl w:val="0"/>
          <w:numId w:val="1006"/>
        </w:numPr>
      </w:pPr>
      <w:r>
        <w:t xml:space="preserve">reserve rule;</w:t>
      </w:r>
    </w:p>
    <w:p>
      <w:pPr>
        <w:pStyle w:val="Compact"/>
        <w:numPr>
          <w:ilvl w:val="0"/>
          <w:numId w:val="1006"/>
        </w:numPr>
      </w:pPr>
      <w:r>
        <w:t xml:space="preserve">governance rule;</w:t>
      </w:r>
    </w:p>
    <w:p>
      <w:pPr>
        <w:pStyle w:val="Compact"/>
        <w:numPr>
          <w:ilvl w:val="0"/>
          <w:numId w:val="1006"/>
        </w:numPr>
      </w:pPr>
      <w:r>
        <w:t xml:space="preserve">settlement rule;</w:t>
      </w:r>
    </w:p>
    <w:p>
      <w:pPr>
        <w:pStyle w:val="Compact"/>
        <w:numPr>
          <w:ilvl w:val="0"/>
          <w:numId w:val="1006"/>
        </w:numPr>
      </w:pPr>
      <w:r>
        <w:t xml:space="preserve">accounting rule;</w:t>
      </w:r>
    </w:p>
    <w:p>
      <w:pPr>
        <w:pStyle w:val="Compact"/>
        <w:numPr>
          <w:ilvl w:val="0"/>
          <w:numId w:val="1006"/>
        </w:numPr>
      </w:pPr>
      <w:r>
        <w:t xml:space="preserve">compliance requirement;</w:t>
      </w:r>
    </w:p>
    <w:p>
      <w:pPr>
        <w:pStyle w:val="Compact"/>
        <w:numPr>
          <w:ilvl w:val="0"/>
          <w:numId w:val="1006"/>
        </w:numPr>
      </w:pPr>
      <w:r>
        <w:t xml:space="preserve">audit mechanism;</w:t>
      </w:r>
    </w:p>
    <w:p>
      <w:pPr>
        <w:pStyle w:val="Compact"/>
        <w:numPr>
          <w:ilvl w:val="0"/>
          <w:numId w:val="1006"/>
        </w:numPr>
      </w:pPr>
      <w:r>
        <w:t xml:space="preserve">technical requirement;</w:t>
      </w:r>
    </w:p>
    <w:p>
      <w:pPr>
        <w:pStyle w:val="Compact"/>
        <w:numPr>
          <w:ilvl w:val="0"/>
          <w:numId w:val="1006"/>
        </w:numPr>
      </w:pPr>
      <w:r>
        <w:t xml:space="preserve">integration requirement;</w:t>
      </w:r>
    </w:p>
    <w:p>
      <w:pPr>
        <w:pStyle w:val="Compact"/>
        <w:numPr>
          <w:ilvl w:val="0"/>
          <w:numId w:val="1006"/>
        </w:numPr>
      </w:pPr>
      <w:r>
        <w:t xml:space="preserve">lifecycle;</w:t>
      </w:r>
    </w:p>
    <w:p>
      <w:pPr>
        <w:pStyle w:val="Compact"/>
        <w:numPr>
          <w:ilvl w:val="0"/>
          <w:numId w:val="1006"/>
        </w:numPr>
      </w:pPr>
      <w:r>
        <w:t xml:space="preserve">failure mode;</w:t>
      </w:r>
    </w:p>
    <w:p>
      <w:pPr>
        <w:pStyle w:val="Compact"/>
        <w:numPr>
          <w:ilvl w:val="0"/>
          <w:numId w:val="1006"/>
        </w:numPr>
      </w:pPr>
      <w:r>
        <w:t xml:space="preserve">institutional role</w:t>
      </w:r>
    </w:p>
    <w:p>
      <w:pPr>
        <w:pStyle w:val="FirstParagraph"/>
      </w:pPr>
      <w:r>
        <w:t xml:space="preserve">disappears during the rewrite.</w:t>
      </w:r>
    </w:p>
    <w:p>
      <w:r>
        <w:pict>
          <v:rect style="width:0;height:1.5pt" o:hralign="center" o:hrstd="t" o:hr="t"/>
        </w:pict>
      </w:r>
    </w:p>
    <w:bookmarkEnd w:id="30"/>
    <w:bookmarkStart w:id="32" w:name="canonical-current-mithqal-direction"/>
    <w:p>
      <w:pPr>
        <w:pStyle w:val="Heading1"/>
      </w:pPr>
      <w:r>
        <w:t xml:space="preserve">5. CANONICAL CURRENT MITHQAL DIRECTION</w:t>
      </w:r>
    </w:p>
    <w:p>
      <w:pPr>
        <w:pStyle w:val="FirstParagraph"/>
      </w:pPr>
      <w:r>
        <w:t xml:space="preserve">The rebuilt blueprint must fully incorporate the latest approved MITHQAL architecture and must reconcile all older language against it.</w:t>
      </w:r>
    </w:p>
    <w:p>
      <w:pPr>
        <w:pStyle w:val="BodyText"/>
      </w:pPr>
      <w:r>
        <w:t xml:space="preserve">In particular, verify and correctly integrate the current direction including, where applicable:</w:t>
      </w:r>
    </w:p>
    <w:bookmarkStart w:id="31" w:name="mithqal-identity"/>
    <w:p>
      <w:pPr>
        <w:pStyle w:val="Heading2"/>
      </w:pPr>
      <w:r>
        <w:t xml:space="preserve">MITHQAL Identity</w:t>
      </w:r>
    </w:p>
    <w:p>
      <w:pPr>
        <w:pStyle w:val="FirstParagraph"/>
      </w:pPr>
      <w:r>
        <w:t xml:space="preserve">MITHQAL is a:</w:t>
      </w:r>
    </w:p>
    <w:p>
      <w:pPr>
        <w:pStyle w:val="BodyText"/>
      </w:pPr>
      <w:r>
        <w:rPr>
          <w:b/>
          <w:bCs/>
        </w:rPr>
        <w:t xml:space="preserve">Constitutional Monetary and Institutional Settlement Infrastructure</w:t>
      </w:r>
    </w:p>
    <w:p>
      <w:pPr>
        <w:pStyle w:val="BodyText"/>
      </w:pPr>
      <w:r>
        <w:t xml:space="preserve">and must NOT be incorrectly represented as:</w:t>
      </w:r>
    </w:p>
    <w:p>
      <w:pPr>
        <w:pStyle w:val="Compact"/>
        <w:numPr>
          <w:ilvl w:val="0"/>
          <w:numId w:val="1007"/>
        </w:numPr>
      </w:pPr>
      <w:r>
        <w:t xml:space="preserve">a conventional cryptocurrency;</w:t>
      </w:r>
    </w:p>
    <w:p>
      <w:pPr>
        <w:pStyle w:val="Compact"/>
        <w:numPr>
          <w:ilvl w:val="0"/>
          <w:numId w:val="1007"/>
        </w:numPr>
      </w:pPr>
      <w:r>
        <w:t xml:space="preserve">a retail payment app;</w:t>
      </w:r>
    </w:p>
    <w:p>
      <w:pPr>
        <w:pStyle w:val="Compact"/>
        <w:numPr>
          <w:ilvl w:val="0"/>
          <w:numId w:val="1007"/>
        </w:numPr>
      </w:pPr>
      <w:r>
        <w:t xml:space="preserve">a commercial bank;</w:t>
      </w:r>
    </w:p>
    <w:p>
      <w:pPr>
        <w:pStyle w:val="Compact"/>
        <w:numPr>
          <w:ilvl w:val="0"/>
          <w:numId w:val="1007"/>
        </w:numPr>
      </w:pPr>
      <w:r>
        <w:t xml:space="preserve">a central bank;</w:t>
      </w:r>
    </w:p>
    <w:p>
      <w:pPr>
        <w:pStyle w:val="Compact"/>
        <w:numPr>
          <w:ilvl w:val="0"/>
          <w:numId w:val="1007"/>
        </w:numPr>
      </w:pPr>
      <w:r>
        <w:t xml:space="preserve">a deposit-taking institution;</w:t>
      </w:r>
    </w:p>
    <w:p>
      <w:pPr>
        <w:pStyle w:val="Compact"/>
        <w:numPr>
          <w:ilvl w:val="0"/>
          <w:numId w:val="1007"/>
        </w:numPr>
      </w:pPr>
      <w:r>
        <w:t xml:space="preserve">an investment fund;</w:t>
      </w:r>
    </w:p>
    <w:p>
      <w:pPr>
        <w:pStyle w:val="Compact"/>
        <w:numPr>
          <w:ilvl w:val="0"/>
          <w:numId w:val="1007"/>
        </w:numPr>
      </w:pPr>
      <w:r>
        <w:t xml:space="preserve">a lending institution;</w:t>
      </w:r>
    </w:p>
    <w:p>
      <w:pPr>
        <w:pStyle w:val="Compact"/>
        <w:numPr>
          <w:ilvl w:val="0"/>
          <w:numId w:val="1007"/>
        </w:numPr>
      </w:pPr>
      <w:r>
        <w:t xml:space="preserve">a speculative vehicle;</w:t>
      </w:r>
    </w:p>
    <w:p>
      <w:pPr>
        <w:pStyle w:val="Compact"/>
        <w:numPr>
          <w:ilvl w:val="0"/>
          <w:numId w:val="1007"/>
        </w:numPr>
      </w:pPr>
      <w:r>
        <w:t xml:space="preserve">a DAO;</w:t>
      </w:r>
    </w:p>
    <w:p>
      <w:pPr>
        <w:pStyle w:val="Compact"/>
        <w:numPr>
          <w:ilvl w:val="0"/>
          <w:numId w:val="1007"/>
        </w:numPr>
      </w:pPr>
      <w:r>
        <w:t xml:space="preserve">a permissionless blockchain monetary network;</w:t>
      </w:r>
    </w:p>
    <w:p>
      <w:pPr>
        <w:pStyle w:val="Compact"/>
        <w:numPr>
          <w:ilvl w:val="0"/>
          <w:numId w:val="1007"/>
        </w:numPr>
      </w:pPr>
      <w:r>
        <w:t xml:space="preserve">a consumer remittance platform;</w:t>
      </w:r>
    </w:p>
    <w:p>
      <w:pPr>
        <w:pStyle w:val="Compact"/>
        <w:numPr>
          <w:ilvl w:val="0"/>
          <w:numId w:val="1007"/>
        </w:numPr>
      </w:pPr>
      <w:r>
        <w:t xml:space="preserve">a retail wallet system;</w:t>
      </w:r>
    </w:p>
    <w:p>
      <w:pPr>
        <w:pStyle w:val="Compact"/>
        <w:numPr>
          <w:ilvl w:val="0"/>
          <w:numId w:val="1007"/>
        </w:numPr>
      </w:pPr>
      <w:r>
        <w:t xml:space="preserve">a conventional stablecoin issuer;</w:t>
      </w:r>
    </w:p>
    <w:p>
      <w:pPr>
        <w:pStyle w:val="Compact"/>
        <w:numPr>
          <w:ilvl w:val="0"/>
          <w:numId w:val="1007"/>
        </w:numPr>
      </w:pPr>
      <w:r>
        <w:t xml:space="preserve">a replacement for national currencies.</w:t>
      </w:r>
    </w:p>
    <w:p>
      <w:pPr>
        <w:pStyle w:val="FirstParagraph"/>
      </w:pPr>
      <w:r>
        <w:t xml:space="preserve">Preserve the approved distinction between:</w:t>
      </w:r>
    </w:p>
    <w:p>
      <w:pPr>
        <w:pStyle w:val="Compact"/>
        <w:numPr>
          <w:ilvl w:val="0"/>
          <w:numId w:val="1008"/>
        </w:numPr>
      </w:pPr>
      <w:r>
        <w:t xml:space="preserve">monetary infrastructure;</w:t>
      </w:r>
    </w:p>
    <w:p>
      <w:pPr>
        <w:pStyle w:val="Compact"/>
        <w:numPr>
          <w:ilvl w:val="0"/>
          <w:numId w:val="1008"/>
        </w:numPr>
      </w:pPr>
      <w:r>
        <w:t xml:space="preserve">settlement infrastructure;</w:t>
      </w:r>
    </w:p>
    <w:p>
      <w:pPr>
        <w:pStyle w:val="Compact"/>
        <w:numPr>
          <w:ilvl w:val="0"/>
          <w:numId w:val="1008"/>
        </w:numPr>
      </w:pPr>
      <w:r>
        <w:t xml:space="preserve">accounting/reference units;</w:t>
      </w:r>
    </w:p>
    <w:p>
      <w:pPr>
        <w:pStyle w:val="Compact"/>
        <w:numPr>
          <w:ilvl w:val="0"/>
          <w:numId w:val="1008"/>
        </w:numPr>
      </w:pPr>
      <w:r>
        <w:t xml:space="preserve">institutional settlement instruments;</w:t>
      </w:r>
    </w:p>
    <w:p>
      <w:pPr>
        <w:pStyle w:val="Compact"/>
        <w:numPr>
          <w:ilvl w:val="0"/>
          <w:numId w:val="1008"/>
        </w:numPr>
      </w:pPr>
      <w:r>
        <w:t xml:space="preserve">domestic sovereign currencies;</w:t>
      </w:r>
    </w:p>
    <w:p>
      <w:pPr>
        <w:pStyle w:val="Compact"/>
        <w:numPr>
          <w:ilvl w:val="0"/>
          <w:numId w:val="1008"/>
        </w:numPr>
      </w:pPr>
      <w:r>
        <w:t xml:space="preserve">reserve assets.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urrent-institutional-model"/>
    <w:p>
      <w:pPr>
        <w:pStyle w:val="Heading1"/>
      </w:pPr>
      <w:r>
        <w:t xml:space="preserve">6. CURRENT INSTITUTIONAL MODEL</w:t>
      </w:r>
    </w:p>
    <w:p>
      <w:pPr>
        <w:pStyle w:val="FirstParagraph"/>
      </w:pPr>
      <w:r>
        <w:t xml:space="preserve">Integrate the approved wholesale/institutional model.</w:t>
      </w:r>
    </w:p>
    <w:p>
      <w:pPr>
        <w:pStyle w:val="BodyText"/>
      </w:pPr>
      <w:r>
        <w:t xml:space="preserve">The canonical model should clearly distinguish:</w:t>
      </w:r>
    </w:p>
    <w:bookmarkStart w:id="33" w:name="direct-institutional-participants"/>
    <w:p>
      <w:pPr>
        <w:pStyle w:val="Heading3"/>
      </w:pPr>
      <w:r>
        <w:t xml:space="preserve">Direct institutional participants</w:t>
      </w:r>
    </w:p>
    <w:p>
      <w:pPr>
        <w:pStyle w:val="FirstParagraph"/>
      </w:pPr>
      <w:r>
        <w:t xml:space="preserve">Potentially including:</w:t>
      </w:r>
    </w:p>
    <w:p>
      <w:pPr>
        <w:pStyle w:val="Compact"/>
        <w:numPr>
          <w:ilvl w:val="0"/>
          <w:numId w:val="1009"/>
        </w:numPr>
      </w:pPr>
      <w:r>
        <w:t xml:space="preserve">regulated banks;</w:t>
      </w:r>
    </w:p>
    <w:p>
      <w:pPr>
        <w:pStyle w:val="Compact"/>
        <w:numPr>
          <w:ilvl w:val="0"/>
          <w:numId w:val="1009"/>
        </w:numPr>
      </w:pPr>
      <w:r>
        <w:t xml:space="preserve">approved financial institutions;</w:t>
      </w:r>
    </w:p>
    <w:p>
      <w:pPr>
        <w:pStyle w:val="Compact"/>
        <w:numPr>
          <w:ilvl w:val="0"/>
          <w:numId w:val="1009"/>
        </w:numPr>
      </w:pPr>
      <w:r>
        <w:t xml:space="preserve">central banks;</w:t>
      </w:r>
    </w:p>
    <w:p>
      <w:pPr>
        <w:pStyle w:val="Compact"/>
        <w:numPr>
          <w:ilvl w:val="0"/>
          <w:numId w:val="1009"/>
        </w:numPr>
      </w:pPr>
      <w:r>
        <w:t xml:space="preserve">sovereign monetary authorities;</w:t>
      </w:r>
    </w:p>
    <w:p>
      <w:pPr>
        <w:pStyle w:val="Compact"/>
        <w:numPr>
          <w:ilvl w:val="0"/>
          <w:numId w:val="1009"/>
        </w:numPr>
      </w:pPr>
      <w:r>
        <w:t xml:space="preserve">other institutions explicitly permitted under the applicable jurisdiction.</w:t>
      </w:r>
    </w:p>
    <w:bookmarkEnd w:id="33"/>
    <w:bookmarkStart w:id="34" w:name="excluded-direct-retail-model"/>
    <w:p>
      <w:pPr>
        <w:pStyle w:val="Heading3"/>
      </w:pPr>
      <w:r>
        <w:t xml:space="preserve">Excluded direct retail model</w:t>
      </w:r>
    </w:p>
    <w:p>
      <w:pPr>
        <w:pStyle w:val="FirstParagraph"/>
      </w:pPr>
      <w:r>
        <w:t xml:space="preserve">Do not accidentally reintroduce:</w:t>
      </w:r>
    </w:p>
    <w:p>
      <w:pPr>
        <w:pStyle w:val="Compact"/>
        <w:numPr>
          <w:ilvl w:val="0"/>
          <w:numId w:val="1010"/>
        </w:numPr>
      </w:pPr>
      <w:r>
        <w:t xml:space="preserve">individuals directly transacting in MTQ;</w:t>
      </w:r>
    </w:p>
    <w:p>
      <w:pPr>
        <w:pStyle w:val="Compact"/>
        <w:numPr>
          <w:ilvl w:val="0"/>
          <w:numId w:val="1010"/>
        </w:numPr>
      </w:pPr>
      <w:r>
        <w:t xml:space="preserve">retail wallets as the core model;</w:t>
      </w:r>
    </w:p>
    <w:p>
      <w:pPr>
        <w:pStyle w:val="Compact"/>
        <w:numPr>
          <w:ilvl w:val="0"/>
          <w:numId w:val="1010"/>
        </w:numPr>
      </w:pPr>
      <w:r>
        <w:t xml:space="preserve">personal bank-account participation;</w:t>
      </w:r>
    </w:p>
    <w:p>
      <w:pPr>
        <w:pStyle w:val="Compact"/>
        <w:numPr>
          <w:ilvl w:val="0"/>
          <w:numId w:val="1010"/>
        </w:numPr>
      </w:pPr>
      <w:r>
        <w:t xml:space="preserve">retail remittance infrastructure.</w:t>
      </w:r>
    </w:p>
    <w:p>
      <w:pPr>
        <w:pStyle w:val="FirstParagraph"/>
      </w:pPr>
      <w:r>
        <w:t xml:space="preserve">The blueprint must clearly explain:</w:t>
      </w:r>
    </w:p>
    <w:p>
      <w:pPr>
        <w:pStyle w:val="BodyText"/>
      </w:pPr>
      <w:r>
        <w:rPr>
          <w:b/>
          <w:bCs/>
        </w:rPr>
        <w:t xml:space="preserve">Corporate / Institutional Client → Existing Banking System → MITHQAL Bank Gateway → MITHQAL Core → MTQ Settlement → Receiving Institution Gateway → Receiving Institution / Bank Systems</w:t>
      </w:r>
    </w:p>
    <w:p>
      <w:pPr>
        <w:pStyle w:val="BodyText"/>
      </w:pPr>
      <w:r>
        <w:t xml:space="preserve">while preserving the role of domestic banking systems and domestic currencies.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urrent-bank-side-architecture"/>
    <w:p>
      <w:pPr>
        <w:pStyle w:val="Heading1"/>
      </w:pPr>
      <w:r>
        <w:t xml:space="preserve">7. CURRENT BANK-SIDE ARCHITECTURE</w:t>
      </w:r>
    </w:p>
    <w:p>
      <w:pPr>
        <w:pStyle w:val="FirstParagraph"/>
      </w:pPr>
      <w:r>
        <w:t xml:space="preserve">Fully integrate the latest:</w:t>
      </w:r>
    </w:p>
    <w:bookmarkStart w:id="37" w:name="X8026dc6bcd1614803499ce1a366d5c19b93fc8a"/>
    <w:p>
      <w:pPr>
        <w:pStyle w:val="Heading2"/>
      </w:pPr>
      <w:r>
        <w:t xml:space="preserve">MITHQAL BANK GATEWAY / BANK-SIDE SETTLEMENT SIDECAR</w:t>
      </w:r>
    </w:p>
    <w:p>
      <w:pPr>
        <w:pStyle w:val="FirstParagraph"/>
      </w:pPr>
      <w:r>
        <w:t xml:space="preserve">The architecture must be represented as:</w:t>
      </w:r>
    </w:p>
    <w:p>
      <w:pPr>
        <w:pStyle w:val="BlockText"/>
      </w:pPr>
      <w:r>
        <w:rPr>
          <w:b/>
          <w:bCs/>
        </w:rPr>
        <w:t xml:space="preserve">TRANSLATION, NOT TRANSFORMATION</w:t>
      </w:r>
    </w:p>
    <w:p>
      <w:pPr>
        <w:pStyle w:val="FirstParagraph"/>
      </w:pPr>
      <w:r>
        <w:t xml:space="preserve">The bank integration layer must operate beside existing banking systems instead of requiring the bank to replace its core banking platform.</w:t>
      </w:r>
    </w:p>
    <w:p>
      <w:pPr>
        <w:pStyle w:val="BodyText"/>
      </w:pPr>
      <w:r>
        <w:t xml:space="preserve">The blueprint must fully document:</w:t>
      </w:r>
    </w:p>
    <w:bookmarkStart w:id="36" w:name="mbg-mithqal-bank-gateway"/>
    <w:p>
      <w:pPr>
        <w:pStyle w:val="Heading3"/>
      </w:pPr>
      <w:r>
        <w:t xml:space="preserve">MBG — MITHQAL Bank Gateway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11"/>
        </w:numPr>
      </w:pPr>
      <w:r>
        <w:t xml:space="preserve">architecture;</w:t>
      </w:r>
    </w:p>
    <w:p>
      <w:pPr>
        <w:pStyle w:val="Compact"/>
        <w:numPr>
          <w:ilvl w:val="0"/>
          <w:numId w:val="1011"/>
        </w:numPr>
      </w:pPr>
      <w:r>
        <w:t xml:space="preserve">responsibilities;</w:t>
      </w:r>
    </w:p>
    <w:p>
      <w:pPr>
        <w:pStyle w:val="Compact"/>
        <w:numPr>
          <w:ilvl w:val="0"/>
          <w:numId w:val="1011"/>
        </w:numPr>
      </w:pPr>
      <w:r>
        <w:t xml:space="preserve">security;</w:t>
      </w:r>
    </w:p>
    <w:p>
      <w:pPr>
        <w:pStyle w:val="Compact"/>
        <w:numPr>
          <w:ilvl w:val="0"/>
          <w:numId w:val="1011"/>
        </w:numPr>
      </w:pPr>
      <w:r>
        <w:t xml:space="preserve">integration patterns;</w:t>
      </w:r>
    </w:p>
    <w:p>
      <w:pPr>
        <w:pStyle w:val="Compact"/>
        <w:numPr>
          <w:ilvl w:val="0"/>
          <w:numId w:val="1011"/>
        </w:numPr>
      </w:pPr>
      <w:r>
        <w:t xml:space="preserve">message transformation;</w:t>
      </w:r>
    </w:p>
    <w:p>
      <w:pPr>
        <w:pStyle w:val="Compact"/>
        <w:numPr>
          <w:ilvl w:val="0"/>
          <w:numId w:val="1011"/>
        </w:numPr>
      </w:pPr>
      <w:r>
        <w:t xml:space="preserve">settlement instruction handling;</w:t>
      </w:r>
    </w:p>
    <w:p>
      <w:pPr>
        <w:pStyle w:val="Compact"/>
        <w:numPr>
          <w:ilvl w:val="0"/>
          <w:numId w:val="1011"/>
        </w:numPr>
      </w:pPr>
      <w:r>
        <w:t xml:space="preserve">bank-side compliance attestations;</w:t>
      </w:r>
    </w:p>
    <w:p>
      <w:pPr>
        <w:pStyle w:val="Compact"/>
        <w:numPr>
          <w:ilvl w:val="0"/>
          <w:numId w:val="1011"/>
        </w:numPr>
      </w:pPr>
      <w:r>
        <w:t xml:space="preserve">reconciliation;</w:t>
      </w:r>
    </w:p>
    <w:p>
      <w:pPr>
        <w:pStyle w:val="Compact"/>
        <w:numPr>
          <w:ilvl w:val="0"/>
          <w:numId w:val="1011"/>
        </w:numPr>
      </w:pPr>
      <w:r>
        <w:t xml:space="preserve">identity abstraction;</w:t>
      </w:r>
    </w:p>
    <w:p>
      <w:pPr>
        <w:pStyle w:val="Compact"/>
        <w:numPr>
          <w:ilvl w:val="0"/>
          <w:numId w:val="1011"/>
        </w:numPr>
      </w:pPr>
      <w:r>
        <w:t xml:space="preserve">cryptographic attestations;</w:t>
      </w:r>
    </w:p>
    <w:p>
      <w:pPr>
        <w:pStyle w:val="Compact"/>
        <w:numPr>
          <w:ilvl w:val="0"/>
          <w:numId w:val="1011"/>
        </w:numPr>
      </w:pPr>
      <w:r>
        <w:t xml:space="preserve">HSM/MPC compatibility;</w:t>
      </w:r>
    </w:p>
    <w:p>
      <w:pPr>
        <w:pStyle w:val="Compact"/>
        <w:numPr>
          <w:ilvl w:val="0"/>
          <w:numId w:val="1011"/>
        </w:numPr>
      </w:pPr>
      <w:r>
        <w:t xml:space="preserve">institutional identity handling;</w:t>
      </w:r>
    </w:p>
    <w:p>
      <w:pPr>
        <w:pStyle w:val="Compact"/>
        <w:numPr>
          <w:ilvl w:val="0"/>
          <w:numId w:val="1011"/>
        </w:numPr>
      </w:pPr>
      <w:r>
        <w:t xml:space="preserve">privacy;</w:t>
      </w:r>
    </w:p>
    <w:p>
      <w:pPr>
        <w:pStyle w:val="Compact"/>
        <w:numPr>
          <w:ilvl w:val="0"/>
          <w:numId w:val="1011"/>
        </w:numPr>
      </w:pPr>
      <w:r>
        <w:t xml:space="preserve">auditability;</w:t>
      </w:r>
    </w:p>
    <w:p>
      <w:pPr>
        <w:pStyle w:val="Compact"/>
        <w:numPr>
          <w:ilvl w:val="0"/>
          <w:numId w:val="1011"/>
        </w:numPr>
      </w:pPr>
      <w:r>
        <w:t xml:space="preserve">failure handling;</w:t>
      </w:r>
    </w:p>
    <w:p>
      <w:pPr>
        <w:pStyle w:val="Compact"/>
        <w:numPr>
          <w:ilvl w:val="0"/>
          <w:numId w:val="1011"/>
        </w:numPr>
      </w:pPr>
      <w:r>
        <w:t xml:space="preserve">observability;</w:t>
      </w:r>
    </w:p>
    <w:p>
      <w:pPr>
        <w:pStyle w:val="Compact"/>
        <w:numPr>
          <w:ilvl w:val="0"/>
          <w:numId w:val="1011"/>
        </w:numPr>
      </w:pPr>
      <w:r>
        <w:t xml:space="preserve">deployment architecture.</w:t>
      </w:r>
    </w:p>
    <w:p>
      <w:pPr>
        <w:pStyle w:val="FirstParagraph"/>
      </w:pPr>
      <w:r>
        <w:t xml:space="preserve">Integrate the approved standards and connectivity models, including where applicable:</w:t>
      </w:r>
    </w:p>
    <w:p>
      <w:pPr>
        <w:pStyle w:val="Compact"/>
        <w:numPr>
          <w:ilvl w:val="0"/>
          <w:numId w:val="1012"/>
        </w:numPr>
      </w:pPr>
      <w:r>
        <w:t xml:space="preserve">ISO 20022;</w:t>
      </w:r>
    </w:p>
    <w:p>
      <w:pPr>
        <w:pStyle w:val="Compact"/>
        <w:numPr>
          <w:ilvl w:val="0"/>
          <w:numId w:val="1012"/>
        </w:numPr>
      </w:pPr>
      <w:r>
        <w:t xml:space="preserve">bank REST/API;</w:t>
      </w:r>
    </w:p>
    <w:p>
      <w:pPr>
        <w:pStyle w:val="Compact"/>
        <w:numPr>
          <w:ilvl w:val="0"/>
          <w:numId w:val="1012"/>
        </w:numPr>
      </w:pPr>
      <w:r>
        <w:t xml:space="preserve">host-to-host;</w:t>
      </w:r>
    </w:p>
    <w:p>
      <w:pPr>
        <w:pStyle w:val="Compact"/>
        <w:numPr>
          <w:ilvl w:val="0"/>
          <w:numId w:val="1012"/>
        </w:numPr>
      </w:pPr>
      <w:r>
        <w:t xml:space="preserve">SFTP;</w:t>
      </w:r>
    </w:p>
    <w:p>
      <w:pPr>
        <w:pStyle w:val="Compact"/>
        <w:numPr>
          <w:ilvl w:val="0"/>
          <w:numId w:val="1012"/>
        </w:numPr>
      </w:pPr>
      <w:r>
        <w:t xml:space="preserve">treasury systems;</w:t>
      </w:r>
    </w:p>
    <w:p>
      <w:pPr>
        <w:pStyle w:val="Compact"/>
        <w:numPr>
          <w:ilvl w:val="0"/>
          <w:numId w:val="1012"/>
        </w:numPr>
      </w:pPr>
      <w:r>
        <w:t xml:space="preserve">ERP connectivity;</w:t>
      </w:r>
    </w:p>
    <w:p>
      <w:pPr>
        <w:pStyle w:val="Compact"/>
        <w:numPr>
          <w:ilvl w:val="0"/>
          <w:numId w:val="1012"/>
        </w:numPr>
      </w:pPr>
      <w:r>
        <w:t xml:space="preserve">bank internal systems.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bank-side-compliance-attestation"/>
    <w:p>
      <w:pPr>
        <w:pStyle w:val="Heading1"/>
      </w:pPr>
      <w:r>
        <w:t xml:space="preserve">8. BANK-SIDE COMPLIANCE ATTESTATION</w:t>
      </w:r>
    </w:p>
    <w:p>
      <w:pPr>
        <w:pStyle w:val="FirstParagraph"/>
      </w:pPr>
      <w:r>
        <w:t xml:space="preserve">Retain and fully explain the approved bank-side attestation model.</w:t>
      </w:r>
    </w:p>
    <w:p>
      <w:pPr>
        <w:pStyle w:val="BodyText"/>
      </w:pPr>
      <w:r>
        <w:t xml:space="preserve">At minimum account for:</w:t>
      </w:r>
    </w:p>
    <w:p>
      <w:pPr>
        <w:pStyle w:val="Compact"/>
        <w:numPr>
          <w:ilvl w:val="0"/>
          <w:numId w:val="1013"/>
        </w:numPr>
      </w:pPr>
      <w:r>
        <w:t xml:space="preserve">KYC PASS</w:t>
      </w:r>
    </w:p>
    <w:p>
      <w:pPr>
        <w:pStyle w:val="Compact"/>
        <w:numPr>
          <w:ilvl w:val="0"/>
          <w:numId w:val="1013"/>
        </w:numPr>
      </w:pPr>
      <w:r>
        <w:t xml:space="preserve">KYB PASS</w:t>
      </w:r>
    </w:p>
    <w:p>
      <w:pPr>
        <w:pStyle w:val="Compact"/>
        <w:numPr>
          <w:ilvl w:val="0"/>
          <w:numId w:val="1013"/>
        </w:numPr>
      </w:pPr>
      <w:r>
        <w:t xml:space="preserve">AML PASS</w:t>
      </w:r>
    </w:p>
    <w:p>
      <w:pPr>
        <w:pStyle w:val="Compact"/>
        <w:numPr>
          <w:ilvl w:val="0"/>
          <w:numId w:val="1013"/>
        </w:numPr>
      </w:pPr>
      <w:r>
        <w:t xml:space="preserve">SANCTIONS PASS</w:t>
      </w:r>
    </w:p>
    <w:p>
      <w:pPr>
        <w:pStyle w:val="Compact"/>
        <w:numPr>
          <w:ilvl w:val="0"/>
          <w:numId w:val="1013"/>
        </w:numPr>
      </w:pPr>
      <w:r>
        <w:t xml:space="preserve">ACCOUNT AUTHORITY PASS</w:t>
      </w:r>
    </w:p>
    <w:p>
      <w:pPr>
        <w:pStyle w:val="Compact"/>
        <w:numPr>
          <w:ilvl w:val="0"/>
          <w:numId w:val="1013"/>
        </w:numPr>
      </w:pPr>
      <w:r>
        <w:t xml:space="preserve">FUNDS AVAILABLE PASS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14"/>
        </w:numPr>
      </w:pPr>
      <w:r>
        <w:t xml:space="preserve">who generates each attestation;</w:t>
      </w:r>
    </w:p>
    <w:p>
      <w:pPr>
        <w:pStyle w:val="Compact"/>
        <w:numPr>
          <w:ilvl w:val="0"/>
          <w:numId w:val="1014"/>
        </w:numPr>
      </w:pPr>
      <w:r>
        <w:t xml:space="preserve">where validation occurs;</w:t>
      </w:r>
    </w:p>
    <w:p>
      <w:pPr>
        <w:pStyle w:val="Compact"/>
        <w:numPr>
          <w:ilvl w:val="0"/>
          <w:numId w:val="1014"/>
        </w:numPr>
      </w:pPr>
      <w:r>
        <w:t xml:space="preserve">what MITHQAL receives;</w:t>
      </w:r>
    </w:p>
    <w:p>
      <w:pPr>
        <w:pStyle w:val="Compact"/>
        <w:numPr>
          <w:ilvl w:val="0"/>
          <w:numId w:val="1014"/>
        </w:numPr>
      </w:pPr>
      <w:r>
        <w:t xml:space="preserve">what remains inside the bank;</w:t>
      </w:r>
    </w:p>
    <w:p>
      <w:pPr>
        <w:pStyle w:val="Compact"/>
        <w:numPr>
          <w:ilvl w:val="0"/>
          <w:numId w:val="1014"/>
        </w:numPr>
      </w:pPr>
      <w:r>
        <w:t xml:space="preserve">cryptographic verification;</w:t>
      </w:r>
    </w:p>
    <w:p>
      <w:pPr>
        <w:pStyle w:val="Compact"/>
        <w:numPr>
          <w:ilvl w:val="0"/>
          <w:numId w:val="1014"/>
        </w:numPr>
      </w:pPr>
      <w:r>
        <w:t xml:space="preserve">expiry;</w:t>
      </w:r>
    </w:p>
    <w:p>
      <w:pPr>
        <w:pStyle w:val="Compact"/>
        <w:numPr>
          <w:ilvl w:val="0"/>
          <w:numId w:val="1014"/>
        </w:numPr>
      </w:pPr>
      <w:r>
        <w:t xml:space="preserve">replay prevention;</w:t>
      </w:r>
    </w:p>
    <w:p>
      <w:pPr>
        <w:pStyle w:val="Compact"/>
        <w:numPr>
          <w:ilvl w:val="0"/>
          <w:numId w:val="1014"/>
        </w:numPr>
      </w:pPr>
      <w:r>
        <w:t xml:space="preserve">revocation;</w:t>
      </w:r>
    </w:p>
    <w:p>
      <w:pPr>
        <w:pStyle w:val="Compact"/>
        <w:numPr>
          <w:ilvl w:val="0"/>
          <w:numId w:val="1014"/>
        </w:numPr>
      </w:pPr>
      <w:r>
        <w:t xml:space="preserve">audit trail;</w:t>
      </w:r>
    </w:p>
    <w:p>
      <w:pPr>
        <w:pStyle w:val="Compact"/>
        <w:numPr>
          <w:ilvl w:val="0"/>
          <w:numId w:val="1014"/>
        </w:numPr>
      </w:pPr>
      <w:r>
        <w:t xml:space="preserve">dispute handling;</w:t>
      </w:r>
    </w:p>
    <w:p>
      <w:pPr>
        <w:pStyle w:val="Compact"/>
        <w:numPr>
          <w:ilvl w:val="0"/>
          <w:numId w:val="1014"/>
        </w:numPr>
      </w:pPr>
      <w:r>
        <w:t xml:space="preserve">jurisdictional differences.</w:t>
      </w:r>
    </w:p>
    <w:p>
      <w:r>
        <w:pict>
          <v:rect style="width:0;height:1.5pt" o:hralign="center" o:hrstd="t" o:hr="t"/>
        </w:pict>
      </w:r>
    </w:p>
    <w:bookmarkEnd w:id="39"/>
    <w:bookmarkStart w:id="40" w:name="privacy-and-identity-model"/>
    <w:p>
      <w:pPr>
        <w:pStyle w:val="Heading1"/>
      </w:pPr>
      <w:r>
        <w:t xml:space="preserve">9. PRIVACY AND IDENTITY MODEL</w:t>
      </w:r>
    </w:p>
    <w:p>
      <w:pPr>
        <w:pStyle w:val="FirstParagraph"/>
      </w:pPr>
      <w:r>
        <w:t xml:space="preserve">Preserve the principle that:</w:t>
      </w:r>
    </w:p>
    <w:p>
      <w:pPr>
        <w:pStyle w:val="BlockText"/>
      </w:pPr>
      <w:r>
        <w:rPr>
          <w:b/>
          <w:bCs/>
        </w:rPr>
        <w:t xml:space="preserve">Customer identity remains inside the regulated bank whenever possible.</w:t>
      </w:r>
    </w:p>
    <w:p>
      <w:pPr>
        <w:pStyle w:val="FirstParagraph"/>
      </w:pPr>
      <w:r>
        <w:t xml:space="preserve">MITHQAL should receive only what is necessary for institutional settlement and compliance purposes.</w:t>
      </w:r>
    </w:p>
    <w:p>
      <w:pPr>
        <w:pStyle w:val="BodyText"/>
      </w:pPr>
      <w:r>
        <w:t xml:space="preserve">Integrate approved concepts such as:</w:t>
      </w:r>
    </w:p>
    <w:p>
      <w:pPr>
        <w:pStyle w:val="Compact"/>
        <w:numPr>
          <w:ilvl w:val="0"/>
          <w:numId w:val="1015"/>
        </w:numPr>
      </w:pPr>
      <w:r>
        <w:t xml:space="preserve">institutional identifiers;</w:t>
      </w:r>
    </w:p>
    <w:p>
      <w:pPr>
        <w:pStyle w:val="Compact"/>
        <w:numPr>
          <w:ilvl w:val="0"/>
          <w:numId w:val="1015"/>
        </w:numPr>
      </w:pPr>
      <w:r>
        <w:t xml:space="preserve">pseudonymous corporate references;</w:t>
      </w:r>
    </w:p>
    <w:p>
      <w:pPr>
        <w:pStyle w:val="Compact"/>
        <w:numPr>
          <w:ilvl w:val="0"/>
          <w:numId w:val="1015"/>
        </w:numPr>
      </w:pPr>
      <w:r>
        <w:t xml:space="preserve">cryptographic attestations;</w:t>
      </w:r>
    </w:p>
    <w:p>
      <w:pPr>
        <w:pStyle w:val="Compact"/>
        <w:numPr>
          <w:ilvl w:val="0"/>
          <w:numId w:val="1015"/>
        </w:numPr>
      </w:pPr>
      <w:r>
        <w:t xml:space="preserve">selective disclosure;</w:t>
      </w:r>
    </w:p>
    <w:p>
      <w:pPr>
        <w:pStyle w:val="Compact"/>
        <w:numPr>
          <w:ilvl w:val="0"/>
          <w:numId w:val="1015"/>
        </w:numPr>
      </w:pPr>
      <w:r>
        <w:t xml:space="preserve">zero-knowledge proof compatibility where appropriate;</w:t>
      </w:r>
    </w:p>
    <w:p>
      <w:pPr>
        <w:pStyle w:val="Compact"/>
        <w:numPr>
          <w:ilvl w:val="0"/>
          <w:numId w:val="1015"/>
        </w:numPr>
      </w:pPr>
      <w:r>
        <w:t xml:space="preserve">bank-controlled customer data;</w:t>
      </w:r>
    </w:p>
    <w:p>
      <w:pPr>
        <w:pStyle w:val="Compact"/>
        <w:numPr>
          <w:ilvl w:val="0"/>
          <w:numId w:val="1015"/>
        </w:numPr>
      </w:pPr>
      <w:r>
        <w:t xml:space="preserve">minimum necessary disclosure;</w:t>
      </w:r>
    </w:p>
    <w:p>
      <w:pPr>
        <w:pStyle w:val="Compact"/>
        <w:numPr>
          <w:ilvl w:val="0"/>
          <w:numId w:val="1015"/>
        </w:numPr>
      </w:pPr>
      <w:r>
        <w:t xml:space="preserve">jurisdiction-specific privacy controls.</w:t>
      </w:r>
    </w:p>
    <w:p>
      <w:pPr>
        <w:pStyle w:val="FirstParagraph"/>
      </w:pPr>
      <w:r>
        <w:t xml:space="preserve">Do not accidentally convert MITHQAL into a centralized consumer identity database.</w:t>
      </w:r>
    </w:p>
    <w:p>
      <w:r>
        <w:pict>
          <v:rect style="width:0;height:1.5pt" o:hralign="center" o:hrstd="t" o:hr="t"/>
        </w:pict>
      </w:r>
    </w:p>
    <w:bookmarkEnd w:id="40"/>
    <w:bookmarkStart w:id="41" w:name="corporate-mtq-settlement-account-model"/>
    <w:p>
      <w:pPr>
        <w:pStyle w:val="Heading1"/>
      </w:pPr>
      <w:r>
        <w:t xml:space="preserve">10. CORPORATE MTQ SETTLEMENT ACCOUNT MODEL</w:t>
      </w:r>
    </w:p>
    <w:p>
      <w:pPr>
        <w:pStyle w:val="FirstParagraph"/>
      </w:pPr>
      <w:r>
        <w:t xml:space="preserve">Fully incorporate the concept of a:</w:t>
      </w:r>
    </w:p>
    <w:p>
      <w:pPr>
        <w:pStyle w:val="BodyText"/>
      </w:pPr>
      <w:r>
        <w:rPr>
          <w:b/>
          <w:bCs/>
        </w:rPr>
        <w:t xml:space="preserve">Bank-linked institutional MTQ settlement position</w:t>
      </w:r>
    </w:p>
    <w:p>
      <w:pPr>
        <w:pStyle w:val="BodyText"/>
      </w:pPr>
      <w:r>
        <w:t xml:space="preserve">within or alongside the corporate banking experience.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16"/>
        </w:numPr>
      </w:pPr>
      <w:r>
        <w:t xml:space="preserve">account/position architecture;</w:t>
      </w:r>
    </w:p>
    <w:p>
      <w:pPr>
        <w:pStyle w:val="Compact"/>
        <w:numPr>
          <w:ilvl w:val="0"/>
          <w:numId w:val="1016"/>
        </w:numPr>
      </w:pPr>
      <w:r>
        <w:t xml:space="preserve">ownership representation;</w:t>
      </w:r>
    </w:p>
    <w:p>
      <w:pPr>
        <w:pStyle w:val="Compact"/>
        <w:numPr>
          <w:ilvl w:val="0"/>
          <w:numId w:val="1016"/>
        </w:numPr>
      </w:pPr>
      <w:r>
        <w:t xml:space="preserve">available balance;</w:t>
      </w:r>
    </w:p>
    <w:p>
      <w:pPr>
        <w:pStyle w:val="Compact"/>
        <w:numPr>
          <w:ilvl w:val="0"/>
          <w:numId w:val="1016"/>
        </w:numPr>
      </w:pPr>
      <w:r>
        <w:t xml:space="preserve">reserved balance;</w:t>
      </w:r>
    </w:p>
    <w:p>
      <w:pPr>
        <w:pStyle w:val="Compact"/>
        <w:numPr>
          <w:ilvl w:val="0"/>
          <w:numId w:val="1016"/>
        </w:numPr>
      </w:pPr>
      <w:r>
        <w:t xml:space="preserve">pending settlement;</w:t>
      </w:r>
    </w:p>
    <w:p>
      <w:pPr>
        <w:pStyle w:val="Compact"/>
        <w:numPr>
          <w:ilvl w:val="0"/>
          <w:numId w:val="1016"/>
        </w:numPr>
      </w:pPr>
      <w:r>
        <w:t xml:space="preserve">settlement finality;</w:t>
      </w:r>
    </w:p>
    <w:p>
      <w:pPr>
        <w:pStyle w:val="Compact"/>
        <w:numPr>
          <w:ilvl w:val="0"/>
          <w:numId w:val="1016"/>
        </w:numPr>
      </w:pPr>
      <w:r>
        <w:t xml:space="preserve">ledger interaction;</w:t>
      </w:r>
    </w:p>
    <w:p>
      <w:pPr>
        <w:pStyle w:val="Compact"/>
        <w:numPr>
          <w:ilvl w:val="0"/>
          <w:numId w:val="1016"/>
        </w:numPr>
      </w:pPr>
      <w:r>
        <w:t xml:space="preserve">bank visibility;</w:t>
      </w:r>
    </w:p>
    <w:p>
      <w:pPr>
        <w:pStyle w:val="Compact"/>
        <w:numPr>
          <w:ilvl w:val="0"/>
          <w:numId w:val="1016"/>
        </w:numPr>
      </w:pPr>
      <w:r>
        <w:t xml:space="preserve">reconciliation;</w:t>
      </w:r>
    </w:p>
    <w:p>
      <w:pPr>
        <w:pStyle w:val="Compact"/>
        <w:numPr>
          <w:ilvl w:val="0"/>
          <w:numId w:val="1016"/>
        </w:numPr>
      </w:pPr>
      <w:r>
        <w:t xml:space="preserve">authorization;</w:t>
      </w:r>
    </w:p>
    <w:p>
      <w:pPr>
        <w:pStyle w:val="Compact"/>
        <w:numPr>
          <w:ilvl w:val="0"/>
          <w:numId w:val="1016"/>
        </w:numPr>
      </w:pPr>
      <w:r>
        <w:t xml:space="preserve">audit trail;</w:t>
      </w:r>
    </w:p>
    <w:p>
      <w:pPr>
        <w:pStyle w:val="Compact"/>
        <w:numPr>
          <w:ilvl w:val="0"/>
          <w:numId w:val="1016"/>
        </w:numPr>
      </w:pPr>
      <w:r>
        <w:t xml:space="preserve">limits;</w:t>
      </w:r>
    </w:p>
    <w:p>
      <w:pPr>
        <w:pStyle w:val="Compact"/>
        <w:numPr>
          <w:ilvl w:val="0"/>
          <w:numId w:val="1016"/>
        </w:numPr>
      </w:pPr>
      <w:r>
        <w:t xml:space="preserve">permissions;</w:t>
      </w:r>
    </w:p>
    <w:p>
      <w:pPr>
        <w:pStyle w:val="Compact"/>
        <w:numPr>
          <w:ilvl w:val="0"/>
          <w:numId w:val="1016"/>
        </w:numPr>
      </w:pPr>
      <w:r>
        <w:t xml:space="preserve">multi-signatory corporate controls;</w:t>
      </w:r>
    </w:p>
    <w:p>
      <w:pPr>
        <w:pStyle w:val="Compact"/>
        <w:numPr>
          <w:ilvl w:val="0"/>
          <w:numId w:val="1016"/>
        </w:numPr>
      </w:pPr>
      <w:r>
        <w:t xml:space="preserve">emergency controls.</w:t>
      </w:r>
    </w:p>
    <w:p>
      <w:r>
        <w:pict>
          <v:rect style="width:0;height:1.5pt" o:hralign="center" o:hrstd="t" o:hr="t"/>
        </w:pict>
      </w:r>
    </w:p>
    <w:bookmarkEnd w:id="41"/>
    <w:bookmarkStart w:id="42" w:name="five-way-reconciliation"/>
    <w:p>
      <w:pPr>
        <w:pStyle w:val="Heading1"/>
      </w:pPr>
      <w:r>
        <w:t xml:space="preserve">11. FIVE-WAY RECONCILIATION</w:t>
      </w:r>
    </w:p>
    <w:p>
      <w:pPr>
        <w:pStyle w:val="FirstParagraph"/>
      </w:pPr>
      <w:r>
        <w:t xml:space="preserve">Preserve and fully expand the approved reconciliation framework.</w:t>
      </w:r>
    </w:p>
    <w:p>
      <w:pPr>
        <w:pStyle w:val="BodyText"/>
      </w:pPr>
      <w:r>
        <w:t xml:space="preserve">The blueprint must include reconciliation between:</w:t>
      </w:r>
    </w:p>
    <w:p>
      <w:pPr>
        <w:pStyle w:val="Compact"/>
        <w:numPr>
          <w:ilvl w:val="0"/>
          <w:numId w:val="1017"/>
        </w:numPr>
      </w:pPr>
      <w:r>
        <w:t xml:space="preserve">Canonical MITHQAL Ledger</w:t>
      </w:r>
    </w:p>
    <w:p>
      <w:pPr>
        <w:pStyle w:val="Compact"/>
        <w:numPr>
          <w:ilvl w:val="0"/>
          <w:numId w:val="1017"/>
        </w:numPr>
      </w:pPr>
      <w:r>
        <w:t xml:space="preserve">Bank MTQ Subledger</w:t>
      </w:r>
    </w:p>
    <w:p>
      <w:pPr>
        <w:pStyle w:val="Compact"/>
        <w:numPr>
          <w:ilvl w:val="0"/>
          <w:numId w:val="1017"/>
        </w:numPr>
      </w:pPr>
      <w:r>
        <w:t xml:space="preserve">Corporate MTQ Positions</w:t>
      </w:r>
    </w:p>
    <w:p>
      <w:pPr>
        <w:pStyle w:val="Compact"/>
        <w:numPr>
          <w:ilvl w:val="0"/>
          <w:numId w:val="1017"/>
        </w:numPr>
      </w:pPr>
      <w:r>
        <w:t xml:space="preserve">Reserve Ledger</w:t>
      </w:r>
    </w:p>
    <w:p>
      <w:pPr>
        <w:pStyle w:val="Compact"/>
        <w:numPr>
          <w:ilvl w:val="0"/>
          <w:numId w:val="1017"/>
        </w:numPr>
      </w:pPr>
      <w:r>
        <w:t xml:space="preserve">Proof-of-Liabilities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18"/>
        </w:numPr>
      </w:pPr>
      <w:r>
        <w:t xml:space="preserve">reconciliation frequency;</w:t>
      </w:r>
    </w:p>
    <w:p>
      <w:pPr>
        <w:pStyle w:val="Compact"/>
        <w:numPr>
          <w:ilvl w:val="0"/>
          <w:numId w:val="1018"/>
        </w:numPr>
      </w:pPr>
      <w:r>
        <w:t xml:space="preserve">real-time versus batch;</w:t>
      </w:r>
    </w:p>
    <w:p>
      <w:pPr>
        <w:pStyle w:val="Compact"/>
        <w:numPr>
          <w:ilvl w:val="0"/>
          <w:numId w:val="1018"/>
        </w:numPr>
      </w:pPr>
      <w:r>
        <w:t xml:space="preserve">deterministic matching;</w:t>
      </w:r>
    </w:p>
    <w:p>
      <w:pPr>
        <w:pStyle w:val="Compact"/>
        <w:numPr>
          <w:ilvl w:val="0"/>
          <w:numId w:val="1018"/>
        </w:numPr>
      </w:pPr>
      <w:r>
        <w:t xml:space="preserve">exception handling;</w:t>
      </w:r>
    </w:p>
    <w:p>
      <w:pPr>
        <w:pStyle w:val="Compact"/>
        <w:numPr>
          <w:ilvl w:val="0"/>
          <w:numId w:val="1018"/>
        </w:numPr>
      </w:pPr>
      <w:r>
        <w:t xml:space="preserve">break management;</w:t>
      </w:r>
    </w:p>
    <w:p>
      <w:pPr>
        <w:pStyle w:val="Compact"/>
        <w:numPr>
          <w:ilvl w:val="0"/>
          <w:numId w:val="1018"/>
        </w:numPr>
      </w:pPr>
      <w:r>
        <w:t xml:space="preserve">accounting treatment;</w:t>
      </w:r>
    </w:p>
    <w:p>
      <w:pPr>
        <w:pStyle w:val="Compact"/>
        <w:numPr>
          <w:ilvl w:val="0"/>
          <w:numId w:val="1018"/>
        </w:numPr>
      </w:pPr>
      <w:r>
        <w:t xml:space="preserve">audit records;</w:t>
      </w:r>
    </w:p>
    <w:p>
      <w:pPr>
        <w:pStyle w:val="Compact"/>
        <w:numPr>
          <w:ilvl w:val="0"/>
          <w:numId w:val="1018"/>
        </w:numPr>
      </w:pPr>
      <w:r>
        <w:t xml:space="preserve">escalation;</w:t>
      </w:r>
    </w:p>
    <w:p>
      <w:pPr>
        <w:pStyle w:val="Compact"/>
        <w:numPr>
          <w:ilvl w:val="0"/>
          <w:numId w:val="1018"/>
        </w:numPr>
      </w:pPr>
      <w:r>
        <w:t xml:space="preserve">settlement suspension rules;</w:t>
      </w:r>
    </w:p>
    <w:p>
      <w:pPr>
        <w:pStyle w:val="Compact"/>
        <w:numPr>
          <w:ilvl w:val="0"/>
          <w:numId w:val="1018"/>
        </w:numPr>
      </w:pPr>
      <w:r>
        <w:t xml:space="preserve">remediation workflows.</w:t>
      </w:r>
    </w:p>
    <w:p>
      <w:r>
        <w:pict>
          <v:rect style="width:0;height:1.5pt" o:hralign="center" o:hrstd="t" o:hr="t"/>
        </w:pict>
      </w:r>
    </w:p>
    <w:bookmarkEnd w:id="42"/>
    <w:bookmarkStart w:id="43" w:name="mtq-economic-architecture"/>
    <w:p>
      <w:pPr>
        <w:pStyle w:val="Heading1"/>
      </w:pPr>
      <w:r>
        <w:t xml:space="preserve">12. MTQ ECONOMIC ARCHITECTURE</w:t>
      </w:r>
    </w:p>
    <w:p>
      <w:pPr>
        <w:pStyle w:val="FirstParagraph"/>
      </w:pPr>
      <w:r>
        <w:t xml:space="preserve">Reconcile and integrate all approved MTQ economic architecture.</w:t>
      </w:r>
    </w:p>
    <w:p>
      <w:pPr>
        <w:pStyle w:val="BodyText"/>
      </w:pPr>
      <w:r>
        <w:t xml:space="preserve">The blueprint must clearly distinguish:</w:t>
      </w:r>
    </w:p>
    <w:p>
      <w:pPr>
        <w:pStyle w:val="Compact"/>
        <w:numPr>
          <w:ilvl w:val="0"/>
          <w:numId w:val="1019"/>
        </w:numPr>
      </w:pPr>
      <w:r>
        <w:t xml:space="preserve">MTQ settlement function;</w:t>
      </w:r>
    </w:p>
    <w:p>
      <w:pPr>
        <w:pStyle w:val="Compact"/>
        <w:numPr>
          <w:ilvl w:val="0"/>
          <w:numId w:val="1019"/>
        </w:numPr>
      </w:pPr>
      <w:r>
        <w:t xml:space="preserve">reserve function;</w:t>
      </w:r>
    </w:p>
    <w:p>
      <w:pPr>
        <w:pStyle w:val="Compact"/>
        <w:numPr>
          <w:ilvl w:val="0"/>
          <w:numId w:val="1019"/>
        </w:numPr>
      </w:pPr>
      <w:r>
        <w:t xml:space="preserve">accounting/reference function;</w:t>
      </w:r>
    </w:p>
    <w:p>
      <w:pPr>
        <w:pStyle w:val="Compact"/>
        <w:numPr>
          <w:ilvl w:val="0"/>
          <w:numId w:val="1019"/>
        </w:numPr>
      </w:pPr>
      <w:r>
        <w:t xml:space="preserve">economic issuance/redemption mechanics;</w:t>
      </w:r>
    </w:p>
    <w:p>
      <w:pPr>
        <w:pStyle w:val="Compact"/>
        <w:numPr>
          <w:ilvl w:val="0"/>
          <w:numId w:val="1019"/>
        </w:numPr>
      </w:pPr>
      <w:r>
        <w:t xml:space="preserve">liquidity;</w:t>
      </w:r>
    </w:p>
    <w:p>
      <w:pPr>
        <w:pStyle w:val="Compact"/>
        <w:numPr>
          <w:ilvl w:val="0"/>
          <w:numId w:val="1019"/>
        </w:numPr>
      </w:pPr>
      <w:r>
        <w:t xml:space="preserve">collateral/reserve logic;</w:t>
      </w:r>
    </w:p>
    <w:p>
      <w:pPr>
        <w:pStyle w:val="Compact"/>
        <w:numPr>
          <w:ilvl w:val="0"/>
          <w:numId w:val="1019"/>
        </w:numPr>
      </w:pPr>
      <w:r>
        <w:t xml:space="preserve">institutional access;</w:t>
      </w:r>
    </w:p>
    <w:p>
      <w:pPr>
        <w:pStyle w:val="Compact"/>
        <w:numPr>
          <w:ilvl w:val="0"/>
          <w:numId w:val="1019"/>
        </w:numPr>
      </w:pPr>
      <w:r>
        <w:t xml:space="preserve">monetary neutrality;</w:t>
      </w:r>
    </w:p>
    <w:p>
      <w:pPr>
        <w:pStyle w:val="Compact"/>
        <w:numPr>
          <w:ilvl w:val="0"/>
          <w:numId w:val="1019"/>
        </w:numPr>
      </w:pPr>
      <w:r>
        <w:t xml:space="preserve">domestic currency settlement;</w:t>
      </w:r>
    </w:p>
    <w:p>
      <w:pPr>
        <w:pStyle w:val="Compact"/>
        <w:numPr>
          <w:ilvl w:val="0"/>
          <w:numId w:val="1019"/>
        </w:numPr>
      </w:pPr>
      <w:r>
        <w:t xml:space="preserve">risk controls.</w:t>
      </w:r>
    </w:p>
    <w:p>
      <w:pPr>
        <w:pStyle w:val="FirstParagraph"/>
      </w:pPr>
      <w:r>
        <w:t xml:space="preserve">Do not use inconsistent language such as:</w:t>
      </w:r>
    </w:p>
    <w:p>
      <w:pPr>
        <w:pStyle w:val="Compact"/>
        <w:numPr>
          <w:ilvl w:val="0"/>
          <w:numId w:val="1020"/>
        </w:numPr>
      </w:pPr>
      <w:r>
        <w:t xml:space="preserve">“</w:t>
      </w:r>
      <w:r>
        <w:t xml:space="preserve">USD-backed</w:t>
      </w:r>
      <w:r>
        <w:t xml:space="preserve">”</w:t>
      </w:r>
      <w:r>
        <w:t xml:space="preserve"> </w:t>
      </w:r>
      <w:r>
        <w:t xml:space="preserve">if that is not the approved architecture;</w:t>
      </w:r>
    </w:p>
    <w:p>
      <w:pPr>
        <w:pStyle w:val="Compact"/>
        <w:numPr>
          <w:ilvl w:val="0"/>
          <w:numId w:val="1020"/>
        </w:numPr>
      </w:pPr>
      <w:r>
        <w:t xml:space="preserve">“</w:t>
      </w:r>
      <w:r>
        <w:t xml:space="preserve">USD-pegged</w:t>
      </w:r>
      <w:r>
        <w:t xml:space="preserve">”</w:t>
      </w:r>
      <w:r>
        <w:t xml:space="preserve"> </w:t>
      </w:r>
      <w:r>
        <w:t xml:space="preserve">if that is not the approved architecture;</w:t>
      </w:r>
    </w:p>
    <w:p>
      <w:pPr>
        <w:pStyle w:val="Compact"/>
        <w:numPr>
          <w:ilvl w:val="0"/>
          <w:numId w:val="1020"/>
        </w:numPr>
      </w:pPr>
      <w:r>
        <w:t xml:space="preserve">“</w:t>
      </w:r>
      <w:r>
        <w:t xml:space="preserve">cryptocurrency</w:t>
      </w:r>
      <w:r>
        <w:t xml:space="preserve">”</w:t>
      </w:r>
      <w:r>
        <w:t xml:space="preserve"> </w:t>
      </w:r>
      <w:r>
        <w:t xml:space="preserve">where the system is expressly defined otherwise.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PAR = USD 1.00</w:t>
      </w:r>
      <w:r>
        <w:t xml:space="preserve"> </w:t>
      </w:r>
      <w:r>
        <w:t xml:space="preserve">is used, clearly explain that it is an</w:t>
      </w:r>
      <w:r>
        <w:t xml:space="preserve"> </w:t>
      </w:r>
      <w:r>
        <w:rPr>
          <w:b/>
          <w:bCs/>
        </w:rPr>
        <w:t xml:space="preserve">accounting/reference convention</w:t>
      </w:r>
      <w:r>
        <w:t xml:space="preserve">, not necessarily a promise of redemption into USD and not an automatic statement of USD backing.</w:t>
      </w:r>
    </w:p>
    <w:p>
      <w:r>
        <w:pict>
          <v:rect style="width:0;height:1.5pt" o:hralign="center" o:hrstd="t" o:hr="t"/>
        </w:pict>
      </w:r>
    </w:p>
    <w:bookmarkEnd w:id="43"/>
    <w:bookmarkStart w:id="44" w:name="current-mtq-structure"/>
    <w:p>
      <w:pPr>
        <w:pStyle w:val="Heading1"/>
      </w:pPr>
      <w:r>
        <w:t xml:space="preserve">13. CURRENT MTQ STRUCTURE</w:t>
      </w:r>
    </w:p>
    <w:p>
      <w:pPr>
        <w:pStyle w:val="FirstParagraph"/>
      </w:pPr>
      <w:r>
        <w:t xml:space="preserve">Retain and reconcile the approved MTQ family/components, including, where applicable:</w:t>
      </w:r>
    </w:p>
    <w:p>
      <w:pPr>
        <w:pStyle w:val="Compact"/>
        <w:numPr>
          <w:ilvl w:val="0"/>
          <w:numId w:val="1021"/>
        </w:numPr>
      </w:pPr>
      <w:r>
        <w:t xml:space="preserve">MTQ-S</w:t>
      </w:r>
    </w:p>
    <w:p>
      <w:pPr>
        <w:pStyle w:val="Compact"/>
        <w:numPr>
          <w:ilvl w:val="0"/>
          <w:numId w:val="1021"/>
        </w:numPr>
      </w:pPr>
      <w:r>
        <w:t xml:space="preserve">MTQ-G</w:t>
      </w:r>
    </w:p>
    <w:p>
      <w:pPr>
        <w:pStyle w:val="Compact"/>
        <w:numPr>
          <w:ilvl w:val="0"/>
          <w:numId w:val="1021"/>
        </w:numPr>
      </w:pPr>
      <w:r>
        <w:t xml:space="preserve">MTQ-Y</w:t>
      </w:r>
    </w:p>
    <w:p>
      <w:pPr>
        <w:pStyle w:val="FirstParagraph"/>
      </w:pPr>
      <w:r>
        <w:t xml:space="preserve">For each component clearly define:</w:t>
      </w:r>
    </w:p>
    <w:p>
      <w:pPr>
        <w:pStyle w:val="Compact"/>
        <w:numPr>
          <w:ilvl w:val="0"/>
          <w:numId w:val="1022"/>
        </w:numPr>
      </w:pPr>
      <w:r>
        <w:t xml:space="preserve">purpose;</w:t>
      </w:r>
    </w:p>
    <w:p>
      <w:pPr>
        <w:pStyle w:val="Compact"/>
        <w:numPr>
          <w:ilvl w:val="0"/>
          <w:numId w:val="1022"/>
        </w:numPr>
      </w:pPr>
      <w:r>
        <w:t xml:space="preserve">economic role;</w:t>
      </w:r>
    </w:p>
    <w:p>
      <w:pPr>
        <w:pStyle w:val="Compact"/>
        <w:numPr>
          <w:ilvl w:val="0"/>
          <w:numId w:val="1022"/>
        </w:numPr>
      </w:pPr>
      <w:r>
        <w:t xml:space="preserve">holder;</w:t>
      </w:r>
    </w:p>
    <w:p>
      <w:pPr>
        <w:pStyle w:val="Compact"/>
        <w:numPr>
          <w:ilvl w:val="0"/>
          <w:numId w:val="1022"/>
        </w:numPr>
      </w:pPr>
      <w:r>
        <w:t xml:space="preserve">eligibility;</w:t>
      </w:r>
    </w:p>
    <w:p>
      <w:pPr>
        <w:pStyle w:val="Compact"/>
        <w:numPr>
          <w:ilvl w:val="0"/>
          <w:numId w:val="1022"/>
        </w:numPr>
      </w:pPr>
      <w:r>
        <w:t xml:space="preserve">issuance;</w:t>
      </w:r>
    </w:p>
    <w:p>
      <w:pPr>
        <w:pStyle w:val="Compact"/>
        <w:numPr>
          <w:ilvl w:val="0"/>
          <w:numId w:val="1022"/>
        </w:numPr>
      </w:pPr>
      <w:r>
        <w:t xml:space="preserve">redemption;</w:t>
      </w:r>
    </w:p>
    <w:p>
      <w:pPr>
        <w:pStyle w:val="Compact"/>
        <w:numPr>
          <w:ilvl w:val="0"/>
          <w:numId w:val="1022"/>
        </w:numPr>
      </w:pPr>
      <w:r>
        <w:t xml:space="preserve">settlement;</w:t>
      </w:r>
    </w:p>
    <w:p>
      <w:pPr>
        <w:pStyle w:val="Compact"/>
        <w:numPr>
          <w:ilvl w:val="0"/>
          <w:numId w:val="1022"/>
        </w:numPr>
      </w:pPr>
      <w:r>
        <w:t xml:space="preserve">reserve relationship;</w:t>
      </w:r>
    </w:p>
    <w:p>
      <w:pPr>
        <w:pStyle w:val="Compact"/>
        <w:numPr>
          <w:ilvl w:val="0"/>
          <w:numId w:val="1022"/>
        </w:numPr>
      </w:pPr>
      <w:r>
        <w:t xml:space="preserve">accounting treatment;</w:t>
      </w:r>
    </w:p>
    <w:p>
      <w:pPr>
        <w:pStyle w:val="Compact"/>
        <w:numPr>
          <w:ilvl w:val="0"/>
          <w:numId w:val="1022"/>
        </w:numPr>
      </w:pPr>
      <w:r>
        <w:t xml:space="preserve">risk;</w:t>
      </w:r>
    </w:p>
    <w:p>
      <w:pPr>
        <w:pStyle w:val="Compact"/>
        <w:numPr>
          <w:ilvl w:val="0"/>
          <w:numId w:val="1022"/>
        </w:numPr>
      </w:pPr>
      <w:r>
        <w:t xml:space="preserve">governance;</w:t>
      </w:r>
    </w:p>
    <w:p>
      <w:pPr>
        <w:pStyle w:val="Compact"/>
        <w:numPr>
          <w:ilvl w:val="0"/>
          <w:numId w:val="1022"/>
        </w:numPr>
      </w:pPr>
      <w:r>
        <w:t xml:space="preserve">legal characterization;</w:t>
      </w:r>
    </w:p>
    <w:p>
      <w:pPr>
        <w:pStyle w:val="Compact"/>
        <w:numPr>
          <w:ilvl w:val="0"/>
          <w:numId w:val="1022"/>
        </w:numPr>
      </w:pPr>
      <w:r>
        <w:t xml:space="preserve">regulatory considerations;</w:t>
      </w:r>
    </w:p>
    <w:p>
      <w:pPr>
        <w:pStyle w:val="Compact"/>
        <w:numPr>
          <w:ilvl w:val="0"/>
          <w:numId w:val="1022"/>
        </w:numPr>
      </w:pPr>
      <w:r>
        <w:t xml:space="preserve">prohibited uses.</w:t>
      </w:r>
    </w:p>
    <w:p>
      <w:pPr>
        <w:pStyle w:val="FirstParagraph"/>
      </w:pPr>
      <w:r>
        <w:t xml:space="preserve">Make sure no older version accidentally assigns a different role to the same component.</w:t>
      </w:r>
    </w:p>
    <w:p>
      <w:r>
        <w:pict>
          <v:rect style="width:0;height:1.5pt" o:hralign="center" o:hrstd="t" o:hr="t"/>
        </w:pict>
      </w:r>
    </w:p>
    <w:bookmarkEnd w:id="44"/>
    <w:bookmarkStart w:id="49" w:name="reserve-architecture"/>
    <w:p>
      <w:pPr>
        <w:pStyle w:val="Heading1"/>
      </w:pPr>
      <w:r>
        <w:t xml:space="preserve">14. RESERVE ARCHITECTURE</w:t>
      </w:r>
    </w:p>
    <w:p>
      <w:pPr>
        <w:pStyle w:val="FirstParagraph"/>
      </w:pPr>
      <w:r>
        <w:t xml:space="preserve">Integrate the latest approved reserve strategy.</w:t>
      </w:r>
    </w:p>
    <w:p>
      <w:pPr>
        <w:pStyle w:val="BodyText"/>
      </w:pPr>
      <w:r>
        <w:t xml:space="preserve">Current target architecture includes:</w:t>
      </w:r>
    </w:p>
    <w:bookmarkStart w:id="45" w:name="strategic-reserve-coverage-target"/>
    <w:p>
      <w:pPr>
        <w:pStyle w:val="Heading3"/>
      </w:pPr>
      <w:r>
        <w:t xml:space="preserve">Strategic Reserve Coverage Target</w:t>
      </w:r>
    </w:p>
    <w:p>
      <w:pPr>
        <w:pStyle w:val="FirstParagraph"/>
      </w:pPr>
      <w:r>
        <w:rPr>
          <w:b/>
          <w:bCs/>
        </w:rPr>
        <w:t xml:space="preserve">130% strategic reserve coverage target</w:t>
      </w:r>
    </w:p>
    <w:bookmarkEnd w:id="45"/>
    <w:bookmarkStart w:id="46" w:name="normal-reserve-composition"/>
    <w:p>
      <w:pPr>
        <w:pStyle w:val="Heading3"/>
      </w:pPr>
      <w:r>
        <w:t xml:space="preserve">Normal Reserve Composition</w:t>
      </w:r>
    </w:p>
    <w:p>
      <w:pPr>
        <w:pStyle w:val="Compact"/>
        <w:numPr>
          <w:ilvl w:val="0"/>
          <w:numId w:val="1023"/>
        </w:numPr>
      </w:pPr>
      <w:r>
        <w:t xml:space="preserve">80% fiat</w:t>
      </w:r>
    </w:p>
    <w:p>
      <w:pPr>
        <w:pStyle w:val="Compact"/>
        <w:numPr>
          <w:ilvl w:val="0"/>
          <w:numId w:val="1023"/>
        </w:numPr>
      </w:pPr>
      <w:r>
        <w:t xml:space="preserve">18% gold</w:t>
      </w:r>
    </w:p>
    <w:p>
      <w:pPr>
        <w:pStyle w:val="Compact"/>
        <w:numPr>
          <w:ilvl w:val="0"/>
          <w:numId w:val="1023"/>
        </w:numPr>
      </w:pPr>
      <w:r>
        <w:t xml:space="preserve">2% digital liquidity</w:t>
      </w:r>
    </w:p>
    <w:bookmarkEnd w:id="46"/>
    <w:bookmarkStart w:id="47" w:name="concentration-rules"/>
    <w:p>
      <w:pPr>
        <w:pStyle w:val="Heading3"/>
      </w:pPr>
      <w:r>
        <w:t xml:space="preserve">Concentration Rules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24"/>
        </w:numPr>
      </w:pPr>
      <w:r>
        <w:t xml:space="preserve">per-currency exposure ≤15%</w:t>
      </w:r>
    </w:p>
    <w:p>
      <w:pPr>
        <w:pStyle w:val="Compact"/>
        <w:numPr>
          <w:ilvl w:val="0"/>
          <w:numId w:val="1024"/>
        </w:numPr>
      </w:pPr>
      <w:r>
        <w:t xml:space="preserve">custodian exposure ≤15%</w:t>
      </w:r>
    </w:p>
    <w:p>
      <w:pPr>
        <w:pStyle w:val="Compact"/>
        <w:numPr>
          <w:ilvl w:val="0"/>
          <w:numId w:val="1024"/>
        </w:numPr>
      </w:pPr>
      <w:r>
        <w:t xml:space="preserve">bank exposure approximately 10–15%</w:t>
      </w:r>
    </w:p>
    <w:p>
      <w:pPr>
        <w:pStyle w:val="FirstParagraph"/>
      </w:pPr>
      <w:r>
        <w:t xml:space="preserve">Hard limits:</w:t>
      </w:r>
    </w:p>
    <w:p>
      <w:pPr>
        <w:pStyle w:val="Compact"/>
        <w:numPr>
          <w:ilvl w:val="0"/>
          <w:numId w:val="1025"/>
        </w:numPr>
      </w:pPr>
      <w:r>
        <w:t xml:space="preserve">per-currency exposure ≤20%</w:t>
      </w:r>
    </w:p>
    <w:p>
      <w:pPr>
        <w:pStyle w:val="Compact"/>
        <w:numPr>
          <w:ilvl w:val="0"/>
          <w:numId w:val="1025"/>
        </w:numPr>
      </w:pPr>
      <w:r>
        <w:t xml:space="preserve">custodian exposure ≤20%</w:t>
      </w:r>
    </w:p>
    <w:p>
      <w:pPr>
        <w:pStyle w:val="Compact"/>
        <w:numPr>
          <w:ilvl w:val="0"/>
          <w:numId w:val="1025"/>
        </w:numPr>
      </w:pPr>
      <w:r>
        <w:t xml:space="preserve">bank exposure ≤20%</w:t>
      </w:r>
    </w:p>
    <w:bookmarkEnd w:id="47"/>
    <w:bookmarkStart w:id="48" w:name="liquidity-structure"/>
    <w:p>
      <w:pPr>
        <w:pStyle w:val="Heading3"/>
      </w:pPr>
      <w:r>
        <w:t xml:space="preserve">Liquidity Structure</w:t>
      </w:r>
    </w:p>
    <w:p>
      <w:pPr>
        <w:pStyle w:val="FirstParagraph"/>
      </w:pPr>
      <w:r>
        <w:t xml:space="preserve">Integrate:</w:t>
      </w:r>
    </w:p>
    <w:p>
      <w:pPr>
        <w:pStyle w:val="Compact"/>
        <w:numPr>
          <w:ilvl w:val="0"/>
          <w:numId w:val="1026"/>
        </w:numPr>
      </w:pPr>
      <w:r>
        <w:t xml:space="preserve">approximately 50% front-line liquidity;</w:t>
      </w:r>
    </w:p>
    <w:p>
      <w:pPr>
        <w:pStyle w:val="Compact"/>
        <w:numPr>
          <w:ilvl w:val="0"/>
          <w:numId w:val="1026"/>
        </w:numPr>
      </w:pPr>
      <w:r>
        <w:t xml:space="preserve">approximately 30% strategic liquidity/reserve allocation;</w:t>
      </w:r>
    </w:p>
    <w:p>
      <w:pPr>
        <w:pStyle w:val="FirstParagraph"/>
      </w:pPr>
      <w:r>
        <w:t xml:space="preserve">while preserving the exact latest approved terminology and remaining allocation logic from the original blueprint.</w:t>
      </w:r>
    </w:p>
    <w:p>
      <w:pPr>
        <w:pStyle w:val="BodyText"/>
      </w:pPr>
      <w:r>
        <w:t xml:space="preserve">Do not invent percentages to fill missing areas.</w:t>
      </w:r>
    </w:p>
    <w:p>
      <w:pPr>
        <w:pStyle w:val="BodyText"/>
      </w:pPr>
      <w:r>
        <w:t xml:space="preserve">If the final percentages or categories do not mathematically reconcile, flag the discrepancy and resolve it explicitly rather than hiding it.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eserve-risk-engine"/>
    <w:p>
      <w:pPr>
        <w:pStyle w:val="Heading1"/>
      </w:pPr>
      <w:r>
        <w:t xml:space="preserve">15. RESERVE RISK ENGINE</w:t>
      </w:r>
    </w:p>
    <w:p>
      <w:pPr>
        <w:pStyle w:val="FirstParagraph"/>
      </w:pPr>
      <w:r>
        <w:t xml:space="preserve">Fully document:</w:t>
      </w:r>
    </w:p>
    <w:p>
      <w:pPr>
        <w:pStyle w:val="Compact"/>
        <w:numPr>
          <w:ilvl w:val="0"/>
          <w:numId w:val="1027"/>
        </w:numPr>
      </w:pPr>
      <w:r>
        <w:t xml:space="preserve">liquidity risk;</w:t>
      </w:r>
    </w:p>
    <w:p>
      <w:pPr>
        <w:pStyle w:val="Compact"/>
        <w:numPr>
          <w:ilvl w:val="0"/>
          <w:numId w:val="1027"/>
        </w:numPr>
      </w:pPr>
      <w:r>
        <w:t xml:space="preserve">duration risk;</w:t>
      </w:r>
    </w:p>
    <w:p>
      <w:pPr>
        <w:pStyle w:val="Compact"/>
        <w:numPr>
          <w:ilvl w:val="0"/>
          <w:numId w:val="1027"/>
        </w:numPr>
      </w:pPr>
      <w:r>
        <w:t xml:space="preserve">currency risk;</w:t>
      </w:r>
    </w:p>
    <w:p>
      <w:pPr>
        <w:pStyle w:val="Compact"/>
        <w:numPr>
          <w:ilvl w:val="0"/>
          <w:numId w:val="1027"/>
        </w:numPr>
      </w:pPr>
      <w:r>
        <w:t xml:space="preserve">custodian risk;</w:t>
      </w:r>
    </w:p>
    <w:p>
      <w:pPr>
        <w:pStyle w:val="Compact"/>
        <w:numPr>
          <w:ilvl w:val="0"/>
          <w:numId w:val="1027"/>
        </w:numPr>
      </w:pPr>
      <w:r>
        <w:t xml:space="preserve">bank concentration;</w:t>
      </w:r>
    </w:p>
    <w:p>
      <w:pPr>
        <w:pStyle w:val="Compact"/>
        <w:numPr>
          <w:ilvl w:val="0"/>
          <w:numId w:val="1027"/>
        </w:numPr>
      </w:pPr>
      <w:r>
        <w:t xml:space="preserve">sovereign risk;</w:t>
      </w:r>
    </w:p>
    <w:p>
      <w:pPr>
        <w:pStyle w:val="Compact"/>
        <w:numPr>
          <w:ilvl w:val="0"/>
          <w:numId w:val="1027"/>
        </w:numPr>
      </w:pPr>
      <w:r>
        <w:t xml:space="preserve">counterparty risk;</w:t>
      </w:r>
    </w:p>
    <w:p>
      <w:pPr>
        <w:pStyle w:val="Compact"/>
        <w:numPr>
          <w:ilvl w:val="0"/>
          <w:numId w:val="1027"/>
        </w:numPr>
      </w:pPr>
      <w:r>
        <w:t xml:space="preserve">commodity risk;</w:t>
      </w:r>
    </w:p>
    <w:p>
      <w:pPr>
        <w:pStyle w:val="Compact"/>
        <w:numPr>
          <w:ilvl w:val="0"/>
          <w:numId w:val="1027"/>
        </w:numPr>
      </w:pPr>
      <w:r>
        <w:t xml:space="preserve">operational risk;</w:t>
      </w:r>
    </w:p>
    <w:p>
      <w:pPr>
        <w:pStyle w:val="Compact"/>
        <w:numPr>
          <w:ilvl w:val="0"/>
          <w:numId w:val="1027"/>
        </w:numPr>
      </w:pPr>
      <w:r>
        <w:t xml:space="preserve">cyber risk;</w:t>
      </w:r>
    </w:p>
    <w:p>
      <w:pPr>
        <w:pStyle w:val="Compact"/>
        <w:numPr>
          <w:ilvl w:val="0"/>
          <w:numId w:val="1027"/>
        </w:numPr>
      </w:pPr>
      <w:r>
        <w:t xml:space="preserve">settlement risk;</w:t>
      </w:r>
    </w:p>
    <w:p>
      <w:pPr>
        <w:pStyle w:val="Compact"/>
        <w:numPr>
          <w:ilvl w:val="0"/>
          <w:numId w:val="1027"/>
        </w:numPr>
      </w:pPr>
      <w:r>
        <w:t xml:space="preserve">sanctions risk;</w:t>
      </w:r>
    </w:p>
    <w:p>
      <w:pPr>
        <w:pStyle w:val="Compact"/>
        <w:numPr>
          <w:ilvl w:val="0"/>
          <w:numId w:val="1027"/>
        </w:numPr>
      </w:pPr>
      <w:r>
        <w:t xml:space="preserve">geopolitical risk;</w:t>
      </w:r>
    </w:p>
    <w:p>
      <w:pPr>
        <w:pStyle w:val="Compact"/>
        <w:numPr>
          <w:ilvl w:val="0"/>
          <w:numId w:val="1027"/>
        </w:numPr>
      </w:pPr>
      <w:r>
        <w:t xml:space="preserve">reserve valuation risk;</w:t>
      </w:r>
    </w:p>
    <w:p>
      <w:pPr>
        <w:pStyle w:val="Compact"/>
        <w:numPr>
          <w:ilvl w:val="0"/>
          <w:numId w:val="1027"/>
        </w:numPr>
      </w:pPr>
      <w:r>
        <w:t xml:space="preserve">collateral impairment;</w:t>
      </w:r>
    </w:p>
    <w:p>
      <w:pPr>
        <w:pStyle w:val="Compact"/>
        <w:numPr>
          <w:ilvl w:val="0"/>
          <w:numId w:val="1027"/>
        </w:numPr>
      </w:pPr>
      <w:r>
        <w:t xml:space="preserve">emergency liquidity.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8"/>
        </w:numPr>
      </w:pPr>
      <w:r>
        <w:t xml:space="preserve">preferred thresholds;</w:t>
      </w:r>
    </w:p>
    <w:p>
      <w:pPr>
        <w:pStyle w:val="Compact"/>
        <w:numPr>
          <w:ilvl w:val="0"/>
          <w:numId w:val="1028"/>
        </w:numPr>
      </w:pPr>
      <w:r>
        <w:t xml:space="preserve">hard limits;</w:t>
      </w:r>
    </w:p>
    <w:p>
      <w:pPr>
        <w:pStyle w:val="Compact"/>
        <w:numPr>
          <w:ilvl w:val="0"/>
          <w:numId w:val="1028"/>
        </w:numPr>
      </w:pPr>
      <w:r>
        <w:t xml:space="preserve">breach actions;</w:t>
      </w:r>
    </w:p>
    <w:p>
      <w:pPr>
        <w:pStyle w:val="Compact"/>
        <w:numPr>
          <w:ilvl w:val="0"/>
          <w:numId w:val="1028"/>
        </w:numPr>
      </w:pPr>
      <w:r>
        <w:t xml:space="preserve">escalation;</w:t>
      </w:r>
    </w:p>
    <w:p>
      <w:pPr>
        <w:pStyle w:val="Compact"/>
        <w:numPr>
          <w:ilvl w:val="0"/>
          <w:numId w:val="1028"/>
        </w:numPr>
      </w:pPr>
      <w:r>
        <w:t xml:space="preserve">automatic controls;</w:t>
      </w:r>
    </w:p>
    <w:p>
      <w:pPr>
        <w:pStyle w:val="Compact"/>
        <w:numPr>
          <w:ilvl w:val="0"/>
          <w:numId w:val="1028"/>
        </w:numPr>
      </w:pPr>
      <w:r>
        <w:t xml:space="preserve">manual governance;</w:t>
      </w:r>
    </w:p>
    <w:p>
      <w:pPr>
        <w:pStyle w:val="Compact"/>
        <w:numPr>
          <w:ilvl w:val="0"/>
          <w:numId w:val="1028"/>
        </w:numPr>
      </w:pPr>
      <w:r>
        <w:t xml:space="preserve">emergency suspension.</w:t>
      </w:r>
    </w:p>
    <w:p>
      <w:r>
        <w:pict>
          <v:rect style="width:0;height:1.5pt" o:hralign="center" o:hrstd="t" o:hr="t"/>
        </w:pict>
      </w:r>
    </w:p>
    <w:bookmarkEnd w:id="50"/>
    <w:bookmarkStart w:id="60" w:name="economic-tokenomics-design"/>
    <w:p>
      <w:pPr>
        <w:pStyle w:val="Heading1"/>
      </w:pPr>
      <w:r>
        <w:t xml:space="preserve">16. ECONOMIC / TOKENOMICS DESIGN</w:t>
      </w:r>
    </w:p>
    <w:p>
      <w:pPr>
        <w:pStyle w:val="FirstParagraph"/>
      </w:pPr>
      <w:r>
        <w:t xml:space="preserve">Reconstruct the complete economic design from the latest approved version.</w:t>
      </w:r>
    </w:p>
    <w:p>
      <w:pPr>
        <w:pStyle w:val="BodyText"/>
      </w:pPr>
      <w:r>
        <w:t xml:space="preserve">Do not merely describe tokens.</w:t>
      </w:r>
    </w:p>
    <w:p>
      <w:pPr>
        <w:pStyle w:val="BodyText"/>
      </w:pPr>
      <w:r>
        <w:t xml:space="preserve">Explain the entire economic system:</w:t>
      </w:r>
    </w:p>
    <w:p>
      <w:pPr>
        <w:pStyle w:val="Compact"/>
        <w:numPr>
          <w:ilvl w:val="0"/>
          <w:numId w:val="1029"/>
        </w:numPr>
      </w:pPr>
      <w:r>
        <w:t xml:space="preserve">value creation;</w:t>
      </w:r>
    </w:p>
    <w:p>
      <w:pPr>
        <w:pStyle w:val="Compact"/>
        <w:numPr>
          <w:ilvl w:val="0"/>
          <w:numId w:val="1029"/>
        </w:numPr>
      </w:pPr>
      <w:r>
        <w:t xml:space="preserve">value transfer;</w:t>
      </w:r>
    </w:p>
    <w:p>
      <w:pPr>
        <w:pStyle w:val="Compact"/>
        <w:numPr>
          <w:ilvl w:val="0"/>
          <w:numId w:val="1029"/>
        </w:numPr>
      </w:pPr>
      <w:r>
        <w:t xml:space="preserve">settlement;</w:t>
      </w:r>
    </w:p>
    <w:p>
      <w:pPr>
        <w:pStyle w:val="Compact"/>
        <w:numPr>
          <w:ilvl w:val="0"/>
          <w:numId w:val="1029"/>
        </w:numPr>
      </w:pPr>
      <w:r>
        <w:t xml:space="preserve">issuance;</w:t>
      </w:r>
    </w:p>
    <w:p>
      <w:pPr>
        <w:pStyle w:val="Compact"/>
        <w:numPr>
          <w:ilvl w:val="0"/>
          <w:numId w:val="1029"/>
        </w:numPr>
      </w:pPr>
      <w:r>
        <w:t xml:space="preserve">redemption;</w:t>
      </w:r>
    </w:p>
    <w:p>
      <w:pPr>
        <w:pStyle w:val="Compact"/>
        <w:numPr>
          <w:ilvl w:val="0"/>
          <w:numId w:val="1029"/>
        </w:numPr>
      </w:pPr>
      <w:r>
        <w:t xml:space="preserve">reserve mechanics;</w:t>
      </w:r>
    </w:p>
    <w:p>
      <w:pPr>
        <w:pStyle w:val="Compact"/>
        <w:numPr>
          <w:ilvl w:val="0"/>
          <w:numId w:val="1029"/>
        </w:numPr>
      </w:pPr>
      <w:r>
        <w:t xml:space="preserve">liquidity;</w:t>
      </w:r>
    </w:p>
    <w:p>
      <w:pPr>
        <w:pStyle w:val="Compact"/>
        <w:numPr>
          <w:ilvl w:val="0"/>
          <w:numId w:val="1029"/>
        </w:numPr>
      </w:pPr>
      <w:r>
        <w:t xml:space="preserve">incentives;</w:t>
      </w:r>
    </w:p>
    <w:p>
      <w:pPr>
        <w:pStyle w:val="Compact"/>
        <w:numPr>
          <w:ilvl w:val="0"/>
          <w:numId w:val="1029"/>
        </w:numPr>
      </w:pPr>
      <w:r>
        <w:t xml:space="preserve">disincentives;</w:t>
      </w:r>
    </w:p>
    <w:p>
      <w:pPr>
        <w:pStyle w:val="Compact"/>
        <w:numPr>
          <w:ilvl w:val="0"/>
          <w:numId w:val="1029"/>
        </w:numPr>
      </w:pPr>
      <w:r>
        <w:t xml:space="preserve">institutional access;</w:t>
      </w:r>
    </w:p>
    <w:p>
      <w:pPr>
        <w:pStyle w:val="Compact"/>
        <w:numPr>
          <w:ilvl w:val="0"/>
          <w:numId w:val="1029"/>
        </w:numPr>
      </w:pPr>
      <w:r>
        <w:t xml:space="preserve">pricing;</w:t>
      </w:r>
    </w:p>
    <w:p>
      <w:pPr>
        <w:pStyle w:val="Compact"/>
        <w:numPr>
          <w:ilvl w:val="0"/>
          <w:numId w:val="1029"/>
        </w:numPr>
      </w:pPr>
      <w:r>
        <w:t xml:space="preserve">fees;</w:t>
      </w:r>
    </w:p>
    <w:p>
      <w:pPr>
        <w:pStyle w:val="Compact"/>
        <w:numPr>
          <w:ilvl w:val="0"/>
          <w:numId w:val="1029"/>
        </w:numPr>
      </w:pPr>
      <w:r>
        <w:t xml:space="preserve">economic neutrality;</w:t>
      </w:r>
    </w:p>
    <w:p>
      <w:pPr>
        <w:pStyle w:val="Compact"/>
        <w:numPr>
          <w:ilvl w:val="0"/>
          <w:numId w:val="1029"/>
        </w:numPr>
      </w:pPr>
      <w:r>
        <w:t xml:space="preserve">sustainability;</w:t>
      </w:r>
    </w:p>
    <w:p>
      <w:pPr>
        <w:pStyle w:val="Compact"/>
        <w:numPr>
          <w:ilvl w:val="0"/>
          <w:numId w:val="1029"/>
        </w:numPr>
      </w:pPr>
      <w:r>
        <w:t xml:space="preserve">stress conditions;</w:t>
      </w:r>
    </w:p>
    <w:p>
      <w:pPr>
        <w:pStyle w:val="Compact"/>
        <w:numPr>
          <w:ilvl w:val="0"/>
          <w:numId w:val="1029"/>
        </w:numPr>
      </w:pPr>
      <w:r>
        <w:t xml:space="preserve">bank participation;</w:t>
      </w:r>
    </w:p>
    <w:p>
      <w:pPr>
        <w:pStyle w:val="Compact"/>
        <w:numPr>
          <w:ilvl w:val="0"/>
          <w:numId w:val="1029"/>
        </w:numPr>
      </w:pPr>
      <w:r>
        <w:t xml:space="preserve">central-bank participation;</w:t>
      </w:r>
    </w:p>
    <w:p>
      <w:pPr>
        <w:pStyle w:val="Compact"/>
        <w:numPr>
          <w:ilvl w:val="0"/>
          <w:numId w:val="1029"/>
        </w:numPr>
      </w:pPr>
      <w:r>
        <w:t xml:space="preserve">treasury interaction;</w:t>
      </w:r>
    </w:p>
    <w:p>
      <w:pPr>
        <w:pStyle w:val="Compact"/>
        <w:numPr>
          <w:ilvl w:val="0"/>
          <w:numId w:val="1029"/>
        </w:numPr>
      </w:pPr>
      <w:r>
        <w:t xml:space="preserve">accounting;</w:t>
      </w:r>
    </w:p>
    <w:p>
      <w:pPr>
        <w:pStyle w:val="Compact"/>
        <w:numPr>
          <w:ilvl w:val="0"/>
          <w:numId w:val="1029"/>
        </w:numPr>
      </w:pPr>
      <w:r>
        <w:t xml:space="preserve">balance-sheet implications;</w:t>
      </w:r>
    </w:p>
    <w:p>
      <w:pPr>
        <w:pStyle w:val="Compact"/>
        <w:numPr>
          <w:ilvl w:val="0"/>
          <w:numId w:val="1029"/>
        </w:numPr>
      </w:pPr>
      <w:r>
        <w:t xml:space="preserve">risk controls.</w:t>
      </w:r>
    </w:p>
    <w:p>
      <w:pPr>
        <w:pStyle w:val="FirstParagraph"/>
      </w:pPr>
      <w:r>
        <w:t xml:space="preserve">Explicitly separate:</w:t>
      </w:r>
    </w:p>
    <w:bookmarkStart w:id="51" w:name="monetary-layer"/>
    <w:p>
      <w:pPr>
        <w:pStyle w:val="Heading3"/>
      </w:pPr>
      <w:r>
        <w:t xml:space="preserve">Monetary layer</w:t>
      </w:r>
    </w:p>
    <w:bookmarkEnd w:id="51"/>
    <w:bookmarkStart w:id="52" w:name="settlement-layer"/>
    <w:p>
      <w:pPr>
        <w:pStyle w:val="Heading3"/>
      </w:pPr>
      <w:r>
        <w:t xml:space="preserve">Settlement layer</w:t>
      </w:r>
    </w:p>
    <w:bookmarkEnd w:id="52"/>
    <w:bookmarkStart w:id="53" w:name="reserve-layer"/>
    <w:p>
      <w:pPr>
        <w:pStyle w:val="Heading3"/>
      </w:pPr>
      <w:r>
        <w:t xml:space="preserve">Reserve layer</w:t>
      </w:r>
    </w:p>
    <w:bookmarkEnd w:id="53"/>
    <w:bookmarkStart w:id="54" w:name="liquidity-layer"/>
    <w:p>
      <w:pPr>
        <w:pStyle w:val="Heading3"/>
      </w:pPr>
      <w:r>
        <w:t xml:space="preserve">Liquidity layer</w:t>
      </w:r>
    </w:p>
    <w:bookmarkEnd w:id="54"/>
    <w:bookmarkStart w:id="55" w:name="governance-layer"/>
    <w:p>
      <w:pPr>
        <w:pStyle w:val="Heading3"/>
      </w:pPr>
      <w:r>
        <w:t xml:space="preserve">Governance layer</w:t>
      </w:r>
    </w:p>
    <w:bookmarkEnd w:id="55"/>
    <w:bookmarkStart w:id="56" w:name="compliance-layer"/>
    <w:p>
      <w:pPr>
        <w:pStyle w:val="Heading3"/>
      </w:pPr>
      <w:r>
        <w:t xml:space="preserve">Compliance layer</w:t>
      </w:r>
    </w:p>
    <w:bookmarkEnd w:id="56"/>
    <w:bookmarkStart w:id="57" w:name="accounting-layer"/>
    <w:p>
      <w:pPr>
        <w:pStyle w:val="Heading3"/>
      </w:pPr>
      <w:r>
        <w:t xml:space="preserve">Accounting layer</w:t>
      </w:r>
    </w:p>
    <w:bookmarkEnd w:id="57"/>
    <w:bookmarkStart w:id="58" w:name="banking-integration-layer"/>
    <w:p>
      <w:pPr>
        <w:pStyle w:val="Heading3"/>
      </w:pPr>
      <w:r>
        <w:t xml:space="preserve">Banking integration layer</w:t>
      </w:r>
    </w:p>
    <w:bookmarkEnd w:id="58"/>
    <w:bookmarkStart w:id="59" w:name="applicationtransaction-layer"/>
    <w:p>
      <w:pPr>
        <w:pStyle w:val="Heading3"/>
      </w:pPr>
      <w:r>
        <w:t xml:space="preserve">Application/transaction layer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fast-lane-basket-commodity-path"/>
    <w:p>
      <w:pPr>
        <w:pStyle w:val="Heading1"/>
      </w:pPr>
      <w:r>
        <w:t xml:space="preserve">17. FAST-LANE / BASKET / COMMODITY PATH</w:t>
      </w:r>
    </w:p>
    <w:p>
      <w:pPr>
        <w:pStyle w:val="FirstParagraph"/>
      </w:pPr>
      <w:r>
        <w:t xml:space="preserve">Fully reconcile the approved architecture surrounding:</w:t>
      </w:r>
    </w:p>
    <w:p>
      <w:pPr>
        <w:pStyle w:val="Compact"/>
        <w:numPr>
          <w:ilvl w:val="0"/>
          <w:numId w:val="1030"/>
        </w:numPr>
      </w:pPr>
      <w:r>
        <w:t xml:space="preserve">single-currency fast lane;</w:t>
      </w:r>
    </w:p>
    <w:p>
      <w:pPr>
        <w:pStyle w:val="Compact"/>
        <w:numPr>
          <w:ilvl w:val="0"/>
          <w:numId w:val="1030"/>
        </w:numPr>
      </w:pPr>
      <w:r>
        <w:t xml:space="preserve">basket path;</w:t>
      </w:r>
    </w:p>
    <w:p>
      <w:pPr>
        <w:pStyle w:val="Compact"/>
        <w:numPr>
          <w:ilvl w:val="0"/>
          <w:numId w:val="1030"/>
        </w:numPr>
      </w:pPr>
      <w:r>
        <w:t xml:space="preserve">commodity path;</w:t>
      </w:r>
    </w:p>
    <w:p>
      <w:pPr>
        <w:pStyle w:val="Compact"/>
        <w:numPr>
          <w:ilvl w:val="0"/>
          <w:numId w:val="1030"/>
        </w:numPr>
      </w:pPr>
      <w:r>
        <w:t xml:space="preserve">reserve-aware settlement;</w:t>
      </w:r>
    </w:p>
    <w:p>
      <w:pPr>
        <w:pStyle w:val="Compact"/>
        <w:numPr>
          <w:ilvl w:val="0"/>
          <w:numId w:val="1030"/>
        </w:numPr>
      </w:pPr>
      <w:r>
        <w:t xml:space="preserve">jurisdiction-specific constraints.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31"/>
        </w:numPr>
      </w:pPr>
      <w:r>
        <w:t xml:space="preserve">when each path is used;</w:t>
      </w:r>
    </w:p>
    <w:p>
      <w:pPr>
        <w:pStyle w:val="Compact"/>
        <w:numPr>
          <w:ilvl w:val="0"/>
          <w:numId w:val="1031"/>
        </w:numPr>
      </w:pPr>
      <w:r>
        <w:t xml:space="preserve">why;</w:t>
      </w:r>
    </w:p>
    <w:p>
      <w:pPr>
        <w:pStyle w:val="Compact"/>
        <w:numPr>
          <w:ilvl w:val="0"/>
          <w:numId w:val="1031"/>
        </w:numPr>
      </w:pPr>
      <w:r>
        <w:t xml:space="preserve">pricing logic;</w:t>
      </w:r>
    </w:p>
    <w:p>
      <w:pPr>
        <w:pStyle w:val="Compact"/>
        <w:numPr>
          <w:ilvl w:val="0"/>
          <w:numId w:val="1031"/>
        </w:numPr>
      </w:pPr>
      <w:r>
        <w:t xml:space="preserve">liquidity;</w:t>
      </w:r>
    </w:p>
    <w:p>
      <w:pPr>
        <w:pStyle w:val="Compact"/>
        <w:numPr>
          <w:ilvl w:val="0"/>
          <w:numId w:val="1031"/>
        </w:numPr>
      </w:pPr>
      <w:r>
        <w:t xml:space="preserve">risk;</w:t>
      </w:r>
    </w:p>
    <w:p>
      <w:pPr>
        <w:pStyle w:val="Compact"/>
        <w:numPr>
          <w:ilvl w:val="0"/>
          <w:numId w:val="1031"/>
        </w:numPr>
      </w:pPr>
      <w:r>
        <w:t xml:space="preserve">settlement;</w:t>
      </w:r>
    </w:p>
    <w:p>
      <w:pPr>
        <w:pStyle w:val="Compact"/>
        <w:numPr>
          <w:ilvl w:val="0"/>
          <w:numId w:val="1031"/>
        </w:numPr>
      </w:pPr>
      <w:r>
        <w:t xml:space="preserve">eligibility;</w:t>
      </w:r>
    </w:p>
    <w:p>
      <w:pPr>
        <w:pStyle w:val="Compact"/>
        <w:numPr>
          <w:ilvl w:val="0"/>
          <w:numId w:val="1031"/>
        </w:numPr>
      </w:pPr>
      <w:r>
        <w:t xml:space="preserve">governance;</w:t>
      </w:r>
    </w:p>
    <w:p>
      <w:pPr>
        <w:pStyle w:val="Compact"/>
        <w:numPr>
          <w:ilvl w:val="0"/>
          <w:numId w:val="1031"/>
        </w:numPr>
      </w:pPr>
      <w:r>
        <w:t xml:space="preserve">accounting.</w:t>
      </w:r>
    </w:p>
    <w:p>
      <w:pPr>
        <w:pStyle w:val="FirstParagraph"/>
      </w:pPr>
      <w:r>
        <w:t xml:space="preserve">Do not allow contradictory descriptions between economic, technical and regulatory sections.</w:t>
      </w:r>
    </w:p>
    <w:p>
      <w:r>
        <w:pict>
          <v:rect style="width:0;height:1.5pt" o:hralign="center" o:hrstd="t" o:hr="t"/>
        </w:pict>
      </w:r>
    </w:p>
    <w:bookmarkEnd w:id="61"/>
    <w:bookmarkStart w:id="64" w:name="global-geopolitical-design"/>
    <w:p>
      <w:pPr>
        <w:pStyle w:val="Heading1"/>
      </w:pPr>
      <w:r>
        <w:t xml:space="preserve">18. GLOBAL / GEOPOLITICAL DESIGN</w:t>
      </w:r>
    </w:p>
    <w:p>
      <w:pPr>
        <w:pStyle w:val="FirstParagraph"/>
      </w:pPr>
      <w:r>
        <w:t xml:space="preserve">MITHQAL must be designed as internationally extensible without falsely claiming universal regulatory approval.</w:t>
      </w:r>
    </w:p>
    <w:p>
      <w:pPr>
        <w:pStyle w:val="BodyText"/>
      </w:pPr>
      <w:r>
        <w:t xml:space="preserve">The blueprint must address, as applicable:</w:t>
      </w:r>
    </w:p>
    <w:p>
      <w:pPr>
        <w:pStyle w:val="Compact"/>
        <w:numPr>
          <w:ilvl w:val="0"/>
          <w:numId w:val="1032"/>
        </w:numPr>
      </w:pPr>
      <w:r>
        <w:t xml:space="preserve">USA;</w:t>
      </w:r>
    </w:p>
    <w:p>
      <w:pPr>
        <w:pStyle w:val="Compact"/>
        <w:numPr>
          <w:ilvl w:val="0"/>
          <w:numId w:val="1032"/>
        </w:numPr>
      </w:pPr>
      <w:r>
        <w:t xml:space="preserve">Europe/EU;</w:t>
      </w:r>
    </w:p>
    <w:p>
      <w:pPr>
        <w:pStyle w:val="Compact"/>
        <w:numPr>
          <w:ilvl w:val="0"/>
          <w:numId w:val="1032"/>
        </w:numPr>
      </w:pPr>
      <w:r>
        <w:t xml:space="preserve">Middle East;</w:t>
      </w:r>
    </w:p>
    <w:p>
      <w:pPr>
        <w:pStyle w:val="Compact"/>
        <w:numPr>
          <w:ilvl w:val="0"/>
          <w:numId w:val="1032"/>
        </w:numPr>
      </w:pPr>
      <w:r>
        <w:t xml:space="preserve">GCC;</w:t>
      </w:r>
    </w:p>
    <w:p>
      <w:pPr>
        <w:pStyle w:val="Compact"/>
        <w:numPr>
          <w:ilvl w:val="0"/>
          <w:numId w:val="1032"/>
        </w:numPr>
      </w:pPr>
      <w:r>
        <w:t xml:space="preserve">Egypt;</w:t>
      </w:r>
    </w:p>
    <w:p>
      <w:pPr>
        <w:pStyle w:val="Compact"/>
        <w:numPr>
          <w:ilvl w:val="0"/>
          <w:numId w:val="1032"/>
        </w:numPr>
      </w:pPr>
      <w:r>
        <w:t xml:space="preserve">China;</w:t>
      </w:r>
    </w:p>
    <w:p>
      <w:pPr>
        <w:pStyle w:val="Compact"/>
        <w:numPr>
          <w:ilvl w:val="0"/>
          <w:numId w:val="1032"/>
        </w:numPr>
      </w:pPr>
      <w:r>
        <w:t xml:space="preserve">Asia;</w:t>
      </w:r>
    </w:p>
    <w:p>
      <w:pPr>
        <w:pStyle w:val="Compact"/>
        <w:numPr>
          <w:ilvl w:val="0"/>
          <w:numId w:val="1032"/>
        </w:numPr>
      </w:pPr>
      <w:r>
        <w:t xml:space="preserve">South America;</w:t>
      </w:r>
    </w:p>
    <w:p>
      <w:pPr>
        <w:pStyle w:val="Compact"/>
        <w:numPr>
          <w:ilvl w:val="0"/>
          <w:numId w:val="1032"/>
        </w:numPr>
      </w:pPr>
      <w:r>
        <w:t xml:space="preserve">Australia;</w:t>
      </w:r>
    </w:p>
    <w:p>
      <w:pPr>
        <w:pStyle w:val="Compact"/>
        <w:numPr>
          <w:ilvl w:val="0"/>
          <w:numId w:val="1032"/>
        </w:numPr>
      </w:pPr>
      <w:r>
        <w:t xml:space="preserve">BRICS-related environments;</w:t>
      </w:r>
    </w:p>
    <w:p>
      <w:pPr>
        <w:pStyle w:val="Compact"/>
        <w:numPr>
          <w:ilvl w:val="0"/>
          <w:numId w:val="1032"/>
        </w:numPr>
      </w:pPr>
      <w:r>
        <w:t xml:space="preserve">other jurisdictions through adapters.</w:t>
      </w:r>
    </w:p>
    <w:p>
      <w:pPr>
        <w:pStyle w:val="FirstParagraph"/>
      </w:pPr>
      <w:r>
        <w:t xml:space="preserve">Clearly distinguish:</w:t>
      </w:r>
    </w:p>
    <w:bookmarkStart w:id="62" w:name="global-architecture"/>
    <w:p>
      <w:pPr>
        <w:pStyle w:val="Heading3"/>
      </w:pPr>
      <w:r>
        <w:t xml:space="preserve">Global architecture</w:t>
      </w:r>
    </w:p>
    <w:p>
      <w:pPr>
        <w:pStyle w:val="FirstParagraph"/>
      </w:pPr>
      <w:r>
        <w:t xml:space="preserve">from</w:t>
      </w:r>
    </w:p>
    <w:bookmarkEnd w:id="62"/>
    <w:bookmarkStart w:id="63" w:name="X74518b6d9604d6043bb82ee232b611d126f1125"/>
    <w:p>
      <w:pPr>
        <w:pStyle w:val="Heading3"/>
      </w:pPr>
      <w:r>
        <w:t xml:space="preserve">Jurisdiction-specific legal/regulatory implementation.</w:t>
      </w:r>
    </w:p>
    <w:p>
      <w:pPr>
        <w:pStyle w:val="FirstParagraph"/>
      </w:pPr>
      <w:r>
        <w:t xml:space="preserve">Do not claim that a system is legally approved merely because it is architecturally compatible.</w:t>
      </w:r>
    </w:p>
    <w:p>
      <w:pPr>
        <w:pStyle w:val="BodyText"/>
      </w:pPr>
      <w:r>
        <w:t xml:space="preserve">Use language such as:</w:t>
      </w:r>
    </w:p>
    <w:p>
      <w:pPr>
        <w:pStyle w:val="Compact"/>
        <w:numPr>
          <w:ilvl w:val="0"/>
          <w:numId w:val="1033"/>
        </w:numPr>
      </w:pPr>
      <w:r>
        <w:t xml:space="preserve">“</w:t>
      </w:r>
      <w:r>
        <w:t xml:space="preserve">jurisdiction adapter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“</w:t>
      </w:r>
      <w:r>
        <w:t xml:space="preserve">regulatory assessment required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“</w:t>
      </w:r>
      <w:r>
        <w:t xml:space="preserve">subject to local authorization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“</w:t>
      </w:r>
      <w:r>
        <w:t xml:space="preserve">institutional participation subject to applicable law.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wift-brics-interoperability"/>
    <w:p>
      <w:pPr>
        <w:pStyle w:val="Heading1"/>
      </w:pPr>
      <w:r>
        <w:t xml:space="preserve">19. SWIFT / BRICS / INTEROPERABILITY</w:t>
      </w:r>
    </w:p>
    <w:p>
      <w:pPr>
        <w:pStyle w:val="FirstParagraph"/>
      </w:pPr>
      <w:r>
        <w:t xml:space="preserve">Integrate the latest interoperability direction, including:</w:t>
      </w:r>
    </w:p>
    <w:p>
      <w:pPr>
        <w:pStyle w:val="BodyText"/>
      </w:pPr>
      <w:r>
        <w:rPr>
          <w:b/>
          <w:bCs/>
        </w:rPr>
        <w:t xml:space="preserve">MITHQAL Bridge Edition / Universal Settlement Router</w:t>
      </w:r>
    </w:p>
    <w:p>
      <w:pPr>
        <w:pStyle w:val="BodyText"/>
      </w:pPr>
      <w:r>
        <w:t xml:space="preserve">and the intended ability to interface with legacy and emerging international settlement environments.</w:t>
      </w:r>
    </w:p>
    <w:p>
      <w:pPr>
        <w:pStyle w:val="BodyText"/>
      </w:pPr>
      <w:r>
        <w:t xml:space="preserve">Explain conceptually how MITHQAL may bridge or translate between:</w:t>
      </w:r>
    </w:p>
    <w:p>
      <w:pPr>
        <w:pStyle w:val="Compact"/>
        <w:numPr>
          <w:ilvl w:val="0"/>
          <w:numId w:val="1034"/>
        </w:numPr>
      </w:pPr>
      <w:r>
        <w:t xml:space="preserve">SWIFT-based banking workflows;</w:t>
      </w:r>
    </w:p>
    <w:p>
      <w:pPr>
        <w:pStyle w:val="Compact"/>
        <w:numPr>
          <w:ilvl w:val="0"/>
          <w:numId w:val="1034"/>
        </w:numPr>
      </w:pPr>
      <w:r>
        <w:t xml:space="preserve">ISO 20022;</w:t>
      </w:r>
    </w:p>
    <w:p>
      <w:pPr>
        <w:pStyle w:val="Compact"/>
        <w:numPr>
          <w:ilvl w:val="0"/>
          <w:numId w:val="1034"/>
        </w:numPr>
      </w:pPr>
      <w:r>
        <w:t xml:space="preserve">BRICS-related payment/settlement environments;</w:t>
      </w:r>
    </w:p>
    <w:p>
      <w:pPr>
        <w:pStyle w:val="Compact"/>
        <w:numPr>
          <w:ilvl w:val="0"/>
          <w:numId w:val="1034"/>
        </w:numPr>
      </w:pPr>
      <w:r>
        <w:t xml:space="preserve">domestic rails;</w:t>
      </w:r>
    </w:p>
    <w:p>
      <w:pPr>
        <w:pStyle w:val="Compact"/>
        <w:numPr>
          <w:ilvl w:val="0"/>
          <w:numId w:val="1034"/>
        </w:numPr>
      </w:pPr>
      <w:r>
        <w:t xml:space="preserve">bank gateways;</w:t>
      </w:r>
    </w:p>
    <w:p>
      <w:pPr>
        <w:pStyle w:val="Compact"/>
        <w:numPr>
          <w:ilvl w:val="0"/>
          <w:numId w:val="1034"/>
        </w:numPr>
      </w:pPr>
      <w:r>
        <w:t xml:space="preserve">treasury systems;</w:t>
      </w:r>
    </w:p>
    <w:p>
      <w:pPr>
        <w:pStyle w:val="Compact"/>
        <w:numPr>
          <w:ilvl w:val="0"/>
          <w:numId w:val="1034"/>
        </w:numPr>
      </w:pPr>
      <w:r>
        <w:t xml:space="preserve">other approved financial messaging systems.</w:t>
      </w:r>
    </w:p>
    <w:p>
      <w:pPr>
        <w:pStyle w:val="FirstParagraph"/>
      </w:pPr>
      <w:r>
        <w:t xml:space="preserve">Do not claim direct access to a network unless technically and legally established.</w:t>
      </w:r>
    </w:p>
    <w:p>
      <w:r>
        <w:pict>
          <v:rect style="width:0;height:1.5pt" o:hralign="center" o:hrstd="t" o:hr="t"/>
        </w:pict>
      </w:r>
    </w:p>
    <w:bookmarkEnd w:id="65"/>
    <w:bookmarkStart w:id="66" w:name="technical-architecture"/>
    <w:p>
      <w:pPr>
        <w:pStyle w:val="Heading1"/>
      </w:pPr>
      <w:r>
        <w:t xml:space="preserve">20. TECHNICAL ARCHITECTURE</w:t>
      </w:r>
    </w:p>
    <w:p>
      <w:pPr>
        <w:pStyle w:val="FirstParagraph"/>
      </w:pPr>
      <w:r>
        <w:t xml:space="preserve">The regenerated blueprint must contain a complete technical architecture.</w:t>
      </w:r>
    </w:p>
    <w:p>
      <w:pPr>
        <w:pStyle w:val="BodyText"/>
      </w:pPr>
      <w:r>
        <w:t xml:space="preserve">Include, where applicable from the original blueprint and latest approved architecture:</w:t>
      </w:r>
    </w:p>
    <w:p>
      <w:pPr>
        <w:pStyle w:val="Compact"/>
        <w:numPr>
          <w:ilvl w:val="0"/>
          <w:numId w:val="1035"/>
        </w:numPr>
      </w:pPr>
      <w:r>
        <w:t xml:space="preserve">system architecture;</w:t>
      </w:r>
    </w:p>
    <w:p>
      <w:pPr>
        <w:pStyle w:val="Compact"/>
        <w:numPr>
          <w:ilvl w:val="0"/>
          <w:numId w:val="1035"/>
        </w:numPr>
      </w:pPr>
      <w:r>
        <w:t xml:space="preserve">service boundaries;</w:t>
      </w:r>
    </w:p>
    <w:p>
      <w:pPr>
        <w:pStyle w:val="Compact"/>
        <w:numPr>
          <w:ilvl w:val="0"/>
          <w:numId w:val="1035"/>
        </w:numPr>
      </w:pPr>
      <w:r>
        <w:t xml:space="preserve">core services;</w:t>
      </w:r>
    </w:p>
    <w:p>
      <w:pPr>
        <w:pStyle w:val="Compact"/>
        <w:numPr>
          <w:ilvl w:val="0"/>
          <w:numId w:val="1035"/>
        </w:numPr>
      </w:pPr>
      <w:r>
        <w:t xml:space="preserve">ledger architecture;</w:t>
      </w:r>
    </w:p>
    <w:p>
      <w:pPr>
        <w:pStyle w:val="Compact"/>
        <w:numPr>
          <w:ilvl w:val="0"/>
          <w:numId w:val="1035"/>
        </w:numPr>
      </w:pPr>
      <w:r>
        <w:t xml:space="preserve">database architecture;</w:t>
      </w:r>
    </w:p>
    <w:p>
      <w:pPr>
        <w:pStyle w:val="Compact"/>
        <w:numPr>
          <w:ilvl w:val="0"/>
          <w:numId w:val="1035"/>
        </w:numPr>
      </w:pPr>
      <w:r>
        <w:t xml:space="preserve">messaging;</w:t>
      </w:r>
    </w:p>
    <w:p>
      <w:pPr>
        <w:pStyle w:val="Compact"/>
        <w:numPr>
          <w:ilvl w:val="0"/>
          <w:numId w:val="1035"/>
        </w:numPr>
      </w:pPr>
      <w:r>
        <w:t xml:space="preserve">event streaming;</w:t>
      </w:r>
    </w:p>
    <w:p>
      <w:pPr>
        <w:pStyle w:val="Compact"/>
        <w:numPr>
          <w:ilvl w:val="0"/>
          <w:numId w:val="1035"/>
        </w:numPr>
      </w:pPr>
      <w:r>
        <w:t xml:space="preserve">cryptography;</w:t>
      </w:r>
    </w:p>
    <w:p>
      <w:pPr>
        <w:pStyle w:val="Compact"/>
        <w:numPr>
          <w:ilvl w:val="0"/>
          <w:numId w:val="1035"/>
        </w:numPr>
      </w:pPr>
      <w:r>
        <w:t xml:space="preserve">HSM/MPC;</w:t>
      </w:r>
    </w:p>
    <w:p>
      <w:pPr>
        <w:pStyle w:val="Compact"/>
        <w:numPr>
          <w:ilvl w:val="0"/>
          <w:numId w:val="1035"/>
        </w:numPr>
      </w:pPr>
      <w:r>
        <w:t xml:space="preserve">APIs;</w:t>
      </w:r>
    </w:p>
    <w:p>
      <w:pPr>
        <w:pStyle w:val="Compact"/>
        <w:numPr>
          <w:ilvl w:val="0"/>
          <w:numId w:val="1035"/>
        </w:numPr>
      </w:pPr>
      <w:r>
        <w:t xml:space="preserve">adapters;</w:t>
      </w:r>
    </w:p>
    <w:p>
      <w:pPr>
        <w:pStyle w:val="Compact"/>
        <w:numPr>
          <w:ilvl w:val="0"/>
          <w:numId w:val="1035"/>
        </w:numPr>
      </w:pPr>
      <w:r>
        <w:t xml:space="preserve">orchestration;</w:t>
      </w:r>
    </w:p>
    <w:p>
      <w:pPr>
        <w:pStyle w:val="Compact"/>
        <w:numPr>
          <w:ilvl w:val="0"/>
          <w:numId w:val="1035"/>
        </w:numPr>
      </w:pPr>
      <w:r>
        <w:t xml:space="preserve">security;</w:t>
      </w:r>
    </w:p>
    <w:p>
      <w:pPr>
        <w:pStyle w:val="Compact"/>
        <w:numPr>
          <w:ilvl w:val="0"/>
          <w:numId w:val="1035"/>
        </w:numPr>
      </w:pPr>
      <w:r>
        <w:t xml:space="preserve">observability;</w:t>
      </w:r>
    </w:p>
    <w:p>
      <w:pPr>
        <w:pStyle w:val="Compact"/>
        <w:numPr>
          <w:ilvl w:val="0"/>
          <w:numId w:val="1035"/>
        </w:numPr>
      </w:pPr>
      <w:r>
        <w:t xml:space="preserve">availability;</w:t>
      </w:r>
    </w:p>
    <w:p>
      <w:pPr>
        <w:pStyle w:val="Compact"/>
        <w:numPr>
          <w:ilvl w:val="0"/>
          <w:numId w:val="1035"/>
        </w:numPr>
      </w:pPr>
      <w:r>
        <w:t xml:space="preserve">disaster recovery;</w:t>
      </w:r>
    </w:p>
    <w:p>
      <w:pPr>
        <w:pStyle w:val="Compact"/>
        <w:numPr>
          <w:ilvl w:val="0"/>
          <w:numId w:val="1035"/>
        </w:numPr>
      </w:pPr>
      <w:r>
        <w:t xml:space="preserve">backups;</w:t>
      </w:r>
    </w:p>
    <w:p>
      <w:pPr>
        <w:pStyle w:val="Compact"/>
        <w:numPr>
          <w:ilvl w:val="0"/>
          <w:numId w:val="1035"/>
        </w:numPr>
      </w:pPr>
      <w:r>
        <w:t xml:space="preserve">data retention;</w:t>
      </w:r>
    </w:p>
    <w:p>
      <w:pPr>
        <w:pStyle w:val="Compact"/>
        <w:numPr>
          <w:ilvl w:val="0"/>
          <w:numId w:val="1035"/>
        </w:numPr>
      </w:pPr>
      <w:r>
        <w:t xml:space="preserve">audit trails;</w:t>
      </w:r>
    </w:p>
    <w:p>
      <w:pPr>
        <w:pStyle w:val="Compact"/>
        <w:numPr>
          <w:ilvl w:val="0"/>
          <w:numId w:val="1035"/>
        </w:numPr>
      </w:pPr>
      <w:r>
        <w:t xml:space="preserve">key management;</w:t>
      </w:r>
    </w:p>
    <w:p>
      <w:pPr>
        <w:pStyle w:val="Compact"/>
        <w:numPr>
          <w:ilvl w:val="0"/>
          <w:numId w:val="1035"/>
        </w:numPr>
      </w:pPr>
      <w:r>
        <w:t xml:space="preserve">deployment;</w:t>
      </w:r>
    </w:p>
    <w:p>
      <w:pPr>
        <w:pStyle w:val="Compact"/>
        <w:numPr>
          <w:ilvl w:val="0"/>
          <w:numId w:val="1035"/>
        </w:numPr>
      </w:pPr>
      <w:r>
        <w:t xml:space="preserve">infrastructure;</w:t>
      </w:r>
    </w:p>
    <w:p>
      <w:pPr>
        <w:pStyle w:val="Compact"/>
        <w:numPr>
          <w:ilvl w:val="0"/>
          <w:numId w:val="1035"/>
        </w:numPr>
      </w:pPr>
      <w:r>
        <w:t xml:space="preserve">CI/CD;</w:t>
      </w:r>
    </w:p>
    <w:p>
      <w:pPr>
        <w:pStyle w:val="Compact"/>
        <w:numPr>
          <w:ilvl w:val="0"/>
          <w:numId w:val="1035"/>
        </w:numPr>
      </w:pPr>
      <w:r>
        <w:t xml:space="preserve">testing;</w:t>
      </w:r>
    </w:p>
    <w:p>
      <w:pPr>
        <w:pStyle w:val="Compact"/>
        <w:numPr>
          <w:ilvl w:val="0"/>
          <w:numId w:val="1035"/>
        </w:numPr>
      </w:pPr>
      <w:r>
        <w:t xml:space="preserve">incident management.</w:t>
      </w:r>
    </w:p>
    <w:p>
      <w:pPr>
        <w:pStyle w:val="FirstParagraph"/>
      </w:pPr>
      <w:r>
        <w:t xml:space="preserve">Do not remove existing technical architecture that remains valid.</w:t>
      </w:r>
    </w:p>
    <w:p>
      <w:r>
        <w:pict>
          <v:rect style="width:0;height:1.5pt" o:hralign="center" o:hrstd="t" o:hr="t"/>
        </w:pict>
      </w:r>
    </w:p>
    <w:bookmarkEnd w:id="66"/>
    <w:bookmarkStart w:id="67" w:name="functional-architecture"/>
    <w:p>
      <w:pPr>
        <w:pStyle w:val="Heading1"/>
      </w:pPr>
      <w:r>
        <w:t xml:space="preserve">21. FUNCTIONAL ARCHITECTURE</w:t>
      </w:r>
    </w:p>
    <w:p>
      <w:pPr>
        <w:pStyle w:val="FirstParagraph"/>
      </w:pPr>
      <w:r>
        <w:t xml:space="preserve">For every major subsystem, define:</w:t>
      </w:r>
    </w:p>
    <w:p>
      <w:pPr>
        <w:pStyle w:val="Compact"/>
        <w:numPr>
          <w:ilvl w:val="0"/>
          <w:numId w:val="1036"/>
        </w:numPr>
      </w:pPr>
      <w:r>
        <w:t xml:space="preserve">purpose;</w:t>
      </w:r>
    </w:p>
    <w:p>
      <w:pPr>
        <w:pStyle w:val="Compact"/>
        <w:numPr>
          <w:ilvl w:val="0"/>
          <w:numId w:val="1036"/>
        </w:numPr>
      </w:pPr>
      <w:r>
        <w:t xml:space="preserve">inputs;</w:t>
      </w:r>
    </w:p>
    <w:p>
      <w:pPr>
        <w:pStyle w:val="Compact"/>
        <w:numPr>
          <w:ilvl w:val="0"/>
          <w:numId w:val="1036"/>
        </w:numPr>
      </w:pPr>
      <w:r>
        <w:t xml:space="preserve">outputs;</w:t>
      </w:r>
    </w:p>
    <w:p>
      <w:pPr>
        <w:pStyle w:val="Compact"/>
        <w:numPr>
          <w:ilvl w:val="0"/>
          <w:numId w:val="1036"/>
        </w:numPr>
      </w:pPr>
      <w:r>
        <w:t xml:space="preserve">dependencies;</w:t>
      </w:r>
    </w:p>
    <w:p>
      <w:pPr>
        <w:pStyle w:val="Compact"/>
        <w:numPr>
          <w:ilvl w:val="0"/>
          <w:numId w:val="1036"/>
        </w:numPr>
      </w:pPr>
      <w:r>
        <w:t xml:space="preserve">actors;</w:t>
      </w:r>
    </w:p>
    <w:p>
      <w:pPr>
        <w:pStyle w:val="Compact"/>
        <w:numPr>
          <w:ilvl w:val="0"/>
          <w:numId w:val="1036"/>
        </w:numPr>
      </w:pPr>
      <w:r>
        <w:t xml:space="preserve">permissions;</w:t>
      </w:r>
    </w:p>
    <w:p>
      <w:pPr>
        <w:pStyle w:val="Compact"/>
        <w:numPr>
          <w:ilvl w:val="0"/>
          <w:numId w:val="1036"/>
        </w:numPr>
      </w:pPr>
      <w:r>
        <w:t xml:space="preserve">states;</w:t>
      </w:r>
    </w:p>
    <w:p>
      <w:pPr>
        <w:pStyle w:val="Compact"/>
        <w:numPr>
          <w:ilvl w:val="0"/>
          <w:numId w:val="1036"/>
        </w:numPr>
      </w:pPr>
      <w:r>
        <w:t xml:space="preserve">lifecycle;</w:t>
      </w:r>
    </w:p>
    <w:p>
      <w:pPr>
        <w:pStyle w:val="Compact"/>
        <w:numPr>
          <w:ilvl w:val="0"/>
          <w:numId w:val="1036"/>
        </w:numPr>
      </w:pPr>
      <w:r>
        <w:t xml:space="preserve">failure modes;</w:t>
      </w:r>
    </w:p>
    <w:p>
      <w:pPr>
        <w:pStyle w:val="Compact"/>
        <w:numPr>
          <w:ilvl w:val="0"/>
          <w:numId w:val="1036"/>
        </w:numPr>
      </w:pPr>
      <w:r>
        <w:t xml:space="preserve">security;</w:t>
      </w:r>
    </w:p>
    <w:p>
      <w:pPr>
        <w:pStyle w:val="Compact"/>
        <w:numPr>
          <w:ilvl w:val="0"/>
          <w:numId w:val="1036"/>
        </w:numPr>
      </w:pPr>
      <w:r>
        <w:t xml:space="preserve">audit;</w:t>
      </w:r>
    </w:p>
    <w:p>
      <w:pPr>
        <w:pStyle w:val="Compact"/>
        <w:numPr>
          <w:ilvl w:val="0"/>
          <w:numId w:val="1036"/>
        </w:numPr>
      </w:pPr>
      <w:r>
        <w:t xml:space="preserve">APIs;</w:t>
      </w:r>
    </w:p>
    <w:p>
      <w:pPr>
        <w:pStyle w:val="Compact"/>
        <w:numPr>
          <w:ilvl w:val="0"/>
          <w:numId w:val="1036"/>
        </w:numPr>
      </w:pPr>
      <w:r>
        <w:t xml:space="preserve">database interactions;</w:t>
      </w:r>
    </w:p>
    <w:p>
      <w:pPr>
        <w:pStyle w:val="Compact"/>
        <w:numPr>
          <w:ilvl w:val="0"/>
          <w:numId w:val="1036"/>
        </w:numPr>
      </w:pPr>
      <w:r>
        <w:t xml:space="preserve">events;</w:t>
      </w:r>
    </w:p>
    <w:p>
      <w:pPr>
        <w:pStyle w:val="Compact"/>
        <w:numPr>
          <w:ilvl w:val="0"/>
          <w:numId w:val="1036"/>
        </w:numPr>
      </w:pPr>
      <w:r>
        <w:t xml:space="preserve">reconciliation;</w:t>
      </w:r>
    </w:p>
    <w:p>
      <w:pPr>
        <w:pStyle w:val="Compact"/>
        <w:numPr>
          <w:ilvl w:val="0"/>
          <w:numId w:val="1036"/>
        </w:numPr>
      </w:pPr>
      <w:r>
        <w:t xml:space="preserve">operational procedures.</w:t>
      </w:r>
    </w:p>
    <w:p>
      <w:r>
        <w:pict>
          <v:rect style="width:0;height:1.5pt" o:hralign="center" o:hrstd="t" o:hr="t"/>
        </w:pict>
      </w:r>
    </w:p>
    <w:bookmarkEnd w:id="67"/>
    <w:bookmarkStart w:id="85" w:name="end-to-end-transaction-flow"/>
    <w:p>
      <w:pPr>
        <w:pStyle w:val="Heading1"/>
      </w:pPr>
      <w:r>
        <w:t xml:space="preserve">22. END-TO-END TRANSACTION FLOW</w:t>
      </w:r>
    </w:p>
    <w:p>
      <w:pPr>
        <w:pStyle w:val="FirstParagraph"/>
      </w:pPr>
      <w:r>
        <w:t xml:space="preserve">Create detailed end-to-end workflows.</w:t>
      </w:r>
    </w:p>
    <w:p>
      <w:pPr>
        <w:pStyle w:val="BodyText"/>
      </w:pPr>
      <w:r>
        <w:t xml:space="preserve">At minimum include:</w:t>
      </w:r>
    </w:p>
    <w:bookmarkStart w:id="68" w:name="Xc4e3f4f7e17b24e8c6c095d7820dce3ae7704c0"/>
    <w:p>
      <w:pPr>
        <w:pStyle w:val="Heading3"/>
      </w:pPr>
      <w:r>
        <w:t xml:space="preserve">Flow A — Institutional Settlement Initiation</w:t>
      </w:r>
    </w:p>
    <w:bookmarkEnd w:id="68"/>
    <w:bookmarkStart w:id="69" w:name="flow-b-bank-side-compliance-attestation"/>
    <w:p>
      <w:pPr>
        <w:pStyle w:val="Heading3"/>
      </w:pPr>
      <w:r>
        <w:t xml:space="preserve">Flow B — Bank-Side Compliance Attestation</w:t>
      </w:r>
    </w:p>
    <w:bookmarkEnd w:id="69"/>
    <w:bookmarkStart w:id="70" w:name="flow-c-mtq-issuance-allocation"/>
    <w:p>
      <w:pPr>
        <w:pStyle w:val="Heading3"/>
      </w:pPr>
      <w:r>
        <w:t xml:space="preserve">Flow C — MTQ Issuance / Allocation</w:t>
      </w:r>
    </w:p>
    <w:bookmarkEnd w:id="70"/>
    <w:bookmarkStart w:id="71" w:name="flow-d-mtq-settlement"/>
    <w:p>
      <w:pPr>
        <w:pStyle w:val="Heading3"/>
      </w:pPr>
      <w:r>
        <w:t xml:space="preserve">Flow D — MTQ Settlement</w:t>
      </w:r>
    </w:p>
    <w:bookmarkEnd w:id="71"/>
    <w:bookmarkStart w:id="72" w:name="flow-e-receiving-institution-settlement"/>
    <w:p>
      <w:pPr>
        <w:pStyle w:val="Heading3"/>
      </w:pPr>
      <w:r>
        <w:t xml:space="preserve">Flow E — Receiving Institution Settlement</w:t>
      </w:r>
    </w:p>
    <w:bookmarkEnd w:id="72"/>
    <w:bookmarkStart w:id="73" w:name="flow-f-redemption-exit"/>
    <w:p>
      <w:pPr>
        <w:pStyle w:val="Heading3"/>
      </w:pPr>
      <w:r>
        <w:t xml:space="preserve">Flow F — Redemption / Exit</w:t>
      </w:r>
    </w:p>
    <w:bookmarkEnd w:id="73"/>
    <w:bookmarkStart w:id="74" w:name="flow-g-reserve-rebalancing"/>
    <w:p>
      <w:pPr>
        <w:pStyle w:val="Heading3"/>
      </w:pPr>
      <w:r>
        <w:t xml:space="preserve">Flow G — Reserve Rebalancing</w:t>
      </w:r>
    </w:p>
    <w:bookmarkEnd w:id="74"/>
    <w:bookmarkStart w:id="75" w:name="flow-h-exception-failed-settlement"/>
    <w:p>
      <w:pPr>
        <w:pStyle w:val="Heading3"/>
      </w:pPr>
      <w:r>
        <w:t xml:space="preserve">Flow H — Exception / Failed Settlement</w:t>
      </w:r>
    </w:p>
    <w:bookmarkEnd w:id="75"/>
    <w:bookmarkStart w:id="76" w:name="flow-i-compliance-rejection"/>
    <w:p>
      <w:pPr>
        <w:pStyle w:val="Heading3"/>
      </w:pPr>
      <w:r>
        <w:t xml:space="preserve">Flow I — Compliance Rejection</w:t>
      </w:r>
    </w:p>
    <w:bookmarkEnd w:id="76"/>
    <w:bookmarkStart w:id="77" w:name="flow-j-sanctions-screening-failure"/>
    <w:p>
      <w:pPr>
        <w:pStyle w:val="Heading3"/>
      </w:pPr>
      <w:r>
        <w:t xml:space="preserve">Flow J — Sanctions Screening Failure</w:t>
      </w:r>
    </w:p>
    <w:bookmarkEnd w:id="77"/>
    <w:bookmarkStart w:id="78" w:name="flow-k-insufficient-funds"/>
    <w:p>
      <w:pPr>
        <w:pStyle w:val="Heading3"/>
      </w:pPr>
      <w:r>
        <w:t xml:space="preserve">Flow K — Insufficient Funds</w:t>
      </w:r>
    </w:p>
    <w:bookmarkEnd w:id="78"/>
    <w:bookmarkStart w:id="79" w:name="flow-l-bank-gateway-failure"/>
    <w:p>
      <w:pPr>
        <w:pStyle w:val="Heading3"/>
      </w:pPr>
      <w:r>
        <w:t xml:space="preserve">Flow L — Bank Gateway Failure</w:t>
      </w:r>
    </w:p>
    <w:bookmarkEnd w:id="79"/>
    <w:bookmarkStart w:id="80" w:name="flow-m-network-failure"/>
    <w:p>
      <w:pPr>
        <w:pStyle w:val="Heading3"/>
      </w:pPr>
      <w:r>
        <w:t xml:space="preserve">Flow M — Network Failure</w:t>
      </w:r>
    </w:p>
    <w:bookmarkEnd w:id="80"/>
    <w:bookmarkStart w:id="81" w:name="flow-n-reconciliation-break"/>
    <w:p>
      <w:pPr>
        <w:pStyle w:val="Heading3"/>
      </w:pPr>
      <w:r>
        <w:t xml:space="preserve">Flow N — Reconciliation Break</w:t>
      </w:r>
    </w:p>
    <w:bookmarkEnd w:id="81"/>
    <w:bookmarkStart w:id="82" w:name="flow-o-emergency-suspension"/>
    <w:p>
      <w:pPr>
        <w:pStyle w:val="Heading3"/>
      </w:pPr>
      <w:r>
        <w:t xml:space="preserve">Flow O — Emergency Suspension</w:t>
      </w:r>
    </w:p>
    <w:bookmarkEnd w:id="82"/>
    <w:bookmarkStart w:id="83" w:name="flow-p-disaster-recovery"/>
    <w:p>
      <w:pPr>
        <w:pStyle w:val="Heading3"/>
      </w:pPr>
      <w:r>
        <w:t xml:space="preserve">Flow P — Disaster Recovery</w:t>
      </w:r>
    </w:p>
    <w:bookmarkEnd w:id="83"/>
    <w:bookmarkStart w:id="84" w:name="flow-q-governance-intervention"/>
    <w:p>
      <w:pPr>
        <w:pStyle w:val="Heading3"/>
      </w:pPr>
      <w:r>
        <w:t xml:space="preserve">Flow Q — Governance Intervention</w:t>
      </w:r>
    </w:p>
    <w:p>
      <w:pPr>
        <w:pStyle w:val="FirstParagraph"/>
      </w:pPr>
      <w:r>
        <w:t xml:space="preserve">Each workflow must identify:</w:t>
      </w:r>
    </w:p>
    <w:p>
      <w:pPr>
        <w:pStyle w:val="Compact"/>
        <w:numPr>
          <w:ilvl w:val="0"/>
          <w:numId w:val="1037"/>
        </w:numPr>
      </w:pPr>
      <w:r>
        <w:t xml:space="preserve">initiating party;</w:t>
      </w:r>
    </w:p>
    <w:p>
      <w:pPr>
        <w:pStyle w:val="Compact"/>
        <w:numPr>
          <w:ilvl w:val="0"/>
          <w:numId w:val="1037"/>
        </w:numPr>
      </w:pPr>
      <w:r>
        <w:t xml:space="preserve">validating party;</w:t>
      </w:r>
    </w:p>
    <w:p>
      <w:pPr>
        <w:pStyle w:val="Compact"/>
        <w:numPr>
          <w:ilvl w:val="0"/>
          <w:numId w:val="1037"/>
        </w:numPr>
      </w:pPr>
      <w:r>
        <w:t xml:space="preserve">message;</w:t>
      </w:r>
    </w:p>
    <w:p>
      <w:pPr>
        <w:pStyle w:val="Compact"/>
        <w:numPr>
          <w:ilvl w:val="0"/>
          <w:numId w:val="1037"/>
        </w:numPr>
      </w:pPr>
      <w:r>
        <w:t xml:space="preserve">system;</w:t>
      </w:r>
    </w:p>
    <w:p>
      <w:pPr>
        <w:pStyle w:val="Compact"/>
        <w:numPr>
          <w:ilvl w:val="0"/>
          <w:numId w:val="1037"/>
        </w:numPr>
      </w:pPr>
      <w:r>
        <w:t xml:space="preserve">ledger event;</w:t>
      </w:r>
    </w:p>
    <w:p>
      <w:pPr>
        <w:pStyle w:val="Compact"/>
        <w:numPr>
          <w:ilvl w:val="0"/>
          <w:numId w:val="1037"/>
        </w:numPr>
      </w:pPr>
      <w:r>
        <w:t xml:space="preserve">compliance checks;</w:t>
      </w:r>
    </w:p>
    <w:p>
      <w:pPr>
        <w:pStyle w:val="Compact"/>
        <w:numPr>
          <w:ilvl w:val="0"/>
          <w:numId w:val="1037"/>
        </w:numPr>
      </w:pPr>
      <w:r>
        <w:t xml:space="preserve">settlement state;</w:t>
      </w:r>
    </w:p>
    <w:p>
      <w:pPr>
        <w:pStyle w:val="Compact"/>
        <w:numPr>
          <w:ilvl w:val="0"/>
          <w:numId w:val="1037"/>
        </w:numPr>
      </w:pPr>
      <w:r>
        <w:t xml:space="preserve">accounting state;</w:t>
      </w:r>
    </w:p>
    <w:p>
      <w:pPr>
        <w:pStyle w:val="Compact"/>
        <w:numPr>
          <w:ilvl w:val="0"/>
          <w:numId w:val="1037"/>
        </w:numPr>
      </w:pPr>
      <w:r>
        <w:t xml:space="preserve">finality;</w:t>
      </w:r>
    </w:p>
    <w:p>
      <w:pPr>
        <w:pStyle w:val="Compact"/>
        <w:numPr>
          <w:ilvl w:val="0"/>
          <w:numId w:val="1037"/>
        </w:numPr>
      </w:pPr>
      <w:r>
        <w:t xml:space="preserve">exception handling;</w:t>
      </w:r>
    </w:p>
    <w:p>
      <w:pPr>
        <w:pStyle w:val="Compact"/>
        <w:numPr>
          <w:ilvl w:val="0"/>
          <w:numId w:val="1037"/>
        </w:numPr>
      </w:pPr>
      <w:r>
        <w:t xml:space="preserve">audit evidence.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governance-architecture"/>
    <w:p>
      <w:pPr>
        <w:pStyle w:val="Heading1"/>
      </w:pPr>
      <w:r>
        <w:t xml:space="preserve">23. GOVERNANCE ARCHITECTURE</w:t>
      </w:r>
    </w:p>
    <w:p>
      <w:pPr>
        <w:pStyle w:val="FirstParagraph"/>
      </w:pPr>
      <w:r>
        <w:t xml:space="preserve">Fully define:</w:t>
      </w:r>
    </w:p>
    <w:p>
      <w:pPr>
        <w:pStyle w:val="Compact"/>
        <w:numPr>
          <w:ilvl w:val="0"/>
          <w:numId w:val="1038"/>
        </w:numPr>
      </w:pPr>
      <w:r>
        <w:t xml:space="preserve">governance bodies;</w:t>
      </w:r>
    </w:p>
    <w:p>
      <w:pPr>
        <w:pStyle w:val="Compact"/>
        <w:numPr>
          <w:ilvl w:val="0"/>
          <w:numId w:val="1038"/>
        </w:numPr>
      </w:pPr>
      <w:r>
        <w:t xml:space="preserve">institutional authorities;</w:t>
      </w:r>
    </w:p>
    <w:p>
      <w:pPr>
        <w:pStyle w:val="Compact"/>
        <w:numPr>
          <w:ilvl w:val="0"/>
          <w:numId w:val="1038"/>
        </w:numPr>
      </w:pPr>
      <w:r>
        <w:t xml:space="preserve">operational authority;</w:t>
      </w:r>
    </w:p>
    <w:p>
      <w:pPr>
        <w:pStyle w:val="Compact"/>
        <w:numPr>
          <w:ilvl w:val="0"/>
          <w:numId w:val="1038"/>
        </w:numPr>
      </w:pPr>
      <w:r>
        <w:t xml:space="preserve">emergency authority;</w:t>
      </w:r>
    </w:p>
    <w:p>
      <w:pPr>
        <w:pStyle w:val="Compact"/>
        <w:numPr>
          <w:ilvl w:val="0"/>
          <w:numId w:val="1038"/>
        </w:numPr>
      </w:pPr>
      <w:r>
        <w:t xml:space="preserve">reserve authority;</w:t>
      </w:r>
    </w:p>
    <w:p>
      <w:pPr>
        <w:pStyle w:val="Compact"/>
        <w:numPr>
          <w:ilvl w:val="0"/>
          <w:numId w:val="1038"/>
        </w:numPr>
      </w:pPr>
      <w:r>
        <w:t xml:space="preserve">technology authority;</w:t>
      </w:r>
    </w:p>
    <w:p>
      <w:pPr>
        <w:pStyle w:val="Compact"/>
        <w:numPr>
          <w:ilvl w:val="0"/>
          <w:numId w:val="1038"/>
        </w:numPr>
      </w:pPr>
      <w:r>
        <w:t xml:space="preserve">compliance authority;</w:t>
      </w:r>
    </w:p>
    <w:p>
      <w:pPr>
        <w:pStyle w:val="Compact"/>
        <w:numPr>
          <w:ilvl w:val="0"/>
          <w:numId w:val="1038"/>
        </w:numPr>
      </w:pPr>
      <w:r>
        <w:t xml:space="preserve">policy changes;</w:t>
      </w:r>
    </w:p>
    <w:p>
      <w:pPr>
        <w:pStyle w:val="Compact"/>
        <w:numPr>
          <w:ilvl w:val="0"/>
          <w:numId w:val="1038"/>
        </w:numPr>
      </w:pPr>
      <w:r>
        <w:t xml:space="preserve">versioning;</w:t>
      </w:r>
    </w:p>
    <w:p>
      <w:pPr>
        <w:pStyle w:val="Compact"/>
        <w:numPr>
          <w:ilvl w:val="0"/>
          <w:numId w:val="1038"/>
        </w:numPr>
      </w:pPr>
      <w:r>
        <w:t xml:space="preserve">approvals;</w:t>
      </w:r>
    </w:p>
    <w:p>
      <w:pPr>
        <w:pStyle w:val="Compact"/>
        <w:numPr>
          <w:ilvl w:val="0"/>
          <w:numId w:val="1038"/>
        </w:numPr>
      </w:pPr>
      <w:r>
        <w:t xml:space="preserve">voting or authorization mechanisms where applicable;</w:t>
      </w:r>
    </w:p>
    <w:p>
      <w:pPr>
        <w:pStyle w:val="Compact"/>
        <w:numPr>
          <w:ilvl w:val="0"/>
          <w:numId w:val="1038"/>
        </w:numPr>
      </w:pPr>
      <w:r>
        <w:t xml:space="preserve">separation of duties;</w:t>
      </w:r>
    </w:p>
    <w:p>
      <w:pPr>
        <w:pStyle w:val="Compact"/>
        <w:numPr>
          <w:ilvl w:val="0"/>
          <w:numId w:val="1038"/>
        </w:numPr>
      </w:pPr>
      <w:r>
        <w:t xml:space="preserve">conflict-of-interest controls;</w:t>
      </w:r>
    </w:p>
    <w:p>
      <w:pPr>
        <w:pStyle w:val="Compact"/>
        <w:numPr>
          <w:ilvl w:val="0"/>
          <w:numId w:val="1038"/>
        </w:numPr>
      </w:pPr>
      <w:r>
        <w:t xml:space="preserve">audit authority.</w:t>
      </w:r>
    </w:p>
    <w:p>
      <w:pPr>
        <w:pStyle w:val="FirstParagraph"/>
      </w:pPr>
      <w:r>
        <w:t xml:space="preserve">Do not accidentally introduce DAO-style governance if the approved model rejects that structure.</w:t>
      </w:r>
    </w:p>
    <w:p>
      <w:r>
        <w:pict>
          <v:rect style="width:0;height:1.5pt" o:hralign="center" o:hrstd="t" o:hr="t"/>
        </w:pict>
      </w:r>
    </w:p>
    <w:bookmarkEnd w:id="86"/>
    <w:bookmarkStart w:id="87" w:name="security-architecture"/>
    <w:p>
      <w:pPr>
        <w:pStyle w:val="Heading1"/>
      </w:pPr>
      <w:r>
        <w:t xml:space="preserve">24. SECURITY ARCHITECTURE</w:t>
      </w:r>
    </w:p>
    <w:p>
      <w:pPr>
        <w:pStyle w:val="FirstParagraph"/>
      </w:pPr>
      <w:r>
        <w:t xml:space="preserve">Create a complete enterprise/institutional security model covering:</w:t>
      </w:r>
    </w:p>
    <w:p>
      <w:pPr>
        <w:pStyle w:val="Compact"/>
        <w:numPr>
          <w:ilvl w:val="0"/>
          <w:numId w:val="1039"/>
        </w:numPr>
      </w:pPr>
      <w:r>
        <w:t xml:space="preserve">zero trust;</w:t>
      </w:r>
    </w:p>
    <w:p>
      <w:pPr>
        <w:pStyle w:val="Compact"/>
        <w:numPr>
          <w:ilvl w:val="0"/>
          <w:numId w:val="1039"/>
        </w:numPr>
      </w:pPr>
      <w:r>
        <w:t xml:space="preserve">identity;</w:t>
      </w:r>
    </w:p>
    <w:p>
      <w:pPr>
        <w:pStyle w:val="Compact"/>
        <w:numPr>
          <w:ilvl w:val="0"/>
          <w:numId w:val="1039"/>
        </w:numPr>
      </w:pPr>
      <w:r>
        <w:t xml:space="preserve">authentication;</w:t>
      </w:r>
    </w:p>
    <w:p>
      <w:pPr>
        <w:pStyle w:val="Compact"/>
        <w:numPr>
          <w:ilvl w:val="0"/>
          <w:numId w:val="1039"/>
        </w:numPr>
      </w:pPr>
      <w:r>
        <w:t xml:space="preserve">authorization;</w:t>
      </w:r>
    </w:p>
    <w:p>
      <w:pPr>
        <w:pStyle w:val="Compact"/>
        <w:numPr>
          <w:ilvl w:val="0"/>
          <w:numId w:val="1039"/>
        </w:numPr>
      </w:pPr>
      <w:r>
        <w:t xml:space="preserve">privileged access;</w:t>
      </w:r>
    </w:p>
    <w:p>
      <w:pPr>
        <w:pStyle w:val="Compact"/>
        <w:numPr>
          <w:ilvl w:val="0"/>
          <w:numId w:val="1039"/>
        </w:numPr>
      </w:pPr>
      <w:r>
        <w:t xml:space="preserve">cryptographic signing;</w:t>
      </w:r>
    </w:p>
    <w:p>
      <w:pPr>
        <w:pStyle w:val="Compact"/>
        <w:numPr>
          <w:ilvl w:val="0"/>
          <w:numId w:val="1039"/>
        </w:numPr>
      </w:pPr>
      <w:r>
        <w:t xml:space="preserve">key management;</w:t>
      </w:r>
    </w:p>
    <w:p>
      <w:pPr>
        <w:pStyle w:val="Compact"/>
        <w:numPr>
          <w:ilvl w:val="0"/>
          <w:numId w:val="1039"/>
        </w:numPr>
      </w:pPr>
      <w:r>
        <w:t xml:space="preserve">HSM;</w:t>
      </w:r>
    </w:p>
    <w:p>
      <w:pPr>
        <w:pStyle w:val="Compact"/>
        <w:numPr>
          <w:ilvl w:val="0"/>
          <w:numId w:val="1039"/>
        </w:numPr>
      </w:pPr>
      <w:r>
        <w:t xml:space="preserve">MPC;</w:t>
      </w:r>
    </w:p>
    <w:p>
      <w:pPr>
        <w:pStyle w:val="Compact"/>
        <w:numPr>
          <w:ilvl w:val="0"/>
          <w:numId w:val="1039"/>
        </w:numPr>
      </w:pPr>
      <w:r>
        <w:t xml:space="preserve">secrets;</w:t>
      </w:r>
    </w:p>
    <w:p>
      <w:pPr>
        <w:pStyle w:val="Compact"/>
        <w:numPr>
          <w:ilvl w:val="0"/>
          <w:numId w:val="1039"/>
        </w:numPr>
      </w:pPr>
      <w:r>
        <w:t xml:space="preserve">certificates;</w:t>
      </w:r>
    </w:p>
    <w:p>
      <w:pPr>
        <w:pStyle w:val="Compact"/>
        <w:numPr>
          <w:ilvl w:val="0"/>
          <w:numId w:val="1039"/>
        </w:numPr>
      </w:pPr>
      <w:r>
        <w:t xml:space="preserve">network security;</w:t>
      </w:r>
    </w:p>
    <w:p>
      <w:pPr>
        <w:pStyle w:val="Compact"/>
        <w:numPr>
          <w:ilvl w:val="0"/>
          <w:numId w:val="1039"/>
        </w:numPr>
      </w:pPr>
      <w:r>
        <w:t xml:space="preserve">API security;</w:t>
      </w:r>
    </w:p>
    <w:p>
      <w:pPr>
        <w:pStyle w:val="Compact"/>
        <w:numPr>
          <w:ilvl w:val="0"/>
          <w:numId w:val="1039"/>
        </w:numPr>
      </w:pPr>
      <w:r>
        <w:t xml:space="preserve">replay prevention;</w:t>
      </w:r>
    </w:p>
    <w:p>
      <w:pPr>
        <w:pStyle w:val="Compact"/>
        <w:numPr>
          <w:ilvl w:val="0"/>
          <w:numId w:val="1039"/>
        </w:numPr>
      </w:pPr>
      <w:r>
        <w:t xml:space="preserve">nonce/idempotency;</w:t>
      </w:r>
    </w:p>
    <w:p>
      <w:pPr>
        <w:pStyle w:val="Compact"/>
        <w:numPr>
          <w:ilvl w:val="0"/>
          <w:numId w:val="1039"/>
        </w:numPr>
      </w:pPr>
      <w:r>
        <w:t xml:space="preserve">fraud controls;</w:t>
      </w:r>
    </w:p>
    <w:p>
      <w:pPr>
        <w:pStyle w:val="Compact"/>
        <w:numPr>
          <w:ilvl w:val="0"/>
          <w:numId w:val="1039"/>
        </w:numPr>
      </w:pPr>
      <w:r>
        <w:t xml:space="preserve">transaction limits;</w:t>
      </w:r>
    </w:p>
    <w:p>
      <w:pPr>
        <w:pStyle w:val="Compact"/>
        <w:numPr>
          <w:ilvl w:val="0"/>
          <w:numId w:val="1039"/>
        </w:numPr>
      </w:pPr>
      <w:r>
        <w:t xml:space="preserve">sanctions controls;</w:t>
      </w:r>
    </w:p>
    <w:p>
      <w:pPr>
        <w:pStyle w:val="Compact"/>
        <w:numPr>
          <w:ilvl w:val="0"/>
          <w:numId w:val="1039"/>
        </w:numPr>
      </w:pPr>
      <w:r>
        <w:t xml:space="preserve">compromise response;</w:t>
      </w:r>
    </w:p>
    <w:p>
      <w:pPr>
        <w:pStyle w:val="Compact"/>
        <w:numPr>
          <w:ilvl w:val="0"/>
          <w:numId w:val="1039"/>
        </w:numPr>
      </w:pPr>
      <w:r>
        <w:t xml:space="preserve">insider threats;</w:t>
      </w:r>
    </w:p>
    <w:p>
      <w:pPr>
        <w:pStyle w:val="Compact"/>
        <w:numPr>
          <w:ilvl w:val="0"/>
          <w:numId w:val="1039"/>
        </w:numPr>
      </w:pPr>
      <w:r>
        <w:t xml:space="preserve">supply-chain risk;</w:t>
      </w:r>
    </w:p>
    <w:p>
      <w:pPr>
        <w:pStyle w:val="Compact"/>
        <w:numPr>
          <w:ilvl w:val="0"/>
          <w:numId w:val="1039"/>
        </w:numPr>
      </w:pPr>
      <w:r>
        <w:t xml:space="preserve">logging;</w:t>
      </w:r>
    </w:p>
    <w:p>
      <w:pPr>
        <w:pStyle w:val="Compact"/>
        <w:numPr>
          <w:ilvl w:val="0"/>
          <w:numId w:val="1039"/>
        </w:numPr>
      </w:pPr>
      <w:r>
        <w:t xml:space="preserve">tamper evidence;</w:t>
      </w:r>
    </w:p>
    <w:p>
      <w:pPr>
        <w:pStyle w:val="Compact"/>
        <w:numPr>
          <w:ilvl w:val="0"/>
          <w:numId w:val="1039"/>
        </w:numPr>
      </w:pPr>
      <w:r>
        <w:t xml:space="preserve">business continuity.</w:t>
      </w:r>
    </w:p>
    <w:p>
      <w:r>
        <w:pict>
          <v:rect style="width:0;height:1.5pt" o:hralign="center" o:hrstd="t" o:hr="t"/>
        </w:pict>
      </w:r>
    </w:p>
    <w:bookmarkEnd w:id="87"/>
    <w:bookmarkStart w:id="88" w:name="regulatory-architecture"/>
    <w:p>
      <w:pPr>
        <w:pStyle w:val="Heading1"/>
      </w:pPr>
      <w:r>
        <w:t xml:space="preserve">25. REGULATORY ARCHITECTURE</w:t>
      </w:r>
    </w:p>
    <w:p>
      <w:pPr>
        <w:pStyle w:val="FirstParagraph"/>
      </w:pPr>
      <w:r>
        <w:t xml:space="preserve">Do NOT invent legal conclusions.</w:t>
      </w:r>
    </w:p>
    <w:p>
      <w:pPr>
        <w:pStyle w:val="BodyText"/>
      </w:pPr>
      <w:r>
        <w:t xml:space="preserve">Instead create a structured regulatory framework that separates:</w:t>
      </w:r>
    </w:p>
    <w:p>
      <w:pPr>
        <w:pStyle w:val="Compact"/>
        <w:numPr>
          <w:ilvl w:val="0"/>
          <w:numId w:val="1040"/>
        </w:numPr>
      </w:pPr>
      <w:r>
        <w:t xml:space="preserve">system architecture;</w:t>
      </w:r>
    </w:p>
    <w:p>
      <w:pPr>
        <w:pStyle w:val="Compact"/>
        <w:numPr>
          <w:ilvl w:val="0"/>
          <w:numId w:val="1040"/>
        </w:numPr>
      </w:pPr>
      <w:r>
        <w:t xml:space="preserve">legal characterization;</w:t>
      </w:r>
    </w:p>
    <w:p>
      <w:pPr>
        <w:pStyle w:val="Compact"/>
        <w:numPr>
          <w:ilvl w:val="0"/>
          <w:numId w:val="1040"/>
        </w:numPr>
      </w:pPr>
      <w:r>
        <w:t xml:space="preserve">licensing requirements;</w:t>
      </w:r>
    </w:p>
    <w:p>
      <w:pPr>
        <w:pStyle w:val="Compact"/>
        <w:numPr>
          <w:ilvl w:val="0"/>
          <w:numId w:val="1040"/>
        </w:numPr>
      </w:pPr>
      <w:r>
        <w:t xml:space="preserve">banking regulation;</w:t>
      </w:r>
    </w:p>
    <w:p>
      <w:pPr>
        <w:pStyle w:val="Compact"/>
        <w:numPr>
          <w:ilvl w:val="0"/>
          <w:numId w:val="1040"/>
        </w:numPr>
      </w:pPr>
      <w:r>
        <w:t xml:space="preserve">payment regulation;</w:t>
      </w:r>
    </w:p>
    <w:p>
      <w:pPr>
        <w:pStyle w:val="Compact"/>
        <w:numPr>
          <w:ilvl w:val="0"/>
          <w:numId w:val="1040"/>
        </w:numPr>
      </w:pPr>
      <w:r>
        <w:t xml:space="preserve">securities analysis;</w:t>
      </w:r>
    </w:p>
    <w:p>
      <w:pPr>
        <w:pStyle w:val="Compact"/>
        <w:numPr>
          <w:ilvl w:val="0"/>
          <w:numId w:val="1040"/>
        </w:numPr>
      </w:pPr>
      <w:r>
        <w:t xml:space="preserve">monetary regulation;</w:t>
      </w:r>
    </w:p>
    <w:p>
      <w:pPr>
        <w:pStyle w:val="Compact"/>
        <w:numPr>
          <w:ilvl w:val="0"/>
          <w:numId w:val="1040"/>
        </w:numPr>
      </w:pPr>
      <w:r>
        <w:t xml:space="preserve">AML/CFT;</w:t>
      </w:r>
    </w:p>
    <w:p>
      <w:pPr>
        <w:pStyle w:val="Compact"/>
        <w:numPr>
          <w:ilvl w:val="0"/>
          <w:numId w:val="1040"/>
        </w:numPr>
      </w:pPr>
      <w:r>
        <w:t xml:space="preserve">sanctions;</w:t>
      </w:r>
    </w:p>
    <w:p>
      <w:pPr>
        <w:pStyle w:val="Compact"/>
        <w:numPr>
          <w:ilvl w:val="0"/>
          <w:numId w:val="1040"/>
        </w:numPr>
      </w:pPr>
      <w:r>
        <w:t xml:space="preserve">data privacy;</w:t>
      </w:r>
    </w:p>
    <w:p>
      <w:pPr>
        <w:pStyle w:val="Compact"/>
        <w:numPr>
          <w:ilvl w:val="0"/>
          <w:numId w:val="1040"/>
        </w:numPr>
      </w:pPr>
      <w:r>
        <w:t xml:space="preserve">custody;</w:t>
      </w:r>
    </w:p>
    <w:p>
      <w:pPr>
        <w:pStyle w:val="Compact"/>
        <w:numPr>
          <w:ilvl w:val="0"/>
          <w:numId w:val="1040"/>
        </w:numPr>
      </w:pPr>
      <w:r>
        <w:t xml:space="preserve">reserve requirements;</w:t>
      </w:r>
    </w:p>
    <w:p>
      <w:pPr>
        <w:pStyle w:val="Compact"/>
        <w:numPr>
          <w:ilvl w:val="0"/>
          <w:numId w:val="1040"/>
        </w:numPr>
      </w:pPr>
      <w:r>
        <w:t xml:space="preserve">reporting;</w:t>
      </w:r>
    </w:p>
    <w:p>
      <w:pPr>
        <w:pStyle w:val="Compact"/>
        <w:numPr>
          <w:ilvl w:val="0"/>
          <w:numId w:val="1040"/>
        </w:numPr>
      </w:pPr>
      <w:r>
        <w:t xml:space="preserve">tax;</w:t>
      </w:r>
    </w:p>
    <w:p>
      <w:pPr>
        <w:pStyle w:val="Compact"/>
        <w:numPr>
          <w:ilvl w:val="0"/>
          <w:numId w:val="1040"/>
        </w:numPr>
      </w:pPr>
      <w:r>
        <w:t xml:space="preserve">accounting;</w:t>
      </w:r>
    </w:p>
    <w:p>
      <w:pPr>
        <w:pStyle w:val="Compact"/>
        <w:numPr>
          <w:ilvl w:val="0"/>
          <w:numId w:val="1040"/>
        </w:numPr>
      </w:pPr>
      <w:r>
        <w:t xml:space="preserve">cross-border restrictions.</w:t>
      </w:r>
    </w:p>
    <w:p>
      <w:pPr>
        <w:pStyle w:val="FirstParagraph"/>
      </w:pPr>
      <w:r>
        <w:t xml:space="preserve">For each jurisdiction, provide:</w:t>
      </w:r>
    </w:p>
    <w:p>
      <w:pPr>
        <w:pStyle w:val="Compact"/>
        <w:numPr>
          <w:ilvl w:val="0"/>
          <w:numId w:val="1041"/>
        </w:numPr>
      </w:pPr>
      <w:r>
        <w:t xml:space="preserve">architecture fit;</w:t>
      </w:r>
    </w:p>
    <w:p>
      <w:pPr>
        <w:pStyle w:val="Compact"/>
        <w:numPr>
          <w:ilvl w:val="0"/>
          <w:numId w:val="1041"/>
        </w:numPr>
      </w:pPr>
      <w:r>
        <w:t xml:space="preserve">likely regulatory categories;</w:t>
      </w:r>
    </w:p>
    <w:p>
      <w:pPr>
        <w:pStyle w:val="Compact"/>
        <w:numPr>
          <w:ilvl w:val="0"/>
          <w:numId w:val="1041"/>
        </w:numPr>
      </w:pPr>
      <w:r>
        <w:t xml:space="preserve">required legal analysis;</w:t>
      </w:r>
    </w:p>
    <w:p>
      <w:pPr>
        <w:pStyle w:val="Compact"/>
        <w:numPr>
          <w:ilvl w:val="0"/>
          <w:numId w:val="1041"/>
        </w:numPr>
      </w:pPr>
      <w:r>
        <w:t xml:space="preserve">required institutional approvals;</w:t>
      </w:r>
    </w:p>
    <w:p>
      <w:pPr>
        <w:pStyle w:val="Compact"/>
        <w:numPr>
          <w:ilvl w:val="0"/>
          <w:numId w:val="1041"/>
        </w:numPr>
      </w:pPr>
      <w:r>
        <w:t xml:space="preserve">open questions;</w:t>
      </w:r>
    </w:p>
    <w:p>
      <w:pPr>
        <w:pStyle w:val="Compact"/>
        <w:numPr>
          <w:ilvl w:val="0"/>
          <w:numId w:val="1041"/>
        </w:numPr>
      </w:pPr>
      <w:r>
        <w:t xml:space="preserve">prohibited assumptions;</w:t>
      </w:r>
    </w:p>
    <w:p>
      <w:pPr>
        <w:pStyle w:val="Compact"/>
        <w:numPr>
          <w:ilvl w:val="0"/>
          <w:numId w:val="1041"/>
        </w:numPr>
      </w:pPr>
      <w:r>
        <w:t xml:space="preserve">implementation dependencies.</w:t>
      </w:r>
    </w:p>
    <w:p>
      <w:r>
        <w:pict>
          <v:rect style="width:0;height:1.5pt" o:hralign="center" o:hrstd="t" o:hr="t"/>
        </w:pict>
      </w:r>
    </w:p>
    <w:bookmarkEnd w:id="88"/>
    <w:bookmarkStart w:id="89" w:name="accounting-cfo-architecture"/>
    <w:p>
      <w:pPr>
        <w:pStyle w:val="Heading1"/>
      </w:pPr>
      <w:r>
        <w:t xml:space="preserve">26. ACCOUNTING / CFO ARCHITECTURE</w:t>
      </w:r>
    </w:p>
    <w:p>
      <w:pPr>
        <w:pStyle w:val="FirstParagraph"/>
      </w:pPr>
      <w:r>
        <w:t xml:space="preserve">Design the accounting and financial-control layer in detail.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42"/>
        </w:numPr>
      </w:pPr>
      <w:r>
        <w:t xml:space="preserve">chart-of-accounts concepts;</w:t>
      </w:r>
    </w:p>
    <w:p>
      <w:pPr>
        <w:pStyle w:val="Compact"/>
        <w:numPr>
          <w:ilvl w:val="0"/>
          <w:numId w:val="1042"/>
        </w:numPr>
      </w:pPr>
      <w:r>
        <w:t xml:space="preserve">MTQ accounting;</w:t>
      </w:r>
    </w:p>
    <w:p>
      <w:pPr>
        <w:pStyle w:val="Compact"/>
        <w:numPr>
          <w:ilvl w:val="0"/>
          <w:numId w:val="1042"/>
        </w:numPr>
      </w:pPr>
      <w:r>
        <w:t xml:space="preserve">reserve accounting;</w:t>
      </w:r>
    </w:p>
    <w:p>
      <w:pPr>
        <w:pStyle w:val="Compact"/>
        <w:numPr>
          <w:ilvl w:val="0"/>
          <w:numId w:val="1042"/>
        </w:numPr>
      </w:pPr>
      <w:r>
        <w:t xml:space="preserve">liabilities;</w:t>
      </w:r>
    </w:p>
    <w:p>
      <w:pPr>
        <w:pStyle w:val="Compact"/>
        <w:numPr>
          <w:ilvl w:val="0"/>
          <w:numId w:val="1042"/>
        </w:numPr>
      </w:pPr>
      <w:r>
        <w:t xml:space="preserve">assets;</w:t>
      </w:r>
    </w:p>
    <w:p>
      <w:pPr>
        <w:pStyle w:val="Compact"/>
        <w:numPr>
          <w:ilvl w:val="0"/>
          <w:numId w:val="1042"/>
        </w:numPr>
      </w:pPr>
      <w:r>
        <w:t xml:space="preserve">revenue;</w:t>
      </w:r>
    </w:p>
    <w:p>
      <w:pPr>
        <w:pStyle w:val="Compact"/>
        <w:numPr>
          <w:ilvl w:val="0"/>
          <w:numId w:val="1042"/>
        </w:numPr>
      </w:pPr>
      <w:r>
        <w:t xml:space="preserve">fees;</w:t>
      </w:r>
    </w:p>
    <w:p>
      <w:pPr>
        <w:pStyle w:val="Compact"/>
        <w:numPr>
          <w:ilvl w:val="0"/>
          <w:numId w:val="1042"/>
        </w:numPr>
      </w:pPr>
      <w:r>
        <w:t xml:space="preserve">settlement entries;</w:t>
      </w:r>
    </w:p>
    <w:p>
      <w:pPr>
        <w:pStyle w:val="Compact"/>
        <w:numPr>
          <w:ilvl w:val="0"/>
          <w:numId w:val="1042"/>
        </w:numPr>
      </w:pPr>
      <w:r>
        <w:t xml:space="preserve">unrealized/realized valuation;</w:t>
      </w:r>
    </w:p>
    <w:p>
      <w:pPr>
        <w:pStyle w:val="Compact"/>
        <w:numPr>
          <w:ilvl w:val="0"/>
          <w:numId w:val="1042"/>
        </w:numPr>
      </w:pPr>
      <w:r>
        <w:t xml:space="preserve">reserve valuation;</w:t>
      </w:r>
    </w:p>
    <w:p>
      <w:pPr>
        <w:pStyle w:val="Compact"/>
        <w:numPr>
          <w:ilvl w:val="0"/>
          <w:numId w:val="1042"/>
        </w:numPr>
      </w:pPr>
      <w:r>
        <w:t xml:space="preserve">reconciliation;</w:t>
      </w:r>
    </w:p>
    <w:p>
      <w:pPr>
        <w:pStyle w:val="Compact"/>
        <w:numPr>
          <w:ilvl w:val="0"/>
          <w:numId w:val="1042"/>
        </w:numPr>
      </w:pPr>
      <w:r>
        <w:t xml:space="preserve">financial reporting;</w:t>
      </w:r>
    </w:p>
    <w:p>
      <w:pPr>
        <w:pStyle w:val="Compact"/>
        <w:numPr>
          <w:ilvl w:val="0"/>
          <w:numId w:val="1042"/>
        </w:numPr>
      </w:pPr>
      <w:r>
        <w:t xml:space="preserve">audit;</w:t>
      </w:r>
    </w:p>
    <w:p>
      <w:pPr>
        <w:pStyle w:val="Compact"/>
        <w:numPr>
          <w:ilvl w:val="0"/>
          <w:numId w:val="1042"/>
        </w:numPr>
      </w:pPr>
      <w:r>
        <w:t xml:space="preserve">proof-of-liabilities;</w:t>
      </w:r>
    </w:p>
    <w:p>
      <w:pPr>
        <w:pStyle w:val="Compact"/>
        <w:numPr>
          <w:ilvl w:val="0"/>
          <w:numId w:val="1042"/>
        </w:numPr>
      </w:pPr>
      <w:r>
        <w:t xml:space="preserve">treasury reporting;</w:t>
      </w:r>
    </w:p>
    <w:p>
      <w:pPr>
        <w:pStyle w:val="Compact"/>
        <w:numPr>
          <w:ilvl w:val="0"/>
          <w:numId w:val="1042"/>
        </w:numPr>
      </w:pPr>
      <w:r>
        <w:t xml:space="preserve">management reporting;</w:t>
      </w:r>
    </w:p>
    <w:p>
      <w:pPr>
        <w:pStyle w:val="Compact"/>
        <w:numPr>
          <w:ilvl w:val="0"/>
          <w:numId w:val="1042"/>
        </w:numPr>
      </w:pPr>
      <w:r>
        <w:t xml:space="preserve">stress reporting.</w:t>
      </w:r>
    </w:p>
    <w:p>
      <w:pPr>
        <w:pStyle w:val="FirstParagraph"/>
      </w:pPr>
      <w:r>
        <w:t xml:space="preserve">Distinguish:</w:t>
      </w:r>
    </w:p>
    <w:p>
      <w:pPr>
        <w:pStyle w:val="BodyText"/>
      </w:pPr>
      <w:r>
        <w:rPr>
          <w:b/>
          <w:bCs/>
        </w:rPr>
        <w:t xml:space="preserve">economic representation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accounting representation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legal ownership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settlement position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Start w:id="90" w:name="treasury-architecture"/>
    <w:p>
      <w:pPr>
        <w:pStyle w:val="Heading1"/>
      </w:pPr>
      <w:r>
        <w:t xml:space="preserve">27. TREASURY ARCHITECTURE</w:t>
      </w:r>
    </w:p>
    <w:p>
      <w:pPr>
        <w:pStyle w:val="FirstParagraph"/>
      </w:pPr>
      <w:r>
        <w:t xml:space="preserve">Fully define:</w:t>
      </w:r>
    </w:p>
    <w:p>
      <w:pPr>
        <w:pStyle w:val="Compact"/>
        <w:numPr>
          <w:ilvl w:val="0"/>
          <w:numId w:val="1043"/>
        </w:numPr>
      </w:pPr>
      <w:r>
        <w:t xml:space="preserve">reserve management;</w:t>
      </w:r>
    </w:p>
    <w:p>
      <w:pPr>
        <w:pStyle w:val="Compact"/>
        <w:numPr>
          <w:ilvl w:val="0"/>
          <w:numId w:val="1043"/>
        </w:numPr>
      </w:pPr>
      <w:r>
        <w:t xml:space="preserve">liquidity management;</w:t>
      </w:r>
    </w:p>
    <w:p>
      <w:pPr>
        <w:pStyle w:val="Compact"/>
        <w:numPr>
          <w:ilvl w:val="0"/>
          <w:numId w:val="1043"/>
        </w:numPr>
      </w:pPr>
      <w:r>
        <w:t xml:space="preserve">bank relationships;</w:t>
      </w:r>
    </w:p>
    <w:p>
      <w:pPr>
        <w:pStyle w:val="Compact"/>
        <w:numPr>
          <w:ilvl w:val="0"/>
          <w:numId w:val="1043"/>
        </w:numPr>
      </w:pPr>
      <w:r>
        <w:t xml:space="preserve">custodians;</w:t>
      </w:r>
    </w:p>
    <w:p>
      <w:pPr>
        <w:pStyle w:val="Compact"/>
        <w:numPr>
          <w:ilvl w:val="0"/>
          <w:numId w:val="1043"/>
        </w:numPr>
      </w:pPr>
      <w:r>
        <w:t xml:space="preserve">gold custody;</w:t>
      </w:r>
    </w:p>
    <w:p>
      <w:pPr>
        <w:pStyle w:val="Compact"/>
        <w:numPr>
          <w:ilvl w:val="0"/>
          <w:numId w:val="1043"/>
        </w:numPr>
      </w:pPr>
      <w:r>
        <w:t xml:space="preserve">fiat allocation;</w:t>
      </w:r>
    </w:p>
    <w:p>
      <w:pPr>
        <w:pStyle w:val="Compact"/>
        <w:numPr>
          <w:ilvl w:val="0"/>
          <w:numId w:val="1043"/>
        </w:numPr>
      </w:pPr>
      <w:r>
        <w:t xml:space="preserve">liquidity buffers;</w:t>
      </w:r>
    </w:p>
    <w:p>
      <w:pPr>
        <w:pStyle w:val="Compact"/>
        <w:numPr>
          <w:ilvl w:val="0"/>
          <w:numId w:val="1043"/>
        </w:numPr>
      </w:pPr>
      <w:r>
        <w:t xml:space="preserve">concentration limits;</w:t>
      </w:r>
    </w:p>
    <w:p>
      <w:pPr>
        <w:pStyle w:val="Compact"/>
        <w:numPr>
          <w:ilvl w:val="0"/>
          <w:numId w:val="1043"/>
        </w:numPr>
      </w:pPr>
      <w:r>
        <w:t xml:space="preserve">rebalancing;</w:t>
      </w:r>
    </w:p>
    <w:p>
      <w:pPr>
        <w:pStyle w:val="Compact"/>
        <w:numPr>
          <w:ilvl w:val="0"/>
          <w:numId w:val="1043"/>
        </w:numPr>
      </w:pPr>
      <w:r>
        <w:t xml:space="preserve">FX management;</w:t>
      </w:r>
    </w:p>
    <w:p>
      <w:pPr>
        <w:pStyle w:val="Compact"/>
        <w:numPr>
          <w:ilvl w:val="0"/>
          <w:numId w:val="1043"/>
        </w:numPr>
      </w:pPr>
      <w:r>
        <w:t xml:space="preserve">emergency liquidity;</w:t>
      </w:r>
    </w:p>
    <w:p>
      <w:pPr>
        <w:pStyle w:val="Compact"/>
        <w:numPr>
          <w:ilvl w:val="0"/>
          <w:numId w:val="1043"/>
        </w:numPr>
      </w:pPr>
      <w:r>
        <w:t xml:space="preserve">stress testing;</w:t>
      </w:r>
    </w:p>
    <w:p>
      <w:pPr>
        <w:pStyle w:val="Compact"/>
        <w:numPr>
          <w:ilvl w:val="0"/>
          <w:numId w:val="1043"/>
        </w:numPr>
      </w:pPr>
      <w:r>
        <w:t xml:space="preserve">counterparty monitoring;</w:t>
      </w:r>
    </w:p>
    <w:p>
      <w:pPr>
        <w:pStyle w:val="Compact"/>
        <w:numPr>
          <w:ilvl w:val="0"/>
          <w:numId w:val="1043"/>
        </w:numPr>
      </w:pPr>
      <w:r>
        <w:t xml:space="preserve">treasury permissions;</w:t>
      </w:r>
    </w:p>
    <w:p>
      <w:pPr>
        <w:pStyle w:val="Compact"/>
        <w:numPr>
          <w:ilvl w:val="0"/>
          <w:numId w:val="1043"/>
        </w:numPr>
      </w:pPr>
      <w:r>
        <w:t xml:space="preserve">treasury workflow.</w:t>
      </w:r>
    </w:p>
    <w:p>
      <w:r>
        <w:pict>
          <v:rect style="width:0;height:1.5pt" o:hralign="center" o:hrstd="t" o:hr="t"/>
        </w:pict>
      </w:r>
    </w:p>
    <w:bookmarkEnd w:id="90"/>
    <w:bookmarkStart w:id="107" w:name="risk-management"/>
    <w:p>
      <w:pPr>
        <w:pStyle w:val="Heading1"/>
      </w:pPr>
      <w:r>
        <w:t xml:space="preserve">28. RISK MANAGEMENT</w:t>
      </w:r>
    </w:p>
    <w:p>
      <w:pPr>
        <w:pStyle w:val="FirstParagraph"/>
      </w:pPr>
      <w:r>
        <w:t xml:space="preserve">Build a comprehensive risk framework:</w:t>
      </w:r>
    </w:p>
    <w:bookmarkStart w:id="91" w:name="strategic-risk"/>
    <w:p>
      <w:pPr>
        <w:pStyle w:val="Heading3"/>
      </w:pPr>
      <w:r>
        <w:t xml:space="preserve">Strategic Risk</w:t>
      </w:r>
    </w:p>
    <w:bookmarkEnd w:id="91"/>
    <w:bookmarkStart w:id="92" w:name="regulatory-risk"/>
    <w:p>
      <w:pPr>
        <w:pStyle w:val="Heading3"/>
      </w:pPr>
      <w:r>
        <w:t xml:space="preserve">Regulatory Risk</w:t>
      </w:r>
    </w:p>
    <w:bookmarkEnd w:id="92"/>
    <w:bookmarkStart w:id="93" w:name="monetary-risk"/>
    <w:p>
      <w:pPr>
        <w:pStyle w:val="Heading3"/>
      </w:pPr>
      <w:r>
        <w:t xml:space="preserve">Monetary Risk</w:t>
      </w:r>
    </w:p>
    <w:bookmarkEnd w:id="93"/>
    <w:bookmarkStart w:id="94" w:name="liquidity-risk"/>
    <w:p>
      <w:pPr>
        <w:pStyle w:val="Heading3"/>
      </w:pPr>
      <w:r>
        <w:t xml:space="preserve">Liquidity Risk</w:t>
      </w:r>
    </w:p>
    <w:bookmarkEnd w:id="94"/>
    <w:bookmarkStart w:id="95" w:name="credit-risk"/>
    <w:p>
      <w:pPr>
        <w:pStyle w:val="Heading3"/>
      </w:pPr>
      <w:r>
        <w:t xml:space="preserve">Credit Risk</w:t>
      </w:r>
    </w:p>
    <w:bookmarkEnd w:id="95"/>
    <w:bookmarkStart w:id="96" w:name="counterparty-risk"/>
    <w:p>
      <w:pPr>
        <w:pStyle w:val="Heading3"/>
      </w:pPr>
      <w:r>
        <w:t xml:space="preserve">Counterparty Risk</w:t>
      </w:r>
    </w:p>
    <w:bookmarkEnd w:id="96"/>
    <w:bookmarkStart w:id="97" w:name="currency-risk"/>
    <w:p>
      <w:pPr>
        <w:pStyle w:val="Heading3"/>
      </w:pPr>
      <w:r>
        <w:t xml:space="preserve">Currency Risk</w:t>
      </w:r>
    </w:p>
    <w:bookmarkEnd w:id="97"/>
    <w:bookmarkStart w:id="98" w:name="sovereign-risk"/>
    <w:p>
      <w:pPr>
        <w:pStyle w:val="Heading3"/>
      </w:pPr>
      <w:r>
        <w:t xml:space="preserve">Sovereign Risk</w:t>
      </w:r>
    </w:p>
    <w:bookmarkEnd w:id="98"/>
    <w:bookmarkStart w:id="99" w:name="geopolitical-risk"/>
    <w:p>
      <w:pPr>
        <w:pStyle w:val="Heading3"/>
      </w:pPr>
      <w:r>
        <w:t xml:space="preserve">Geopolitical Risk</w:t>
      </w:r>
    </w:p>
    <w:bookmarkEnd w:id="99"/>
    <w:bookmarkStart w:id="100" w:name="operational-risk"/>
    <w:p>
      <w:pPr>
        <w:pStyle w:val="Heading3"/>
      </w:pPr>
      <w:r>
        <w:t xml:space="preserve">Operational Risk</w:t>
      </w:r>
    </w:p>
    <w:bookmarkEnd w:id="100"/>
    <w:bookmarkStart w:id="101" w:name="cyber-risk"/>
    <w:p>
      <w:pPr>
        <w:pStyle w:val="Heading3"/>
      </w:pPr>
      <w:r>
        <w:t xml:space="preserve">Cyber Risk</w:t>
      </w:r>
    </w:p>
    <w:bookmarkEnd w:id="101"/>
    <w:bookmarkStart w:id="102" w:name="technology-risk"/>
    <w:p>
      <w:pPr>
        <w:pStyle w:val="Heading3"/>
      </w:pPr>
      <w:r>
        <w:t xml:space="preserve">Technology Risk</w:t>
      </w:r>
    </w:p>
    <w:bookmarkEnd w:id="102"/>
    <w:bookmarkStart w:id="103" w:name="legal-risk"/>
    <w:p>
      <w:pPr>
        <w:pStyle w:val="Heading3"/>
      </w:pPr>
      <w:r>
        <w:t xml:space="preserve">Legal Risk</w:t>
      </w:r>
    </w:p>
    <w:bookmarkEnd w:id="103"/>
    <w:bookmarkStart w:id="104" w:name="reputation-risk"/>
    <w:p>
      <w:pPr>
        <w:pStyle w:val="Heading3"/>
      </w:pPr>
      <w:r>
        <w:t xml:space="preserve">Reputation Risk</w:t>
      </w:r>
    </w:p>
    <w:bookmarkEnd w:id="104"/>
    <w:bookmarkStart w:id="105" w:name="settlement-risk"/>
    <w:p>
      <w:pPr>
        <w:pStyle w:val="Heading3"/>
      </w:pPr>
      <w:r>
        <w:t xml:space="preserve">Settlement Risk</w:t>
      </w:r>
    </w:p>
    <w:bookmarkEnd w:id="105"/>
    <w:bookmarkStart w:id="106" w:name="reserve-risk"/>
    <w:p>
      <w:pPr>
        <w:pStyle w:val="Heading3"/>
      </w:pPr>
      <w:r>
        <w:t xml:space="preserve">Reserve Risk</w:t>
      </w:r>
    </w:p>
    <w:p>
      <w:pPr>
        <w:pStyle w:val="FirstParagraph"/>
      </w:pPr>
      <w:r>
        <w:t xml:space="preserve">For each:</w:t>
      </w:r>
    </w:p>
    <w:p>
      <w:pPr>
        <w:pStyle w:val="Compact"/>
        <w:numPr>
          <w:ilvl w:val="0"/>
          <w:numId w:val="1044"/>
        </w:numPr>
      </w:pPr>
      <w:r>
        <w:t xml:space="preserve">risk description;</w:t>
      </w:r>
    </w:p>
    <w:p>
      <w:pPr>
        <w:pStyle w:val="Compact"/>
        <w:numPr>
          <w:ilvl w:val="0"/>
          <w:numId w:val="1044"/>
        </w:numPr>
      </w:pPr>
      <w:r>
        <w:t xml:space="preserve">likelihood;</w:t>
      </w:r>
    </w:p>
    <w:p>
      <w:pPr>
        <w:pStyle w:val="Compact"/>
        <w:numPr>
          <w:ilvl w:val="0"/>
          <w:numId w:val="1044"/>
        </w:numPr>
      </w:pPr>
      <w:r>
        <w:t xml:space="preserve">impact;</w:t>
      </w:r>
    </w:p>
    <w:p>
      <w:pPr>
        <w:pStyle w:val="Compact"/>
        <w:numPr>
          <w:ilvl w:val="0"/>
          <w:numId w:val="1044"/>
        </w:numPr>
      </w:pPr>
      <w:r>
        <w:t xml:space="preserve">controls;</w:t>
      </w:r>
    </w:p>
    <w:p>
      <w:pPr>
        <w:pStyle w:val="Compact"/>
        <w:numPr>
          <w:ilvl w:val="0"/>
          <w:numId w:val="1044"/>
        </w:numPr>
      </w:pPr>
      <w:r>
        <w:t xml:space="preserve">warning indicators;</w:t>
      </w:r>
    </w:p>
    <w:p>
      <w:pPr>
        <w:pStyle w:val="Compact"/>
        <w:numPr>
          <w:ilvl w:val="0"/>
          <w:numId w:val="1044"/>
        </w:numPr>
      </w:pPr>
      <w:r>
        <w:t xml:space="preserve">thresholds;</w:t>
      </w:r>
    </w:p>
    <w:p>
      <w:pPr>
        <w:pStyle w:val="Compact"/>
        <w:numPr>
          <w:ilvl w:val="0"/>
          <w:numId w:val="1044"/>
        </w:numPr>
      </w:pPr>
      <w:r>
        <w:t xml:space="preserve">mitigation;</w:t>
      </w:r>
    </w:p>
    <w:p>
      <w:pPr>
        <w:pStyle w:val="Compact"/>
        <w:numPr>
          <w:ilvl w:val="0"/>
          <w:numId w:val="1044"/>
        </w:numPr>
      </w:pPr>
      <w:r>
        <w:t xml:space="preserve">owner;</w:t>
      </w:r>
    </w:p>
    <w:p>
      <w:pPr>
        <w:pStyle w:val="Compact"/>
        <w:numPr>
          <w:ilvl w:val="0"/>
          <w:numId w:val="1044"/>
        </w:numPr>
      </w:pPr>
      <w:r>
        <w:t xml:space="preserve">escalation;</w:t>
      </w:r>
    </w:p>
    <w:p>
      <w:pPr>
        <w:pStyle w:val="Compact"/>
        <w:numPr>
          <w:ilvl w:val="0"/>
          <w:numId w:val="1044"/>
        </w:numPr>
      </w:pPr>
      <w:r>
        <w:t xml:space="preserve">emergency response.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version-control"/>
    <w:p>
      <w:pPr>
        <w:pStyle w:val="Heading1"/>
      </w:pPr>
      <w:r>
        <w:t xml:space="preserve">29. VERSION CONTROL</w:t>
      </w:r>
    </w:p>
    <w:p>
      <w:pPr>
        <w:pStyle w:val="FirstParagraph"/>
      </w:pPr>
      <w:r>
        <w:t xml:space="preserve">Create a formal version history.</w:t>
      </w:r>
    </w:p>
    <w:p>
      <w:pPr>
        <w:pStyle w:val="BodyText"/>
      </w:pPr>
      <w:r>
        <w:t xml:space="preserve">Include: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p>
      <w:pPr>
        <w:pStyle w:val="BodyText"/>
      </w:pPr>
      <w:r>
        <w:t xml:space="preserve">Clearly distinguish:</w:t>
      </w:r>
    </w:p>
    <w:p>
      <w:pPr>
        <w:pStyle w:val="Compact"/>
        <w:numPr>
          <w:ilvl w:val="0"/>
          <w:numId w:val="1045"/>
        </w:numPr>
      </w:pPr>
      <w:r>
        <w:t xml:space="preserve">historical version;</w:t>
      </w:r>
    </w:p>
    <w:p>
      <w:pPr>
        <w:pStyle w:val="Compact"/>
        <w:numPr>
          <w:ilvl w:val="0"/>
          <w:numId w:val="1045"/>
        </w:numPr>
      </w:pPr>
      <w:r>
        <w:t xml:space="preserve">superseded version;</w:t>
      </w:r>
    </w:p>
    <w:p>
      <w:pPr>
        <w:pStyle w:val="Compact"/>
        <w:numPr>
          <w:ilvl w:val="0"/>
          <w:numId w:val="1045"/>
        </w:numPr>
      </w:pPr>
      <w:r>
        <w:t xml:space="preserve">current authoritative version;</w:t>
      </w:r>
    </w:p>
    <w:p>
      <w:pPr>
        <w:pStyle w:val="Compact"/>
        <w:numPr>
          <w:ilvl w:val="0"/>
          <w:numId w:val="1045"/>
        </w:numPr>
      </w:pPr>
      <w:r>
        <w:t xml:space="preserve">proposed future versions.</w:t>
      </w:r>
    </w:p>
    <w:p>
      <w:pPr>
        <w:pStyle w:val="FirstParagraph"/>
      </w:pPr>
      <w:r>
        <w:t xml:space="preserve">The final blueprint should clearly state:</w:t>
      </w:r>
    </w:p>
    <w:p>
      <w:pPr>
        <w:pStyle w:val="BodyText"/>
      </w:pPr>
      <w:r>
        <w:rPr>
          <w:b/>
          <w:bCs/>
        </w:rPr>
        <w:t xml:space="preserve">CURRENT AUTHORITATIVE MITHQAL BLUEPRINT VERSION</w:t>
      </w:r>
    </w:p>
    <w:p>
      <w:pPr>
        <w:pStyle w:val="BodyText"/>
      </w:pPr>
      <w:r>
        <w:t xml:space="preserve">Do not allow old versions to remain ambiguously active.</w:t>
      </w:r>
    </w:p>
    <w:p>
      <w:r>
        <w:pict>
          <v:rect style="width:0;height:1.5pt" o:hralign="center" o:hrstd="t" o:hr="t"/>
        </w:pict>
      </w:r>
    </w:p>
    <w:bookmarkEnd w:id="108"/>
    <w:bookmarkStart w:id="109" w:name="change-log-from-original-blueprint"/>
    <w:p>
      <w:pPr>
        <w:pStyle w:val="Heading1"/>
      </w:pPr>
      <w:r>
        <w:t xml:space="preserve">30. CHANGE LOG FROM ORIGINAL BLUEPRINT</w:t>
      </w:r>
    </w:p>
    <w:p>
      <w:pPr>
        <w:pStyle w:val="FirstParagraph"/>
      </w:pPr>
      <w:r>
        <w:t xml:space="preserve">Create a complete change register.</w:t>
      </w:r>
    </w:p>
    <w:p>
      <w:pPr>
        <w:pStyle w:val="BodyText"/>
      </w:pPr>
      <w:r>
        <w:t xml:space="preserve">For every meaningful modification, show: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07"/>
        <w:gridCol w:w="1152"/>
        <w:gridCol w:w="1007"/>
        <w:gridCol w:w="864"/>
        <w:gridCol w:w="2160"/>
        <w:gridCol w:w="17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Source/Decision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Status</w:t>
            </w:r>
          </w:p>
        </w:tc>
      </w:tr>
    </w:tbl>
    <w:p>
      <w:pPr>
        <w:pStyle w:val="BodyText"/>
      </w:pPr>
      <w:r>
        <w:t xml:space="preserve">This is extremely important.</w:t>
      </w:r>
    </w:p>
    <w:p>
      <w:pPr>
        <w:pStyle w:val="BodyText"/>
      </w:pPr>
      <w:r>
        <w:t xml:space="preserve">The reader must be able to determine exactly what changed and what did not.</w:t>
      </w:r>
    </w:p>
    <w:p>
      <w:r>
        <w:pict>
          <v:rect style="width:0;height:1.5pt" o:hralign="center" o:hrstd="t" o:hr="t"/>
        </w:pict>
      </w:r>
    </w:p>
    <w:bookmarkEnd w:id="109"/>
    <w:bookmarkStart w:id="110" w:name="contradiction-audit"/>
    <w:p>
      <w:pPr>
        <w:pStyle w:val="Heading1"/>
      </w:pPr>
      <w:r>
        <w:t xml:space="preserve">31. CONTRADICTION AUDIT</w:t>
      </w:r>
    </w:p>
    <w:p>
      <w:pPr>
        <w:pStyle w:val="FirstParagraph"/>
      </w:pPr>
      <w:r>
        <w:t xml:space="preserve">Before finalizing the blueprint, perform a dedicated contradiction audit.</w:t>
      </w:r>
    </w:p>
    <w:p>
      <w:pPr>
        <w:pStyle w:val="BodyText"/>
      </w:pPr>
      <w:r>
        <w:t xml:space="preserve">Check at least:</w:t>
      </w:r>
    </w:p>
    <w:p>
      <w:pPr>
        <w:pStyle w:val="Compact"/>
        <w:numPr>
          <w:ilvl w:val="0"/>
          <w:numId w:val="1046"/>
        </w:numPr>
      </w:pPr>
      <w:r>
        <w:t xml:space="preserve">terminology;</w:t>
      </w:r>
    </w:p>
    <w:p>
      <w:pPr>
        <w:pStyle w:val="Compact"/>
        <w:numPr>
          <w:ilvl w:val="0"/>
          <w:numId w:val="1046"/>
        </w:numPr>
      </w:pPr>
      <w:r>
        <w:t xml:space="preserve">institutional model;</w:t>
      </w:r>
    </w:p>
    <w:p>
      <w:pPr>
        <w:pStyle w:val="Compact"/>
        <w:numPr>
          <w:ilvl w:val="0"/>
          <w:numId w:val="1046"/>
        </w:numPr>
      </w:pPr>
      <w:r>
        <w:t xml:space="preserve">participant eligibility;</w:t>
      </w:r>
    </w:p>
    <w:p>
      <w:pPr>
        <w:pStyle w:val="Compact"/>
        <w:numPr>
          <w:ilvl w:val="0"/>
          <w:numId w:val="1046"/>
        </w:numPr>
      </w:pPr>
      <w:r>
        <w:t xml:space="preserve">monetary classification;</w:t>
      </w:r>
    </w:p>
    <w:p>
      <w:pPr>
        <w:pStyle w:val="Compact"/>
        <w:numPr>
          <w:ilvl w:val="0"/>
          <w:numId w:val="1046"/>
        </w:numPr>
      </w:pPr>
      <w:r>
        <w:t xml:space="preserve">token classification;</w:t>
      </w:r>
    </w:p>
    <w:p>
      <w:pPr>
        <w:pStyle w:val="Compact"/>
        <w:numPr>
          <w:ilvl w:val="0"/>
          <w:numId w:val="1046"/>
        </w:numPr>
      </w:pPr>
      <w:r>
        <w:t xml:space="preserve">reserve structure;</w:t>
      </w:r>
    </w:p>
    <w:p>
      <w:pPr>
        <w:pStyle w:val="Compact"/>
        <w:numPr>
          <w:ilvl w:val="0"/>
          <w:numId w:val="1046"/>
        </w:numPr>
      </w:pPr>
      <w:r>
        <w:t xml:space="preserve">pricing;</w:t>
      </w:r>
    </w:p>
    <w:p>
      <w:pPr>
        <w:pStyle w:val="Compact"/>
        <w:numPr>
          <w:ilvl w:val="0"/>
          <w:numId w:val="1046"/>
        </w:numPr>
      </w:pPr>
      <w:r>
        <w:t xml:space="preserve">PAR definition;</w:t>
      </w:r>
    </w:p>
    <w:p>
      <w:pPr>
        <w:pStyle w:val="Compact"/>
        <w:numPr>
          <w:ilvl w:val="0"/>
          <w:numId w:val="1046"/>
        </w:numPr>
      </w:pPr>
      <w:r>
        <w:t xml:space="preserve">bank role;</w:t>
      </w:r>
    </w:p>
    <w:p>
      <w:pPr>
        <w:pStyle w:val="Compact"/>
        <w:numPr>
          <w:ilvl w:val="0"/>
          <w:numId w:val="1046"/>
        </w:numPr>
      </w:pPr>
      <w:r>
        <w:t xml:space="preserve">custody;</w:t>
      </w:r>
    </w:p>
    <w:p>
      <w:pPr>
        <w:pStyle w:val="Compact"/>
        <w:numPr>
          <w:ilvl w:val="0"/>
          <w:numId w:val="1046"/>
        </w:numPr>
      </w:pPr>
      <w:r>
        <w:t xml:space="preserve">settlement;</w:t>
      </w:r>
    </w:p>
    <w:p>
      <w:pPr>
        <w:pStyle w:val="Compact"/>
        <w:numPr>
          <w:ilvl w:val="0"/>
          <w:numId w:val="1046"/>
        </w:numPr>
      </w:pPr>
      <w:r>
        <w:t xml:space="preserve">issuance;</w:t>
      </w:r>
    </w:p>
    <w:p>
      <w:pPr>
        <w:pStyle w:val="Compact"/>
        <w:numPr>
          <w:ilvl w:val="0"/>
          <w:numId w:val="1046"/>
        </w:numPr>
      </w:pPr>
      <w:r>
        <w:t xml:space="preserve">redemption;</w:t>
      </w:r>
    </w:p>
    <w:p>
      <w:pPr>
        <w:pStyle w:val="Compact"/>
        <w:numPr>
          <w:ilvl w:val="0"/>
          <w:numId w:val="1046"/>
        </w:numPr>
      </w:pPr>
      <w:r>
        <w:t xml:space="preserve">liquidity;</w:t>
      </w:r>
    </w:p>
    <w:p>
      <w:pPr>
        <w:pStyle w:val="Compact"/>
        <w:numPr>
          <w:ilvl w:val="0"/>
          <w:numId w:val="1046"/>
        </w:numPr>
      </w:pPr>
      <w:r>
        <w:t xml:space="preserve">governance;</w:t>
      </w:r>
    </w:p>
    <w:p>
      <w:pPr>
        <w:pStyle w:val="Compact"/>
        <w:numPr>
          <w:ilvl w:val="0"/>
          <w:numId w:val="1046"/>
        </w:numPr>
      </w:pPr>
      <w:r>
        <w:t xml:space="preserve">regulatory characterization;</w:t>
      </w:r>
    </w:p>
    <w:p>
      <w:pPr>
        <w:pStyle w:val="Compact"/>
        <w:numPr>
          <w:ilvl w:val="0"/>
          <w:numId w:val="1046"/>
        </w:numPr>
      </w:pPr>
      <w:r>
        <w:t xml:space="preserve">blockchain/DLT terminology;</w:t>
      </w:r>
    </w:p>
    <w:p>
      <w:pPr>
        <w:pStyle w:val="Compact"/>
        <w:numPr>
          <w:ilvl w:val="0"/>
          <w:numId w:val="1046"/>
        </w:numPr>
      </w:pPr>
      <w:r>
        <w:t xml:space="preserve">privacy;</w:t>
      </w:r>
    </w:p>
    <w:p>
      <w:pPr>
        <w:pStyle w:val="Compact"/>
        <w:numPr>
          <w:ilvl w:val="0"/>
          <w:numId w:val="1046"/>
        </w:numPr>
      </w:pPr>
      <w:r>
        <w:t xml:space="preserve">identity;</w:t>
      </w:r>
    </w:p>
    <w:p>
      <w:pPr>
        <w:pStyle w:val="Compact"/>
        <w:numPr>
          <w:ilvl w:val="0"/>
          <w:numId w:val="1046"/>
        </w:numPr>
      </w:pPr>
      <w:r>
        <w:t xml:space="preserve">accounting;</w:t>
      </w:r>
    </w:p>
    <w:p>
      <w:pPr>
        <w:pStyle w:val="Compact"/>
        <w:numPr>
          <w:ilvl w:val="0"/>
          <w:numId w:val="1046"/>
        </w:numPr>
      </w:pPr>
      <w:r>
        <w:t xml:space="preserve">risk;</w:t>
      </w:r>
    </w:p>
    <w:p>
      <w:pPr>
        <w:pStyle w:val="Compact"/>
        <w:numPr>
          <w:ilvl w:val="0"/>
          <w:numId w:val="1046"/>
        </w:numPr>
      </w:pPr>
      <w:r>
        <w:t xml:space="preserve">geography;</w:t>
      </w:r>
    </w:p>
    <w:p>
      <w:pPr>
        <w:pStyle w:val="Compact"/>
        <w:numPr>
          <w:ilvl w:val="0"/>
          <w:numId w:val="1046"/>
        </w:numPr>
      </w:pPr>
      <w:r>
        <w:t xml:space="preserve">interoperability;</w:t>
      </w:r>
    </w:p>
    <w:p>
      <w:pPr>
        <w:pStyle w:val="Compact"/>
        <w:numPr>
          <w:ilvl w:val="0"/>
          <w:numId w:val="1046"/>
        </w:numPr>
      </w:pPr>
      <w:r>
        <w:t xml:space="preserve">technology;</w:t>
      </w:r>
    </w:p>
    <w:p>
      <w:pPr>
        <w:pStyle w:val="Compact"/>
        <w:numPr>
          <w:ilvl w:val="0"/>
          <w:numId w:val="1046"/>
        </w:numPr>
      </w:pPr>
      <w:r>
        <w:t xml:space="preserve">API behavior;</w:t>
      </w:r>
    </w:p>
    <w:p>
      <w:pPr>
        <w:pStyle w:val="Compact"/>
        <w:numPr>
          <w:ilvl w:val="0"/>
          <w:numId w:val="1046"/>
        </w:numPr>
      </w:pPr>
      <w:r>
        <w:t xml:space="preserve">workflow states;</w:t>
      </w:r>
    </w:p>
    <w:p>
      <w:pPr>
        <w:pStyle w:val="Compact"/>
        <w:numPr>
          <w:ilvl w:val="0"/>
          <w:numId w:val="1046"/>
        </w:numPr>
      </w:pPr>
      <w:r>
        <w:t xml:space="preserve">emergency procedures.</w:t>
      </w:r>
    </w:p>
    <w:p>
      <w:pPr>
        <w:pStyle w:val="FirstParagraph"/>
      </w:pPr>
      <w:r>
        <w:t xml:space="preserve">Every contradiction found must be:</w:t>
      </w:r>
    </w:p>
    <w:p>
      <w:pPr>
        <w:pStyle w:val="Compact"/>
        <w:numPr>
          <w:ilvl w:val="0"/>
          <w:numId w:val="1047"/>
        </w:numPr>
      </w:pPr>
      <w:r>
        <w:t xml:space="preserve">identified;</w:t>
      </w:r>
    </w:p>
    <w:p>
      <w:pPr>
        <w:pStyle w:val="Compact"/>
        <w:numPr>
          <w:ilvl w:val="0"/>
          <w:numId w:val="1047"/>
        </w:numPr>
      </w:pPr>
      <w:r>
        <w:t xml:space="preserve">traced to its source;</w:t>
      </w:r>
    </w:p>
    <w:p>
      <w:pPr>
        <w:pStyle w:val="Compact"/>
        <w:numPr>
          <w:ilvl w:val="0"/>
          <w:numId w:val="1047"/>
        </w:numPr>
      </w:pPr>
      <w:r>
        <w:t xml:space="preserve">resolved;</w:t>
      </w:r>
    </w:p>
    <w:p>
      <w:pPr>
        <w:pStyle w:val="Compact"/>
        <w:numPr>
          <w:ilvl w:val="0"/>
          <w:numId w:val="1047"/>
        </w:numPr>
      </w:pPr>
      <w:r>
        <w:t xml:space="preserve">reflected consistently everywhere.</w:t>
      </w:r>
    </w:p>
    <w:p>
      <w:pPr>
        <w:pStyle w:val="FirstParagraph"/>
      </w:pPr>
      <w:r>
        <w:t xml:space="preserve">Do not simply fix the paragraph where the contradiction was found.</w:t>
      </w:r>
    </w:p>
    <w:p>
      <w:pPr>
        <w:pStyle w:val="BodyText"/>
      </w:pPr>
      <w:r>
        <w:t xml:space="preserve">Update every dependent section.</w:t>
      </w:r>
    </w:p>
    <w:p>
      <w:r>
        <w:pict>
          <v:rect style="width:0;height:1.5pt" o:hralign="center" o:hrstd="t" o:hr="t"/>
        </w:pict>
      </w:r>
    </w:p>
    <w:bookmarkEnd w:id="110"/>
    <w:bookmarkStart w:id="111" w:name="terminology-control"/>
    <w:p>
      <w:pPr>
        <w:pStyle w:val="Heading1"/>
      </w:pPr>
      <w:r>
        <w:t xml:space="preserve">32. TERMINOLOGY CONTROL</w:t>
      </w:r>
    </w:p>
    <w:p>
      <w:pPr>
        <w:pStyle w:val="FirstParagraph"/>
      </w:pPr>
      <w:r>
        <w:t xml:space="preserve">Create a canonical terminology dictionary.</w:t>
      </w:r>
    </w:p>
    <w:p>
      <w:pPr>
        <w:pStyle w:val="BodyText"/>
      </w:pPr>
      <w:r>
        <w:t xml:space="preserve">For every critical term define:</w:t>
      </w:r>
    </w:p>
    <w:p>
      <w:pPr>
        <w:pStyle w:val="Compact"/>
        <w:numPr>
          <w:ilvl w:val="0"/>
          <w:numId w:val="1048"/>
        </w:numPr>
      </w:pPr>
      <w:r>
        <w:t xml:space="preserve">preferred term;</w:t>
      </w:r>
    </w:p>
    <w:p>
      <w:pPr>
        <w:pStyle w:val="Compact"/>
        <w:numPr>
          <w:ilvl w:val="0"/>
          <w:numId w:val="1048"/>
        </w:numPr>
      </w:pPr>
      <w:r>
        <w:t xml:space="preserve">exact meaning;</w:t>
      </w:r>
    </w:p>
    <w:p>
      <w:pPr>
        <w:pStyle w:val="Compact"/>
        <w:numPr>
          <w:ilvl w:val="0"/>
          <w:numId w:val="1048"/>
        </w:numPr>
      </w:pPr>
      <w:r>
        <w:t xml:space="preserve">prohibited alternatives;</w:t>
      </w:r>
    </w:p>
    <w:p>
      <w:pPr>
        <w:pStyle w:val="Compact"/>
        <w:numPr>
          <w:ilvl w:val="0"/>
          <w:numId w:val="1048"/>
        </w:numPr>
      </w:pPr>
      <w:r>
        <w:t xml:space="preserve">context.</w:t>
      </w:r>
    </w:p>
    <w:p>
      <w:pPr>
        <w:pStyle w:val="FirstParagraph"/>
      </w:pPr>
      <w:r>
        <w:t xml:space="preserve">This prevents the blueprint from using the same word in multiple conflicting ways.</w:t>
      </w:r>
    </w:p>
    <w:p>
      <w:r>
        <w:pict>
          <v:rect style="width:0;height:1.5pt" o:hralign="center" o:hrstd="t" o:hr="t"/>
        </w:pict>
      </w:r>
    </w:p>
    <w:bookmarkEnd w:id="111"/>
    <w:bookmarkStart w:id="112" w:name="no-invention-rule"/>
    <w:p>
      <w:pPr>
        <w:pStyle w:val="Heading1"/>
      </w:pPr>
      <w:r>
        <w:t xml:space="preserve">33. NO INVENTION RULE</w:t>
      </w:r>
    </w:p>
    <w:p>
      <w:pPr>
        <w:pStyle w:val="FirstParagraph"/>
      </w:pPr>
      <w:r>
        <w:t xml:space="preserve">Do not fabricate:</w:t>
      </w:r>
    </w:p>
    <w:p>
      <w:pPr>
        <w:pStyle w:val="Compact"/>
        <w:numPr>
          <w:ilvl w:val="0"/>
          <w:numId w:val="1049"/>
        </w:numPr>
      </w:pPr>
      <w:r>
        <w:t xml:space="preserve">regulations;</w:t>
      </w:r>
    </w:p>
    <w:p>
      <w:pPr>
        <w:pStyle w:val="Compact"/>
        <w:numPr>
          <w:ilvl w:val="0"/>
          <w:numId w:val="1049"/>
        </w:numPr>
      </w:pPr>
      <w:r>
        <w:t xml:space="preserve">licenses;</w:t>
      </w:r>
    </w:p>
    <w:p>
      <w:pPr>
        <w:pStyle w:val="Compact"/>
        <w:numPr>
          <w:ilvl w:val="0"/>
          <w:numId w:val="1049"/>
        </w:numPr>
      </w:pPr>
      <w:r>
        <w:t xml:space="preserve">institutional agreements;</w:t>
      </w:r>
    </w:p>
    <w:p>
      <w:pPr>
        <w:pStyle w:val="Compact"/>
        <w:numPr>
          <w:ilvl w:val="0"/>
          <w:numId w:val="1049"/>
        </w:numPr>
      </w:pPr>
      <w:r>
        <w:t xml:space="preserve">bank integrations;</w:t>
      </w:r>
    </w:p>
    <w:p>
      <w:pPr>
        <w:pStyle w:val="Compact"/>
        <w:numPr>
          <w:ilvl w:val="0"/>
          <w:numId w:val="1049"/>
        </w:numPr>
      </w:pPr>
      <w:r>
        <w:t xml:space="preserve">API availability;</w:t>
      </w:r>
    </w:p>
    <w:p>
      <w:pPr>
        <w:pStyle w:val="Compact"/>
        <w:numPr>
          <w:ilvl w:val="0"/>
          <w:numId w:val="1049"/>
        </w:numPr>
      </w:pPr>
      <w:r>
        <w:t xml:space="preserve">central bank approvals;</w:t>
      </w:r>
    </w:p>
    <w:p>
      <w:pPr>
        <w:pStyle w:val="Compact"/>
        <w:numPr>
          <w:ilvl w:val="0"/>
          <w:numId w:val="1049"/>
        </w:numPr>
      </w:pPr>
      <w:r>
        <w:t xml:space="preserve">commercial relationships;</w:t>
      </w:r>
    </w:p>
    <w:p>
      <w:pPr>
        <w:pStyle w:val="Compact"/>
        <w:numPr>
          <w:ilvl w:val="0"/>
          <w:numId w:val="1049"/>
        </w:numPr>
      </w:pPr>
      <w:r>
        <w:t xml:space="preserve">network access;</w:t>
      </w:r>
    </w:p>
    <w:p>
      <w:pPr>
        <w:pStyle w:val="Compact"/>
        <w:numPr>
          <w:ilvl w:val="0"/>
          <w:numId w:val="1049"/>
        </w:numPr>
      </w:pPr>
      <w:r>
        <w:t xml:space="preserve">legal opinions;</w:t>
      </w:r>
    </w:p>
    <w:p>
      <w:pPr>
        <w:pStyle w:val="Compact"/>
        <w:numPr>
          <w:ilvl w:val="0"/>
          <w:numId w:val="1049"/>
        </w:numPr>
      </w:pPr>
      <w:r>
        <w:t xml:space="preserve">technical capabilities;</w:t>
      </w:r>
    </w:p>
    <w:p>
      <w:pPr>
        <w:pStyle w:val="Compact"/>
        <w:numPr>
          <w:ilvl w:val="0"/>
          <w:numId w:val="1049"/>
        </w:numPr>
      </w:pPr>
      <w:r>
        <w:t xml:space="preserve">reserve assets;</w:t>
      </w:r>
    </w:p>
    <w:p>
      <w:pPr>
        <w:pStyle w:val="Compact"/>
        <w:numPr>
          <w:ilvl w:val="0"/>
          <w:numId w:val="1049"/>
        </w:numPr>
      </w:pPr>
      <w:r>
        <w:t xml:space="preserve">operational capabilities.</w:t>
      </w:r>
    </w:p>
    <w:p>
      <w:pPr>
        <w:pStyle w:val="FirstParagraph"/>
      </w:pPr>
      <w:r>
        <w:t xml:space="preserve">When information is missing, write:</w:t>
      </w:r>
    </w:p>
    <w:p>
      <w:pPr>
        <w:pStyle w:val="BodyText"/>
      </w:pPr>
      <w:r>
        <w:rPr>
          <w:b/>
          <w:bCs/>
        </w:rPr>
        <w:t xml:space="preserve">TBD — Requires validation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rPr>
          <w:b/>
          <w:bCs/>
        </w:rPr>
        <w:t xml:space="preserve">PROPOSED — Requires approval</w:t>
      </w:r>
    </w:p>
    <w:p>
      <w:pPr>
        <w:pStyle w:val="BodyText"/>
      </w:pPr>
      <w:r>
        <w:t xml:space="preserve">Do not turn assumptions into facts.</w:t>
      </w:r>
    </w:p>
    <w:p>
      <w:r>
        <w:pict>
          <v:rect style="width:0;height:1.5pt" o:hralign="center" o:hrstd="t" o:hr="t"/>
        </w:pict>
      </w:r>
    </w:p>
    <w:bookmarkEnd w:id="112"/>
    <w:bookmarkStart w:id="113" w:name="examples"/>
    <w:p>
      <w:pPr>
        <w:pStyle w:val="Heading1"/>
      </w:pPr>
      <w:r>
        <w:t xml:space="preserve">34. EXAMPLES</w:t>
      </w:r>
    </w:p>
    <w:p>
      <w:pPr>
        <w:pStyle w:val="FirstParagraph"/>
      </w:pPr>
      <w:r>
        <w:t xml:space="preserve">The new blueprint must contain realistic examples.</w:t>
      </w:r>
    </w:p>
    <w:p>
      <w:pPr>
        <w:pStyle w:val="BodyText"/>
      </w:pPr>
      <w:r>
        <w:t xml:space="preserve">For important architecture sections, include examples such as:</w:t>
      </w:r>
    </w:p>
    <w:p>
      <w:pPr>
        <w:pStyle w:val="Compact"/>
        <w:numPr>
          <w:ilvl w:val="0"/>
          <w:numId w:val="1050"/>
        </w:numPr>
      </w:pPr>
      <w:r>
        <w:t xml:space="preserve">sample institutional settlement;</w:t>
      </w:r>
    </w:p>
    <w:p>
      <w:pPr>
        <w:pStyle w:val="Compact"/>
        <w:numPr>
          <w:ilvl w:val="0"/>
          <w:numId w:val="1050"/>
        </w:numPr>
      </w:pPr>
      <w:r>
        <w:t xml:space="preserve">sample bank integration;</w:t>
      </w:r>
    </w:p>
    <w:p>
      <w:pPr>
        <w:pStyle w:val="Compact"/>
        <w:numPr>
          <w:ilvl w:val="0"/>
          <w:numId w:val="1050"/>
        </w:numPr>
      </w:pPr>
      <w:r>
        <w:t xml:space="preserve">sample compliance attestation;</w:t>
      </w:r>
    </w:p>
    <w:p>
      <w:pPr>
        <w:pStyle w:val="Compact"/>
        <w:numPr>
          <w:ilvl w:val="0"/>
          <w:numId w:val="1050"/>
        </w:numPr>
      </w:pPr>
      <w:r>
        <w:t xml:space="preserve">sample MTQ transaction lifecycle;</w:t>
      </w:r>
    </w:p>
    <w:p>
      <w:pPr>
        <w:pStyle w:val="Compact"/>
        <w:numPr>
          <w:ilvl w:val="0"/>
          <w:numId w:val="1050"/>
        </w:numPr>
      </w:pPr>
      <w:r>
        <w:t xml:space="preserve">sample reserve allocation;</w:t>
      </w:r>
    </w:p>
    <w:p>
      <w:pPr>
        <w:pStyle w:val="Compact"/>
        <w:numPr>
          <w:ilvl w:val="0"/>
          <w:numId w:val="1050"/>
        </w:numPr>
      </w:pPr>
      <w:r>
        <w:t xml:space="preserve">sample reconciliation;</w:t>
      </w:r>
    </w:p>
    <w:p>
      <w:pPr>
        <w:pStyle w:val="Compact"/>
        <w:numPr>
          <w:ilvl w:val="0"/>
          <w:numId w:val="1050"/>
        </w:numPr>
      </w:pPr>
      <w:r>
        <w:t xml:space="preserve">sample failure;</w:t>
      </w:r>
    </w:p>
    <w:p>
      <w:pPr>
        <w:pStyle w:val="Compact"/>
        <w:numPr>
          <w:ilvl w:val="0"/>
          <w:numId w:val="1050"/>
        </w:numPr>
      </w:pPr>
      <w:r>
        <w:t xml:space="preserve">sample emergency freeze;</w:t>
      </w:r>
    </w:p>
    <w:p>
      <w:pPr>
        <w:pStyle w:val="Compact"/>
        <w:numPr>
          <w:ilvl w:val="0"/>
          <w:numId w:val="1050"/>
        </w:numPr>
      </w:pPr>
      <w:r>
        <w:t xml:space="preserve">sample cross-border settlement;</w:t>
      </w:r>
    </w:p>
    <w:p>
      <w:pPr>
        <w:pStyle w:val="Compact"/>
        <w:numPr>
          <w:ilvl w:val="0"/>
          <w:numId w:val="1050"/>
        </w:numPr>
      </w:pPr>
      <w:r>
        <w:t xml:space="preserve">sample accounting entries;</w:t>
      </w:r>
    </w:p>
    <w:p>
      <w:pPr>
        <w:pStyle w:val="Compact"/>
        <w:numPr>
          <w:ilvl w:val="0"/>
          <w:numId w:val="1050"/>
        </w:numPr>
      </w:pPr>
      <w:r>
        <w:t xml:space="preserve">sample governance decision.</w:t>
      </w:r>
    </w:p>
    <w:p>
      <w:pPr>
        <w:pStyle w:val="FirstParagraph"/>
      </w:pPr>
      <w:r>
        <w:t xml:space="preserve">Examples must be clearly marked as:</w:t>
      </w:r>
    </w:p>
    <w:p>
      <w:pPr>
        <w:pStyle w:val="BodyText"/>
      </w:pPr>
      <w:r>
        <w:rPr>
          <w:b/>
          <w:bCs/>
        </w:rPr>
        <w:t xml:space="preserve">ILLUSTRATIVE EXAMPLE</w:t>
      </w:r>
    </w:p>
    <w:p>
      <w:pPr>
        <w:pStyle w:val="BodyText"/>
      </w:pPr>
      <w:r>
        <w:t xml:space="preserve">and must not be presented as current production facts.</w:t>
      </w:r>
    </w:p>
    <w:p>
      <w:r>
        <w:pict>
          <v:rect style="width:0;height:1.5pt" o:hralign="center" o:hrstd="t" o:hr="t"/>
        </w:pict>
      </w:r>
    </w:p>
    <w:bookmarkEnd w:id="113"/>
    <w:bookmarkStart w:id="127" w:name="implementation-roadmap"/>
    <w:p>
      <w:pPr>
        <w:pStyle w:val="Heading1"/>
      </w:pPr>
      <w:r>
        <w:t xml:space="preserve">35. IMPLEMENTATION ROADMAP</w:t>
      </w:r>
    </w:p>
    <w:p>
      <w:pPr>
        <w:pStyle w:val="FirstParagraph"/>
      </w:pPr>
      <w:r>
        <w:t xml:space="preserve">End the blueprint with a complete implementation roadmap.</w:t>
      </w:r>
    </w:p>
    <w:p>
      <w:pPr>
        <w:pStyle w:val="BodyText"/>
      </w:pPr>
      <w:r>
        <w:t xml:space="preserve">Break it into:</w:t>
      </w:r>
    </w:p>
    <w:bookmarkStart w:id="114" w:name="phase-0-foundations"/>
    <w:p>
      <w:pPr>
        <w:pStyle w:val="Heading3"/>
      </w:pPr>
      <w:r>
        <w:t xml:space="preserve">Phase 0 — Foundations</w:t>
      </w:r>
    </w:p>
    <w:bookmarkEnd w:id="114"/>
    <w:bookmarkStart w:id="115" w:name="phase-1-core-ledger"/>
    <w:p>
      <w:pPr>
        <w:pStyle w:val="Heading3"/>
      </w:pPr>
      <w:r>
        <w:t xml:space="preserve">Phase 1 — Core Ledger</w:t>
      </w:r>
    </w:p>
    <w:bookmarkEnd w:id="115"/>
    <w:bookmarkStart w:id="116" w:name="phase-2-bank-gateway"/>
    <w:p>
      <w:pPr>
        <w:pStyle w:val="Heading3"/>
      </w:pPr>
      <w:r>
        <w:t xml:space="preserve">Phase 2 — Bank Gateway</w:t>
      </w:r>
    </w:p>
    <w:bookmarkEnd w:id="116"/>
    <w:bookmarkStart w:id="117" w:name="phase-3-compliance"/>
    <w:p>
      <w:pPr>
        <w:pStyle w:val="Heading3"/>
      </w:pPr>
      <w:r>
        <w:t xml:space="preserve">Phase 3 — Compliance</w:t>
      </w:r>
    </w:p>
    <w:bookmarkEnd w:id="117"/>
    <w:bookmarkStart w:id="118" w:name="phase-4-reservetreasury"/>
    <w:p>
      <w:pPr>
        <w:pStyle w:val="Heading3"/>
      </w:pPr>
      <w:r>
        <w:t xml:space="preserve">Phase 4 — Reserve/Treasury</w:t>
      </w:r>
    </w:p>
    <w:bookmarkEnd w:id="118"/>
    <w:bookmarkStart w:id="119" w:name="phase-5-institutional-settlement"/>
    <w:p>
      <w:pPr>
        <w:pStyle w:val="Heading3"/>
      </w:pPr>
      <w:r>
        <w:t xml:space="preserve">Phase 5 — Institutional Settlement</w:t>
      </w:r>
    </w:p>
    <w:bookmarkEnd w:id="119"/>
    <w:bookmarkStart w:id="120" w:name="phase-6-reconciliation"/>
    <w:p>
      <w:pPr>
        <w:pStyle w:val="Heading3"/>
      </w:pPr>
      <w:r>
        <w:t xml:space="preserve">Phase 6 — Reconciliation</w:t>
      </w:r>
    </w:p>
    <w:bookmarkEnd w:id="120"/>
    <w:bookmarkStart w:id="121" w:name="phase-7-security-hardening"/>
    <w:p>
      <w:pPr>
        <w:pStyle w:val="Heading3"/>
      </w:pPr>
      <w:r>
        <w:t xml:space="preserve">Phase 7 — Security Hardening</w:t>
      </w:r>
    </w:p>
    <w:bookmarkEnd w:id="121"/>
    <w:bookmarkStart w:id="122" w:name="phase-8-pilot-institutions"/>
    <w:p>
      <w:pPr>
        <w:pStyle w:val="Heading3"/>
      </w:pPr>
      <w:r>
        <w:t xml:space="preserve">Phase 8 — Pilot Institutions</w:t>
      </w:r>
    </w:p>
    <w:bookmarkEnd w:id="122"/>
    <w:bookmarkStart w:id="123" w:name="phase-9-jurisdiction-adapters"/>
    <w:p>
      <w:pPr>
        <w:pStyle w:val="Heading3"/>
      </w:pPr>
      <w:r>
        <w:t xml:space="preserve">Phase 9 — Jurisdiction Adapters</w:t>
      </w:r>
    </w:p>
    <w:bookmarkEnd w:id="123"/>
    <w:bookmarkStart w:id="124" w:name="phase-10-global-interoperability"/>
    <w:p>
      <w:pPr>
        <w:pStyle w:val="Heading3"/>
      </w:pPr>
      <w:r>
        <w:t xml:space="preserve">Phase 10 — Global Interoperability</w:t>
      </w:r>
    </w:p>
    <w:bookmarkEnd w:id="124"/>
    <w:bookmarkStart w:id="125" w:name="phase-11-production"/>
    <w:p>
      <w:pPr>
        <w:pStyle w:val="Heading3"/>
      </w:pPr>
      <w:r>
        <w:t xml:space="preserve">Phase 11 — Production</w:t>
      </w:r>
    </w:p>
    <w:bookmarkEnd w:id="125"/>
    <w:bookmarkStart w:id="126" w:name="phase-12-scale"/>
    <w:p>
      <w:pPr>
        <w:pStyle w:val="Heading3"/>
      </w:pPr>
      <w:r>
        <w:t xml:space="preserve">Phase 12 — Scale</w:t>
      </w:r>
    </w:p>
    <w:p>
      <w:pPr>
        <w:pStyle w:val="FirstParagraph"/>
      </w:pPr>
      <w:r>
        <w:t xml:space="preserve">For every phase include:</w:t>
      </w:r>
    </w:p>
    <w:p>
      <w:pPr>
        <w:pStyle w:val="Compact"/>
        <w:numPr>
          <w:ilvl w:val="0"/>
          <w:numId w:val="1051"/>
        </w:numPr>
      </w:pPr>
      <w:r>
        <w:t xml:space="preserve">objective;</w:t>
      </w:r>
    </w:p>
    <w:p>
      <w:pPr>
        <w:pStyle w:val="Compact"/>
        <w:numPr>
          <w:ilvl w:val="0"/>
          <w:numId w:val="1051"/>
        </w:numPr>
      </w:pPr>
      <w:r>
        <w:t xml:space="preserve">deliverables;</w:t>
      </w:r>
    </w:p>
    <w:p>
      <w:pPr>
        <w:pStyle w:val="Compact"/>
        <w:numPr>
          <w:ilvl w:val="0"/>
          <w:numId w:val="1051"/>
        </w:numPr>
      </w:pPr>
      <w:r>
        <w:t xml:space="preserve">dependencies;</w:t>
      </w:r>
    </w:p>
    <w:p>
      <w:pPr>
        <w:pStyle w:val="Compact"/>
        <w:numPr>
          <w:ilvl w:val="0"/>
          <w:numId w:val="1051"/>
        </w:numPr>
      </w:pPr>
      <w:r>
        <w:t xml:space="preserve">technical work;</w:t>
      </w:r>
    </w:p>
    <w:p>
      <w:pPr>
        <w:pStyle w:val="Compact"/>
        <w:numPr>
          <w:ilvl w:val="0"/>
          <w:numId w:val="1051"/>
        </w:numPr>
      </w:pPr>
      <w:r>
        <w:t xml:space="preserve">operational work;</w:t>
      </w:r>
    </w:p>
    <w:p>
      <w:pPr>
        <w:pStyle w:val="Compact"/>
        <w:numPr>
          <w:ilvl w:val="0"/>
          <w:numId w:val="1051"/>
        </w:numPr>
      </w:pPr>
      <w:r>
        <w:t xml:space="preserve">legal/regulatory work;</w:t>
      </w:r>
    </w:p>
    <w:p>
      <w:pPr>
        <w:pStyle w:val="Compact"/>
        <w:numPr>
          <w:ilvl w:val="0"/>
          <w:numId w:val="1051"/>
        </w:numPr>
      </w:pPr>
      <w:r>
        <w:t xml:space="preserve">financial work;</w:t>
      </w:r>
    </w:p>
    <w:p>
      <w:pPr>
        <w:pStyle w:val="Compact"/>
        <w:numPr>
          <w:ilvl w:val="0"/>
          <w:numId w:val="1051"/>
        </w:numPr>
      </w:pPr>
      <w:r>
        <w:t xml:space="preserve">testing;</w:t>
      </w:r>
    </w:p>
    <w:p>
      <w:pPr>
        <w:pStyle w:val="Compact"/>
        <w:numPr>
          <w:ilvl w:val="0"/>
          <w:numId w:val="1051"/>
        </w:numPr>
      </w:pPr>
      <w:r>
        <w:t xml:space="preserve">acceptance criteria;</w:t>
      </w:r>
    </w:p>
    <w:p>
      <w:pPr>
        <w:pStyle w:val="Compact"/>
        <w:numPr>
          <w:ilvl w:val="0"/>
          <w:numId w:val="1051"/>
        </w:numPr>
      </w:pPr>
      <w:r>
        <w:t xml:space="preserve">risks;</w:t>
      </w:r>
    </w:p>
    <w:p>
      <w:pPr>
        <w:pStyle w:val="Compact"/>
        <w:numPr>
          <w:ilvl w:val="0"/>
          <w:numId w:val="1051"/>
        </w:numPr>
      </w:pPr>
      <w:r>
        <w:t xml:space="preserve">exit criteria.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testing-strategy"/>
    <w:p>
      <w:pPr>
        <w:pStyle w:val="Heading1"/>
      </w:pPr>
      <w:r>
        <w:t xml:space="preserve">36. TESTING STRATEGY</w:t>
      </w:r>
    </w:p>
    <w:p>
      <w:pPr>
        <w:pStyle w:val="FirstParagraph"/>
      </w:pPr>
      <w:r>
        <w:t xml:space="preserve">Create a complete testing framework covering:</w:t>
      </w:r>
    </w:p>
    <w:p>
      <w:pPr>
        <w:pStyle w:val="Compact"/>
        <w:numPr>
          <w:ilvl w:val="0"/>
          <w:numId w:val="1052"/>
        </w:numPr>
      </w:pPr>
      <w:r>
        <w:t xml:space="preserve">unit testing;</w:t>
      </w:r>
    </w:p>
    <w:p>
      <w:pPr>
        <w:pStyle w:val="Compact"/>
        <w:numPr>
          <w:ilvl w:val="0"/>
          <w:numId w:val="1052"/>
        </w:numPr>
      </w:pPr>
      <w:r>
        <w:t xml:space="preserve">integration testing;</w:t>
      </w:r>
    </w:p>
    <w:p>
      <w:pPr>
        <w:pStyle w:val="Compact"/>
        <w:numPr>
          <w:ilvl w:val="0"/>
          <w:numId w:val="1052"/>
        </w:numPr>
      </w:pPr>
      <w:r>
        <w:t xml:space="preserve">API testing;</w:t>
      </w:r>
    </w:p>
    <w:p>
      <w:pPr>
        <w:pStyle w:val="Compact"/>
        <w:numPr>
          <w:ilvl w:val="0"/>
          <w:numId w:val="1052"/>
        </w:numPr>
      </w:pPr>
      <w:r>
        <w:t xml:space="preserve">contract testing;</w:t>
      </w:r>
    </w:p>
    <w:p>
      <w:pPr>
        <w:pStyle w:val="Compact"/>
        <w:numPr>
          <w:ilvl w:val="0"/>
          <w:numId w:val="1052"/>
        </w:numPr>
      </w:pPr>
      <w:r>
        <w:t xml:space="preserve">bank gateway testing;</w:t>
      </w:r>
    </w:p>
    <w:p>
      <w:pPr>
        <w:pStyle w:val="Compact"/>
        <w:numPr>
          <w:ilvl w:val="0"/>
          <w:numId w:val="1052"/>
        </w:numPr>
      </w:pPr>
      <w:r>
        <w:t xml:space="preserve">ledger testing;</w:t>
      </w:r>
    </w:p>
    <w:p>
      <w:pPr>
        <w:pStyle w:val="Compact"/>
        <w:numPr>
          <w:ilvl w:val="0"/>
          <w:numId w:val="1052"/>
        </w:numPr>
      </w:pPr>
      <w:r>
        <w:t xml:space="preserve">reconciliation testing;</w:t>
      </w:r>
    </w:p>
    <w:p>
      <w:pPr>
        <w:pStyle w:val="Compact"/>
        <w:numPr>
          <w:ilvl w:val="0"/>
          <w:numId w:val="1052"/>
        </w:numPr>
      </w:pPr>
      <w:r>
        <w:t xml:space="preserve">reserve testing;</w:t>
      </w:r>
    </w:p>
    <w:p>
      <w:pPr>
        <w:pStyle w:val="Compact"/>
        <w:numPr>
          <w:ilvl w:val="0"/>
          <w:numId w:val="1052"/>
        </w:numPr>
      </w:pPr>
      <w:r>
        <w:t xml:space="preserve">accounting testing;</w:t>
      </w:r>
    </w:p>
    <w:p>
      <w:pPr>
        <w:pStyle w:val="Compact"/>
        <w:numPr>
          <w:ilvl w:val="0"/>
          <w:numId w:val="1052"/>
        </w:numPr>
      </w:pPr>
      <w:r>
        <w:t xml:space="preserve">security testing;</w:t>
      </w:r>
    </w:p>
    <w:p>
      <w:pPr>
        <w:pStyle w:val="Compact"/>
        <w:numPr>
          <w:ilvl w:val="0"/>
          <w:numId w:val="1052"/>
        </w:numPr>
      </w:pPr>
      <w:r>
        <w:t xml:space="preserve">penetration testing;</w:t>
      </w:r>
    </w:p>
    <w:p>
      <w:pPr>
        <w:pStyle w:val="Compact"/>
        <w:numPr>
          <w:ilvl w:val="0"/>
          <w:numId w:val="1052"/>
        </w:numPr>
      </w:pPr>
      <w:r>
        <w:t xml:space="preserve">disaster recovery;</w:t>
      </w:r>
    </w:p>
    <w:p>
      <w:pPr>
        <w:pStyle w:val="Compact"/>
        <w:numPr>
          <w:ilvl w:val="0"/>
          <w:numId w:val="1052"/>
        </w:numPr>
      </w:pPr>
      <w:r>
        <w:t xml:space="preserve">performance;</w:t>
      </w:r>
    </w:p>
    <w:p>
      <w:pPr>
        <w:pStyle w:val="Compact"/>
        <w:numPr>
          <w:ilvl w:val="0"/>
          <w:numId w:val="1052"/>
        </w:numPr>
      </w:pPr>
      <w:r>
        <w:t xml:space="preserve">scalability;</w:t>
      </w:r>
    </w:p>
    <w:p>
      <w:pPr>
        <w:pStyle w:val="Compact"/>
        <w:numPr>
          <w:ilvl w:val="0"/>
          <w:numId w:val="1052"/>
        </w:numPr>
      </w:pPr>
      <w:r>
        <w:t xml:space="preserve">fault injection;</w:t>
      </w:r>
    </w:p>
    <w:p>
      <w:pPr>
        <w:pStyle w:val="Compact"/>
        <w:numPr>
          <w:ilvl w:val="0"/>
          <w:numId w:val="1052"/>
        </w:numPr>
      </w:pPr>
      <w:r>
        <w:t xml:space="preserve">compliance testing;</w:t>
      </w:r>
    </w:p>
    <w:p>
      <w:pPr>
        <w:pStyle w:val="Compact"/>
        <w:numPr>
          <w:ilvl w:val="0"/>
          <w:numId w:val="1052"/>
        </w:numPr>
      </w:pPr>
      <w:r>
        <w:t xml:space="preserve">sanctions testing;</w:t>
      </w:r>
    </w:p>
    <w:p>
      <w:pPr>
        <w:pStyle w:val="Compact"/>
        <w:numPr>
          <w:ilvl w:val="0"/>
          <w:numId w:val="1052"/>
        </w:numPr>
      </w:pPr>
      <w:r>
        <w:t xml:space="preserve">transaction replay testing;</w:t>
      </w:r>
    </w:p>
    <w:p>
      <w:pPr>
        <w:pStyle w:val="Compact"/>
        <w:numPr>
          <w:ilvl w:val="0"/>
          <w:numId w:val="1052"/>
        </w:numPr>
      </w:pPr>
      <w:r>
        <w:t xml:space="preserve">duplicate transaction testing;</w:t>
      </w:r>
    </w:p>
    <w:p>
      <w:pPr>
        <w:pStyle w:val="Compact"/>
        <w:numPr>
          <w:ilvl w:val="0"/>
          <w:numId w:val="1052"/>
        </w:numPr>
      </w:pPr>
      <w:r>
        <w:t xml:space="preserve">concurrency;</w:t>
      </w:r>
    </w:p>
    <w:p>
      <w:pPr>
        <w:pStyle w:val="Compact"/>
        <w:numPr>
          <w:ilvl w:val="0"/>
          <w:numId w:val="1052"/>
        </w:numPr>
      </w:pPr>
      <w:r>
        <w:t xml:space="preserve">settlement finality;</w:t>
      </w:r>
    </w:p>
    <w:p>
      <w:pPr>
        <w:pStyle w:val="Compact"/>
        <w:numPr>
          <w:ilvl w:val="0"/>
          <w:numId w:val="1052"/>
        </w:numPr>
      </w:pPr>
      <w:r>
        <w:t xml:space="preserve">cross-jurisdiction testing.</w:t>
      </w:r>
    </w:p>
    <w:p>
      <w:r>
        <w:pict>
          <v:rect style="width:0;height:1.5pt" o:hralign="center" o:hrstd="t" o:hr="t"/>
        </w:pict>
      </w:r>
    </w:p>
    <w:bookmarkEnd w:id="128"/>
    <w:bookmarkStart w:id="129" w:name="production-readiness-checklist"/>
    <w:p>
      <w:pPr>
        <w:pStyle w:val="Heading1"/>
      </w:pPr>
      <w:r>
        <w:t xml:space="preserve">37. PRODUCTION READINESS CHECKLIST</w:t>
      </w:r>
    </w:p>
    <w:p>
      <w:pPr>
        <w:pStyle w:val="FirstParagraph"/>
      </w:pPr>
      <w:r>
        <w:t xml:space="preserve">The blueprint must end with a comprehensive production-readiness checklist.</w:t>
      </w:r>
    </w:p>
    <w:p>
      <w:pPr>
        <w:pStyle w:val="BodyText"/>
      </w:pPr>
      <w:r>
        <w:t xml:space="preserve">Use actual checklist format:</w:t>
      </w:r>
    </w:p>
    <w:p>
      <w:pPr>
        <w:pStyle w:val="Compact"/>
        <w:numPr>
          <w:ilvl w:val="0"/>
          <w:numId w:val="1053"/>
        </w:numPr>
      </w:pPr>
      <w:r>
        <w:t xml:space="preserve">☐ Architecture complete</w:t>
      </w:r>
    </w:p>
    <w:p>
      <w:pPr>
        <w:pStyle w:val="Compact"/>
        <w:numPr>
          <w:ilvl w:val="0"/>
          <w:numId w:val="1053"/>
        </w:numPr>
      </w:pPr>
      <w:r>
        <w:t xml:space="preserve">☐ Core ledger complete</w:t>
      </w:r>
    </w:p>
    <w:p>
      <w:pPr>
        <w:pStyle w:val="Compact"/>
        <w:numPr>
          <w:ilvl w:val="0"/>
          <w:numId w:val="1053"/>
        </w:numPr>
      </w:pPr>
      <w:r>
        <w:t xml:space="preserve">☐ Bank gateway complete</w:t>
      </w:r>
    </w:p>
    <w:p>
      <w:pPr>
        <w:pStyle w:val="Compact"/>
        <w:numPr>
          <w:ilvl w:val="0"/>
          <w:numId w:val="1053"/>
        </w:numPr>
      </w:pPr>
      <w:r>
        <w:t xml:space="preserve">☐ Security complete</w:t>
      </w:r>
    </w:p>
    <w:p>
      <w:pPr>
        <w:pStyle w:val="Compact"/>
        <w:numPr>
          <w:ilvl w:val="0"/>
          <w:numId w:val="1053"/>
        </w:numPr>
      </w:pPr>
      <w:r>
        <w:t xml:space="preserve">☐ Compliance complete</w:t>
      </w:r>
    </w:p>
    <w:p>
      <w:pPr>
        <w:pStyle w:val="Compact"/>
        <w:numPr>
          <w:ilvl w:val="0"/>
          <w:numId w:val="1053"/>
        </w:numPr>
      </w:pPr>
      <w:r>
        <w:t xml:space="preserve">☐ Reserve architecture validated</w:t>
      </w:r>
    </w:p>
    <w:p>
      <w:pPr>
        <w:pStyle w:val="Compact"/>
        <w:numPr>
          <w:ilvl w:val="0"/>
          <w:numId w:val="1053"/>
        </w:numPr>
      </w:pPr>
      <w:r>
        <w:t xml:space="preserve">☐ Reconciliation validated</w:t>
      </w:r>
    </w:p>
    <w:p>
      <w:pPr>
        <w:pStyle w:val="Compact"/>
        <w:numPr>
          <w:ilvl w:val="0"/>
          <w:numId w:val="1053"/>
        </w:numPr>
      </w:pPr>
      <w:r>
        <w:t xml:space="preserve">☐ Accounting validated</w:t>
      </w:r>
    </w:p>
    <w:p>
      <w:pPr>
        <w:pStyle w:val="Compact"/>
        <w:numPr>
          <w:ilvl w:val="0"/>
          <w:numId w:val="1053"/>
        </w:numPr>
      </w:pPr>
      <w:r>
        <w:t xml:space="preserve">☐ Legal review completed</w:t>
      </w:r>
    </w:p>
    <w:p>
      <w:pPr>
        <w:pStyle w:val="Compact"/>
        <w:numPr>
          <w:ilvl w:val="0"/>
          <w:numId w:val="1053"/>
        </w:numPr>
      </w:pPr>
      <w:r>
        <w:t xml:space="preserve">☐ Regulatory review completed</w:t>
      </w:r>
    </w:p>
    <w:p>
      <w:pPr>
        <w:pStyle w:val="Compact"/>
        <w:numPr>
          <w:ilvl w:val="0"/>
          <w:numId w:val="1053"/>
        </w:numPr>
      </w:pPr>
      <w:r>
        <w:t xml:space="preserve">☐ Institutional agreements completed</w:t>
      </w:r>
    </w:p>
    <w:p>
      <w:pPr>
        <w:pStyle w:val="Compact"/>
        <w:numPr>
          <w:ilvl w:val="0"/>
          <w:numId w:val="1053"/>
        </w:numPr>
      </w:pPr>
      <w:r>
        <w:t xml:space="preserve">☐ Disaster recovery tested</w:t>
      </w:r>
    </w:p>
    <w:p>
      <w:pPr>
        <w:pStyle w:val="Compact"/>
        <w:numPr>
          <w:ilvl w:val="0"/>
          <w:numId w:val="1053"/>
        </w:numPr>
      </w:pPr>
      <w:r>
        <w:t xml:space="preserve">☐ Monitoring live</w:t>
      </w:r>
    </w:p>
    <w:p>
      <w:pPr>
        <w:pStyle w:val="Compact"/>
        <w:numPr>
          <w:ilvl w:val="0"/>
          <w:numId w:val="1053"/>
        </w:numPr>
      </w:pPr>
      <w:r>
        <w:t xml:space="preserve">☐ Incident response tested</w:t>
      </w:r>
    </w:p>
    <w:p>
      <w:pPr>
        <w:pStyle w:val="Compact"/>
        <w:numPr>
          <w:ilvl w:val="0"/>
          <w:numId w:val="1053"/>
        </w:numPr>
      </w:pPr>
      <w:r>
        <w:t xml:space="preserve">☐ Penetration testing completed</w:t>
      </w:r>
    </w:p>
    <w:p>
      <w:pPr>
        <w:pStyle w:val="Compact"/>
        <w:numPr>
          <w:ilvl w:val="0"/>
          <w:numId w:val="1053"/>
        </w:numPr>
      </w:pPr>
      <w:r>
        <w:t xml:space="preserve">☐ Key-management controls validated</w:t>
      </w:r>
    </w:p>
    <w:p>
      <w:pPr>
        <w:pStyle w:val="Compact"/>
        <w:numPr>
          <w:ilvl w:val="0"/>
          <w:numId w:val="1053"/>
        </w:numPr>
      </w:pPr>
      <w:r>
        <w:t xml:space="preserve">☐ Emergency controls validated</w:t>
      </w:r>
    </w:p>
    <w:p>
      <w:pPr>
        <w:pStyle w:val="Compact"/>
        <w:numPr>
          <w:ilvl w:val="0"/>
          <w:numId w:val="1053"/>
        </w:numPr>
      </w:pPr>
      <w:r>
        <w:t xml:space="preserve">☐ Pilot completed</w:t>
      </w:r>
    </w:p>
    <w:p>
      <w:pPr>
        <w:pStyle w:val="Compact"/>
        <w:numPr>
          <w:ilvl w:val="0"/>
          <w:numId w:val="1053"/>
        </w:numPr>
      </w:pPr>
      <w:r>
        <w:t xml:space="preserve">☐ Production acceptance completed</w:t>
      </w:r>
    </w:p>
    <w:p>
      <w:pPr>
        <w:pStyle w:val="FirstParagraph"/>
      </w:pPr>
      <w:r>
        <w:t xml:space="preserve">Expand this into a much more detailed checklist.</w:t>
      </w:r>
    </w:p>
    <w:p>
      <w:r>
        <w:pict>
          <v:rect style="width:0;height:1.5pt" o:hralign="center" o:hrstd="t" o:hr="t"/>
        </w:pict>
      </w:r>
    </w:p>
    <w:bookmarkEnd w:id="129"/>
    <w:bookmarkStart w:id="130" w:name="final-blueprint-structure"/>
    <w:p>
      <w:pPr>
        <w:pStyle w:val="Heading1"/>
      </w:pPr>
      <w:r>
        <w:t xml:space="preserve">38. FINAL BLUEPRINT STRUCTURE</w:t>
      </w:r>
    </w:p>
    <w:p>
      <w:pPr>
        <w:pStyle w:val="FirstParagraph"/>
      </w:pPr>
      <w:r>
        <w:t xml:space="preserve">Organize the final blueprint in a professional enterprise architecture structure.</w:t>
      </w:r>
    </w:p>
    <w:p>
      <w:pPr>
        <w:pStyle w:val="BodyText"/>
      </w:pPr>
      <w:r>
        <w:t xml:space="preserve">Use approximately this hierarchy:</w:t>
      </w:r>
    </w:p>
    <w:bookmarkEnd w:id="130"/>
    <w:bookmarkStart w:id="176" w:name="mithqal-master-blueprint"/>
    <w:p>
      <w:pPr>
        <w:pStyle w:val="Heading1"/>
      </w:pPr>
      <w:r>
        <w:t xml:space="preserve">MITHQAL — MASTER BLUEPRINT</w:t>
      </w:r>
    </w:p>
    <w:bookmarkStart w:id="131" w:name="executive-summary"/>
    <w:p>
      <w:pPr>
        <w:pStyle w:val="Heading2"/>
      </w:pPr>
      <w:r>
        <w:t xml:space="preserve">0. Executive Summary</w:t>
      </w:r>
    </w:p>
    <w:bookmarkEnd w:id="131"/>
    <w:bookmarkStart w:id="132" w:name="mission-vision-strategic-objective"/>
    <w:p>
      <w:pPr>
        <w:pStyle w:val="Heading2"/>
      </w:pPr>
      <w:r>
        <w:t xml:space="preserve">1. Mission, Vision &amp; Strategic Objective</w:t>
      </w:r>
    </w:p>
    <w:bookmarkEnd w:id="132"/>
    <w:bookmarkStart w:id="133" w:name="constitutional-principles"/>
    <w:p>
      <w:pPr>
        <w:pStyle w:val="Heading2"/>
      </w:pPr>
      <w:r>
        <w:t xml:space="preserve">2. Constitutional Principles</w:t>
      </w:r>
    </w:p>
    <w:bookmarkEnd w:id="133"/>
    <w:bookmarkStart w:id="134" w:name="what-mithqal-is"/>
    <w:p>
      <w:pPr>
        <w:pStyle w:val="Heading2"/>
      </w:pPr>
      <w:r>
        <w:t xml:space="preserve">3. What MITHQAL Is</w:t>
      </w:r>
    </w:p>
    <w:bookmarkEnd w:id="134"/>
    <w:bookmarkStart w:id="135" w:name="what-mithqal-is-not"/>
    <w:p>
      <w:pPr>
        <w:pStyle w:val="Heading2"/>
      </w:pPr>
      <w:r>
        <w:t xml:space="preserve">4. What MITHQAL Is Not</w:t>
      </w:r>
    </w:p>
    <w:bookmarkEnd w:id="135"/>
    <w:bookmarkStart w:id="136" w:name="institutional-participant-model"/>
    <w:p>
      <w:pPr>
        <w:pStyle w:val="Heading2"/>
      </w:pPr>
      <w:r>
        <w:t xml:space="preserve">5. Institutional Participant Model</w:t>
      </w:r>
    </w:p>
    <w:bookmarkEnd w:id="136"/>
    <w:bookmarkStart w:id="137" w:name="economic-monetary-architecture"/>
    <w:p>
      <w:pPr>
        <w:pStyle w:val="Heading2"/>
      </w:pPr>
      <w:r>
        <w:t xml:space="preserve">6. Economic &amp; Monetary Architecture</w:t>
      </w:r>
    </w:p>
    <w:bookmarkEnd w:id="137"/>
    <w:bookmarkStart w:id="138" w:name="mtq-architecture"/>
    <w:p>
      <w:pPr>
        <w:pStyle w:val="Heading2"/>
      </w:pPr>
      <w:r>
        <w:t xml:space="preserve">7. MTQ Architecture</w:t>
      </w:r>
    </w:p>
    <w:bookmarkEnd w:id="138"/>
    <w:bookmarkStart w:id="139" w:name="reserve-architecture-1"/>
    <w:p>
      <w:pPr>
        <w:pStyle w:val="Heading2"/>
      </w:pPr>
      <w:r>
        <w:t xml:space="preserve">8. Reserve Architecture</w:t>
      </w:r>
    </w:p>
    <w:bookmarkEnd w:id="139"/>
    <w:bookmarkStart w:id="140" w:name="treasury-architecture-1"/>
    <w:p>
      <w:pPr>
        <w:pStyle w:val="Heading2"/>
      </w:pPr>
      <w:r>
        <w:t xml:space="preserve">9. Treasury Architecture</w:t>
      </w:r>
    </w:p>
    <w:bookmarkEnd w:id="140"/>
    <w:bookmarkStart w:id="141" w:name="settlement-architecture"/>
    <w:p>
      <w:pPr>
        <w:pStyle w:val="Heading2"/>
      </w:pPr>
      <w:r>
        <w:t xml:space="preserve">10. Settlement Architecture</w:t>
      </w:r>
    </w:p>
    <w:bookmarkEnd w:id="141"/>
    <w:bookmarkStart w:id="142" w:name="bank-gateway-sidecar-architecture"/>
    <w:p>
      <w:pPr>
        <w:pStyle w:val="Heading2"/>
      </w:pPr>
      <w:r>
        <w:t xml:space="preserve">11. Bank Gateway / Sidecar Architecture</w:t>
      </w:r>
    </w:p>
    <w:bookmarkEnd w:id="142"/>
    <w:bookmarkStart w:id="143" w:name="banking-integration-standards"/>
    <w:p>
      <w:pPr>
        <w:pStyle w:val="Heading2"/>
      </w:pPr>
      <w:r>
        <w:t xml:space="preserve">12. Banking Integration Standards</w:t>
      </w:r>
    </w:p>
    <w:bookmarkEnd w:id="143"/>
    <w:bookmarkStart w:id="144" w:name="identity-privacy"/>
    <w:p>
      <w:pPr>
        <w:pStyle w:val="Heading2"/>
      </w:pPr>
      <w:r>
        <w:t xml:space="preserve">13. Identity &amp; Privacy</w:t>
      </w:r>
    </w:p>
    <w:bookmarkEnd w:id="144"/>
    <w:bookmarkStart w:id="145" w:name="compliance-architecture"/>
    <w:p>
      <w:pPr>
        <w:pStyle w:val="Heading2"/>
      </w:pPr>
      <w:r>
        <w:t xml:space="preserve">14. Compliance Architecture</w:t>
      </w:r>
    </w:p>
    <w:bookmarkEnd w:id="145"/>
    <w:bookmarkStart w:id="146" w:name="governance-architecture-1"/>
    <w:p>
      <w:pPr>
        <w:pStyle w:val="Heading2"/>
      </w:pPr>
      <w:r>
        <w:t xml:space="preserve">15. Governance Architecture</w:t>
      </w:r>
    </w:p>
    <w:bookmarkEnd w:id="146"/>
    <w:bookmarkStart w:id="147" w:name="security-architecture-1"/>
    <w:p>
      <w:pPr>
        <w:pStyle w:val="Heading2"/>
      </w:pPr>
      <w:r>
        <w:t xml:space="preserve">16. Security Architecture</w:t>
      </w:r>
    </w:p>
    <w:bookmarkEnd w:id="147"/>
    <w:bookmarkStart w:id="148" w:name="ledger-architecture"/>
    <w:p>
      <w:pPr>
        <w:pStyle w:val="Heading2"/>
      </w:pPr>
      <w:r>
        <w:t xml:space="preserve">17. Ledger Architecture</w:t>
      </w:r>
    </w:p>
    <w:bookmarkEnd w:id="148"/>
    <w:bookmarkStart w:id="149" w:name="data-architecture"/>
    <w:p>
      <w:pPr>
        <w:pStyle w:val="Heading2"/>
      </w:pPr>
      <w:r>
        <w:t xml:space="preserve">18. Data Architecture</w:t>
      </w:r>
    </w:p>
    <w:bookmarkEnd w:id="149"/>
    <w:bookmarkStart w:id="150" w:name="api-architecture"/>
    <w:p>
      <w:pPr>
        <w:pStyle w:val="Heading2"/>
      </w:pPr>
      <w:r>
        <w:t xml:space="preserve">19. API Architecture</w:t>
      </w:r>
    </w:p>
    <w:bookmarkEnd w:id="150"/>
    <w:bookmarkStart w:id="151" w:name="messaging-architecture"/>
    <w:p>
      <w:pPr>
        <w:pStyle w:val="Heading2"/>
      </w:pPr>
      <w:r>
        <w:t xml:space="preserve">20. Messaging Architecture</w:t>
      </w:r>
    </w:p>
    <w:bookmarkEnd w:id="151"/>
    <w:bookmarkStart w:id="152" w:name="interoperability-architecture"/>
    <w:p>
      <w:pPr>
        <w:pStyle w:val="Heading2"/>
      </w:pPr>
      <w:r>
        <w:t xml:space="preserve">21. Interoperability Architecture</w:t>
      </w:r>
    </w:p>
    <w:bookmarkEnd w:id="152"/>
    <w:bookmarkStart w:id="153" w:name="swift-iso-20022-brics-interoperability"/>
    <w:p>
      <w:pPr>
        <w:pStyle w:val="Heading2"/>
      </w:pPr>
      <w:r>
        <w:t xml:space="preserve">22. SWIFT / ISO 20022 / BRICS Interoperability</w:t>
      </w:r>
    </w:p>
    <w:bookmarkEnd w:id="153"/>
    <w:bookmarkStart w:id="154" w:name="jurisdiction-architecture"/>
    <w:p>
      <w:pPr>
        <w:pStyle w:val="Heading2"/>
      </w:pPr>
      <w:r>
        <w:t xml:space="preserve">23. Jurisdiction Architecture</w:t>
      </w:r>
    </w:p>
    <w:bookmarkEnd w:id="154"/>
    <w:bookmarkStart w:id="155" w:name="accounting-architecture"/>
    <w:p>
      <w:pPr>
        <w:pStyle w:val="Heading2"/>
      </w:pPr>
      <w:r>
        <w:t xml:space="preserve">24. Accounting Architecture</w:t>
      </w:r>
    </w:p>
    <w:bookmarkEnd w:id="155"/>
    <w:bookmarkStart w:id="156" w:name="risk-architecture"/>
    <w:p>
      <w:pPr>
        <w:pStyle w:val="Heading2"/>
      </w:pPr>
      <w:r>
        <w:t xml:space="preserve">25. Risk Architecture</w:t>
      </w:r>
    </w:p>
    <w:bookmarkEnd w:id="156"/>
    <w:bookmarkStart w:id="157" w:name="operational-architecture"/>
    <w:p>
      <w:pPr>
        <w:pStyle w:val="Heading2"/>
      </w:pPr>
      <w:r>
        <w:t xml:space="preserve">26. Operational Architecture</w:t>
      </w:r>
    </w:p>
    <w:bookmarkEnd w:id="157"/>
    <w:bookmarkStart w:id="158" w:name="end-to-end-workflows"/>
    <w:p>
      <w:pPr>
        <w:pStyle w:val="Heading2"/>
      </w:pPr>
      <w:r>
        <w:t xml:space="preserve">27. End-to-End Workflows</w:t>
      </w:r>
    </w:p>
    <w:bookmarkEnd w:id="158"/>
    <w:bookmarkStart w:id="159" w:name="failure-emergency-architecture"/>
    <w:p>
      <w:pPr>
        <w:pStyle w:val="Heading2"/>
      </w:pPr>
      <w:r>
        <w:t xml:space="preserve">28. Failure &amp; Emergency Architecture</w:t>
      </w:r>
    </w:p>
    <w:bookmarkEnd w:id="159"/>
    <w:bookmarkStart w:id="160" w:name="reconciliation-architecture"/>
    <w:p>
      <w:pPr>
        <w:pStyle w:val="Heading2"/>
      </w:pPr>
      <w:r>
        <w:t xml:space="preserve">29. Reconciliation Architecture</w:t>
      </w:r>
    </w:p>
    <w:bookmarkEnd w:id="160"/>
    <w:bookmarkStart w:id="161" w:name="audit-assurance"/>
    <w:p>
      <w:pPr>
        <w:pStyle w:val="Heading2"/>
      </w:pPr>
      <w:r>
        <w:t xml:space="preserve">30. Audit &amp; Assurance</w:t>
      </w:r>
    </w:p>
    <w:bookmarkEnd w:id="161"/>
    <w:bookmarkStart w:id="162" w:name="technology-infrastructure"/>
    <w:p>
      <w:pPr>
        <w:pStyle w:val="Heading2"/>
      </w:pPr>
      <w:r>
        <w:t xml:space="preserve">31. Technology Infrastructure</w:t>
      </w:r>
    </w:p>
    <w:bookmarkEnd w:id="162"/>
    <w:bookmarkStart w:id="163" w:name="deployment-architecture"/>
    <w:p>
      <w:pPr>
        <w:pStyle w:val="Heading2"/>
      </w:pPr>
      <w:r>
        <w:t xml:space="preserve">32. Deployment Architecture</w:t>
      </w:r>
    </w:p>
    <w:bookmarkEnd w:id="163"/>
    <w:bookmarkStart w:id="164" w:name="testing-architecture"/>
    <w:p>
      <w:pPr>
        <w:pStyle w:val="Heading2"/>
      </w:pPr>
      <w:r>
        <w:t xml:space="preserve">33. Testing Architecture</w:t>
      </w:r>
    </w:p>
    <w:bookmarkEnd w:id="164"/>
    <w:bookmarkStart w:id="165" w:name="implementation-roadmap-1"/>
    <w:p>
      <w:pPr>
        <w:pStyle w:val="Heading2"/>
      </w:pPr>
      <w:r>
        <w:t xml:space="preserve">34. Implementation Roadmap</w:t>
      </w:r>
    </w:p>
    <w:bookmarkEnd w:id="165"/>
    <w:bookmarkStart w:id="166" w:name="institutional-adoption-strategy"/>
    <w:p>
      <w:pPr>
        <w:pStyle w:val="Heading2"/>
      </w:pPr>
      <w:r>
        <w:t xml:space="preserve">35. Institutional Adoption Strategy</w:t>
      </w:r>
    </w:p>
    <w:bookmarkEnd w:id="166"/>
    <w:bookmarkStart w:id="167" w:name="economic-sustainability"/>
    <w:p>
      <w:pPr>
        <w:pStyle w:val="Heading2"/>
      </w:pPr>
      <w:r>
        <w:t xml:space="preserve">36. Economic Sustainability</w:t>
      </w:r>
    </w:p>
    <w:bookmarkEnd w:id="167"/>
    <w:bookmarkStart w:id="168" w:name="global-expansion-model"/>
    <w:p>
      <w:pPr>
        <w:pStyle w:val="Heading2"/>
      </w:pPr>
      <w:r>
        <w:t xml:space="preserve">37. Global Expansion Model</w:t>
      </w:r>
    </w:p>
    <w:bookmarkEnd w:id="168"/>
    <w:bookmarkStart w:id="169" w:name="version-control-1"/>
    <w:p>
      <w:pPr>
        <w:pStyle w:val="Heading2"/>
      </w:pPr>
      <w:r>
        <w:t xml:space="preserve">38. Version Control</w:t>
      </w:r>
    </w:p>
    <w:bookmarkEnd w:id="169"/>
    <w:bookmarkStart w:id="170" w:name="change-register"/>
    <w:p>
      <w:pPr>
        <w:pStyle w:val="Heading2"/>
      </w:pPr>
      <w:r>
        <w:t xml:space="preserve">39. Change Register</w:t>
      </w:r>
    </w:p>
    <w:bookmarkEnd w:id="170"/>
    <w:bookmarkStart w:id="171" w:name="contradiction-audit-1"/>
    <w:p>
      <w:pPr>
        <w:pStyle w:val="Heading2"/>
      </w:pPr>
      <w:r>
        <w:t xml:space="preserve">40. Contradiction Audit</w:t>
      </w:r>
    </w:p>
    <w:bookmarkEnd w:id="171"/>
    <w:bookmarkStart w:id="172" w:name="assumptions-open-questions-tbd"/>
    <w:p>
      <w:pPr>
        <w:pStyle w:val="Heading2"/>
      </w:pPr>
      <w:r>
        <w:t xml:space="preserve">41. Assumptions / Open Questions / TBD</w:t>
      </w:r>
    </w:p>
    <w:bookmarkEnd w:id="172"/>
    <w:bookmarkStart w:id="173" w:name="glossary"/>
    <w:p>
      <w:pPr>
        <w:pStyle w:val="Heading2"/>
      </w:pPr>
      <w:r>
        <w:t xml:space="preserve">42. Glossary</w:t>
      </w:r>
    </w:p>
    <w:bookmarkEnd w:id="173"/>
    <w:bookmarkStart w:id="174" w:name="production-readiness-checklist-1"/>
    <w:p>
      <w:pPr>
        <w:pStyle w:val="Heading2"/>
      </w:pPr>
      <w:r>
        <w:t xml:space="preserve">43. Production Readiness Checklist</w:t>
      </w:r>
    </w:p>
    <w:bookmarkEnd w:id="174"/>
    <w:bookmarkStart w:id="175" w:name="appendices"/>
    <w:p>
      <w:pPr>
        <w:pStyle w:val="Heading2"/>
      </w:pPr>
      <w:r>
        <w:t xml:space="preserve">44. Appendices</w:t>
      </w:r>
    </w:p>
    <w:p>
      <w:pPr>
        <w:pStyle w:val="FirstParagraph"/>
      </w:pPr>
      <w:r>
        <w:t xml:space="preserve">You may improve this structure where necessary, but do not omit important information merely to fit the structure.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7" w:name="document-quality-standard"/>
    <w:p>
      <w:pPr>
        <w:pStyle w:val="Heading1"/>
      </w:pPr>
      <w:r>
        <w:t xml:space="preserve">39. DOCUMENT QUALITY STANDARD</w:t>
      </w:r>
    </w:p>
    <w:p>
      <w:pPr>
        <w:pStyle w:val="FirstParagraph"/>
      </w:pPr>
      <w:r>
        <w:t xml:space="preserve">The final blueprint must read like a combination of:</w:t>
      </w:r>
    </w:p>
    <w:p>
      <w:pPr>
        <w:pStyle w:val="Compact"/>
        <w:numPr>
          <w:ilvl w:val="0"/>
          <w:numId w:val="1054"/>
        </w:numPr>
      </w:pPr>
      <w:r>
        <w:t xml:space="preserve">institutional architecture document;</w:t>
      </w:r>
    </w:p>
    <w:p>
      <w:pPr>
        <w:pStyle w:val="Compact"/>
        <w:numPr>
          <w:ilvl w:val="0"/>
          <w:numId w:val="1054"/>
        </w:numPr>
      </w:pPr>
      <w:r>
        <w:t xml:space="preserve">monetary-system design document;</w:t>
      </w:r>
    </w:p>
    <w:p>
      <w:pPr>
        <w:pStyle w:val="Compact"/>
        <w:numPr>
          <w:ilvl w:val="0"/>
          <w:numId w:val="1054"/>
        </w:numPr>
      </w:pPr>
      <w:r>
        <w:t xml:space="preserve">enterprise technical architecture;</w:t>
      </w:r>
    </w:p>
    <w:p>
      <w:pPr>
        <w:pStyle w:val="Compact"/>
        <w:numPr>
          <w:ilvl w:val="0"/>
          <w:numId w:val="1054"/>
        </w:numPr>
      </w:pPr>
      <w:r>
        <w:t xml:space="preserve">banking infrastructure specification;</w:t>
      </w:r>
    </w:p>
    <w:p>
      <w:pPr>
        <w:pStyle w:val="Compact"/>
        <w:numPr>
          <w:ilvl w:val="0"/>
          <w:numId w:val="1054"/>
        </w:numPr>
      </w:pPr>
      <w:r>
        <w:t xml:space="preserve">CFO/treasury architecture;</w:t>
      </w:r>
    </w:p>
    <w:p>
      <w:pPr>
        <w:pStyle w:val="Compact"/>
        <w:numPr>
          <w:ilvl w:val="0"/>
          <w:numId w:val="1054"/>
        </w:numPr>
      </w:pPr>
      <w:r>
        <w:t xml:space="preserve">operational blueprint;</w:t>
      </w:r>
    </w:p>
    <w:p>
      <w:pPr>
        <w:pStyle w:val="Compact"/>
        <w:numPr>
          <w:ilvl w:val="0"/>
          <w:numId w:val="1054"/>
        </w:numPr>
      </w:pPr>
      <w:r>
        <w:t xml:space="preserve">regulatory architecture framework;</w:t>
      </w:r>
    </w:p>
    <w:p>
      <w:pPr>
        <w:pStyle w:val="Compact"/>
        <w:numPr>
          <w:ilvl w:val="0"/>
          <w:numId w:val="1054"/>
        </w:numPr>
      </w:pPr>
      <w:r>
        <w:t xml:space="preserve">implementation master plan.</w:t>
      </w:r>
    </w:p>
    <w:p>
      <w:pPr>
        <w:pStyle w:val="FirstParagraph"/>
      </w:pPr>
      <w:r>
        <w:t xml:space="preserve">It must be suitable as a foundation for future review by:</w:t>
      </w:r>
    </w:p>
    <w:p>
      <w:pPr>
        <w:pStyle w:val="Compact"/>
        <w:numPr>
          <w:ilvl w:val="0"/>
          <w:numId w:val="1055"/>
        </w:numPr>
      </w:pPr>
      <w:r>
        <w:t xml:space="preserve">banks;</w:t>
      </w:r>
    </w:p>
    <w:p>
      <w:pPr>
        <w:pStyle w:val="Compact"/>
        <w:numPr>
          <w:ilvl w:val="0"/>
          <w:numId w:val="1055"/>
        </w:numPr>
      </w:pPr>
      <w:r>
        <w:t xml:space="preserve">central banks;</w:t>
      </w:r>
    </w:p>
    <w:p>
      <w:pPr>
        <w:pStyle w:val="Compact"/>
        <w:numPr>
          <w:ilvl w:val="0"/>
          <w:numId w:val="1055"/>
        </w:numPr>
      </w:pPr>
      <w:r>
        <w:t xml:space="preserve">sovereign institutions;</w:t>
      </w:r>
    </w:p>
    <w:p>
      <w:pPr>
        <w:pStyle w:val="Compact"/>
        <w:numPr>
          <w:ilvl w:val="0"/>
          <w:numId w:val="1055"/>
        </w:numPr>
      </w:pPr>
      <w:r>
        <w:t xml:space="preserve">regulators;</w:t>
      </w:r>
    </w:p>
    <w:p>
      <w:pPr>
        <w:pStyle w:val="Compact"/>
        <w:numPr>
          <w:ilvl w:val="0"/>
          <w:numId w:val="1055"/>
        </w:numPr>
      </w:pPr>
      <w:r>
        <w:t xml:space="preserve">institutional partners;</w:t>
      </w:r>
    </w:p>
    <w:p>
      <w:pPr>
        <w:pStyle w:val="Compact"/>
        <w:numPr>
          <w:ilvl w:val="0"/>
          <w:numId w:val="1055"/>
        </w:numPr>
      </w:pPr>
      <w:r>
        <w:t xml:space="preserve">auditors;</w:t>
      </w:r>
    </w:p>
    <w:p>
      <w:pPr>
        <w:pStyle w:val="Compact"/>
        <w:numPr>
          <w:ilvl w:val="0"/>
          <w:numId w:val="1055"/>
        </w:numPr>
      </w:pPr>
      <w:r>
        <w:t xml:space="preserve">lawyers;</w:t>
      </w:r>
    </w:p>
    <w:p>
      <w:pPr>
        <w:pStyle w:val="Compact"/>
        <w:numPr>
          <w:ilvl w:val="0"/>
          <w:numId w:val="1055"/>
        </w:numPr>
      </w:pPr>
      <w:r>
        <w:t xml:space="preserve">economists;</w:t>
      </w:r>
    </w:p>
    <w:p>
      <w:pPr>
        <w:pStyle w:val="Compact"/>
        <w:numPr>
          <w:ilvl w:val="0"/>
          <w:numId w:val="1055"/>
        </w:numPr>
      </w:pPr>
      <w:r>
        <w:t xml:space="preserve">CTOs;</w:t>
      </w:r>
    </w:p>
    <w:p>
      <w:pPr>
        <w:pStyle w:val="Compact"/>
        <w:numPr>
          <w:ilvl w:val="0"/>
          <w:numId w:val="1055"/>
        </w:numPr>
      </w:pPr>
      <w:r>
        <w:t xml:space="preserve">CFOs;</w:t>
      </w:r>
    </w:p>
    <w:p>
      <w:pPr>
        <w:pStyle w:val="Compact"/>
        <w:numPr>
          <w:ilvl w:val="0"/>
          <w:numId w:val="1055"/>
        </w:numPr>
      </w:pPr>
      <w:r>
        <w:t xml:space="preserve">enterprise architects;</w:t>
      </w:r>
    </w:p>
    <w:p>
      <w:pPr>
        <w:pStyle w:val="Compact"/>
        <w:numPr>
          <w:ilvl w:val="0"/>
          <w:numId w:val="1055"/>
        </w:numPr>
      </w:pPr>
      <w:r>
        <w:t xml:space="preserve">security teams;</w:t>
      </w:r>
    </w:p>
    <w:p>
      <w:pPr>
        <w:pStyle w:val="Compact"/>
        <w:numPr>
          <w:ilvl w:val="0"/>
          <w:numId w:val="1055"/>
        </w:numPr>
      </w:pPr>
      <w:r>
        <w:t xml:space="preserve">development teams.</w:t>
      </w:r>
    </w:p>
    <w:p>
      <w:pPr>
        <w:pStyle w:val="FirstParagraph"/>
      </w:pPr>
      <w:r>
        <w:t xml:space="preserve">Do not produce marketing language where technical precision is required.</w:t>
      </w:r>
    </w:p>
    <w:p>
      <w:r>
        <w:pict>
          <v:rect style="width:0;height:1.5pt" o:hralign="center" o:hrstd="t" o:hr="t"/>
        </w:pict>
      </w:r>
    </w:p>
    <w:bookmarkEnd w:id="177"/>
    <w:bookmarkStart w:id="178" w:name="depth-requirement"/>
    <w:p>
      <w:pPr>
        <w:pStyle w:val="Heading1"/>
      </w:pPr>
      <w:r>
        <w:t xml:space="preserve">40. DEPTH REQUIREMENT</w:t>
      </w:r>
    </w:p>
    <w:p>
      <w:pPr>
        <w:pStyle w:val="FirstParagraph"/>
      </w:pPr>
      <w:r>
        <w:t xml:space="preserve">Do NOT generate a short summary.</w:t>
      </w:r>
    </w:p>
    <w:p>
      <w:pPr>
        <w:pStyle w:val="BodyText"/>
      </w:pPr>
      <w:r>
        <w:t xml:space="preserve">Generate the</w:t>
      </w:r>
      <w:r>
        <w:t xml:space="preserve"> </w:t>
      </w:r>
      <w:r>
        <w:rPr>
          <w:b/>
          <w:bCs/>
        </w:rPr>
        <w:t xml:space="preserve">fully expanded master blueprint</w:t>
      </w:r>
      <w:r>
        <w:t xml:space="preserve">.</w:t>
      </w:r>
    </w:p>
    <w:p>
      <w:pPr>
        <w:pStyle w:val="BodyText"/>
      </w:pPr>
      <w:r>
        <w:t xml:space="preserve">Every important section must include sufficient detail to allow:</w:t>
      </w:r>
    </w:p>
    <w:p>
      <w:pPr>
        <w:pStyle w:val="Compact"/>
        <w:numPr>
          <w:ilvl w:val="0"/>
          <w:numId w:val="1056"/>
        </w:numPr>
      </w:pPr>
      <w:r>
        <w:t xml:space="preserve">understanding;</w:t>
      </w:r>
    </w:p>
    <w:p>
      <w:pPr>
        <w:pStyle w:val="Compact"/>
        <w:numPr>
          <w:ilvl w:val="0"/>
          <w:numId w:val="1056"/>
        </w:numPr>
      </w:pPr>
      <w:r>
        <w:t xml:space="preserve">architecture review;</w:t>
      </w:r>
    </w:p>
    <w:p>
      <w:pPr>
        <w:pStyle w:val="Compact"/>
        <w:numPr>
          <w:ilvl w:val="0"/>
          <w:numId w:val="1056"/>
        </w:numPr>
      </w:pPr>
      <w:r>
        <w:t xml:space="preserve">financial review;</w:t>
      </w:r>
    </w:p>
    <w:p>
      <w:pPr>
        <w:pStyle w:val="Compact"/>
        <w:numPr>
          <w:ilvl w:val="0"/>
          <w:numId w:val="1056"/>
        </w:numPr>
      </w:pPr>
      <w:r>
        <w:t xml:space="preserve">regulatory review;</w:t>
      </w:r>
    </w:p>
    <w:p>
      <w:pPr>
        <w:pStyle w:val="Compact"/>
        <w:numPr>
          <w:ilvl w:val="0"/>
          <w:numId w:val="1056"/>
        </w:numPr>
      </w:pPr>
      <w:r>
        <w:t xml:space="preserve">technical implementation;</w:t>
      </w:r>
    </w:p>
    <w:p>
      <w:pPr>
        <w:pStyle w:val="Compact"/>
        <w:numPr>
          <w:ilvl w:val="0"/>
          <w:numId w:val="1056"/>
        </w:numPr>
      </w:pPr>
      <w:r>
        <w:t xml:space="preserve">operational planning;</w:t>
      </w:r>
    </w:p>
    <w:p>
      <w:pPr>
        <w:pStyle w:val="Compact"/>
        <w:numPr>
          <w:ilvl w:val="0"/>
          <w:numId w:val="1056"/>
        </w:numPr>
      </w:pPr>
      <w:r>
        <w:t xml:space="preserve">institutional discussion;</w:t>
      </w:r>
    </w:p>
    <w:p>
      <w:pPr>
        <w:pStyle w:val="Compact"/>
        <w:numPr>
          <w:ilvl w:val="0"/>
          <w:numId w:val="1056"/>
        </w:numPr>
      </w:pPr>
      <w:r>
        <w:t xml:space="preserve">future development.</w:t>
      </w:r>
    </w:p>
    <w:p>
      <w:pPr>
        <w:pStyle w:val="FirstParagraph"/>
      </w:pPr>
      <w:r>
        <w:t xml:space="preserve">Where appropriate, include:</w:t>
      </w:r>
    </w:p>
    <w:p>
      <w:pPr>
        <w:pStyle w:val="Compact"/>
        <w:numPr>
          <w:ilvl w:val="0"/>
          <w:numId w:val="1057"/>
        </w:numPr>
      </w:pPr>
      <w:r>
        <w:t xml:space="preserve">tables;</w:t>
      </w:r>
    </w:p>
    <w:p>
      <w:pPr>
        <w:pStyle w:val="Compact"/>
        <w:numPr>
          <w:ilvl w:val="0"/>
          <w:numId w:val="1057"/>
        </w:numPr>
      </w:pPr>
      <w:r>
        <w:t xml:space="preserve">structured requirements;</w:t>
      </w:r>
    </w:p>
    <w:p>
      <w:pPr>
        <w:pStyle w:val="Compact"/>
        <w:numPr>
          <w:ilvl w:val="0"/>
          <w:numId w:val="1057"/>
        </w:numPr>
      </w:pPr>
      <w:r>
        <w:t xml:space="preserve">state models;</w:t>
      </w:r>
    </w:p>
    <w:p>
      <w:pPr>
        <w:pStyle w:val="Compact"/>
        <w:numPr>
          <w:ilvl w:val="0"/>
          <w:numId w:val="1057"/>
        </w:numPr>
      </w:pPr>
      <w:r>
        <w:t xml:space="preserve">workflows;</w:t>
      </w:r>
    </w:p>
    <w:p>
      <w:pPr>
        <w:pStyle w:val="Compact"/>
        <w:numPr>
          <w:ilvl w:val="0"/>
          <w:numId w:val="1057"/>
        </w:numPr>
      </w:pPr>
      <w:r>
        <w:t xml:space="preserve">examples;</w:t>
      </w:r>
    </w:p>
    <w:p>
      <w:pPr>
        <w:pStyle w:val="Compact"/>
        <w:numPr>
          <w:ilvl w:val="0"/>
          <w:numId w:val="1057"/>
        </w:numPr>
      </w:pPr>
      <w:r>
        <w:t xml:space="preserve">decision matrices;</w:t>
      </w:r>
    </w:p>
    <w:p>
      <w:pPr>
        <w:pStyle w:val="Compact"/>
        <w:numPr>
          <w:ilvl w:val="0"/>
          <w:numId w:val="1057"/>
        </w:numPr>
      </w:pPr>
      <w:r>
        <w:t xml:space="preserve">dependency matrices;</w:t>
      </w:r>
    </w:p>
    <w:p>
      <w:pPr>
        <w:pStyle w:val="Compact"/>
        <w:numPr>
          <w:ilvl w:val="0"/>
          <w:numId w:val="1057"/>
        </w:numPr>
      </w:pPr>
      <w:r>
        <w:t xml:space="preserve">risk matrices;</w:t>
      </w:r>
    </w:p>
    <w:p>
      <w:pPr>
        <w:pStyle w:val="Compact"/>
        <w:numPr>
          <w:ilvl w:val="0"/>
          <w:numId w:val="1057"/>
        </w:numPr>
      </w:pPr>
      <w:r>
        <w:t xml:space="preserve">architecture layers;</w:t>
      </w:r>
    </w:p>
    <w:p>
      <w:pPr>
        <w:pStyle w:val="Compact"/>
        <w:numPr>
          <w:ilvl w:val="0"/>
          <w:numId w:val="1057"/>
        </w:numPr>
      </w:pPr>
      <w:r>
        <w:t xml:space="preserve">acceptance criteria.</w:t>
      </w:r>
    </w:p>
    <w:p>
      <w:r>
        <w:pict>
          <v:rect style="width:0;height:1.5pt" o:hralign="center" o:hrstd="t" o:hr="t"/>
        </w:pict>
      </w:r>
    </w:p>
    <w:bookmarkEnd w:id="178"/>
    <w:bookmarkStart w:id="191" w:name="final-validation-before-output"/>
    <w:p>
      <w:pPr>
        <w:pStyle w:val="Heading1"/>
      </w:pPr>
      <w:r>
        <w:t xml:space="preserve">41. FINAL VALIDATION BEFORE OUTPUT</w:t>
      </w:r>
    </w:p>
    <w:p>
      <w:pPr>
        <w:pStyle w:val="FirstParagraph"/>
      </w:pPr>
      <w:r>
        <w:t xml:space="preserve">Before returning the final document, execute this internal validation sequence:</w:t>
      </w:r>
    </w:p>
    <w:bookmarkStart w:id="179" w:name="validation-a-completeness"/>
    <w:p>
      <w:pPr>
        <w:pStyle w:val="Heading3"/>
      </w:pPr>
      <w:r>
        <w:t xml:space="preserve">Validation A — Completeness</w:t>
      </w:r>
    </w:p>
    <w:p>
      <w:pPr>
        <w:pStyle w:val="FirstParagraph"/>
      </w:pPr>
      <w:r>
        <w:t xml:space="preserve">Did every important original component survive?</w:t>
      </w:r>
    </w:p>
    <w:bookmarkEnd w:id="179"/>
    <w:bookmarkStart w:id="180" w:name="validation-b-modification-coverage"/>
    <w:p>
      <w:pPr>
        <w:pStyle w:val="Heading3"/>
      </w:pPr>
      <w:r>
        <w:t xml:space="preserve">Validation B — Modification Coverage</w:t>
      </w:r>
    </w:p>
    <w:p>
      <w:pPr>
        <w:pStyle w:val="FirstParagraph"/>
      </w:pPr>
      <w:r>
        <w:t xml:space="preserve">Did every approved modification become integrated?</w:t>
      </w:r>
    </w:p>
    <w:bookmarkEnd w:id="180"/>
    <w:bookmarkStart w:id="181" w:name="validation-c-non-contradiction"/>
    <w:p>
      <w:pPr>
        <w:pStyle w:val="Heading3"/>
      </w:pPr>
      <w:r>
        <w:t xml:space="preserve">Validation C — Non-Contradiction</w:t>
      </w:r>
    </w:p>
    <w:p>
      <w:pPr>
        <w:pStyle w:val="FirstParagraph"/>
      </w:pPr>
      <w:r>
        <w:t xml:space="preserve">Do all sections agree with the current architecture?</w:t>
      </w:r>
    </w:p>
    <w:bookmarkEnd w:id="181"/>
    <w:bookmarkStart w:id="182" w:name="validation-d-terminology"/>
    <w:p>
      <w:pPr>
        <w:pStyle w:val="Heading3"/>
      </w:pPr>
      <w:r>
        <w:t xml:space="preserve">Validation D — Terminology</w:t>
      </w:r>
    </w:p>
    <w:p>
      <w:pPr>
        <w:pStyle w:val="FirstParagraph"/>
      </w:pPr>
      <w:r>
        <w:t xml:space="preserve">Are all critical terms used consistently?</w:t>
      </w:r>
    </w:p>
    <w:bookmarkEnd w:id="182"/>
    <w:bookmarkStart w:id="183" w:name="validation-e-economic-consistency"/>
    <w:p>
      <w:pPr>
        <w:pStyle w:val="Heading3"/>
      </w:pPr>
      <w:r>
        <w:t xml:space="preserve">Validation E — Economic Consistency</w:t>
      </w:r>
    </w:p>
    <w:p>
      <w:pPr>
        <w:pStyle w:val="FirstParagraph"/>
      </w:pPr>
      <w:r>
        <w:t xml:space="preserve">Do issuance, reserves, settlement, redemption, accounting and liquidity all reconcile?</w:t>
      </w:r>
    </w:p>
    <w:bookmarkEnd w:id="183"/>
    <w:bookmarkStart w:id="184" w:name="validation-f-banking-consistency"/>
    <w:p>
      <w:pPr>
        <w:pStyle w:val="Heading3"/>
      </w:pPr>
      <w:r>
        <w:t xml:space="preserve">Validation F — Banking Consistency</w:t>
      </w:r>
    </w:p>
    <w:p>
      <w:pPr>
        <w:pStyle w:val="FirstParagraph"/>
      </w:pPr>
      <w:r>
        <w:t xml:space="preserve">Does the Bank Gateway architecture agree with the institutional and settlement architecture?</w:t>
      </w:r>
    </w:p>
    <w:bookmarkEnd w:id="184"/>
    <w:bookmarkStart w:id="185" w:name="validation-g-regulatory-consistency"/>
    <w:p>
      <w:pPr>
        <w:pStyle w:val="Heading3"/>
      </w:pPr>
      <w:r>
        <w:t xml:space="preserve">Validation G — Regulatory Consistency</w:t>
      </w:r>
    </w:p>
    <w:p>
      <w:pPr>
        <w:pStyle w:val="FirstParagraph"/>
      </w:pPr>
      <w:r>
        <w:t xml:space="preserve">Are regulatory assumptions properly separated from architectural capabilities?</w:t>
      </w:r>
    </w:p>
    <w:bookmarkEnd w:id="185"/>
    <w:bookmarkStart w:id="186" w:name="validation-h-technical-consistency"/>
    <w:p>
      <w:pPr>
        <w:pStyle w:val="Heading3"/>
      </w:pPr>
      <w:r>
        <w:t xml:space="preserve">Validation H — Technical Consistency</w:t>
      </w:r>
    </w:p>
    <w:p>
      <w:pPr>
        <w:pStyle w:val="FirstParagraph"/>
      </w:pPr>
      <w:r>
        <w:t xml:space="preserve">Do services, data flows, APIs, events, ledger and security architecture agree?</w:t>
      </w:r>
    </w:p>
    <w:bookmarkEnd w:id="186"/>
    <w:bookmarkStart w:id="187" w:name="validation-i-operational-consistency"/>
    <w:p>
      <w:pPr>
        <w:pStyle w:val="Heading3"/>
      </w:pPr>
      <w:r>
        <w:t xml:space="preserve">Validation I — Operational Consistency</w:t>
      </w:r>
    </w:p>
    <w:p>
      <w:pPr>
        <w:pStyle w:val="FirstParagraph"/>
      </w:pPr>
      <w:r>
        <w:t xml:space="preserve">Can the workflows actually operate as described?</w:t>
      </w:r>
    </w:p>
    <w:bookmarkEnd w:id="187"/>
    <w:bookmarkStart w:id="188" w:name="validation-j-version-consistency"/>
    <w:p>
      <w:pPr>
        <w:pStyle w:val="Heading3"/>
      </w:pPr>
      <w:r>
        <w:t xml:space="preserve">Validation J — Version Consistency</w:t>
      </w:r>
    </w:p>
    <w:p>
      <w:pPr>
        <w:pStyle w:val="FirstParagraph"/>
      </w:pPr>
      <w:r>
        <w:t xml:space="preserve">Is there one clearly identified authoritative current version?</w:t>
      </w:r>
    </w:p>
    <w:bookmarkEnd w:id="188"/>
    <w:bookmarkStart w:id="189" w:name="validation-k-change-traceability"/>
    <w:p>
      <w:pPr>
        <w:pStyle w:val="Heading3"/>
      </w:pPr>
      <w:r>
        <w:t xml:space="preserve">Validation K — Change Traceability</w:t>
      </w:r>
    </w:p>
    <w:p>
      <w:pPr>
        <w:pStyle w:val="FirstParagraph"/>
      </w:pPr>
      <w:r>
        <w:t xml:space="preserve">Can every major modification be traced to its prior state and approved update?</w:t>
      </w:r>
    </w:p>
    <w:bookmarkEnd w:id="189"/>
    <w:bookmarkStart w:id="190" w:name="validation-l-production-readiness"/>
    <w:p>
      <w:pPr>
        <w:pStyle w:val="Heading3"/>
      </w:pPr>
      <w:r>
        <w:t xml:space="preserve">Validation L — Production Readiness</w:t>
      </w:r>
    </w:p>
    <w:p>
      <w:pPr>
        <w:pStyle w:val="FirstParagraph"/>
      </w:pPr>
      <w:r>
        <w:t xml:space="preserve">Are the implementation and testing requirements complete?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9" w:name="required-final-output"/>
    <w:p>
      <w:pPr>
        <w:pStyle w:val="Heading1"/>
      </w:pPr>
      <w:r>
        <w:t xml:space="preserve">42. REQUIRED FINAL OUTPUT</w:t>
      </w:r>
    </w:p>
    <w:p>
      <w:pPr>
        <w:pStyle w:val="FirstParagraph"/>
      </w:pPr>
      <w:r>
        <w:t xml:space="preserve">Return the following in order:</w:t>
      </w:r>
    </w:p>
    <w:bookmarkStart w:id="192" w:name="part-a-reconciliation-report"/>
    <w:p>
      <w:pPr>
        <w:pStyle w:val="Heading2"/>
      </w:pPr>
      <w:r>
        <w:t xml:space="preserve">PART A — RECONCILIATION REPORT</w:t>
      </w:r>
    </w:p>
    <w:p>
      <w:pPr>
        <w:pStyle w:val="FirstParagraph"/>
      </w:pPr>
      <w:r>
        <w:t xml:space="preserve">Summarize what was found during comparison between the original blueprint and the latest project history.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58"/>
        </w:numPr>
      </w:pPr>
      <w:r>
        <w:t xml:space="preserve">unchanged components;</w:t>
      </w:r>
    </w:p>
    <w:p>
      <w:pPr>
        <w:pStyle w:val="Compact"/>
        <w:numPr>
          <w:ilvl w:val="0"/>
          <w:numId w:val="1058"/>
        </w:numPr>
      </w:pPr>
      <w:r>
        <w:t xml:space="preserve">modified components;</w:t>
      </w:r>
    </w:p>
    <w:p>
      <w:pPr>
        <w:pStyle w:val="Compact"/>
        <w:numPr>
          <w:ilvl w:val="0"/>
          <w:numId w:val="1058"/>
        </w:numPr>
      </w:pPr>
      <w:r>
        <w:t xml:space="preserve">replaced components;</w:t>
      </w:r>
    </w:p>
    <w:p>
      <w:pPr>
        <w:pStyle w:val="Compact"/>
        <w:numPr>
          <w:ilvl w:val="0"/>
          <w:numId w:val="1058"/>
        </w:numPr>
      </w:pPr>
      <w:r>
        <w:t xml:space="preserve">new components;</w:t>
      </w:r>
    </w:p>
    <w:p>
      <w:pPr>
        <w:pStyle w:val="Compact"/>
        <w:numPr>
          <w:ilvl w:val="0"/>
          <w:numId w:val="1058"/>
        </w:numPr>
      </w:pPr>
      <w:r>
        <w:t xml:space="preserve">deprecated components;</w:t>
      </w:r>
    </w:p>
    <w:p>
      <w:pPr>
        <w:pStyle w:val="Compact"/>
        <w:numPr>
          <w:ilvl w:val="0"/>
          <w:numId w:val="1058"/>
        </w:numPr>
      </w:pPr>
      <w:r>
        <w:t xml:space="preserve">contradictions found;</w:t>
      </w:r>
    </w:p>
    <w:p>
      <w:pPr>
        <w:pStyle w:val="Compact"/>
        <w:numPr>
          <w:ilvl w:val="0"/>
          <w:numId w:val="1058"/>
        </w:numPr>
      </w:pPr>
      <w:r>
        <w:t xml:space="preserve">contradictions resolved;</w:t>
      </w:r>
    </w:p>
    <w:p>
      <w:pPr>
        <w:pStyle w:val="Compact"/>
        <w:numPr>
          <w:ilvl w:val="0"/>
          <w:numId w:val="1058"/>
        </w:numPr>
      </w:pPr>
      <w:r>
        <w:t xml:space="preserve">unresolved items.</w:t>
      </w:r>
    </w:p>
    <w:bookmarkEnd w:id="192"/>
    <w:bookmarkStart w:id="193" w:name="part-b-current-canonical-architecture"/>
    <w:p>
      <w:pPr>
        <w:pStyle w:val="Heading2"/>
      </w:pPr>
      <w:r>
        <w:t xml:space="preserve">PART B — CURRENT CANONICAL ARCHITECTURE</w:t>
      </w:r>
    </w:p>
    <w:p>
      <w:pPr>
        <w:pStyle w:val="FirstParagraph"/>
      </w:pPr>
      <w:r>
        <w:t xml:space="preserve">Provide a concise authoritative architectural overview.</w:t>
      </w:r>
    </w:p>
    <w:bookmarkEnd w:id="193"/>
    <w:bookmarkStart w:id="194" w:name="part-c-full-new-mithqal-master-blueprint"/>
    <w:p>
      <w:pPr>
        <w:pStyle w:val="Heading2"/>
      </w:pPr>
      <w:r>
        <w:t xml:space="preserve">PART C — FULL NEW MITHQAL MASTER BLUEPRINT</w:t>
      </w:r>
    </w:p>
    <w:p>
      <w:pPr>
        <w:pStyle w:val="FirstParagraph"/>
      </w:pPr>
      <w:r>
        <w:t xml:space="preserve">Generate the complete rebuilt blueprint from scratch.</w:t>
      </w:r>
    </w:p>
    <w:bookmarkEnd w:id="194"/>
    <w:bookmarkStart w:id="195" w:name="part-d-complete-change-register"/>
    <w:p>
      <w:pPr>
        <w:pStyle w:val="Heading2"/>
      </w:pPr>
      <w:r>
        <w:t xml:space="preserve">PART D — COMPLETE CHANGE REGISTER</w:t>
      </w:r>
    </w:p>
    <w:p>
      <w:pPr>
        <w:pStyle w:val="FirstParagraph"/>
      </w:pPr>
      <w:r>
        <w:t xml:space="preserve">Show what changed relative to the original blueprint.</w:t>
      </w:r>
    </w:p>
    <w:bookmarkEnd w:id="195"/>
    <w:bookmarkStart w:id="196" w:name="part-e-contradiction-consistency-audit"/>
    <w:p>
      <w:pPr>
        <w:pStyle w:val="Heading2"/>
      </w:pPr>
      <w:r>
        <w:t xml:space="preserve">PART E — CONTRADICTION &amp; CONSISTENCY AUDIT</w:t>
      </w:r>
    </w:p>
    <w:p>
      <w:pPr>
        <w:pStyle w:val="FirstParagraph"/>
      </w:pPr>
      <w:r>
        <w:t xml:space="preserve">Show the final verification results.</w:t>
      </w:r>
    </w:p>
    <w:bookmarkEnd w:id="196"/>
    <w:bookmarkStart w:id="197" w:name="part-f-open-items-tbd"/>
    <w:p>
      <w:pPr>
        <w:pStyle w:val="Heading2"/>
      </w:pPr>
      <w:r>
        <w:t xml:space="preserve">PART F — OPEN ITEMS / TBD</w:t>
      </w:r>
    </w:p>
    <w:p>
      <w:pPr>
        <w:pStyle w:val="FirstParagraph"/>
      </w:pPr>
      <w:r>
        <w:t xml:space="preserve">List anything that cannot responsibly be determined from the available information.</w:t>
      </w:r>
    </w:p>
    <w:bookmarkEnd w:id="197"/>
    <w:bookmarkStart w:id="198" w:name="X90813310f0f06a0cb395e571f4bf42c7e4716ad"/>
    <w:p>
      <w:pPr>
        <w:pStyle w:val="Heading2"/>
      </w:pPr>
      <w:r>
        <w:t xml:space="preserve">PART G — FINAL PRODUCTION-READINESS CHECKLIST</w:t>
      </w:r>
    </w:p>
    <w:p>
      <w:pPr>
        <w:pStyle w:val="FirstParagraph"/>
      </w:pPr>
      <w:r>
        <w:t xml:space="preserve">Provide the detailed implementation and institutional-readiness checklist.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most-important-instruction"/>
    <w:p>
      <w:pPr>
        <w:pStyle w:val="Heading1"/>
      </w:pPr>
      <w:r>
        <w:t xml:space="preserve">43. MOST IMPORTANT INSTRUCTION</w:t>
      </w:r>
    </w:p>
    <w:p>
      <w:pPr>
        <w:pStyle w:val="FirstParagraph"/>
      </w:pPr>
      <w:r>
        <w:t xml:space="preserve">Do not optimize for brevity.</w:t>
      </w:r>
    </w:p>
    <w:p>
      <w:pPr>
        <w:pStyle w:val="BodyText"/>
      </w:pPr>
      <w:r>
        <w:t xml:space="preserve">Optimize for:</w:t>
      </w:r>
    </w:p>
    <w:p>
      <w:pPr>
        <w:pStyle w:val="BodyText"/>
      </w:pPr>
      <w:r>
        <w:rPr>
          <w:b/>
          <w:bCs/>
        </w:rPr>
        <w:t xml:space="preserve">accuracy + completeness + consistency + traceability + professionalism + implementation-readiness.</w:t>
      </w:r>
    </w:p>
    <w:p>
      <w:pPr>
        <w:pStyle w:val="BodyText"/>
      </w:pPr>
      <w:r>
        <w:t xml:space="preserve">The objective is not to create a</w:t>
      </w:r>
      <w:r>
        <w:t xml:space="preserve"> </w:t>
      </w:r>
      <w:r>
        <w:t xml:space="preserve">“</w:t>
      </w:r>
      <w:r>
        <w:t xml:space="preserve">new interpretation</w:t>
      </w:r>
      <w:r>
        <w:t xml:space="preserve">”</w:t>
      </w:r>
      <w:r>
        <w:t xml:space="preserve"> </w:t>
      </w:r>
      <w:r>
        <w:t xml:space="preserve">of MITHQAL.</w:t>
      </w:r>
    </w:p>
    <w:p>
      <w:pPr>
        <w:pStyle w:val="BodyText"/>
      </w:pPr>
      <w:r>
        <w:t xml:space="preserve">The objective is to create:</w:t>
      </w:r>
    </w:p>
    <w:p>
      <w:pPr>
        <w:pStyle w:val="BlockText"/>
      </w:pPr>
      <w:r>
        <w:rPr>
          <w:b/>
          <w:bCs/>
        </w:rPr>
        <w:t xml:space="preserve">ONE AUTHORITATIVE, FULLY RECONCILED, NON-CONTRADICTORY, CURRENT MITHQAL MASTER BLUEPRINT containing the original core architecture plus every approved modification and latest update.</w:t>
      </w:r>
    </w:p>
    <w:p>
      <w:pPr>
        <w:pStyle w:val="FirstParagraph"/>
      </w:pPr>
      <w:r>
        <w:t xml:space="preserve">Do not lose older valid architecture.</w:t>
      </w:r>
    </w:p>
    <w:p>
      <w:pPr>
        <w:pStyle w:val="BodyText"/>
      </w:pPr>
      <w:r>
        <w:t xml:space="preserve">Do not reintroduce rejected concepts.</w:t>
      </w:r>
    </w:p>
    <w:p>
      <w:pPr>
        <w:pStyle w:val="BodyText"/>
      </w:pPr>
      <w:r>
        <w:t xml:space="preserve">Do not preserve obsolete concepts merely because they exist in an older version.</w:t>
      </w:r>
    </w:p>
    <w:p>
      <w:pPr>
        <w:pStyle w:val="BodyText"/>
      </w:pPr>
      <w:r>
        <w:t xml:space="preserve">Do not silently invent missing facts.</w:t>
      </w:r>
    </w:p>
    <w:p>
      <w:pPr>
        <w:pStyle w:val="BodyText"/>
      </w:pPr>
      <w:r>
        <w:t xml:space="preserve">Do not leave contradictions unresolved.</w:t>
      </w:r>
    </w:p>
    <w:p>
      <w:pPr>
        <w:pStyle w:val="BodyText"/>
      </w:pPr>
      <w:r>
        <w:t xml:space="preserve">Do not create parallel competing architectures.</w:t>
      </w:r>
    </w:p>
    <w:p>
      <w:pPr>
        <w:pStyle w:val="BodyText"/>
      </w:pPr>
      <w:r>
        <w:t xml:space="preserve">Do not produce an abbreviated version.</w:t>
      </w:r>
    </w:p>
    <w:p>
      <w:pPr>
        <w:pStyle w:val="BodyText"/>
      </w:pPr>
      <w:r>
        <w:t xml:space="preserve">Create the definitive consolidated blueprint.</w:t>
      </w:r>
    </w:p>
    <w:p>
      <w:r>
        <w:pict>
          <v:rect style="width:0;height:1.5pt" o:hralign="center" o:hrstd="t" o:hr="t"/>
        </w:pict>
      </w:r>
    </w:p>
    <w:bookmarkEnd w:id="200"/>
    <w:bookmarkStart w:id="202" w:name="final-self-check"/>
    <w:p>
      <w:pPr>
        <w:pStyle w:val="Heading1"/>
      </w:pPr>
      <w:r>
        <w:t xml:space="preserve">44. FINAL SELF-CHECK</w:t>
      </w:r>
    </w:p>
    <w:p>
      <w:pPr>
        <w:pStyle w:val="FirstParagraph"/>
      </w:pPr>
      <w:r>
        <w:t xml:space="preserve">Before declaring completion, explicitly verify:</w:t>
      </w:r>
    </w:p>
    <w:p>
      <w:pPr>
        <w:pStyle w:val="Compact"/>
        <w:numPr>
          <w:ilvl w:val="0"/>
          <w:numId w:val="1059"/>
        </w:numPr>
      </w:pPr>
      <w:r>
        <w:t xml:space="preserve">☐ Original blueprint reviewed</w:t>
      </w:r>
    </w:p>
    <w:p>
      <w:pPr>
        <w:pStyle w:val="Compact"/>
        <w:numPr>
          <w:ilvl w:val="0"/>
          <w:numId w:val="1059"/>
        </w:numPr>
      </w:pPr>
      <w:r>
        <w:t xml:space="preserve">☐ Full project/chat history reviewed</w:t>
      </w:r>
    </w:p>
    <w:p>
      <w:pPr>
        <w:pStyle w:val="Compact"/>
        <w:numPr>
          <w:ilvl w:val="0"/>
          <w:numId w:val="1059"/>
        </w:numPr>
      </w:pPr>
      <w:r>
        <w:t xml:space="preserve">☐ Latest modifications identified</w:t>
      </w:r>
    </w:p>
    <w:p>
      <w:pPr>
        <w:pStyle w:val="Compact"/>
        <w:numPr>
          <w:ilvl w:val="0"/>
          <w:numId w:val="1059"/>
        </w:numPr>
      </w:pPr>
      <w:r>
        <w:t xml:space="preserve">☐ All approved modifications incorporated</w:t>
      </w:r>
    </w:p>
    <w:p>
      <w:pPr>
        <w:pStyle w:val="Compact"/>
        <w:numPr>
          <w:ilvl w:val="0"/>
          <w:numId w:val="1059"/>
        </w:numPr>
      </w:pPr>
      <w:r>
        <w:t xml:space="preserve">☐ All unchanged core retained</w:t>
      </w:r>
    </w:p>
    <w:p>
      <w:pPr>
        <w:pStyle w:val="Compact"/>
        <w:numPr>
          <w:ilvl w:val="0"/>
          <w:numId w:val="1059"/>
        </w:numPr>
      </w:pPr>
      <w:r>
        <w:t xml:space="preserve">☐ Obsolete architecture removed or clearly marked</w:t>
      </w:r>
    </w:p>
    <w:p>
      <w:pPr>
        <w:pStyle w:val="Compact"/>
        <w:numPr>
          <w:ilvl w:val="0"/>
          <w:numId w:val="1059"/>
        </w:numPr>
      </w:pPr>
      <w:r>
        <w:t xml:space="preserve">☐ Contradictions detected</w:t>
      </w:r>
    </w:p>
    <w:p>
      <w:pPr>
        <w:pStyle w:val="Compact"/>
        <w:numPr>
          <w:ilvl w:val="0"/>
          <w:numId w:val="1059"/>
        </w:numPr>
      </w:pPr>
      <w:r>
        <w:t xml:space="preserve">☐ Contradictions resolved</w:t>
      </w:r>
    </w:p>
    <w:p>
      <w:pPr>
        <w:pStyle w:val="Compact"/>
        <w:numPr>
          <w:ilvl w:val="0"/>
          <w:numId w:val="1059"/>
        </w:numPr>
      </w:pPr>
      <w:r>
        <w:t xml:space="preserve">☐ Terminology normalized</w:t>
      </w:r>
    </w:p>
    <w:p>
      <w:pPr>
        <w:pStyle w:val="Compact"/>
        <w:numPr>
          <w:ilvl w:val="0"/>
          <w:numId w:val="1059"/>
        </w:numPr>
      </w:pPr>
      <w:r>
        <w:t xml:space="preserve">☐ MTQ architecture reconciled</w:t>
      </w:r>
    </w:p>
    <w:p>
      <w:pPr>
        <w:pStyle w:val="Compact"/>
        <w:numPr>
          <w:ilvl w:val="0"/>
          <w:numId w:val="1059"/>
        </w:numPr>
      </w:pPr>
      <w:r>
        <w:t xml:space="preserve">☐ Reserve architecture reconciled</w:t>
      </w:r>
    </w:p>
    <w:p>
      <w:pPr>
        <w:pStyle w:val="Compact"/>
        <w:numPr>
          <w:ilvl w:val="0"/>
          <w:numId w:val="1059"/>
        </w:numPr>
      </w:pPr>
      <w:r>
        <w:t xml:space="preserve">☐ Bank Gateway architecture integrated</w:t>
      </w:r>
    </w:p>
    <w:p>
      <w:pPr>
        <w:pStyle w:val="Compact"/>
        <w:numPr>
          <w:ilvl w:val="0"/>
          <w:numId w:val="1059"/>
        </w:numPr>
      </w:pPr>
      <w:r>
        <w:t xml:space="preserve">☐ Institutional model reconciled</w:t>
      </w:r>
    </w:p>
    <w:p>
      <w:pPr>
        <w:pStyle w:val="Compact"/>
        <w:numPr>
          <w:ilvl w:val="0"/>
          <w:numId w:val="1059"/>
        </w:numPr>
      </w:pPr>
      <w:r>
        <w:t xml:space="preserve">☐ Compliance architecture reconciled</w:t>
      </w:r>
    </w:p>
    <w:p>
      <w:pPr>
        <w:pStyle w:val="Compact"/>
        <w:numPr>
          <w:ilvl w:val="0"/>
          <w:numId w:val="1059"/>
        </w:numPr>
      </w:pPr>
      <w:r>
        <w:t xml:space="preserve">☐ Privacy architecture reconciled</w:t>
      </w:r>
    </w:p>
    <w:p>
      <w:pPr>
        <w:pStyle w:val="Compact"/>
        <w:numPr>
          <w:ilvl w:val="0"/>
          <w:numId w:val="1059"/>
        </w:numPr>
      </w:pPr>
      <w:r>
        <w:t xml:space="preserve">☐ Five-way reconciliation integrated</w:t>
      </w:r>
    </w:p>
    <w:p>
      <w:pPr>
        <w:pStyle w:val="Compact"/>
        <w:numPr>
          <w:ilvl w:val="0"/>
          <w:numId w:val="1059"/>
        </w:numPr>
      </w:pPr>
      <w:r>
        <w:t xml:space="preserve">☐ Accounting architecture integrated</w:t>
      </w:r>
    </w:p>
    <w:p>
      <w:pPr>
        <w:pStyle w:val="Compact"/>
        <w:numPr>
          <w:ilvl w:val="0"/>
          <w:numId w:val="1059"/>
        </w:numPr>
      </w:pPr>
      <w:r>
        <w:t xml:space="preserve">☐ Treasury architecture integrated</w:t>
      </w:r>
    </w:p>
    <w:p>
      <w:pPr>
        <w:pStyle w:val="Compact"/>
        <w:numPr>
          <w:ilvl w:val="0"/>
          <w:numId w:val="1059"/>
        </w:numPr>
      </w:pPr>
      <w:r>
        <w:t xml:space="preserve">☐ Risk architecture integrated</w:t>
      </w:r>
    </w:p>
    <w:p>
      <w:pPr>
        <w:pStyle w:val="Compact"/>
        <w:numPr>
          <w:ilvl w:val="0"/>
          <w:numId w:val="1059"/>
        </w:numPr>
      </w:pPr>
      <w:r>
        <w:t xml:space="preserve">☐ Governance architecture integrated</w:t>
      </w:r>
    </w:p>
    <w:p>
      <w:pPr>
        <w:pStyle w:val="Compact"/>
        <w:numPr>
          <w:ilvl w:val="0"/>
          <w:numId w:val="1059"/>
        </w:numPr>
      </w:pPr>
      <w:r>
        <w:t xml:space="preserve">☐ Security architecture integrated</w:t>
      </w:r>
    </w:p>
    <w:p>
      <w:pPr>
        <w:pStyle w:val="Compact"/>
        <w:numPr>
          <w:ilvl w:val="0"/>
          <w:numId w:val="1059"/>
        </w:numPr>
      </w:pPr>
      <w:r>
        <w:t xml:space="preserve">☐ Global/jurisdiction architecture integrated</w:t>
      </w:r>
    </w:p>
    <w:p>
      <w:pPr>
        <w:pStyle w:val="Compact"/>
        <w:numPr>
          <w:ilvl w:val="0"/>
          <w:numId w:val="1059"/>
        </w:numPr>
      </w:pPr>
      <w:r>
        <w:t xml:space="preserve">☐ Interoperability architecture integrated</w:t>
      </w:r>
    </w:p>
    <w:p>
      <w:pPr>
        <w:pStyle w:val="Compact"/>
        <w:numPr>
          <w:ilvl w:val="0"/>
          <w:numId w:val="1059"/>
        </w:numPr>
      </w:pPr>
      <w:r>
        <w:t xml:space="preserve">☐ End-to-end workflows integrated</w:t>
      </w:r>
    </w:p>
    <w:p>
      <w:pPr>
        <w:pStyle w:val="Compact"/>
        <w:numPr>
          <w:ilvl w:val="0"/>
          <w:numId w:val="1059"/>
        </w:numPr>
      </w:pPr>
      <w:r>
        <w:t xml:space="preserve">☐ Failure/emergency workflows integrated</w:t>
      </w:r>
    </w:p>
    <w:p>
      <w:pPr>
        <w:pStyle w:val="Compact"/>
        <w:numPr>
          <w:ilvl w:val="0"/>
          <w:numId w:val="1059"/>
        </w:numPr>
      </w:pPr>
      <w:r>
        <w:t xml:space="preserve">☐ Implementation roadmap integrated</w:t>
      </w:r>
    </w:p>
    <w:p>
      <w:pPr>
        <w:pStyle w:val="Compact"/>
        <w:numPr>
          <w:ilvl w:val="0"/>
          <w:numId w:val="1059"/>
        </w:numPr>
      </w:pPr>
      <w:r>
        <w:t xml:space="preserve">☐ Testing strategy integrated</w:t>
      </w:r>
    </w:p>
    <w:p>
      <w:pPr>
        <w:pStyle w:val="Compact"/>
        <w:numPr>
          <w:ilvl w:val="0"/>
          <w:numId w:val="1059"/>
        </w:numPr>
      </w:pPr>
      <w:r>
        <w:t xml:space="preserve">☐ Production-readiness framework integrated</w:t>
      </w:r>
    </w:p>
    <w:p>
      <w:pPr>
        <w:pStyle w:val="Compact"/>
        <w:numPr>
          <w:ilvl w:val="0"/>
          <w:numId w:val="1059"/>
        </w:numPr>
      </w:pPr>
      <w:r>
        <w:t xml:space="preserve">☐ Change register completed</w:t>
      </w:r>
    </w:p>
    <w:p>
      <w:pPr>
        <w:pStyle w:val="Compact"/>
        <w:numPr>
          <w:ilvl w:val="0"/>
          <w:numId w:val="1059"/>
        </w:numPr>
      </w:pPr>
      <w:r>
        <w:t xml:space="preserve">☐ Open issues identified</w:t>
      </w:r>
    </w:p>
    <w:p>
      <w:pPr>
        <w:pStyle w:val="Compact"/>
        <w:numPr>
          <w:ilvl w:val="0"/>
          <w:numId w:val="1059"/>
        </w:numPr>
      </w:pPr>
      <w:r>
        <w:t xml:space="preserve">☐ One authoritative final version declared</w:t>
      </w:r>
    </w:p>
    <w:bookmarkStart w:id="201" w:name="final-command"/>
    <w:p>
      <w:pPr>
        <w:pStyle w:val="Heading2"/>
      </w:pPr>
      <w:r>
        <w:t xml:space="preserve">FINAL COMMAND</w:t>
      </w:r>
    </w:p>
    <w:p>
      <w:pPr>
        <w:pStyle w:val="FirstParagraph"/>
      </w:pPr>
      <w:r>
        <w:t xml:space="preserve">Now perform the entire forensic reconciliation and reconstruction process.</w:t>
      </w:r>
    </w:p>
    <w:p>
      <w:pPr>
        <w:pStyle w:val="BodyText"/>
      </w:pPr>
      <w:r>
        <w:rPr>
          <w:b/>
          <w:bCs/>
        </w:rPr>
        <w:t xml:space="preserve">Do not merely edit the existing blueprint. Rebuild the MITHQAL blueprint from scratch using the original blueprint as the baseline and all subsequent approved project decisions as the authoritative update layer.</w:t>
      </w:r>
    </w:p>
    <w:p>
      <w:pPr>
        <w:pStyle w:val="BodyText"/>
      </w:pPr>
      <w:r>
        <w:t xml:space="preserve">The final result must be the</w:t>
      </w:r>
      <w:r>
        <w:t xml:space="preserve"> </w:t>
      </w:r>
      <w:r>
        <w:rPr>
          <w:b/>
          <w:bCs/>
        </w:rPr>
        <w:t xml:space="preserve">single, definitive, latest, fully expanded MITHQAL Master Blueprint</w:t>
      </w:r>
      <w:r>
        <w:t xml:space="preserve"> </w:t>
      </w:r>
      <w:r>
        <w:t xml:space="preserve">with no internal contradictions and with complete traceability from the original architecture to the current architecture.</w:t>
      </w:r>
    </w:p>
    <w:bookmarkEnd w:id="201"/>
    <w:bookmarkEnd w:id="2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2026-08-22T12:01:13Z</dcterms:created>
  <dcterms:modified xsi:type="dcterms:W3CDTF">2026-08-22T12:01:13Z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