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&lt;div align="center"&gt;</w:t>
      </w:r>
    </w:p>
    <w:p>
      <w:pPr>
        <w:pStyle w:val="Heading1"/>
      </w:pPr>
      <w:r>
        <w:t>MITHQAL v25.0</w:t>
      </w:r>
    </w:p>
    <w:p>
      <w:pPr>
        <w:pStyle w:val="Heading1"/>
      </w:pPr>
      <w:r>
        <w:t>CANONICAL BLUEPRINT</w:t>
      </w:r>
    </w:p>
    <w:p>
      <w:pPr>
        <w:pStyle w:val="Heading1"/>
      </w:pPr>
      <w:r>
        <w:t>FINAL INSTITUTIONAL EDITION</w:t>
      </w:r>
    </w:p>
    <w:p>
      <w:pPr>
        <w:pStyle w:val="Heading2"/>
      </w:pPr>
      <w:r>
        <w:t>Neutral Wholesale Settlement Infrastructure</w:t>
      </w:r>
    </w:p>
    <w:p>
      <w:pPr>
        <w:pStyle w:val="Heading2"/>
      </w:pPr>
      <w:r>
        <w:t>Connecting Regulated Monetary Systems</w:t>
      </w:r>
    </w:p>
    <w:p>
      <w:pPr>
        <w:pBdr>
          <w:bottom w:val="single" w:sz="12" w:space="1" w:color="C59B1E"/>
        </w:pBdr>
      </w:pPr>
    </w:p>
    <w:p>
      <w:r>
        <w:rPr>
          <w:b/>
        </w:rPr>
        <w:t>Version:</w:t>
      </w:r>
      <w:r>
        <w:t xml:space="preserve"> 25.0-FINAL</w:t>
      </w:r>
    </w:p>
    <w:p>
      <w:r>
        <w:rPr>
          <w:b/>
        </w:rPr>
        <w:t>Document Type:</w:t>
      </w:r>
      <w:r>
        <w:t xml:space="preserve"> Canonical Institutional Blueprint</w:t>
      </w:r>
    </w:p>
    <w:p>
      <w:r>
        <w:rPr>
          <w:b/>
        </w:rPr>
        <w:t>Classification:</w:t>
      </w:r>
      <w:r>
        <w:t xml:space="preserve"> Institutional — For Regulated Financial Entities &amp; Authorized Participants</w:t>
      </w:r>
    </w:p>
    <w:p>
      <w:r>
        <w:rPr>
          <w:b/>
        </w:rPr>
        <w:t>Authority:</w:t>
      </w:r>
      <w:r>
        <w:t xml:space="preserve"> COO + CTO + CFO + Project Manager + Monetary Systems Architect + Institutional Reserve Manager + Legal/Regulatory Architecture Lead</w:t>
      </w:r>
    </w:p>
    <w:p>
      <w:r>
        <w:rPr>
          <w:b/>
        </w:rPr>
        <w:t>Date:</w:t>
      </w:r>
      <w:r>
        <w:t xml:space="preserve"> 2026-08-14</w:t>
      </w:r>
    </w:p>
    <w:p>
      <w:r>
        <w:rPr>
          <w:b/>
        </w:rPr>
        <w:t>Supersedes:</w:t>
      </w:r>
      <w:r>
        <w:t xml:space="preserve"> v24.2.1-FINAL and all prior versions (v18 through v24.2)</w:t>
      </w:r>
    </w:p>
    <w:p>
      <w:r>
        <w:rPr>
          <w:b/>
        </w:rPr>
        <w:t>Status:</w:t>
      </w:r>
      <w:r>
        <w:t xml:space="preserve"> APPROVED CANDIDATE FOR CONTROLLED TESTING — NOT PRODUCTION-AUTHORIZED</w:t>
      </w:r>
    </w:p>
    <w:p>
      <w:pPr>
        <w:pBdr>
          <w:bottom w:val="single" w:sz="12" w:space="1" w:color="C59B1E"/>
        </w:pBdr>
      </w:pPr>
    </w:p>
    <w:p>
      <w:pPr>
        <w:pStyle w:val="Heading3"/>
      </w:pPr>
      <w:r>
        <w:t>PRINCIPAL ARCHITECTURAL STATEMENT</w:t>
      </w:r>
    </w:p>
    <w:p>
      <w:pPr>
        <w:spacing w:before="120" w:after="120"/>
        <w:ind w:left="567" w:right="567"/>
        <w:pBdr>
          <w:left w:val="single" w:sz="24" w:space="8" w:color="C59B1E"/>
        </w:pBdr>
        <w:shd w:fill="FFFBF0"/>
      </w:pPr>
      <w:r>
        <w:rPr>
          <w:b/>
          <w:i/>
          <w:color w:val="1A365F"/>
          <w:sz w:val="22"/>
        </w:rPr>
        <w:t>**MITHQAL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pPr>
        <w:pStyle w:val="Heading3"/>
      </w:pPr>
      <w:r>
        <w:t>THE SINGLE MOST IMPORTANT ARCHITECTURAL PRINCIPLE</w:t>
      </w:r>
    </w:p>
    <w:p>
      <w:pPr>
        <w:spacing w:before="120" w:after="120"/>
        <w:ind w:left="567" w:right="567"/>
        <w:pBdr>
          <w:left w:val="single" w:sz="24" w:space="8" w:color="C59B1E"/>
        </w:pBdr>
        <w:shd w:fill="FFFBF0"/>
      </w:pPr>
      <w:r>
        <w:rPr>
          <w:b/>
          <w:i/>
          <w:color w:val="1A365F"/>
          <w:sz w:val="22"/>
        </w:rPr>
        <w:t>**MTQ sits between monetary systems, not instead of monetary systems.**</w:t>
      </w:r>
    </w:p>
    <w:p>
      <w:pPr>
        <w:pStyle w:val="Heading3"/>
      </w:pPr>
      <w:r>
        <w:t>THE LOCKED COMMERCIAL FLOW</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r>
        <w:rPr>
          <w:b/>
        </w:rPr>
        <w:t>Document Pages:</w:t>
      </w:r>
      <w:r>
        <w:t xml:space="preserve"> ~450 (expanded)</w:t>
      </w:r>
    </w:p>
    <w:p>
      <w:r>
        <w:rPr>
          <w:b/>
        </w:rPr>
        <w:t>Line Count:</w:t>
      </w:r>
      <w:r>
        <w:t xml:space="preserve"> ~15,000 (fully detailed)</w:t>
      </w:r>
    </w:p>
    <w:p>
      <w:r>
        <w:rPr>
          <w:b/>
        </w:rPr>
        <w:t>Implementation Modules:</w:t>
      </w:r>
      <w:r>
        <w:t xml:space="preserve"> 6 TypeScript modules (1,900+ lines)</w:t>
      </w:r>
    </w:p>
    <w:p>
      <w:r>
        <w:rPr>
          <w:b/>
        </w:rPr>
        <w:t>Verification Artifacts:</w:t>
      </w:r>
      <w:r>
        <w:t xml:space="preserve"> 20+ verification documents + 12 scripts</w:t>
      </w:r>
    </w:p>
    <w:p>
      <w:r>
        <w:rPr>
          <w:b/>
        </w:rPr>
        <w:t>Testnet Deployments:</w:t>
      </w:r>
      <w:r>
        <w:t xml:space="preserve"> 3 networks (Monad, Arc Network, Solana Devnet)</w:t>
      </w:r>
    </w:p>
    <w:p>
      <w:r>
        <w:t>&lt;/div&gt;</w:t>
      </w:r>
    </w:p>
    <w:p>
      <w:pPr>
        <w:pBdr>
          <w:bottom w:val="single" w:sz="12" w:space="1" w:color="C59B1E"/>
        </w:pBdr>
      </w:pPr>
    </w:p>
    <w:p>
      <w:r>
        <w:br w:type="page"/>
      </w:r>
    </w:p>
    <w:p>
      <w:pPr>
        <w:jc w:val="center"/>
      </w:pPr>
      <w:r>
        <w:rPr>
          <w:b/>
          <w:color w:val="1A365F"/>
          <w:sz w:val="44"/>
        </w:rPr>
        <w:t>INDEX</w:t>
      </w:r>
    </w:p>
    <w:p>
      <w:pPr>
        <w:pBdr>
          <w:bottom w:val="single" w:sz="18" w:space="1" w:color="1A365F"/>
        </w:pBdr>
      </w:pPr>
    </w:p>
    <w:p>
      <w:pPr>
        <w:pStyle w:val="Heading2"/>
      </w:pPr>
      <w:r>
        <w:t>PART I — FOUNDATIONAL ARCHITECTURE</w:t>
      </w:r>
    </w:p>
    <w:p>
      <w:pPr>
        <w:pStyle w:val="ListBullet"/>
        <w:ind w:left="425"/>
      </w:pPr>
      <w:r>
        <w:t>[Cover Page](#cover-page)</w:t>
      </w:r>
    </w:p>
    <w:p>
      <w:pPr>
        <w:pStyle w:val="ListBullet"/>
        <w:ind w:left="425"/>
      </w:pPr>
      <w:r>
        <w:t>[§0 — Non-Negotiable Execution Rules (17 Rules)](#§0--non-negotiable-execution-rules)</w:t>
      </w:r>
    </w:p>
    <w:p>
      <w:pPr>
        <w:pStyle w:val="ListBullet"/>
        <w:ind w:left="425"/>
      </w:pPr>
      <w:r>
        <w:t>[§1 — Canonical Identity](#§1--canonical-identity)</w:t>
      </w:r>
    </w:p>
    <w:p>
      <w:pPr>
        <w:pStyle w:val="ListBullet"/>
        <w:ind w:left="425"/>
      </w:pPr>
      <w:r>
        <w:t>[§2 — Participant Hierarchy (Class A-E)](#§2--participant-hierarchy)</w:t>
      </w:r>
    </w:p>
    <w:p>
      <w:pPr>
        <w:pStyle w:val="ListBullet"/>
        <w:ind w:left="425"/>
      </w:pPr>
      <w:r>
        <w:t>[§3 — Minting Model (Institutional Issuance)](#§3--minting-model)</w:t>
      </w:r>
    </w:p>
    <w:p>
      <w:pPr>
        <w:pStyle w:val="ListBullet"/>
        <w:ind w:left="425"/>
      </w:pPr>
      <w:r>
        <w:t>[§4 — KYC/KYB Architecture (Layered)](#§4--kyckyb-architecture)</w:t>
      </w:r>
    </w:p>
    <w:p>
      <w:pPr>
        <w:pStyle w:val="ListBullet"/>
        <w:ind w:left="425"/>
      </w:pPr>
      <w:r>
        <w:t>[§5 — Neutral Cross-Border Settlement Flow](#§5--neutral-cross-border-settlement-flow)</w:t>
      </w:r>
    </w:p>
    <w:p>
      <w:pPr>
        <w:pStyle w:val="ListBullet"/>
        <w:ind w:left="425"/>
      </w:pPr>
      <w:r>
        <w:t>[§6 — Neutrality Doctrine (Immutable)](#§6--neutrality-doctrine)</w:t>
      </w:r>
    </w:p>
    <w:p>
      <w:pPr>
        <w:pStyle w:val="ListBullet"/>
        <w:ind w:left="425"/>
      </w:pPr>
      <w:r>
        <w:t>[§7 — CBDC Interoperability Layer](#§7--cbdc-interoperability-layer)</w:t>
      </w:r>
    </w:p>
    <w:p>
      <w:pPr>
        <w:pStyle w:val="ListBullet"/>
        <w:ind w:left="425"/>
      </w:pPr>
      <w:r>
        <w:t>[§8 — Central-Bank Participation Model](#§8--central-bank-participation-model)</w:t>
      </w:r>
    </w:p>
    <w:p>
      <w:pPr>
        <w:pStyle w:val="ListBullet"/>
        <w:ind w:left="425"/>
      </w:pPr>
      <w:r>
        <w:t>[§9 — Institutional Traceability](#§9--institutional-traceability)</w:t>
      </w:r>
    </w:p>
    <w:p>
      <w:pPr>
        <w:pStyle w:val="ListBullet"/>
        <w:ind w:left="425"/>
      </w:pPr>
      <w:r>
        <w:t>[§10 — Core Value Proposition](#§10--core-value-proposition)</w:t>
      </w:r>
    </w:p>
    <w:p>
      <w:pPr>
        <w:pStyle w:val="Heading2"/>
      </w:pPr>
      <w:r>
        <w:t>PART II — PARTICIPANT &amp; ISSUANCE ARCHITECTURE</w:t>
      </w:r>
    </w:p>
    <w:p>
      <w:pPr>
        <w:pStyle w:val="ListBullet"/>
        <w:ind w:left="425"/>
      </w:pPr>
      <w:r>
        <w:t>[§11 — Corporate MTQ Settlement Account](#§11--corporate-mtg-settlement-account)</w:t>
      </w:r>
    </w:p>
    <w:p>
      <w:pPr>
        <w:pStyle w:val="ListBullet"/>
        <w:ind w:left="425"/>
      </w:pPr>
      <w:r>
        <w:t>[§12 — Bank-Controlled Wallet Architecture](#§12--bank-controlled-wallet-architecture)</w:t>
      </w:r>
    </w:p>
    <w:p>
      <w:pPr>
        <w:pStyle w:val="ListBullet"/>
        <w:ind w:left="425"/>
      </w:pPr>
      <w:r>
        <w:t>[§13 — Trading Language Redefinition](#§13--trading-language-redefinition)</w:t>
      </w:r>
    </w:p>
    <w:p>
      <w:pPr>
        <w:pStyle w:val="ListBullet"/>
        <w:ind w:left="425"/>
      </w:pPr>
      <w:r>
        <w:t>[§14 — Redemption Flow (Institutional)](#§14--redemption-flow)</w:t>
      </w:r>
    </w:p>
    <w:p>
      <w:pPr>
        <w:pStyle w:val="ListBullet"/>
        <w:ind w:left="425"/>
      </w:pPr>
      <w:r>
        <w:t>[§15 — Jurisdictional Regulatory Perimeter Engine](#§15--jurisdictional-regulatory-perimeter-engine)</w:t>
      </w:r>
    </w:p>
    <w:p>
      <w:pPr>
        <w:pStyle w:val="ListBullet"/>
        <w:ind w:left="425"/>
      </w:pPr>
      <w:r>
        <w:t>[§16 — Jurisdictional Geo-Fencing](#§16--jurisdictional-geo-fencing)</w:t>
      </w:r>
    </w:p>
    <w:p>
      <w:pPr>
        <w:pStyle w:val="ListBullet"/>
        <w:ind w:left="425"/>
      </w:pPr>
      <w:r>
        <w:t>[§17 — Regulated Entry/Exit Rails](#§17--regulated-entryexit-rails)</w:t>
      </w:r>
    </w:p>
    <w:p>
      <w:pPr>
        <w:pStyle w:val="ListBullet"/>
        <w:ind w:left="425"/>
      </w:pPr>
      <w:r>
        <w:t>[§18 — Product / User Model](#§18--product--user-model)</w:t>
      </w:r>
    </w:p>
    <w:p>
      <w:pPr>
        <w:pStyle w:val="ListBullet"/>
        <w:ind w:left="425"/>
      </w:pPr>
      <w:r>
        <w:t>[§19 — Smart Contract Architecture](#§19--smart-contract-architecture)</w:t>
      </w:r>
    </w:p>
    <w:p>
      <w:pPr>
        <w:pStyle w:val="ListBullet"/>
        <w:ind w:left="425"/>
      </w:pPr>
      <w:r>
        <w:t>[§20 — Institutional Authorization Registry](#§20--institutional-authorization-registry)</w:t>
      </w:r>
    </w:p>
    <w:p>
      <w:pPr>
        <w:pStyle w:val="Heading2"/>
      </w:pPr>
      <w:r>
        <w:t>PART III — SETTLEMENT, PRIVACY &amp; COMPLIANCE</w:t>
      </w:r>
    </w:p>
    <w:p>
      <w:pPr>
        <w:pStyle w:val="ListBullet"/>
        <w:ind w:left="425"/>
      </w:pPr>
      <w:r>
        <w:t>[§21 — Institutional Proof-of-Liabilities](#§21--institutional-proof-of-liabilities)</w:t>
      </w:r>
    </w:p>
    <w:p>
      <w:pPr>
        <w:pStyle w:val="ListBullet"/>
        <w:ind w:left="425"/>
      </w:pPr>
      <w:r>
        <w:t>[§22 — Three-Way Reconciliation](#§22--three-way-reconciliation)</w:t>
      </w:r>
    </w:p>
    <w:p>
      <w:pPr>
        <w:pStyle w:val="ListBullet"/>
        <w:ind w:left="425"/>
      </w:pPr>
      <w:r>
        <w:t>[§23 — Settlement Permission Engine (12-Check Gate)](#§23--settlement-permission-engine)</w:t>
      </w:r>
    </w:p>
    <w:p>
      <w:pPr>
        <w:pStyle w:val="ListBullet"/>
        <w:ind w:left="425"/>
      </w:pPr>
      <w:r>
        <w:t>[§24 — Privacy Architecture (3-Layer)](#§24--privacy-architecture)</w:t>
      </w:r>
    </w:p>
    <w:p>
      <w:pPr>
        <w:pStyle w:val="ListBullet"/>
        <w:ind w:left="425"/>
      </w:pPr>
      <w:r>
        <w:t>[§25 — Zero-Knowledge Architecture](#§25--zero-knowledge-architecture)</w:t>
      </w:r>
    </w:p>
    <w:p>
      <w:pPr>
        <w:pStyle w:val="ListBullet"/>
        <w:ind w:left="425"/>
      </w:pPr>
      <w:r>
        <w:t>[§26 — Settlement Finality](#§26--settlement-finality)</w:t>
      </w:r>
    </w:p>
    <w:p>
      <w:pPr>
        <w:pStyle w:val="ListBullet"/>
        <w:ind w:left="425"/>
      </w:pPr>
      <w:r>
        <w:t>[§27 — Architecture Diagram](#§27--architecture-diagram)</w:t>
      </w:r>
    </w:p>
    <w:p>
      <w:pPr>
        <w:pStyle w:val="ListBullet"/>
        <w:ind w:left="425"/>
      </w:pPr>
      <w:r>
        <w:t>[§28 — Canonical Terminology](#§28--canonical-terminology)</w:t>
      </w:r>
    </w:p>
    <w:p>
      <w:pPr>
        <w:pStyle w:val="ListBullet"/>
        <w:ind w:left="425"/>
      </w:pPr>
      <w:r>
        <w:t>[§29 — Bank Revenue Model](#§29--bank-revenue-model)</w:t>
      </w:r>
    </w:p>
    <w:p>
      <w:pPr>
        <w:pStyle w:val="ListBullet"/>
        <w:ind w:left="425"/>
      </w:pPr>
      <w:r>
        <w:t>[§30 — MITHQAL Operating Company](#§30--mithqal-operating-company)</w:t>
      </w:r>
    </w:p>
    <w:p>
      <w:pPr>
        <w:pStyle w:val="Heading2"/>
      </w:pPr>
      <w:r>
        <w:t>PART IV — RESERVE ARCHITECTURE (Preserved from v24.2.1)</w:t>
      </w:r>
    </w:p>
    <w:p>
      <w:pPr>
        <w:pStyle w:val="ListBullet"/>
        <w:ind w:left="425"/>
      </w:pPr>
      <w:r>
        <w:t>[§31 — Reserve Architecture Overview](#§31--reserve-architecture-overview)</w:t>
      </w:r>
    </w:p>
    <w:p>
      <w:pPr>
        <w:pStyle w:val="ListBullet"/>
        <w:ind w:left="425"/>
      </w:pPr>
      <w:r>
        <w:t>[§32 — Constitutional Mathematical Invariants](#§32--constitutional-mathematical-invariants)</w:t>
      </w:r>
    </w:p>
    <w:p>
      <w:pPr>
        <w:pStyle w:val="ListBullet"/>
        <w:ind w:left="425"/>
      </w:pPr>
      <w:r>
        <w:t>[§33 — CALM (Capital-Adaptive Liability Management)](#§33--calm)</w:t>
      </w:r>
    </w:p>
    <w:p>
      <w:pPr>
        <w:pStyle w:val="ListBullet"/>
        <w:ind w:left="425"/>
      </w:pPr>
      <w:r>
        <w:t>[§34 — Six-State Reserve State Machine](#§34--six-state-reserve-state-machine)</w:t>
      </w:r>
    </w:p>
    <w:p>
      <w:pPr>
        <w:pStyle w:val="ListBullet"/>
        <w:ind w:left="425"/>
      </w:pPr>
      <w:r>
        <w:t>[§35 — Hierarchical Optimizer (4-Tier)](#§35--hierarchical-optimizer)</w:t>
      </w:r>
    </w:p>
    <w:p>
      <w:pPr>
        <w:pStyle w:val="ListBullet"/>
        <w:ind w:left="425"/>
      </w:pPr>
      <w:r>
        <w:t>[§36 — Tokenized Gold (TGRS / TGLS / TGBS / TGDR)](#§36--tokenized-gold)</w:t>
      </w:r>
    </w:p>
    <w:p>
      <w:pPr>
        <w:pStyle w:val="ListBullet"/>
        <w:ind w:left="425"/>
      </w:pPr>
      <w:r>
        <w:t>[§37 — Anti-Double-Counting](#§37--anti-double-counting)</w:t>
      </w:r>
    </w:p>
    <w:p>
      <w:pPr>
        <w:pStyle w:val="ListBullet"/>
        <w:ind w:left="425"/>
      </w:pPr>
      <w:r>
        <w:t>[§38 — ERTF (External Risk Transfer Facility)](#§38--ertf)</w:t>
      </w:r>
    </w:p>
    <w:p>
      <w:pPr>
        <w:pStyle w:val="ListBullet"/>
        <w:ind w:left="425"/>
      </w:pPr>
      <w:r>
        <w:t>[§39 — In-Kind Emergency Reserve Delivery](#§39--in-kind-delivery)</w:t>
      </w:r>
    </w:p>
    <w:p>
      <w:pPr>
        <w:pStyle w:val="ListBullet"/>
        <w:ind w:left="425"/>
      </w:pPr>
      <w:r>
        <w:t>[§40 — Stress Testing &amp; Monte Carlo](#§40--stress-testing)</w:t>
      </w:r>
    </w:p>
    <w:p>
      <w:pPr>
        <w:pStyle w:val="Heading2"/>
      </w:pPr>
      <w:r>
        <w:t>PART V — RISK, GOVERNANCE &amp; LEGAL</w:t>
      </w:r>
    </w:p>
    <w:p>
      <w:pPr>
        <w:pStyle w:val="ListBullet"/>
        <w:ind w:left="425"/>
      </w:pPr>
      <w:r>
        <w:t>[§41 — Risk Engine &amp; MRRC](#§41--risk-engine)</w:t>
      </w:r>
    </w:p>
    <w:p>
      <w:pPr>
        <w:pStyle w:val="ListBullet"/>
        <w:ind w:left="425"/>
      </w:pPr>
      <w:r>
        <w:t>[§42 — Model Validity Gate](#§42--model-validity-gate)</w:t>
      </w:r>
    </w:p>
    <w:p>
      <w:pPr>
        <w:pStyle w:val="ListBullet"/>
        <w:ind w:left="425"/>
      </w:pPr>
      <w:r>
        <w:t>[§43 — Challenger Models](#§43--challenger-models)</w:t>
      </w:r>
    </w:p>
    <w:p>
      <w:pPr>
        <w:pStyle w:val="ListBullet"/>
        <w:ind w:left="425"/>
      </w:pPr>
      <w:r>
        <w:t>[§44 — Governance Architecture](#§44--governance-architecture)</w:t>
      </w:r>
    </w:p>
    <w:p>
      <w:pPr>
        <w:pStyle w:val="ListBullet"/>
        <w:ind w:left="425"/>
      </w:pPr>
      <w:r>
        <w:t>[§45 — Sharia Compliance](#§45--sharia-compliance)</w:t>
      </w:r>
    </w:p>
    <w:p>
      <w:pPr>
        <w:pStyle w:val="ListBullet"/>
        <w:ind w:left="425"/>
      </w:pPr>
      <w:r>
        <w:t>[§46 — Regulatory Compatibility](#§46--regulatory-compatibility)</w:t>
      </w:r>
    </w:p>
    <w:p>
      <w:pPr>
        <w:pStyle w:val="ListBullet"/>
        <w:ind w:left="425"/>
      </w:pPr>
      <w:r>
        <w:t>[§47 — Stress Result Classification (PASS/FAIL/BDL)](#§47--stress-result-classification)</w:t>
      </w:r>
    </w:p>
    <w:p>
      <w:pPr>
        <w:pStyle w:val="ListBullet"/>
        <w:ind w:left="425"/>
      </w:pPr>
      <w:r>
        <w:t>[§48 — Semantic Sweep Summary](#§48--semantic-sweep-summary)</w:t>
      </w:r>
    </w:p>
    <w:p>
      <w:pPr>
        <w:pStyle w:val="ListBullet"/>
        <w:ind w:left="425"/>
      </w:pPr>
      <w:r>
        <w:t>[§49 — Testnet Mainnet Blocker Policy](#§49--testnet-mainnet-blocker-policy)</w:t>
      </w:r>
    </w:p>
    <w:p>
      <w:pPr>
        <w:pStyle w:val="ListBullet"/>
        <w:ind w:left="425"/>
      </w:pPr>
      <w:r>
        <w:t>[§50 — Cross-Chain Supply Invariant](#§50--cross-chain-supply-invariant)</w:t>
      </w:r>
    </w:p>
    <w:p>
      <w:pPr>
        <w:pStyle w:val="Heading2"/>
      </w:pPr>
      <w:r>
        <w:t>PART VI — OPERATIONS, ACCEPTANCE &amp; DELIVERABLES</w:t>
      </w:r>
    </w:p>
    <w:p>
      <w:pPr>
        <w:pStyle w:val="ListBullet"/>
        <w:ind w:left="425"/>
      </w:pPr>
      <w:r>
        <w:t>[§51 — Custody Architecture](#§51--custody-architecture)</w:t>
      </w:r>
    </w:p>
    <w:p>
      <w:pPr>
        <w:pStyle w:val="ListBullet"/>
        <w:ind w:left="425"/>
      </w:pPr>
      <w:r>
        <w:t>[§52 — Liquidity Ladder &amp; LSD](#§52--liquidity-ladder)</w:t>
      </w:r>
    </w:p>
    <w:p>
      <w:pPr>
        <w:pStyle w:val="ListBullet"/>
        <w:ind w:left="425"/>
      </w:pPr>
      <w:r>
        <w:t>[§53 — Redemption Stress](#§53--redemption-stress)</w:t>
      </w:r>
    </w:p>
    <w:p>
      <w:pPr>
        <w:pStyle w:val="ListBullet"/>
        <w:ind w:left="425"/>
      </w:pPr>
      <w:r>
        <w:t>[§54 — Deterministic Tests (A-E)](#§54--deterministic-tests)</w:t>
      </w:r>
    </w:p>
    <w:p>
      <w:pPr>
        <w:pStyle w:val="ListBullet"/>
        <w:ind w:left="425"/>
      </w:pPr>
      <w:r>
        <w:t>[§55 — Product Hierarchy (9-Layer Stack)](#§55--product-hierarchy)</w:t>
      </w:r>
    </w:p>
    <w:p>
      <w:pPr>
        <w:pStyle w:val="ListBullet"/>
        <w:ind w:left="425"/>
      </w:pPr>
      <w:r>
        <w:t>[§56 — Authority Matrix](#§56--authority-matrix)</w:t>
      </w:r>
    </w:p>
    <w:p>
      <w:pPr>
        <w:pStyle w:val="ListBullet"/>
        <w:ind w:left="425"/>
      </w:pPr>
      <w:r>
        <w:t>[§57 — Ten Constitutional Principles](#§57--ten-constitutional-principles)</w:t>
      </w:r>
    </w:p>
    <w:p>
      <w:pPr>
        <w:pStyle w:val="ListBullet"/>
        <w:ind w:left="425"/>
      </w:pPr>
      <w:r>
        <w:t>[§58 — Economic Proposition](#§58--economic-proposition)</w:t>
      </w:r>
    </w:p>
    <w:p>
      <w:pPr>
        <w:pStyle w:val="ListBullet"/>
        <w:ind w:left="425"/>
      </w:pPr>
      <w:r>
        <w:t>[§59 — Minimum Capital Solver](#§59--minimum-capital-solver)</w:t>
      </w:r>
    </w:p>
    <w:p>
      <w:pPr>
        <w:pStyle w:val="ListBullet"/>
        <w:ind w:left="425"/>
      </w:pPr>
      <w:r>
        <w:t>[§60 — Formal Acceptance Criteria (34 Items)](#§60--formal-acceptance-criteria)</w:t>
      </w:r>
    </w:p>
    <w:p>
      <w:pPr>
        <w:pStyle w:val="ListBullet"/>
        <w:ind w:left="425"/>
      </w:pPr>
      <w:r>
        <w:t>[§61 — Commercial Flow Examples](#§61--commercial-flow-examples)</w:t>
      </w:r>
    </w:p>
    <w:p>
      <w:pPr>
        <w:pStyle w:val="ListBullet"/>
        <w:ind w:left="425"/>
      </w:pPr>
      <w:r>
        <w:t>[§62 — Final Implementation Directive (A-J)](#§62--final-implementation-directive)</w:t>
      </w:r>
    </w:p>
    <w:p>
      <w:pPr>
        <w:pStyle w:val="ListBullet"/>
        <w:ind w:left="425"/>
      </w:pPr>
      <w:r>
        <w:t>[§63 — Language Discipline](#§63--language-discipline)</w:t>
      </w:r>
    </w:p>
    <w:p>
      <w:pPr>
        <w:pStyle w:val="ListBullet"/>
        <w:ind w:left="425"/>
      </w:pPr>
      <w:r>
        <w:t>[§64 — Final Coverage Check](#§64--final-coverage-check)</w:t>
      </w:r>
    </w:p>
    <w:p>
      <w:pPr>
        <w:pStyle w:val="ListBullet"/>
        <w:ind w:left="425"/>
      </w:pPr>
      <w:r>
        <w:t>[§65 — Final COO Release Principle](#§65--final-coo-release-principle)</w:t>
      </w:r>
    </w:p>
    <w:p>
      <w:pPr>
        <w:pStyle w:val="Heading2"/>
      </w:pPr>
      <w:r>
        <w:t>APPENDICES</w:t>
      </w:r>
    </w:p>
    <w:p>
      <w:pPr>
        <w:pStyle w:val="ListBullet"/>
        <w:ind w:left="425"/>
      </w:pPr>
      <w:r>
        <w:t>[Appendix A — Historical/Non-Normative Archive](#appendix-a)</w:t>
      </w:r>
    </w:p>
    <w:p>
      <w:pPr>
        <w:pStyle w:val="ListBullet"/>
        <w:ind w:left="425"/>
      </w:pPr>
      <w:r>
        <w:t>[Appendix B — Cross-Reference to Implemented Modules](#appendix-b)</w:t>
      </w:r>
    </w:p>
    <w:p>
      <w:pPr>
        <w:pStyle w:val="ListBullet"/>
        <w:ind w:left="425"/>
      </w:pPr>
      <w:r>
        <w:t>[Appendix C — Documents Superseded](#appendix-c)</w:t>
      </w:r>
    </w:p>
    <w:p>
      <w:pPr>
        <w:pStyle w:val="ListBullet"/>
        <w:ind w:left="425"/>
      </w:pPr>
      <w:r>
        <w:t>[Appendix D — v24.2.1 Validation Cycle Summary](#appendix-d)</w:t>
      </w:r>
    </w:p>
    <w:p>
      <w:pPr>
        <w:pStyle w:val="ListBullet"/>
        <w:ind w:left="425"/>
      </w:pPr>
      <w:r>
        <w:t>[Appendix E — Master Test Registry (374 Tests)](#appendix-e)</w:t>
      </w:r>
    </w:p>
    <w:p>
      <w:pPr>
        <w:pStyle w:val="ListBullet"/>
        <w:ind w:left="425"/>
      </w:pPr>
      <w:r>
        <w:t>[Appendix F — Smart-Contract Remediation Matrix](#appendix-f)</w:t>
      </w:r>
    </w:p>
    <w:p>
      <w:pPr>
        <w:pStyle w:val="ListBullet"/>
        <w:ind w:left="425"/>
      </w:pPr>
      <w:r>
        <w:t>[Appendix G — Glossary of Terms](#appendix-g)</w:t>
      </w:r>
    </w:p>
    <w:p>
      <w:pPr>
        <w:pBdr>
          <w:bottom w:val="single" w:sz="12" w:space="1" w:color="C59B1E"/>
        </w:pBdr>
      </w:pPr>
    </w:p>
    <w:p>
      <w:r>
        <w:br w:type="page"/>
      </w:r>
    </w:p>
    <w:p>
      <w:pPr>
        <w:jc w:val="center"/>
      </w:pPr>
      <w:r>
        <w:rPr>
          <w:b/>
          <w:color w:val="1A365F"/>
          <w:sz w:val="44"/>
        </w:rPr>
        <w:t>PART I — FOUNDATIONAL ARCHITECTURE</w:t>
      </w:r>
    </w:p>
    <w:p>
      <w:pPr>
        <w:pBdr>
          <w:bottom w:val="single" w:sz="18" w:space="1" w:color="1A365F"/>
        </w:pBdr>
      </w:pPr>
    </w:p>
    <w:p>
      <w:pPr>
        <w:pStyle w:val="Heading2"/>
      </w:pPr>
      <w:r>
        <w:t>§0 — NON-NEGOTIABLE EXECUTION RULES</w:t>
      </w:r>
    </w:p>
    <w:p>
      <w:r>
        <w:t>The following 17 rules govern ALL MITHQAL v25.0 architecture, implementation, and operations. They are constitutional-level invariants that cannot be amended, waived, or overridden by any governance body.</w:t>
      </w:r>
    </w:p>
    <w:p>
      <w:pPr>
        <w:pStyle w:val="Heading3"/>
      </w:pPr>
      <w:r>
        <w:t>Rule 0.1 — Preserve the Constitutional Spine</w:t>
      </w:r>
    </w:p>
    <w:p>
      <w:r>
        <w:rPr>
          <w:b/>
        </w:rPr>
        <w:t>DO NOT discard the v24.2 constitutional spine.</w:t>
      </w:r>
      <w:r>
        <w:t xml:space="preserve"> The v24.2.1-FINAL invariants (PAR=$1.00, RR≥100%, no discretionary minting, no lending, reserve segregation, gold anchor) remain in full force. v25.0 transforms the *participant model* and *settlement architecture* — it does NOT weaken the *monetary constitution*.</w:t>
      </w:r>
    </w:p>
    <w:p>
      <w:pPr>
        <w:pStyle w:val="Heading3"/>
      </w:pPr>
      <w:r>
        <w:t>Rule 0.2 — No Discretionary Minting</w:t>
      </w:r>
    </w:p>
    <w:p>
      <w:r>
        <w:rPr>
          <w:b/>
        </w:rPr>
        <w:t>DO NOT weaken the no-discretionary-minting invariant.</w:t>
      </w:r>
      <w:r>
        <w:t xml:space="preserve"> No MTQ may exist without corresponding verified reserve backing. This applies to:</w:t>
      </w:r>
    </w:p>
    <w:p>
      <w:pPr>
        <w:pStyle w:val="ListBullet"/>
        <w:ind w:left="425"/>
      </w:pPr>
      <w:r>
        <w:t>Executive minting ❌</w:t>
      </w:r>
    </w:p>
    <w:p>
      <w:pPr>
        <w:pStyle w:val="ListBullet"/>
        <w:ind w:left="425"/>
      </w:pPr>
      <w:r>
        <w:t>Council minting ❌</w:t>
      </w:r>
    </w:p>
    <w:p>
      <w:pPr>
        <w:pStyle w:val="ListBullet"/>
        <w:ind w:left="425"/>
      </w:pPr>
      <w:r>
        <w:t>Emergency arbitrary minting ❌</w:t>
      </w:r>
    </w:p>
    <w:p>
      <w:pPr>
        <w:pStyle w:val="ListBullet"/>
        <w:ind w:left="425"/>
      </w:pPr>
      <w:r>
        <w:t>Treasury minting ❌</w:t>
      </w:r>
    </w:p>
    <w:p>
      <w:pPr>
        <w:pStyle w:val="ListBullet"/>
        <w:ind w:left="425"/>
      </w:pPr>
      <w:r>
        <w:t>Compensation minting ❌</w:t>
      </w:r>
    </w:p>
    <w:p>
      <w:pPr>
        <w:pStyle w:val="ListBullet"/>
        <w:ind w:left="425"/>
      </w:pPr>
      <w:r>
        <w:t>Operational funding minting ❌</w:t>
      </w:r>
    </w:p>
    <w:p>
      <w:pPr>
        <w:pStyle w:val="ListBullet"/>
        <w:ind w:left="425"/>
      </w:pPr>
      <w:r>
        <w:t>Governance minting ❌</w:t>
      </w:r>
    </w:p>
    <w:p>
      <w:pPr>
        <w:pStyle w:val="ListBullet"/>
        <w:ind w:left="425"/>
      </w:pPr>
      <w:r>
        <w:t>Promotional minting ❌</w:t>
      </w:r>
    </w:p>
    <w:p>
      <w:pPr>
        <w:pStyle w:val="Heading3"/>
      </w:pPr>
      <w:r>
        <w:t>Rule 0.3 — Anti-Platform Doctrine</w:t>
      </w:r>
    </w:p>
    <w:p>
      <w:r>
        <w:rPr>
          <w:b/>
        </w:rPr>
        <w:t>DO NOT turn MITHQAL into:</w:t>
      </w:r>
    </w:p>
    <w:p>
      <w:pPr>
        <w:pStyle w:val="ListBullet"/>
        <w:ind w:left="425"/>
      </w:pPr>
      <w:r>
        <w:t>An exchange</w:t>
      </w:r>
    </w:p>
    <w:p>
      <w:pPr>
        <w:pStyle w:val="ListBullet"/>
        <w:ind w:left="425"/>
      </w:pPr>
      <w:r>
        <w:t>A brokerage</w:t>
      </w:r>
    </w:p>
    <w:p>
      <w:pPr>
        <w:pStyle w:val="ListBullet"/>
        <w:ind w:left="425"/>
      </w:pPr>
      <w:r>
        <w:t>A market maker</w:t>
      </w:r>
    </w:p>
    <w:p>
      <w:pPr>
        <w:pStyle w:val="ListBullet"/>
        <w:ind w:left="425"/>
      </w:pPr>
      <w:r>
        <w:t>A bank</w:t>
      </w:r>
    </w:p>
    <w:p>
      <w:pPr>
        <w:pStyle w:val="ListBullet"/>
        <w:ind w:left="425"/>
      </w:pPr>
      <w:r>
        <w:t>A lender</w:t>
      </w:r>
    </w:p>
    <w:p>
      <w:pPr>
        <w:pStyle w:val="ListBullet"/>
        <w:ind w:left="425"/>
      </w:pPr>
      <w:r>
        <w:t>An investment manager</w:t>
      </w:r>
    </w:p>
    <w:p>
      <w:pPr>
        <w:pStyle w:val="ListBullet"/>
        <w:ind w:left="425"/>
      </w:pPr>
      <w:r>
        <w:t>A DeFi platform</w:t>
      </w:r>
    </w:p>
    <w:p>
      <w:pPr>
        <w:pStyle w:val="ListBullet"/>
        <w:ind w:left="425"/>
      </w:pPr>
      <w:r>
        <w:t>A retail payment platform</w:t>
      </w:r>
    </w:p>
    <w:p>
      <w:r>
        <w:t xml:space="preserve">MITHQAL is </w:t>
      </w:r>
      <w:r>
        <w:rPr>
          <w:b/>
        </w:rPr>
        <w:t>neutral wholesale settlement infrastructure</w:t>
      </w:r>
      <w:r>
        <w:t>. Period.</w:t>
      </w:r>
    </w:p>
    <w:p>
      <w:pPr>
        <w:pStyle w:val="Heading3"/>
      </w:pPr>
      <w:r>
        <w:t>Rule 0.4 — MTQ Is Not a Sovereign Currency</w:t>
      </w:r>
    </w:p>
    <w:p>
      <w:r>
        <w:rPr>
          <w:b/>
        </w:rPr>
        <w:t>DO NOT describe MTQ as:</w:t>
      </w:r>
    </w:p>
    <w:p>
      <w:pPr>
        <w:pStyle w:val="ListBullet"/>
        <w:ind w:left="425"/>
      </w:pPr>
      <w:r>
        <w:t>A sovereign currency</w:t>
      </w:r>
    </w:p>
    <w:p>
      <w:pPr>
        <w:pStyle w:val="ListBullet"/>
        <w:ind w:left="425"/>
      </w:pPr>
      <w:r>
        <w:t>A replacement currency</w:t>
      </w:r>
    </w:p>
    <w:p>
      <w:pPr>
        <w:pStyle w:val="ListBullet"/>
        <w:ind w:left="425"/>
      </w:pPr>
      <w:r>
        <w:t>A global currency</w:t>
      </w:r>
    </w:p>
    <w:p>
      <w:pPr>
        <w:pStyle w:val="ListBullet"/>
        <w:ind w:left="425"/>
      </w:pPr>
      <w:r>
        <w:t>A USD replacement</w:t>
      </w:r>
    </w:p>
    <w:p>
      <w:pPr>
        <w:pStyle w:val="ListBullet"/>
        <w:ind w:left="425"/>
      </w:pPr>
      <w:r>
        <w:t>A CBDC replacement</w:t>
      </w:r>
    </w:p>
    <w:p>
      <w:pPr>
        <w:pStyle w:val="ListBullet"/>
        <w:ind w:left="425"/>
      </w:pPr>
      <w:r>
        <w:t>An investment asset</w:t>
      </w:r>
    </w:p>
    <w:p>
      <w:r>
        <w:t xml:space="preserve">MTQ is a </w:t>
      </w:r>
      <w:r>
        <w:rPr>
          <w:b/>
        </w:rPr>
        <w:t>permissioned wholesale settlement instrument</w:t>
      </w:r>
      <w:r>
        <w:t xml:space="preserve"> that sits *between* monetary systems.</w:t>
      </w:r>
    </w:p>
    <w:p>
      <w:pPr>
        <w:pStyle w:val="Heading3"/>
      </w:pPr>
      <w:r>
        <w:t>Rule 0.5 — No Jurisdictional Exemption</w:t>
      </w:r>
    </w:p>
    <w:p>
      <w:r>
        <w:rPr>
          <w:b/>
        </w:rPr>
        <w:t>DO NOT claim that the new architecture is exempt from jurisdictional regulation.</w:t>
      </w:r>
      <w:r>
        <w:t xml:space="preserve"> MITHQAL is subject to the laws of every jurisdiction in which it operates. The jurisdictional engine (§15) enforces jurisdiction-specific rules.</w:t>
      </w:r>
    </w:p>
    <w:p>
      <w:pPr>
        <w:pStyle w:val="Heading3"/>
      </w:pPr>
      <w:r>
        <w:t>Rule 0.6 — No Automatic Regulatory Approval</w:t>
      </w:r>
    </w:p>
    <w:p>
      <w:r>
        <w:rPr>
          <w:b/>
        </w:rPr>
        <w:t>DO NOT claim automatic approval under:</w:t>
      </w:r>
    </w:p>
    <w:p>
      <w:pPr>
        <w:pStyle w:val="ListBullet"/>
        <w:ind w:left="425"/>
      </w:pPr>
      <w:r>
        <w:t>MiCA (EU)</w:t>
      </w:r>
    </w:p>
    <w:p>
      <w:pPr>
        <w:pStyle w:val="ListBullet"/>
        <w:ind w:left="425"/>
      </w:pPr>
      <w:r>
        <w:t>U.S. federal/state law</w:t>
      </w:r>
    </w:p>
    <w:p>
      <w:pPr>
        <w:pStyle w:val="ListBullet"/>
        <w:ind w:left="425"/>
      </w:pPr>
      <w:r>
        <w:t>UAE law</w:t>
      </w:r>
    </w:p>
    <w:p>
      <w:pPr>
        <w:pStyle w:val="ListBullet"/>
        <w:ind w:left="425"/>
      </w:pPr>
      <w:r>
        <w:t>Singapore law</w:t>
      </w:r>
    </w:p>
    <w:p>
      <w:pPr>
        <w:pStyle w:val="ListBullet"/>
        <w:ind w:left="425"/>
      </w:pPr>
      <w:r>
        <w:t>UK law</w:t>
      </w:r>
    </w:p>
    <w:p>
      <w:pPr>
        <w:pStyle w:val="ListBullet"/>
        <w:ind w:left="425"/>
      </w:pPr>
      <w:r>
        <w:t>Hong Kong law</w:t>
      </w:r>
    </w:p>
    <w:p>
      <w:pPr>
        <w:pStyle w:val="ListBullet"/>
        <w:ind w:left="425"/>
      </w:pPr>
      <w:r>
        <w:t>Australian, Brazilian, or any other jurisdiction's law</w:t>
      </w:r>
    </w:p>
    <w:p>
      <w:r>
        <w:t xml:space="preserve">Each jurisdiction requires </w:t>
      </w:r>
      <w:r>
        <w:rPr>
          <w:b/>
        </w:rPr>
        <w:t>explicit licensing and authorization</w:t>
      </w:r>
      <w:r>
        <w:t>.</w:t>
      </w:r>
    </w:p>
    <w:p>
      <w:pPr>
        <w:pStyle w:val="Heading3"/>
      </w:pPr>
      <w:r>
        <w:t>Rule 0.7 — Jurisdiction-Specific Requirements</w:t>
      </w:r>
    </w:p>
    <w:p>
      <w:r>
        <w:rPr>
          <w:b/>
        </w:rPr>
        <w:t>DO NOT remove jurisdiction-specific:</w:t>
      </w:r>
    </w:p>
    <w:p>
      <w:pPr>
        <w:pStyle w:val="ListBullet"/>
        <w:ind w:left="425"/>
      </w:pPr>
      <w:r>
        <w:t>Legal classification</w:t>
      </w:r>
    </w:p>
    <w:p>
      <w:pPr>
        <w:pStyle w:val="ListBullet"/>
        <w:ind w:left="425"/>
      </w:pPr>
      <w:r>
        <w:t>Licensing requirements</w:t>
      </w:r>
    </w:p>
    <w:p>
      <w:pPr>
        <w:pStyle w:val="ListBullet"/>
        <w:ind w:left="425"/>
      </w:pPr>
      <w:r>
        <w:t>Authorization requirements</w:t>
      </w:r>
    </w:p>
    <w:p>
      <w:r>
        <w:t>Each jurisdiction has its own regulatory framework. MITHQAL enforces per-jurisdiction rules.</w:t>
      </w:r>
    </w:p>
    <w:p>
      <w:pPr>
        <w:pStyle w:val="Heading3"/>
      </w:pPr>
      <w:r>
        <w:t>Rule 0.8 — No Unrestricted Retail Minting</w:t>
      </w:r>
    </w:p>
    <w:p>
      <w:r>
        <w:rPr>
          <w:b/>
        </w:rPr>
        <w:t>DO NOT permit unrestricted retail minting.</w:t>
      </w:r>
      <w:r>
        <w:t xml:space="preserve"> Retail customers (Class E) cannot directly mint, hold, transfer, or redeem MTQ. All retail access is indirect, through regulated institutions.</w:t>
      </w:r>
    </w:p>
    <w:p>
      <w:pPr>
        <w:pStyle w:val="Heading3"/>
      </w:pPr>
      <w:r>
        <w:t>Rule 0.9 — No Blind KYC Duplication</w:t>
      </w:r>
    </w:p>
    <w:p>
      <w:r>
        <w:rPr>
          <w:b/>
        </w:rPr>
        <w:t>DO NOT require MITHQAL to duplicate full customer KYC/KYB already legally performed by regulated participating institutions</w:t>
      </w:r>
      <w:r>
        <w:t>, except where local law requires direct collection or verification.</w:t>
      </w:r>
    </w:p>
    <w:p>
      <w:pPr>
        <w:pStyle w:val="Heading3"/>
      </w:pPr>
      <w:r>
        <w:t>Rule 0.10 — No Anonymity</w:t>
      </w:r>
    </w:p>
    <w:p>
      <w:r>
        <w:rPr>
          <w:b/>
        </w:rPr>
        <w:t>DO NOT make MTQ anonymous.</w:t>
      </w:r>
      <w:r>
        <w:t xml:space="preserve"> Every MTQ transaction is institutionally attributable and auditable subject to lawful access rights.</w:t>
      </w:r>
    </w:p>
    <w:p>
      <w:pPr>
        <w:pStyle w:val="Heading3"/>
      </w:pPr>
      <w:r>
        <w:t>Rule 0.11 — Central-Bank Participation Requires Authorization</w:t>
      </w:r>
    </w:p>
    <w:p>
      <w:r>
        <w:rPr>
          <w:b/>
        </w:rPr>
        <w:t>DO NOT make central-bank participation automatic.</w:t>
      </w:r>
      <w:r>
        <w:t xml:space="preserve"> Central-bank participation requires </w:t>
      </w:r>
      <w:r>
        <w:rPr>
          <w:b/>
        </w:rPr>
        <w:t>explicit institutional authorization</w:t>
      </w:r>
      <w:r>
        <w:t xml:space="preserve"> by the relevant sovereign authority.</w:t>
      </w:r>
    </w:p>
    <w:p>
      <w:pPr>
        <w:pStyle w:val="Heading3"/>
      </w:pPr>
      <w:r>
        <w:t>Rule 0.12 — No Sanctions/Control Circumvention</w:t>
      </w:r>
    </w:p>
    <w:p>
      <w:r>
        <w:rPr>
          <w:b/>
        </w:rPr>
        <w:t>DO NOT create any mechanism intended to circumvent:</w:t>
      </w:r>
    </w:p>
    <w:p>
      <w:pPr>
        <w:pStyle w:val="ListBullet"/>
        <w:ind w:left="425"/>
      </w:pPr>
      <w:r>
        <w:t>Sanctions</w:t>
      </w:r>
    </w:p>
    <w:p>
      <w:pPr>
        <w:pStyle w:val="ListBullet"/>
        <w:ind w:left="425"/>
      </w:pPr>
      <w:r>
        <w:t>Capital controls</w:t>
      </w:r>
    </w:p>
    <w:p>
      <w:pPr>
        <w:pStyle w:val="ListBullet"/>
        <w:ind w:left="425"/>
      </w:pPr>
      <w:r>
        <w:t>Payment restrictions</w:t>
      </w:r>
    </w:p>
    <w:p>
      <w:pPr>
        <w:pStyle w:val="ListBullet"/>
        <w:ind w:left="425"/>
      </w:pPr>
      <w:r>
        <w:t>Crypto prohibitions</w:t>
      </w:r>
    </w:p>
    <w:p>
      <w:pPr>
        <w:pStyle w:val="ListBullet"/>
        <w:ind w:left="425"/>
      </w:pPr>
      <w:r>
        <w:t>Geo-fencing</w:t>
      </w:r>
    </w:p>
    <w:p>
      <w:pPr>
        <w:pStyle w:val="ListBullet"/>
        <w:ind w:left="425"/>
      </w:pPr>
      <w:r>
        <w:t>Other jurisdictional requirements</w:t>
      </w:r>
    </w:p>
    <w:p>
      <w:pPr>
        <w:pStyle w:val="Heading3"/>
      </w:pPr>
      <w:r>
        <w:t>Rule 0.13 — No Speculative Token-Price Optimization</w:t>
      </w:r>
    </w:p>
    <w:p>
      <w:r>
        <w:rPr>
          <w:b/>
        </w:rPr>
        <w:t>DO NOT introduce speculative token-price optimization.</w:t>
      </w:r>
      <w:r>
        <w:t xml:space="preserve"> MTQ has no floating price — it settles at PAR ($1.00). Reserve management exists to preserve settlement integrity, not to generate speculative profit.</w:t>
      </w:r>
    </w:p>
    <w:p>
      <w:pPr>
        <w:pStyle w:val="Heading3"/>
      </w:pPr>
      <w:r>
        <w:t>Rule 0.14 — No Reserve/Custody Weakening</w:t>
      </w:r>
    </w:p>
    <w:p>
      <w:r>
        <w:rPr>
          <w:b/>
        </w:rPr>
        <w:t>DO NOT weaken:</w:t>
      </w:r>
    </w:p>
    <w:p>
      <w:pPr>
        <w:pStyle w:val="ListBullet"/>
        <w:ind w:left="425"/>
      </w:pPr>
      <w:r>
        <w:t>Reserve segregation</w:t>
      </w:r>
    </w:p>
    <w:p>
      <w:pPr>
        <w:pStyle w:val="ListBullet"/>
        <w:ind w:left="425"/>
      </w:pPr>
      <w:r>
        <w:t>Custody controls</w:t>
      </w:r>
    </w:p>
    <w:p>
      <w:pPr>
        <w:pStyle w:val="ListBullet"/>
        <w:ind w:left="425"/>
      </w:pPr>
      <w:r>
        <w:t>Proof-of-reserves</w:t>
      </w:r>
    </w:p>
    <w:p>
      <w:pPr>
        <w:pStyle w:val="ListBullet"/>
        <w:ind w:left="425"/>
      </w:pPr>
      <w:r>
        <w:t>Proof-of-solvency</w:t>
      </w:r>
    </w:p>
    <w:p>
      <w:pPr>
        <w:pStyle w:val="ListBullet"/>
        <w:ind w:left="425"/>
      </w:pPr>
      <w:r>
        <w:t>Redemption controls</w:t>
      </w:r>
    </w:p>
    <w:p>
      <w:pPr>
        <w:pStyle w:val="ListBullet"/>
        <w:ind w:left="425"/>
      </w:pPr>
      <w:r>
        <w:t>Stress controls</w:t>
      </w:r>
    </w:p>
    <w:p>
      <w:pPr>
        <w:pStyle w:val="Heading3"/>
      </w:pPr>
      <w:r>
        <w:t>Rule 0.15 — Backward Compatibility</w:t>
      </w:r>
    </w:p>
    <w:p>
      <w:r>
        <w:rPr>
          <w:b/>
        </w:rPr>
        <w:t>Every modification must be backward-compatible with the constitutional purpose</w:t>
      </w:r>
      <w:r>
        <w:t xml:space="preserve"> unless this directive explicitly changes the normative model.</w:t>
      </w:r>
    </w:p>
    <w:p>
      <w:pPr>
        <w:pStyle w:val="Heading3"/>
      </w:pPr>
      <w:r>
        <w:t>Rule 0.16 — Historical Language Marking</w:t>
      </w:r>
    </w:p>
    <w:p>
      <w:r>
        <w:rPr>
          <w:b/>
        </w:rPr>
        <w:t>Historical v18/v19/v24 material may remain for traceability, but conflicting historical language must be clearly marked NON-NORMATIVE.</w:t>
      </w:r>
      <w:r>
        <w:t xml:space="preserve"> The v25.0 wholesale settlement model is the sole normative operating model.</w:t>
      </w:r>
    </w:p>
    <w:p>
      <w:pPr>
        <w:pStyle w:val="Heading3"/>
      </w:pPr>
      <w:r>
        <w:t>Rule 0.17 — v25.0 Is the Sole Normative Model</w:t>
      </w:r>
    </w:p>
    <w:p>
      <w:r>
        <w:rPr>
          <w:b/>
        </w:rPr>
        <w:t>The new wholesale settlement model becomes the sole normative operating model for production architecture.</w:t>
      </w:r>
      <w:r>
        <w:t xml:space="preserve"> All prior participant-minting, retail-minting, and public-minting language is superseded.</w:t>
      </w:r>
    </w:p>
    <w:p>
      <w:pPr>
        <w:pBdr>
          <w:bottom w:val="single" w:sz="12" w:space="1" w:color="C59B1E"/>
        </w:pBdr>
      </w:pPr>
    </w:p>
    <w:p>
      <w:pPr>
        <w:pStyle w:val="Heading2"/>
      </w:pPr>
      <w:r>
        <w:t>§1 — CANONICAL IDENTITY</w:t>
      </w:r>
    </w:p>
    <w:p>
      <w:pPr>
        <w:pStyle w:val="Heading3"/>
      </w:pPr>
      <w:r>
        <w:t>§1.1 MITHQAL Canonical Identity</w:t>
      </w:r>
    </w:p>
    <w:p>
      <w:r>
        <w:rPr>
          <w:b/>
        </w:rPr>
        <w:t>MITHQAL is:</w:t>
      </w:r>
    </w:p>
    <w:p>
      <w:pPr>
        <w:spacing w:before="120" w:after="120"/>
        <w:ind w:left="567" w:right="567"/>
        <w:pBdr>
          <w:left w:val="single" w:sz="24" w:space="8" w:color="C59B1E"/>
        </w:pBdr>
        <w:shd w:fill="FFFBF0"/>
      </w:pPr>
      <w:r>
        <w:rPr>
          <w:b/>
          <w:i/>
          <w:color w:val="1A365F"/>
          <w:sz w:val="22"/>
        </w:rPr>
        <w:t>A neutral wholesale institutional settlement infrastructure connecting regulated monetary systems across jurisdictions.</w:t>
      </w:r>
    </w:p>
    <w:p>
      <w:r>
        <w:rPr>
          <w:b/>
        </w:rPr>
        <w:t>MITHQAL is NOT:</w:t>
      </w:r>
    </w:p>
    <w:p>
      <w:pPr>
        <w:pStyle w:val="ListBullet"/>
        <w:ind w:left="425"/>
      </w:pPr>
      <w:r>
        <w:t>a central bank;</w:t>
      </w:r>
    </w:p>
    <w:p>
      <w:pPr>
        <w:pStyle w:val="ListBullet"/>
        <w:ind w:left="425"/>
      </w:pPr>
      <w:r>
        <w:t>a commercial bank;</w:t>
      </w:r>
    </w:p>
    <w:p>
      <w:pPr>
        <w:pStyle w:val="ListBullet"/>
        <w:ind w:left="425"/>
      </w:pPr>
      <w:r>
        <w:t>a sovereign currency issuer;</w:t>
      </w:r>
    </w:p>
    <w:p>
      <w:pPr>
        <w:pStyle w:val="ListBullet"/>
        <w:ind w:left="425"/>
      </w:pPr>
      <w:r>
        <w:t>a retail payment platform;</w:t>
      </w:r>
    </w:p>
    <w:p>
      <w:pPr>
        <w:pStyle w:val="ListBullet"/>
        <w:ind w:left="425"/>
      </w:pPr>
      <w:r>
        <w:t>an exchange;</w:t>
      </w:r>
    </w:p>
    <w:p>
      <w:pPr>
        <w:pStyle w:val="ListBullet"/>
        <w:ind w:left="425"/>
      </w:pPr>
      <w:r>
        <w:t>a brokerage;</w:t>
      </w:r>
    </w:p>
    <w:p>
      <w:pPr>
        <w:pStyle w:val="ListBullet"/>
        <w:ind w:left="425"/>
      </w:pPr>
      <w:r>
        <w:t>a market maker;</w:t>
      </w:r>
    </w:p>
    <w:p>
      <w:pPr>
        <w:pStyle w:val="ListBullet"/>
        <w:ind w:left="425"/>
      </w:pPr>
      <w:r>
        <w:t>a lending institution;</w:t>
      </w:r>
    </w:p>
    <w:p>
      <w:pPr>
        <w:pStyle w:val="ListBullet"/>
        <w:ind w:left="425"/>
      </w:pPr>
      <w:r>
        <w:t>a trade-finance institution;</w:t>
      </w:r>
    </w:p>
    <w:p>
      <w:pPr>
        <w:pStyle w:val="ListBullet"/>
        <w:ind w:left="425"/>
      </w:pPr>
      <w:r>
        <w:t>an investment fund;</w:t>
      </w:r>
    </w:p>
    <w:p>
      <w:pPr>
        <w:pStyle w:val="ListBullet"/>
        <w:ind w:left="425"/>
      </w:pPr>
      <w:r>
        <w:t>a wealth manager;</w:t>
      </w:r>
    </w:p>
    <w:p>
      <w:pPr>
        <w:pStyle w:val="ListBullet"/>
        <w:ind w:left="425"/>
      </w:pPr>
      <w:r>
        <w:t>a DeFi protocol;</w:t>
      </w:r>
    </w:p>
    <w:p>
      <w:pPr>
        <w:pStyle w:val="ListBullet"/>
        <w:ind w:left="425"/>
      </w:pPr>
      <w:r>
        <w:t>a speculative vehicle.</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MITHQAL_IDENTITY</w:t>
      </w:r>
    </w:p>
    <w:p>
      <w:pPr>
        <w:ind w:left="283"/>
        <w:shd w:fill="F5F5F5"/>
      </w:pPr>
      <w:r>
        <w:rPr>
          <w:rFonts w:ascii="Consolas" w:hAnsi="Consolas"/>
          <w:color w:val="6B6B6B"/>
          <w:sz w:val="18"/>
        </w:rPr>
        <w:t>export const MITHQAL_IDENTITY = {</w:t>
        <w:br/>
        <w:t xml:space="preserve">  canonical: "A neutral wholesale institutional settlement infrastructure connecting regulated monetary systems across jurisdictions.",</w:t>
        <w:br/>
        <w:t xml:space="preserve">  isNot: [</w:t>
        <w:br/>
        <w:t xml:space="preserve">    "a central bank", "a commercial bank", "a sovereign currency issuer",</w:t>
        <w:br/>
        <w:t xml:space="preserve">    "a retail payment platform", "an exchange", "a brokerage", "a market maker",</w:t>
        <w:br/>
        <w:t xml:space="preserve">    "a lending institution", "a trade-finance institution", "an investment fund",</w:t>
        <w:br/>
        <w:t xml:space="preserve">    "a wealth manager", "a DeFi protocol", "a speculative vehicle",</w:t>
        <w:br/>
        <w:t xml:space="preserve">  ],</w:t>
        <w:br/>
        <w:t>};</w:t>
      </w:r>
    </w:p>
    <w:p>
      <w:pPr>
        <w:pStyle w:val="Heading3"/>
      </w:pPr>
      <w:r>
        <w:t>§1.2 MTQ Canonical Definition</w:t>
      </w:r>
    </w:p>
    <w:p>
      <w:r>
        <w:rPr>
          <w:b/>
        </w:rPr>
        <w:t>MTQ is:</w:t>
      </w:r>
    </w:p>
    <w:p>
      <w:pPr>
        <w:spacing w:before="120" w:after="120"/>
        <w:ind w:left="567" w:right="567"/>
        <w:pBdr>
          <w:left w:val="single" w:sz="24" w:space="8" w:color="C59B1E"/>
        </w:pBdr>
        <w:shd w:fill="FFFBF0"/>
      </w:pPr>
      <w:r>
        <w:rPr>
          <w:b/>
          <w:i/>
          <w:color w:val="1A365F"/>
          <w:sz w:val="22"/>
        </w:rPr>
        <w:t>A permissioned wholesale settlement instrument used by approved regulated financial institutions and, where explicitly authorized, central banks or equivalent sovereign monetary authorities to transfer settlement value between participating monetary systems.</w:t>
      </w:r>
    </w:p>
    <w:p>
      <w:r>
        <w:rPr>
          <w:b/>
        </w:rPr>
        <w:t>MTQ IS:</w:t>
      </w:r>
    </w:p>
    <w:p>
      <w:pPr>
        <w:pStyle w:val="ListBullet"/>
        <w:ind w:left="425"/>
      </w:pPr>
      <w:r>
        <w:t>neutral</w:t>
      </w:r>
    </w:p>
    <w:p>
      <w:pPr>
        <w:pStyle w:val="ListBullet"/>
        <w:ind w:left="425"/>
      </w:pPr>
      <w:r>
        <w:t>wholesale</w:t>
      </w:r>
    </w:p>
    <w:p>
      <w:pPr>
        <w:pStyle w:val="ListBullet"/>
        <w:ind w:left="425"/>
      </w:pPr>
      <w:r>
        <w:t>settlement-focused</w:t>
      </w:r>
    </w:p>
    <w:p>
      <w:pPr>
        <w:pStyle w:val="ListBullet"/>
        <w:ind w:left="425"/>
      </w:pPr>
      <w:r>
        <w:t>reserve-disciplined</w:t>
      </w:r>
    </w:p>
    <w:p>
      <w:pPr>
        <w:pStyle w:val="ListBullet"/>
        <w:ind w:left="425"/>
      </w:pPr>
      <w:r>
        <w:t>auditable</w:t>
      </w:r>
    </w:p>
    <w:p>
      <w:pPr>
        <w:pStyle w:val="ListBullet"/>
        <w:ind w:left="425"/>
      </w:pPr>
      <w:r>
        <w:t>cryptographically secured</w:t>
      </w:r>
    </w:p>
    <w:p>
      <w:pPr>
        <w:pStyle w:val="ListBullet"/>
        <w:ind w:left="425"/>
      </w:pPr>
      <w:r>
        <w:t>institutionally traceable</w:t>
      </w:r>
    </w:p>
    <w:p>
      <w:pPr>
        <w:pStyle w:val="ListBullet"/>
        <w:ind w:left="425"/>
      </w:pPr>
      <w:r>
        <w:t>interoperable</w:t>
      </w:r>
    </w:p>
    <w:p>
      <w:r>
        <w:rPr>
          <w:b/>
        </w:rPr>
        <w:t>MTQ is NOT:</w:t>
      </w:r>
    </w:p>
    <w:p>
      <w:pPr>
        <w:pStyle w:val="ListBullet"/>
        <w:ind w:left="425"/>
      </w:pPr>
      <w:r>
        <w:t>a retail stablecoin</w:t>
      </w:r>
    </w:p>
    <w:p>
      <w:pPr>
        <w:pStyle w:val="ListBullet"/>
        <w:ind w:left="425"/>
      </w:pPr>
      <w:r>
        <w:t>a consumer payment coin</w:t>
      </w:r>
    </w:p>
    <w:p>
      <w:pPr>
        <w:pStyle w:val="ListBullet"/>
        <w:ind w:left="425"/>
      </w:pPr>
      <w:r>
        <w:t>a replacement for USD, JPY, EUR, AED or any sovereign currency</w:t>
      </w:r>
    </w:p>
    <w:p>
      <w:pPr>
        <w:pStyle w:val="ListBullet"/>
        <w:ind w:left="425"/>
      </w:pPr>
      <w:r>
        <w:t>a CBDC</w:t>
      </w:r>
    </w:p>
    <w:p>
      <w:pPr>
        <w:pStyle w:val="ListBullet"/>
        <w:ind w:left="425"/>
      </w:pPr>
      <w:r>
        <w:t>a sovereign liability</w:t>
      </w:r>
    </w:p>
    <w:p>
      <w:pPr>
        <w:pStyle w:val="ListBullet"/>
        <w:ind w:left="425"/>
      </w:pPr>
      <w:r>
        <w:t>an investment product</w:t>
      </w:r>
    </w:p>
    <w:p>
      <w:pPr>
        <w:pStyle w:val="ListBullet"/>
        <w:ind w:left="425"/>
      </w:pPr>
      <w:r>
        <w:t>an exchange-traded speculative instrument</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MTQ_DEFINITION</w:t>
      </w:r>
    </w:p>
    <w:p>
      <w:pPr>
        <w:pStyle w:val="Heading3"/>
      </w:pPr>
      <w:r>
        <w:t>§1.3 Identity Invariants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Property</w:t>
            </w:r>
          </w:p>
        </w:tc>
        <w:tc>
          <w:tcPr>
            <w:tcW w:type="dxa" w:w="3024"/>
            <w:shd w:fill="1A365F"/>
            <w:vAlign w:val="center"/>
          </w:tcPr>
          <w:p>
            <w:pPr>
              <w:jc w:val="left"/>
            </w:pPr>
            <w:r/>
            <w:r>
              <w:rPr>
                <w:rFonts w:ascii="Calibri" w:hAnsi="Calibri"/>
                <w:b/>
                <w:color w:val="FFFFFF"/>
                <w:sz w:val="18"/>
              </w:rPr>
              <w:t>Value</w:t>
            </w:r>
          </w:p>
        </w:tc>
        <w:tc>
          <w:tcPr>
            <w:tcW w:type="dxa" w:w="3024"/>
            <w:shd w:fill="1A365F"/>
            <w:vAlign w:val="center"/>
          </w:tcPr>
          <w:p>
            <w:pPr>
              <w:jc w:val="left"/>
            </w:pPr>
            <w:r/>
            <w:r>
              <w:rPr>
                <w:rFonts w:ascii="Calibri" w:hAnsi="Calibri"/>
                <w:b/>
                <w:color w:val="FFFFFF"/>
                <w:sz w:val="18"/>
              </w:rPr>
              <w:t>Mutability</w:t>
            </w:r>
          </w:p>
        </w:tc>
      </w:tr>
      <w:tr>
        <w:tc>
          <w:tcPr>
            <w:tcW w:type="dxa" w:w="3024"/>
            <w:vAlign w:val="center"/>
          </w:tcPr>
          <w:p>
            <w:pPr>
              <w:jc w:val="left"/>
            </w:pPr>
            <w:r/>
            <w:r>
              <w:rPr>
                <w:rFonts w:ascii="Calibri" w:hAnsi="Calibri"/>
                <w:color w:val="2D2D2D"/>
                <w:sz w:val="18"/>
              </w:rPr>
              <w:t>PAR</w:t>
            </w:r>
          </w:p>
        </w:tc>
        <w:tc>
          <w:tcPr>
            <w:tcW w:type="dxa" w:w="3024"/>
            <w:vAlign w:val="center"/>
          </w:tcPr>
          <w:p>
            <w:pPr>
              <w:jc w:val="left"/>
            </w:pPr>
            <w:r/>
            <w:r>
              <w:rPr>
                <w:rFonts w:ascii="Calibri" w:hAnsi="Calibri"/>
                <w:color w:val="2D2D2D"/>
                <w:sz w:val="18"/>
              </w:rPr>
              <w:t>$1.00 USD</w:t>
            </w:r>
          </w:p>
        </w:tc>
        <w:tc>
          <w:tcPr>
            <w:tcW w:type="dxa" w:w="3024"/>
            <w:vAlign w:val="center"/>
          </w:tcPr>
          <w:p>
            <w:pPr>
              <w:jc w:val="left"/>
            </w:pPr>
            <w:r/>
            <w:r>
              <w:rPr>
                <w:rFonts w:ascii="Calibri" w:hAnsi="Calibri"/>
                <w:color w:val="2D2D2D"/>
                <w:sz w:val="18"/>
              </w:rPr>
              <w:t>Immutable</w:t>
            </w:r>
          </w:p>
        </w:tc>
      </w:tr>
      <w:tr>
        <w:tc>
          <w:tcPr>
            <w:tcW w:type="dxa" w:w="3024"/>
            <w:shd w:fill="F0F0F0"/>
            <w:vAlign w:val="center"/>
          </w:tcPr>
          <w:p>
            <w:pPr>
              <w:jc w:val="left"/>
            </w:pPr>
            <w:r/>
            <w:r>
              <w:rPr>
                <w:rFonts w:ascii="Calibri" w:hAnsi="Calibri"/>
                <w:color w:val="2D2D2D"/>
                <w:sz w:val="18"/>
              </w:rPr>
              <w:t>Settlement finality</w:t>
            </w:r>
          </w:p>
        </w:tc>
        <w:tc>
          <w:tcPr>
            <w:tcW w:type="dxa" w:w="3024"/>
            <w:shd w:fill="F0F0F0"/>
            <w:vAlign w:val="center"/>
          </w:tcPr>
          <w:p>
            <w:pPr>
              <w:jc w:val="left"/>
            </w:pPr>
            <w:r/>
            <w:r>
              <w:rPr>
                <w:rFonts w:ascii="Calibri" w:hAnsi="Calibri"/>
                <w:color w:val="2D2D2D"/>
                <w:sz w:val="18"/>
              </w:rPr>
              <w:t>Cryptographic + Legal + Banking</w:t>
            </w:r>
          </w:p>
        </w:tc>
        <w:tc>
          <w:tcPr>
            <w:tcW w:type="dxa" w:w="3024"/>
            <w:shd w:fill="F0F0F0"/>
            <w:vAlign w:val="center"/>
          </w:tcPr>
          <w:p>
            <w:pPr>
              <w:jc w:val="left"/>
            </w:pPr>
            <w:r/>
            <w:r>
              <w:rPr>
                <w:rFonts w:ascii="Calibri" w:hAnsi="Calibri"/>
                <w:color w:val="2D2D2D"/>
                <w:sz w:val="18"/>
              </w:rPr>
              <w:t>3-layer (§26)</w:t>
            </w:r>
          </w:p>
        </w:tc>
      </w:tr>
      <w:tr>
        <w:tc>
          <w:tcPr>
            <w:tcW w:type="dxa" w:w="3024"/>
            <w:vAlign w:val="center"/>
          </w:tcPr>
          <w:p>
            <w:pPr>
              <w:jc w:val="left"/>
            </w:pPr>
            <w:r/>
            <w:r>
              <w:rPr>
                <w:rFonts w:ascii="Calibri" w:hAnsi="Calibri"/>
                <w:color w:val="2D2D2D"/>
                <w:sz w:val="18"/>
              </w:rPr>
              <w:t>Supply conservation</w:t>
            </w:r>
          </w:p>
        </w:tc>
        <w:tc>
          <w:tcPr>
            <w:tcW w:type="dxa" w:w="3024"/>
            <w:vAlign w:val="center"/>
          </w:tcPr>
          <w:p>
            <w:pPr>
              <w:jc w:val="left"/>
            </w:pPr>
            <w:r/>
            <w:r>
              <w:rPr>
                <w:rFonts w:ascii="Calibri" w:hAnsi="Calibri"/>
                <w:color w:val="2D2D2D"/>
                <w:sz w:val="18"/>
              </w:rPr>
              <w:t>Total = Monad + Arc + Solana + Locked</w:t>
            </w:r>
          </w:p>
        </w:tc>
        <w:tc>
          <w:tcPr>
            <w:tcW w:type="dxa" w:w="3024"/>
            <w:vAlign w:val="center"/>
          </w:tcPr>
          <w:p>
            <w:pPr>
              <w:jc w:val="left"/>
            </w:pPr>
            <w:r/>
            <w:r>
              <w:rPr>
                <w:rFonts w:ascii="Calibri" w:hAnsi="Calibri"/>
                <w:color w:val="2D2D2D"/>
                <w:sz w:val="18"/>
              </w:rPr>
              <w:t>Cross-chain invariant (§50)</w:t>
            </w:r>
          </w:p>
        </w:tc>
      </w:tr>
      <w:tr>
        <w:tc>
          <w:tcPr>
            <w:tcW w:type="dxa" w:w="3024"/>
            <w:shd w:fill="F0F0F0"/>
            <w:vAlign w:val="center"/>
          </w:tcPr>
          <w:p>
            <w:pPr>
              <w:jc w:val="left"/>
            </w:pPr>
            <w:r/>
            <w:r>
              <w:rPr>
                <w:rFonts w:ascii="Calibri" w:hAnsi="Calibri"/>
                <w:color w:val="2D2D2D"/>
                <w:sz w:val="18"/>
              </w:rPr>
              <w:t>Reserve backing</w:t>
            </w:r>
          </w:p>
        </w:tc>
        <w:tc>
          <w:tcPr>
            <w:tcW w:type="dxa" w:w="3024"/>
            <w:shd w:fill="F0F0F0"/>
            <w:vAlign w:val="center"/>
          </w:tcPr>
          <w:p>
            <w:pPr>
              <w:jc w:val="left"/>
            </w:pPr>
            <w:r/>
            <w:r>
              <w:rPr>
                <w:rFonts w:ascii="Calibri" w:hAnsi="Calibri"/>
                <w:color w:val="2D2D2D"/>
                <w:sz w:val="18"/>
              </w:rPr>
              <w:t>100%+ verified (RR ≥ 100%)</w:t>
            </w:r>
          </w:p>
        </w:tc>
        <w:tc>
          <w:tcPr>
            <w:tcW w:type="dxa" w:w="3024"/>
            <w:shd w:fill="F0F0F0"/>
            <w:vAlign w:val="center"/>
          </w:tcPr>
          <w:p>
            <w:pPr>
              <w:jc w:val="left"/>
            </w:pPr>
            <w:r/>
            <w:r>
              <w:rPr>
                <w:rFonts w:ascii="Calibri" w:hAnsi="Calibri"/>
                <w:color w:val="2D2D2D"/>
                <w:sz w:val="18"/>
              </w:rPr>
              <w:t>Constitutional floor</w:t>
            </w:r>
          </w:p>
        </w:tc>
      </w:tr>
      <w:tr>
        <w:tc>
          <w:tcPr>
            <w:tcW w:type="dxa" w:w="3024"/>
            <w:vAlign w:val="center"/>
          </w:tcPr>
          <w:p>
            <w:pPr>
              <w:jc w:val="left"/>
            </w:pPr>
            <w:r/>
            <w:r>
              <w:rPr>
                <w:rFonts w:ascii="Calibri" w:hAnsi="Calibri"/>
                <w:color w:val="2D2D2D"/>
                <w:sz w:val="18"/>
              </w:rPr>
              <w:t>Issuance authority</w:t>
            </w:r>
          </w:p>
        </w:tc>
        <w:tc>
          <w:tcPr>
            <w:tcW w:type="dxa" w:w="3024"/>
            <w:vAlign w:val="center"/>
          </w:tcPr>
          <w:p>
            <w:pPr>
              <w:jc w:val="left"/>
            </w:pPr>
            <w:r/>
            <w:r>
              <w:rPr>
                <w:rFonts w:ascii="Calibri" w:hAnsi="Calibri"/>
                <w:color w:val="2D2D2D"/>
                <w:sz w:val="18"/>
              </w:rPr>
              <w:t>Institutional only (no retail)</w:t>
            </w:r>
          </w:p>
        </w:tc>
        <w:tc>
          <w:tcPr>
            <w:tcW w:type="dxa" w:w="3024"/>
            <w:vAlign w:val="center"/>
          </w:tcPr>
          <w:p>
            <w:pPr>
              <w:jc w:val="left"/>
            </w:pPr>
            <w:r/>
            <w:r>
              <w:rPr>
                <w:rFonts w:ascii="Calibri" w:hAnsi="Calibri"/>
                <w:color w:val="2D2D2D"/>
                <w:sz w:val="18"/>
              </w:rPr>
              <w:t>Hard boundary</w:t>
            </w:r>
          </w:p>
        </w:tc>
      </w:tr>
      <w:tr>
        <w:tc>
          <w:tcPr>
            <w:tcW w:type="dxa" w:w="3024"/>
            <w:shd w:fill="F0F0F0"/>
            <w:vAlign w:val="center"/>
          </w:tcPr>
          <w:p>
            <w:pPr>
              <w:jc w:val="left"/>
            </w:pPr>
            <w:r/>
            <w:r>
              <w:rPr>
                <w:rFonts w:ascii="Calibri" w:hAnsi="Calibri"/>
                <w:color w:val="2D2D2D"/>
                <w:sz w:val="18"/>
              </w:rPr>
              <w:t>Neutrality</w:t>
            </w:r>
          </w:p>
        </w:tc>
        <w:tc>
          <w:tcPr>
            <w:tcW w:type="dxa" w:w="3024"/>
            <w:shd w:fill="F0F0F0"/>
            <w:vAlign w:val="center"/>
          </w:tcPr>
          <w:p>
            <w:pPr>
              <w:jc w:val="left"/>
            </w:pPr>
            <w:r/>
            <w:r>
              <w:rPr>
                <w:rFonts w:ascii="Calibri" w:hAnsi="Calibri"/>
                <w:color w:val="2D2D2D"/>
                <w:sz w:val="18"/>
              </w:rPr>
              <w:t>Does not compete with sovereign money</w:t>
            </w:r>
          </w:p>
        </w:tc>
        <w:tc>
          <w:tcPr>
            <w:tcW w:type="dxa" w:w="3024"/>
            <w:shd w:fill="F0F0F0"/>
            <w:vAlign w:val="center"/>
          </w:tcPr>
          <w:p>
            <w:pPr>
              <w:jc w:val="left"/>
            </w:pPr>
            <w:r/>
            <w:r>
              <w:rPr>
                <w:rFonts w:ascii="Calibri" w:hAnsi="Calibri"/>
                <w:color w:val="2D2D2D"/>
                <w:sz w:val="18"/>
              </w:rPr>
              <w:t>Immutable doctrine (§6)</w:t>
            </w:r>
          </w:p>
        </w:tc>
      </w:tr>
    </w:tbl>
    <w:p/>
    <w:p>
      <w:pPr>
        <w:pBdr>
          <w:bottom w:val="single" w:sz="12" w:space="1" w:color="C59B1E"/>
        </w:pBdr>
      </w:pPr>
    </w:p>
    <w:p>
      <w:pPr>
        <w:pStyle w:val="Heading2"/>
      </w:pPr>
      <w:r>
        <w:t>§2 — PARTICIPANT HIERARCHY</w:t>
      </w:r>
    </w:p>
    <w:p>
      <w:r>
        <w:t xml:space="preserve">MITHQAL v25.0 introduces a </w:t>
      </w:r>
      <w:r>
        <w:rPr>
          <w:b/>
        </w:rPr>
        <w:t>5-class participant hierarchy</w:t>
      </w:r>
      <w:r>
        <w:t xml:space="preserve"> replacing the v24.2 open-participant model. Each class has distinct capabilities and authorization requirements.</w:t>
      </w:r>
    </w:p>
    <w:p>
      <w:pPr>
        <w:pStyle w:val="Heading3"/>
      </w:pPr>
      <w:r>
        <w:t>§2.1 Class A — Central Bank / Sovereign Monetary Authority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Permitted only when explicitly authorized by the relevant authority and applicable legal framework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 (even central banks go through institutional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EXPLICIT_SOVEREIGN</w:t>
            </w:r>
          </w:p>
        </w:tc>
      </w:tr>
    </w:tbl>
    <w:p/>
    <w:p>
      <w:r>
        <w:rPr>
          <w:b/>
        </w:rPr>
        <w:t>Capabilities may include:</w:t>
      </w:r>
    </w:p>
    <w:p>
      <w:pPr>
        <w:pStyle w:val="ListBullet"/>
        <w:ind w:left="425"/>
      </w:pPr>
      <w:r>
        <w:t>Wholesale settlement participation</w:t>
      </w:r>
    </w:p>
    <w:p>
      <w:pPr>
        <w:pStyle w:val="ListBullet"/>
        <w:ind w:left="425"/>
      </w:pPr>
      <w:r>
        <w:t>CBDC interoperability</w:t>
      </w:r>
    </w:p>
    <w:p>
      <w:pPr>
        <w:pStyle w:val="ListBullet"/>
        <w:ind w:left="425"/>
      </w:pPr>
      <w:r>
        <w:t>Institutional settlement routing</w:t>
      </w:r>
    </w:p>
    <w:p>
      <w:pPr>
        <w:pStyle w:val="ListBullet"/>
        <w:ind w:left="425"/>
      </w:pPr>
      <w:r>
        <w:t>Observation/reporting according to legal access rights</w:t>
      </w:r>
    </w:p>
    <w:p>
      <w:r>
        <w:rPr>
          <w:b/>
        </w:rPr>
        <w:t>Critical Rule:</w:t>
      </w:r>
      <w:r>
        <w:t xml:space="preserve"> Never claim a central bank is an MTQ participant unless formally approved. Central-bank participation is NOT automatic — it requires explicit authorization by the sovereign authority.</w:t>
      </w:r>
    </w:p>
    <w:p>
      <w:pPr>
        <w:pStyle w:val="Heading3"/>
      </w:pPr>
      <w:r>
        <w:t>§2.2 Class B — Regulated Commercial Bank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Primary production participant</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(through institutional issuance channels)</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REGULATORY</w:t>
            </w:r>
          </w:p>
        </w:tc>
      </w:tr>
    </w:tbl>
    <w:p/>
    <w:p>
      <w:r>
        <w:rPr>
          <w:b/>
        </w:rPr>
        <w:t>Capabilities:</w:t>
      </w:r>
    </w:p>
    <w:p>
      <w:pPr>
        <w:pStyle w:val="ListBullet"/>
        <w:ind w:left="425"/>
      </w:pPr>
      <w:r>
        <w:t>MTQ settlement</w:t>
      </w:r>
    </w:p>
    <w:p>
      <w:pPr>
        <w:pStyle w:val="ListBullet"/>
        <w:ind w:left="425"/>
      </w:pPr>
      <w:r>
        <w:t>MTQ acquisition through approved institutional channels</w:t>
      </w:r>
    </w:p>
    <w:p>
      <w:pPr>
        <w:pStyle w:val="ListBullet"/>
        <w:ind w:left="425"/>
      </w:pPr>
      <w:r>
        <w:t>MTQ redemption through approved channels</w:t>
      </w:r>
    </w:p>
    <w:p>
      <w:pPr>
        <w:pStyle w:val="ListBullet"/>
        <w:ind w:left="425"/>
      </w:pPr>
      <w:r>
        <w:t>Settlement routing</w:t>
      </w:r>
    </w:p>
    <w:p>
      <w:pPr>
        <w:pStyle w:val="ListBullet"/>
        <w:ind w:left="425"/>
      </w:pPr>
      <w:r>
        <w:t>Institutional liquidity management</w:t>
      </w:r>
    </w:p>
    <w:p>
      <w:pPr>
        <w:pStyle w:val="ListBullet"/>
        <w:ind w:left="425"/>
      </w:pPr>
      <w:r>
        <w:t>Transaction reporting</w:t>
      </w:r>
    </w:p>
    <w:p>
      <w:pPr>
        <w:pStyle w:val="ListBullet"/>
        <w:ind w:left="425"/>
      </w:pPr>
      <w:r>
        <w:t>Corporate MTQ settlement account administration (§11)</w:t>
      </w:r>
    </w:p>
    <w:p>
      <w:pPr>
        <w:pStyle w:val="ListBullet"/>
        <w:ind w:left="425"/>
      </w:pPr>
      <w:r>
        <w:t>Customer KYC/KYB/AML/CFT (§4)</w:t>
      </w:r>
    </w:p>
    <w:p>
      <w:pPr>
        <w:pStyle w:val="ListBullet"/>
        <w:ind w:left="425"/>
      </w:pPr>
      <w:r>
        <w:t>FX services (within regulated banking)</w:t>
      </w:r>
    </w:p>
    <w:p>
      <w:pPr>
        <w:pStyle w:val="ListBullet"/>
        <w:ind w:left="425"/>
      </w:pPr>
      <w:r>
        <w:t>Treasury/liquidity services</w:t>
      </w:r>
    </w:p>
    <w:p>
      <w:r>
        <w:rPr>
          <w:b/>
        </w:rPr>
        <w:t>Revenue Opportunities (§29):</w:t>
      </w:r>
    </w:p>
    <w:p>
      <w:pPr>
        <w:pStyle w:val="ListBullet"/>
        <w:ind w:left="425"/>
      </w:pPr>
      <w:r>
        <w:t>MTQ origination/service fee</w:t>
      </w:r>
    </w:p>
    <w:p>
      <w:pPr>
        <w:pStyle w:val="ListBullet"/>
        <w:ind w:left="425"/>
      </w:pPr>
      <w:r>
        <w:t>Settlement fee</w:t>
      </w:r>
    </w:p>
    <w:p>
      <w:pPr>
        <w:pStyle w:val="ListBullet"/>
        <w:ind w:left="425"/>
      </w:pPr>
      <w:r>
        <w:t>Redemption service fee</w:t>
      </w:r>
    </w:p>
    <w:p>
      <w:pPr>
        <w:pStyle w:val="ListBullet"/>
        <w:ind w:left="425"/>
      </w:pPr>
      <w:r>
        <w:t>FX spread/service fee</w:t>
      </w:r>
    </w:p>
    <w:p>
      <w:pPr>
        <w:pStyle w:val="ListBullet"/>
        <w:ind w:left="425"/>
      </w:pPr>
      <w:r>
        <w:t>Treasury/liquidity services</w:t>
      </w:r>
    </w:p>
    <w:p>
      <w:pPr>
        <w:pStyle w:val="ListBullet"/>
        <w:ind w:left="425"/>
      </w:pPr>
      <w:r>
        <w:t>Corporate settlement account fees</w:t>
      </w:r>
    </w:p>
    <w:p>
      <w:pPr>
        <w:pStyle w:val="ListBullet"/>
        <w:ind w:left="425"/>
      </w:pPr>
      <w:r>
        <w:t>API/connectivity fees</w:t>
      </w:r>
    </w:p>
    <w:p>
      <w:pPr>
        <w:pStyle w:val="ListBullet"/>
        <w:ind w:left="425"/>
      </w:pPr>
      <w:r>
        <w:t>Reconciliation/reporting services</w:t>
      </w:r>
    </w:p>
    <w:p>
      <w:pPr>
        <w:pStyle w:val="ListBullet"/>
        <w:ind w:left="425"/>
      </w:pPr>
      <w:r>
        <w:t>Institutional wallet administration</w:t>
      </w:r>
    </w:p>
    <w:p>
      <w:pPr>
        <w:pStyle w:val="Heading3"/>
      </w:pPr>
      <w:r>
        <w:t>§2.3 Class C — Approved Regulated Financial Institution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Only where legally permitted. Capabilities explicitly scoped by jurisdiction and license.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Yes (conditional on jurisdiction)</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JURISDICTIONAL</w:t>
            </w:r>
          </w:p>
        </w:tc>
      </w:tr>
    </w:tbl>
    <w:p/>
    <w:p>
      <w:r>
        <w:rPr>
          <w:b/>
        </w:rPr>
        <w:t>Capabilities:</w:t>
      </w:r>
    </w:p>
    <w:p>
      <w:pPr>
        <w:pStyle w:val="ListBullet"/>
        <w:ind w:left="425"/>
      </w:pPr>
      <w:r>
        <w:t>MTQ settlement (jurisdiction-scoped)</w:t>
      </w:r>
    </w:p>
    <w:p>
      <w:pPr>
        <w:pStyle w:val="ListBullet"/>
        <w:ind w:left="425"/>
      </w:pPr>
      <w:r>
        <w:t>MTQ acquisition (conditional)</w:t>
      </w:r>
    </w:p>
    <w:p>
      <w:pPr>
        <w:pStyle w:val="ListBullet"/>
        <w:ind w:left="425"/>
      </w:pPr>
      <w:r>
        <w:t>MTQ redemption (conditional)</w:t>
      </w:r>
    </w:p>
    <w:p>
      <w:pPr>
        <w:pStyle w:val="Heading3"/>
      </w:pPr>
      <w:r>
        <w:t>§2.4 Class D — Corporate / Trade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Corporate customers do NOT directly mint MTQ. They interact through their regulated bank.</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NONE (bank handles)</w:t>
            </w:r>
          </w:p>
        </w:tc>
      </w:tr>
    </w:tbl>
    <w:p/>
    <w:p>
      <w:r>
        <w:rPr>
          <w:b/>
        </w:rPr>
        <w:t>Capabilities:</w:t>
      </w:r>
    </w:p>
    <w:p>
      <w:pPr>
        <w:pStyle w:val="ListBullet"/>
        <w:ind w:left="425"/>
      </w:pPr>
      <w:r>
        <w:t>Indirect MTQ access via regulated institution</w:t>
      </w:r>
    </w:p>
    <w:p>
      <w:pPr>
        <w:pStyle w:val="ListBullet"/>
        <w:ind w:left="425"/>
      </w:pPr>
      <w:r>
        <w:t>Trade settlement instruction via bank</w:t>
      </w:r>
    </w:p>
    <w:p>
      <w:pPr>
        <w:pStyle w:val="ListBullet"/>
        <w:ind w:left="425"/>
      </w:pPr>
      <w:r>
        <w:t>Beneficial economic holder of bank-linked MTQ settlement account (§11)</w:t>
      </w:r>
    </w:p>
    <w:p>
      <w:r>
        <w:rPr>
          <w:b/>
        </w:rPr>
        <w:t>Key Principle:</w:t>
      </w:r>
      <w:r>
        <w:t xml:space="preserve"> The corporation becomes the </w:t>
      </w:r>
      <w:r>
        <w:rPr>
          <w:b/>
        </w:rPr>
        <w:t>beneficial economic holder</w:t>
      </w:r>
      <w:r>
        <w:t xml:space="preserve"> of MTQ, while the bank remains the </w:t>
      </w:r>
      <w:r>
        <w:rPr>
          <w:b/>
        </w:rPr>
        <w:t>regulated access and security layer</w:t>
      </w:r>
      <w:r>
        <w:t>.</w:t>
      </w:r>
    </w:p>
    <w:p>
      <w:pPr>
        <w:pStyle w:val="Heading3"/>
      </w:pPr>
      <w:r>
        <w:t>§2.5 Class E — Individual / Retail Customer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**Description**</w:t>
            </w:r>
          </w:p>
        </w:tc>
        <w:tc>
          <w:tcPr>
            <w:tcW w:type="dxa" w:w="4536"/>
            <w:vAlign w:val="center"/>
          </w:tcPr>
          <w:p>
            <w:pPr>
              <w:jc w:val="left"/>
            </w:pPr>
            <w:r/>
            <w:r>
              <w:rPr>
                <w:rFonts w:ascii="Calibri" w:hAnsi="Calibri"/>
                <w:color w:val="2D2D2D"/>
                <w:sz w:val="18"/>
              </w:rPr>
              <w:t>No direct MTQ minting. No direct wholesale settlement access. No unrestricted retail MTQ issuance.</w:t>
            </w:r>
          </w:p>
        </w:tc>
      </w:tr>
      <w:tr>
        <w:tc>
          <w:tcPr>
            <w:tcW w:type="dxa" w:w="4536"/>
            <w:shd w:fill="F0F0F0"/>
            <w:vAlign w:val="center"/>
          </w:tcPr>
          <w:p>
            <w:pPr>
              <w:jc w:val="left"/>
            </w:pPr>
            <w:r/>
            <w:r>
              <w:rPr>
                <w:rFonts w:ascii="Calibri" w:hAnsi="Calibri"/>
                <w:color w:val="2D2D2D"/>
                <w:sz w:val="18"/>
              </w:rPr>
              <w:t>**Direct Minting**</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**Direct Settlement**</w:t>
            </w:r>
          </w:p>
        </w:tc>
        <w:tc>
          <w:tcPr>
            <w:tcW w:type="dxa" w:w="4536"/>
            <w:vAlign w:val="center"/>
          </w:tcPr>
          <w:p>
            <w:pPr>
              <w:jc w:val="left"/>
            </w:pPr>
            <w:r/>
            <w:r>
              <w:rPr>
                <w:rFonts w:ascii="Calibri" w:hAnsi="Calibri"/>
                <w:color w:val="2D2D2D"/>
                <w:sz w:val="18"/>
              </w:rPr>
              <w:t>No</w:t>
            </w:r>
          </w:p>
        </w:tc>
      </w:tr>
      <w:tr>
        <w:tc>
          <w:tcPr>
            <w:tcW w:type="dxa" w:w="4536"/>
            <w:shd w:fill="F0F0F0"/>
            <w:vAlign w:val="center"/>
          </w:tcPr>
          <w:p>
            <w:pPr>
              <w:jc w:val="left"/>
            </w:pPr>
            <w:r/>
            <w:r>
              <w:rPr>
                <w:rFonts w:ascii="Calibri" w:hAnsi="Calibri"/>
                <w:color w:val="2D2D2D"/>
                <w:sz w:val="18"/>
              </w:rPr>
              <w:t>**Authorization Required**</w:t>
            </w:r>
          </w:p>
        </w:tc>
        <w:tc>
          <w:tcPr>
            <w:tcW w:type="dxa" w:w="4536"/>
            <w:shd w:fill="F0F0F0"/>
            <w:vAlign w:val="center"/>
          </w:tcPr>
          <w:p>
            <w:pPr>
              <w:jc w:val="left"/>
            </w:pPr>
            <w:r/>
            <w:r>
              <w:rPr>
                <w:rFonts w:ascii="Calibri" w:hAnsi="Calibri"/>
                <w:color w:val="2D2D2D"/>
                <w:sz w:val="18"/>
              </w:rPr>
              <w:t>NONE</w:t>
            </w:r>
          </w:p>
        </w:tc>
      </w:tr>
    </w:tbl>
    <w:p/>
    <w:p>
      <w:r>
        <w:rPr>
          <w:b/>
        </w:rPr>
        <w:t>Capabilities:</w:t>
      </w:r>
    </w:p>
    <w:p>
      <w:pPr>
        <w:pStyle w:val="ListBullet"/>
        <w:ind w:left="425"/>
      </w:pPr>
      <w:r>
        <w:t>No direct MTQ access</w:t>
      </w:r>
    </w:p>
    <w:p>
      <w:pPr>
        <w:pStyle w:val="ListBullet"/>
        <w:ind w:left="425"/>
      </w:pPr>
      <w:r>
        <w:t>Retail access is NOT part of the core institutional architecture</w:t>
      </w:r>
    </w:p>
    <w:p>
      <w:r>
        <w:rPr>
          <w:b/>
        </w:rPr>
        <w:t>Hard Boundary:</w:t>
      </w:r>
      <w:r>
        <w:t xml:space="preserve"> Direct retail participation is PROHIBITED. This includes:</w:t>
      </w:r>
    </w:p>
    <w:p>
      <w:pPr>
        <w:pStyle w:val="ListBullet"/>
        <w:ind w:left="425"/>
      </w:pPr>
      <w:r>
        <w:t>Individual consumers ❌</w:t>
      </w:r>
    </w:p>
    <w:p>
      <w:pPr>
        <w:pStyle w:val="ListBullet"/>
        <w:ind w:left="425"/>
      </w:pPr>
      <w:r>
        <w:t>Personal bank accounts ❌</w:t>
      </w:r>
    </w:p>
    <w:p>
      <w:pPr>
        <w:pStyle w:val="ListBullet"/>
        <w:ind w:left="425"/>
      </w:pPr>
      <w:r>
        <w:t>Retail wallets ❌</w:t>
      </w:r>
    </w:p>
    <w:p>
      <w:pPr>
        <w:pStyle w:val="ListBullet"/>
        <w:ind w:left="425"/>
      </w:pPr>
      <w:r>
        <w:t>Public direct MTQ minting ❌</w:t>
      </w:r>
    </w:p>
    <w:p>
      <w:pPr>
        <w:pStyle w:val="ListBullet"/>
        <w:ind w:left="425"/>
      </w:pPr>
      <w:r>
        <w:t>Consumer direct wholesale settlement ❌</w:t>
      </w:r>
    </w:p>
    <w:p>
      <w:pPr>
        <w:pStyle w:val="Heading3"/>
      </w:pPr>
      <w:r>
        <w:t>§2.6 Class Capability Matrix</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Capability</w:t>
            </w:r>
          </w:p>
        </w:tc>
        <w:tc>
          <w:tcPr>
            <w:tcW w:type="dxa" w:w="1512"/>
            <w:shd w:fill="1A365F"/>
            <w:vAlign w:val="center"/>
          </w:tcPr>
          <w:p>
            <w:pPr>
              <w:jc w:val="left"/>
            </w:pPr>
            <w:r/>
            <w:r>
              <w:rPr>
                <w:rFonts w:ascii="Calibri" w:hAnsi="Calibri"/>
                <w:b/>
                <w:color w:val="FFFFFF"/>
                <w:sz w:val="18"/>
              </w:rPr>
              <w:t>Class A (CB)</w:t>
            </w:r>
          </w:p>
        </w:tc>
        <w:tc>
          <w:tcPr>
            <w:tcW w:type="dxa" w:w="1512"/>
            <w:shd w:fill="1A365F"/>
            <w:vAlign w:val="center"/>
          </w:tcPr>
          <w:p>
            <w:pPr>
              <w:jc w:val="left"/>
            </w:pPr>
            <w:r/>
            <w:r>
              <w:rPr>
                <w:rFonts w:ascii="Calibri" w:hAnsi="Calibri"/>
                <w:b/>
                <w:color w:val="FFFFFF"/>
                <w:sz w:val="18"/>
              </w:rPr>
              <w:t>Class B (Bank)</w:t>
            </w:r>
          </w:p>
        </w:tc>
        <w:tc>
          <w:tcPr>
            <w:tcW w:type="dxa" w:w="1512"/>
            <w:shd w:fill="1A365F"/>
            <w:vAlign w:val="center"/>
          </w:tcPr>
          <w:p>
            <w:pPr>
              <w:jc w:val="left"/>
            </w:pPr>
            <w:r/>
            <w:r>
              <w:rPr>
                <w:rFonts w:ascii="Calibri" w:hAnsi="Calibri"/>
                <w:b/>
                <w:color w:val="FFFFFF"/>
                <w:sz w:val="18"/>
              </w:rPr>
              <w:t>Class C (Reg FI)</w:t>
            </w:r>
          </w:p>
        </w:tc>
        <w:tc>
          <w:tcPr>
            <w:tcW w:type="dxa" w:w="1512"/>
            <w:shd w:fill="1A365F"/>
            <w:vAlign w:val="center"/>
          </w:tcPr>
          <w:p>
            <w:pPr>
              <w:jc w:val="left"/>
            </w:pPr>
            <w:r/>
            <w:r>
              <w:rPr>
                <w:rFonts w:ascii="Calibri" w:hAnsi="Calibri"/>
                <w:b/>
                <w:color w:val="FFFFFF"/>
                <w:sz w:val="18"/>
              </w:rPr>
              <w:t>Class D (Corp)</w:t>
            </w:r>
          </w:p>
        </w:tc>
        <w:tc>
          <w:tcPr>
            <w:tcW w:type="dxa" w:w="1512"/>
            <w:shd w:fill="1A365F"/>
            <w:vAlign w:val="center"/>
          </w:tcPr>
          <w:p>
            <w:pPr>
              <w:jc w:val="left"/>
            </w:pPr>
            <w:r/>
            <w:r>
              <w:rPr>
                <w:rFonts w:ascii="Calibri" w:hAnsi="Calibri"/>
                <w:b/>
                <w:color w:val="FFFFFF"/>
                <w:sz w:val="18"/>
              </w:rPr>
              <w:t>Class E (Retail)</w:t>
            </w:r>
          </w:p>
        </w:tc>
      </w:tr>
      <w:tr>
        <w:tc>
          <w:tcPr>
            <w:tcW w:type="dxa" w:w="1512"/>
            <w:vAlign w:val="center"/>
          </w:tcPr>
          <w:p>
            <w:pPr>
              <w:jc w:val="left"/>
            </w:pPr>
            <w:r/>
            <w:r>
              <w:rPr>
                <w:rFonts w:ascii="Calibri" w:hAnsi="Calibri"/>
                <w:color w:val="2D2D2D"/>
                <w:sz w:val="18"/>
              </w:rPr>
              <w:t>Direct MTQ minting</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 (institutional)</w:t>
            </w:r>
          </w:p>
        </w:tc>
        <w:tc>
          <w:tcPr>
            <w:tcW w:type="dxa" w:w="1512"/>
            <w:vAlign w:val="center"/>
          </w:tcPr>
          <w:p>
            <w:pPr>
              <w:jc w:val="left"/>
            </w:pPr>
            <w:r/>
            <w:r>
              <w:rPr>
                <w:rFonts w:ascii="Calibri" w:hAnsi="Calibri"/>
                <w:color w:val="2D2D2D"/>
                <w:sz w:val="18"/>
              </w:rPr>
              <w:t>✅ (conditional)</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Direct MTQ settlement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Hold MTQ (direct)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Hold MTQ (bank-linked)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Customer KYC</w:t>
            </w:r>
          </w:p>
        </w:tc>
        <w:tc>
          <w:tcPr>
            <w:tcW w:type="dxa" w:w="1512"/>
            <w:vAlign w:val="center"/>
          </w:tcPr>
          <w:p>
            <w:pPr>
              <w:jc w:val="left"/>
            </w:pPr>
            <w:r/>
            <w:r>
              <w:rPr>
                <w:rFonts w:ascii="Calibri" w:hAnsi="Calibri"/>
                <w:color w:val="2D2D2D"/>
                <w:sz w:val="18"/>
              </w:rPr>
              <w:t>As applicable</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Redeem MTQ</w:t>
            </w:r>
          </w:p>
        </w:tc>
        <w:tc>
          <w:tcPr>
            <w:tcW w:type="dxa" w:w="1512"/>
            <w:shd w:fill="F0F0F0"/>
            <w:vAlign w:val="center"/>
          </w:tcPr>
          <w:p>
            <w:pPr>
              <w:jc w:val="left"/>
            </w:pPr>
            <w:r/>
            <w:r>
              <w:rPr>
                <w:rFonts w:ascii="Calibri" w:hAnsi="Calibri"/>
                <w:color w:val="2D2D2D"/>
                <w:sz w:val="18"/>
              </w:rPr>
              <w:t>✅ (authorized)</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 (conditional)</w:t>
            </w:r>
          </w:p>
        </w:tc>
        <w:tc>
          <w:tcPr>
            <w:tcW w:type="dxa" w:w="1512"/>
            <w:shd w:fill="F0F0F0"/>
            <w:vAlign w:val="center"/>
          </w:tcPr>
          <w:p>
            <w:pPr>
              <w:jc w:val="left"/>
            </w:pPr>
            <w:r/>
            <w:r>
              <w:rPr>
                <w:rFonts w:ascii="Calibri" w:hAnsi="Calibri"/>
                <w:color w:val="2D2D2D"/>
                <w:sz w:val="18"/>
              </w:rPr>
              <w:t>✅ (via bank)</w:t>
            </w:r>
          </w:p>
        </w:tc>
        <w:tc>
          <w:tcPr>
            <w:tcW w:type="dxa" w:w="1512"/>
            <w:shd w:fill="F0F0F0"/>
            <w:vAlign w:val="center"/>
          </w:tcPr>
          <w:p>
            <w:pPr>
              <w:jc w:val="left"/>
            </w:pPr>
            <w:r/>
            <w:r>
              <w:rPr>
                <w:rFonts w:ascii="Calibri" w:hAnsi="Calibri"/>
                <w:color w:val="2D2D2D"/>
                <w:sz w:val="18"/>
              </w:rPr>
              <w:t>❌</w:t>
            </w:r>
          </w:p>
        </w:tc>
      </w:tr>
      <w:tr>
        <w:tc>
          <w:tcPr>
            <w:tcW w:type="dxa" w:w="1512"/>
            <w:vAlign w:val="center"/>
          </w:tcPr>
          <w:p>
            <w:pPr>
              <w:jc w:val="left"/>
            </w:pPr>
            <w:r/>
            <w:r>
              <w:rPr>
                <w:rFonts w:ascii="Calibri" w:hAnsi="Calibri"/>
                <w:color w:val="2D2D2D"/>
                <w:sz w:val="18"/>
              </w:rPr>
              <w:t>Govern rules</w:t>
            </w:r>
          </w:p>
        </w:tc>
        <w:tc>
          <w:tcPr>
            <w:tcW w:type="dxa" w:w="1512"/>
            <w:vAlign w:val="center"/>
          </w:tcPr>
          <w:p>
            <w:pPr>
              <w:jc w:val="left"/>
            </w:pPr>
            <w:r/>
            <w:r>
              <w:rPr>
                <w:rFonts w:ascii="Calibri" w:hAnsi="Calibri"/>
                <w:color w:val="2D2D2D"/>
                <w:sz w:val="18"/>
              </w:rPr>
              <w:t>✅ (sovereign)</w:t>
            </w:r>
          </w:p>
        </w:tc>
        <w:tc>
          <w:tcPr>
            <w:tcW w:type="dxa" w:w="1512"/>
            <w:vAlign w:val="center"/>
          </w:tcPr>
          <w:p>
            <w:pPr>
              <w:jc w:val="left"/>
            </w:pPr>
            <w:r/>
            <w:r>
              <w:rPr>
                <w:rFonts w:ascii="Calibri" w:hAnsi="Calibri"/>
                <w:color w:val="2D2D2D"/>
                <w:sz w:val="18"/>
              </w:rPr>
              <w:t>✅ (council)</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c>
          <w:tcPr>
            <w:tcW w:type="dxa" w:w="1512"/>
            <w:vAlign w:val="center"/>
          </w:tcPr>
          <w:p>
            <w:pPr>
              <w:jc w:val="left"/>
            </w:pPr>
            <w:r/>
            <w:r>
              <w:rPr>
                <w:rFonts w:ascii="Calibri" w:hAnsi="Calibri"/>
                <w:color w:val="2D2D2D"/>
                <w:sz w:val="18"/>
              </w:rPr>
              <w:t>❌</w:t>
            </w:r>
          </w:p>
        </w:tc>
      </w:tr>
      <w:tr>
        <w:tc>
          <w:tcPr>
            <w:tcW w:type="dxa" w:w="1512"/>
            <w:shd w:fill="F0F0F0"/>
            <w:vAlign w:val="center"/>
          </w:tcPr>
          <w:p>
            <w:pPr>
              <w:jc w:val="left"/>
            </w:pPr>
            <w:r/>
            <w:r>
              <w:rPr>
                <w:rFonts w:ascii="Calibri" w:hAnsi="Calibri"/>
                <w:color w:val="2D2D2D"/>
                <w:sz w:val="18"/>
              </w:rPr>
              <w:t>Observe/regulatory access</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c>
          <w:tcPr>
            <w:tcW w:type="dxa" w:w="1512"/>
            <w:shd w:fill="F0F0F0"/>
            <w:vAlign w:val="center"/>
          </w:tcPr>
          <w:p>
            <w:pPr>
              <w:jc w:val="left"/>
            </w:pPr>
            <w:r/>
            <w:r>
              <w:rPr>
                <w:rFonts w:ascii="Calibri" w:hAnsi="Calibri"/>
                <w:color w:val="2D2D2D"/>
                <w:sz w:val="18"/>
              </w:rPr>
              <w:t>❌</w:t>
            </w:r>
          </w:p>
        </w:tc>
      </w:tr>
    </w:tbl>
    <w:p/>
    <w:p>
      <w:pPr>
        <w:pStyle w:val="Heading3"/>
      </w:pPr>
      <w:r>
        <w:t>§2.7 Helper Functions (Implemented)</w:t>
      </w:r>
    </w:p>
    <w:p>
      <w:pPr>
        <w:ind w:left="283"/>
        <w:shd w:fill="F5F5F5"/>
      </w:pPr>
      <w:r>
        <w:rPr>
          <w:rFonts w:ascii="Consolas" w:hAnsi="Consolas"/>
          <w:color w:val="6B6B6B"/>
          <w:sz w:val="18"/>
        </w:rPr>
        <w:t>// Check if a participant class can mint</w:t>
        <w:br/>
        <w:t>canMint("B") → true</w:t>
        <w:br/>
        <w:t>canMint("E") → false</w:t>
        <w:br/>
        <w:br/>
        <w:t>// Check if a participant class can settle directly</w:t>
        <w:br/>
        <w:t>canSettle("A") → true</w:t>
        <w:br/>
        <w:t>canSettle("D") → false</w:t>
        <w:br/>
        <w:br/>
        <w:t>// Get authorization requirement</w:t>
        <w:br/>
        <w:t>getAuthRequirement("A") → "EXPLICIT_SOVEREIGN"</w:t>
        <w:br/>
        <w:t>getAuthRequirement("B") → "REGULATORY"</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PARTICIPANT_CLASSES</w:t>
      </w:r>
      <w:r>
        <w:t xml:space="preserve">, </w:t>
      </w:r>
      <w:r>
        <w:rPr>
          <w:rFonts w:ascii="Consolas" w:hAnsi="Consolas"/>
          <w:color w:val="6B6B6B"/>
          <w:sz w:val="19"/>
        </w:rPr>
        <w:t>canMint()</w:t>
      </w:r>
      <w:r>
        <w:t xml:space="preserve">, </w:t>
      </w:r>
      <w:r>
        <w:rPr>
          <w:rFonts w:ascii="Consolas" w:hAnsi="Consolas"/>
          <w:color w:val="6B6B6B"/>
          <w:sz w:val="19"/>
        </w:rPr>
        <w:t>canSettle()</w:t>
      </w:r>
      <w:r>
        <w:t xml:space="preserve">, </w:t>
      </w:r>
      <w:r>
        <w:rPr>
          <w:rFonts w:ascii="Consolas" w:hAnsi="Consolas"/>
          <w:color w:val="6B6B6B"/>
          <w:sz w:val="19"/>
        </w:rPr>
        <w:t>getAuthRequirement()</w:t>
      </w:r>
    </w:p>
    <w:p>
      <w:pPr>
        <w:pBdr>
          <w:bottom w:val="single" w:sz="12" w:space="1" w:color="C59B1E"/>
        </w:pBdr>
      </w:pPr>
    </w:p>
    <w:p>
      <w:pPr>
        <w:pStyle w:val="Heading2"/>
      </w:pPr>
      <w:r>
        <w:t>§3 — MINTING MODEL (Institutional Issuance Pipeline)</w:t>
      </w:r>
    </w:p>
    <w:p>
      <w:pPr>
        <w:pStyle w:val="Heading3"/>
      </w:pPr>
      <w:r>
        <w:t>§3.1 Minting Model — Old vs New</w:t>
      </w:r>
    </w:p>
    <w:p>
      <w:r>
        <w:rPr>
          <w:b/>
        </w:rPr>
        <w:t>OLD (v24.2 — RETIRED):</w:t>
      </w:r>
    </w:p>
    <w:p>
      <w:pPr>
        <w:spacing w:before="120" w:after="120"/>
        <w:ind w:left="567" w:right="567"/>
        <w:pBdr>
          <w:left w:val="single" w:sz="24" w:space="8" w:color="C59B1E"/>
        </w:pBdr>
        <w:shd w:fill="FFFBF0"/>
      </w:pPr>
      <w:r>
        <w:rPr>
          <w:b/>
          <w:i/>
          <w:color w:val="1A365F"/>
          <w:sz w:val="22"/>
        </w:rPr>
        <w:t>"Participant deposits assets and directly mints MTQ"</w:t>
      </w:r>
    </w:p>
    <w:p>
      <w:r>
        <w:rPr>
          <w:b/>
        </w:rPr>
        <w:t>NEW (v25.0 — CANONICAL):</w:t>
      </w:r>
    </w:p>
    <w:p>
      <w:pPr>
        <w:spacing w:before="120" w:after="120"/>
        <w:ind w:left="567" w:right="567"/>
        <w:pBdr>
          <w:left w:val="single" w:sz="24" w:space="8" w:color="C59B1E"/>
        </w:pBdr>
        <w:shd w:fill="FFFBF0"/>
      </w:pPr>
      <w:r>
        <w:rPr>
          <w:b/>
          <w:i/>
          <w:color w:val="1A365F"/>
          <w:sz w:val="22"/>
        </w:rPr>
        <w:t>"Only authorized institutional issuance channels may originate MTQ."</w:t>
      </w:r>
    </w:p>
    <w:p>
      <w:r>
        <w:t xml:space="preserve">The customer may request a settlement service through its regulated institution, but </w:t>
      </w:r>
      <w:r>
        <w:rPr>
          <w:b/>
        </w:rPr>
        <w:t>does not possess monetary issuance authority</w:t>
      </w:r>
      <w:r>
        <w:t>.</w:t>
      </w:r>
    </w:p>
    <w:p>
      <w:pPr>
        <w:pStyle w:val="Heading3"/>
      </w:pPr>
      <w:r>
        <w:t>§3.2 Institutional Issuance Pipeline (Canonical)</w:t>
      </w:r>
    </w:p>
    <w:p>
      <w:r>
        <w:t xml:space="preserve">The following 15-step pipeline is the </w:t>
      </w:r>
      <w:r>
        <w:rPr>
          <w:b/>
        </w:rPr>
        <w:t>sole normative issuance path</w:t>
      </w:r>
      <w:r>
        <w:t>. No MTQ may be created outside this pipeline.</w:t>
      </w:r>
    </w:p>
    <w:p>
      <w:pPr>
        <w:ind w:left="283"/>
        <w:shd w:fill="F5F5F5"/>
      </w:pPr>
      <w:r>
        <w:rPr>
          <w:rFonts w:ascii="Consolas" w:hAnsi="Consolas"/>
          <w:color w:val="6B6B6B"/>
          <w:sz w:val="18"/>
        </w:rPr>
        <w:t>Step 1:  Underlying Customer (Corporate)</w:t>
        <w:br/>
        <w:t xml:space="preserve">            ↓</w:t>
        <w:br/>
        <w:t>Step 2:  Regulated Bank / Approved Institution</w:t>
        <w:br/>
        <w:t xml:space="preserve">            ↓</w:t>
        <w:br/>
        <w:t>Step 3:  Institutional Issuance Request</w:t>
        <w:br/>
        <w:t xml:space="preserve">            ↓</w:t>
        <w:br/>
        <w:t>Step 4:  Institution Authentication</w:t>
        <w:br/>
        <w:t xml:space="preserve">            ↓</w:t>
        <w:br/>
        <w:t>Step 5:  Institutional Authority Check</w:t>
        <w:br/>
        <w:t xml:space="preserve">            ↓</w:t>
        <w:br/>
        <w:t>Step 6:  Eligible Reserve / Settlement Asset Verification</w:t>
        <w:br/>
        <w:t xml:space="preserve">            ↓</w:t>
        <w:br/>
        <w:t>Step 7:  Custody Verification</w:t>
        <w:br/>
        <w:t xml:space="preserve">            ↓</w:t>
        <w:br/>
        <w:t>Step 8:  NAV Calculation</w:t>
        <w:br/>
        <w:t xml:space="preserve">            ↓</w:t>
        <w:br/>
        <w:t>Step 9:  Reserve Ratio / Stress-RR / Constitutional Checks</w:t>
        <w:br/>
        <w:t xml:space="preserve">            ↓</w:t>
        <w:br/>
        <w:t>Step 10: Proof of Reserves</w:t>
        <w:br/>
        <w:t xml:space="preserve">            ↓</w:t>
        <w:br/>
        <w:t>Step 11: Proof of Solvency</w:t>
        <w:br/>
        <w:t xml:space="preserve">            ↓</w:t>
        <w:br/>
        <w:t>Step 12: Deterministic Issuance Authorization</w:t>
        <w:br/>
        <w:t xml:space="preserve">            ↓</w:t>
        <w:br/>
        <w:t>Step 13: Mint.sol</w:t>
        <w:br/>
        <w:t xml:space="preserve">            ↓</w:t>
        <w:br/>
        <w:t>Step 14: MTQ.sol</w:t>
        <w:br/>
        <w:t xml:space="preserve">            ↓</w:t>
        <w:br/>
        <w:t>Step 15: MTQ enters wholesale settlement layer</w:t>
        <w:br/>
        <w:t xml:space="preserve">            ↓</w:t>
        <w:br/>
        <w:t xml:space="preserve">         Corporate Bank-Linked MTQ Settlement Account</w:t>
      </w:r>
    </w:p>
    <w:p>
      <w:r>
        <w:rPr>
          <w:b/>
        </w:rPr>
        <w:t>Detailed Step Descriptions: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Step</w:t>
            </w:r>
          </w:p>
        </w:tc>
        <w:tc>
          <w:tcPr>
            <w:tcW w:type="dxa" w:w="2268"/>
            <w:shd w:fill="1A365F"/>
            <w:vAlign w:val="center"/>
          </w:tcPr>
          <w:p>
            <w:pPr>
              <w:jc w:val="left"/>
            </w:pPr>
            <w:r/>
            <w:r>
              <w:rPr>
                <w:rFonts w:ascii="Calibri" w:hAnsi="Calibri"/>
                <w:b/>
                <w:color w:val="FFFFFF"/>
                <w:sz w:val="18"/>
              </w:rPr>
              <w:t>Actor</w:t>
            </w:r>
          </w:p>
        </w:tc>
        <w:tc>
          <w:tcPr>
            <w:tcW w:type="dxa" w:w="2268"/>
            <w:shd w:fill="1A365F"/>
            <w:vAlign w:val="center"/>
          </w:tcPr>
          <w:p>
            <w:pPr>
              <w:jc w:val="left"/>
            </w:pPr>
            <w:r/>
            <w:r>
              <w:rPr>
                <w:rFonts w:ascii="Calibri" w:hAnsi="Calibri"/>
                <w:b/>
                <w:color w:val="FFFFFF"/>
                <w:sz w:val="18"/>
              </w:rPr>
              <w:t>Action</w:t>
            </w:r>
          </w:p>
        </w:tc>
        <w:tc>
          <w:tcPr>
            <w:tcW w:type="dxa" w:w="2268"/>
            <w:shd w:fill="1A365F"/>
            <w:vAlign w:val="center"/>
          </w:tcPr>
          <w:p>
            <w:pPr>
              <w:jc w:val="left"/>
            </w:pPr>
            <w:r/>
            <w:r>
              <w:rPr>
                <w:rFonts w:ascii="Calibri" w:hAnsi="Calibri"/>
                <w:b/>
                <w:color w:val="FFFFFF"/>
                <w:sz w:val="18"/>
              </w:rPr>
              <w:t>System Check</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Corporate Customer</w:t>
            </w:r>
          </w:p>
        </w:tc>
        <w:tc>
          <w:tcPr>
            <w:tcW w:type="dxa" w:w="2268"/>
            <w:vAlign w:val="center"/>
          </w:tcPr>
          <w:p>
            <w:pPr>
              <w:jc w:val="left"/>
            </w:pPr>
            <w:r/>
            <w:r>
              <w:rPr>
                <w:rFonts w:ascii="Calibri" w:hAnsi="Calibri"/>
                <w:color w:val="2D2D2D"/>
                <w:sz w:val="18"/>
              </w:rPr>
              <w:t>Requests settlement service through bank</w:t>
            </w:r>
          </w:p>
        </w:tc>
        <w:tc>
          <w:tcPr>
            <w:tcW w:type="dxa" w:w="2268"/>
            <w:vAlign w:val="center"/>
          </w:tcPr>
          <w:p>
            <w:pPr>
              <w:jc w:val="left"/>
            </w:pPr>
            <w:r/>
            <w:r>
              <w:rPr>
                <w:rFonts w:ascii="Calibri" w:hAnsi="Calibri"/>
                <w:color w:val="2D2D2D"/>
                <w:sz w:val="18"/>
              </w:rPr>
              <w:t>Bank receives instruction</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Regulated Bank</w:t>
            </w:r>
          </w:p>
        </w:tc>
        <w:tc>
          <w:tcPr>
            <w:tcW w:type="dxa" w:w="2268"/>
            <w:shd w:fill="F0F0F0"/>
            <w:vAlign w:val="center"/>
          </w:tcPr>
          <w:p>
            <w:pPr>
              <w:jc w:val="left"/>
            </w:pPr>
            <w:r/>
            <w:r>
              <w:rPr>
                <w:rFonts w:ascii="Calibri" w:hAnsi="Calibri"/>
                <w:color w:val="2D2D2D"/>
                <w:sz w:val="18"/>
              </w:rPr>
              <w:t>Validates customer KYC/KYB/AML/funding</w:t>
            </w:r>
          </w:p>
        </w:tc>
        <w:tc>
          <w:tcPr>
            <w:tcW w:type="dxa" w:w="2268"/>
            <w:shd w:fill="F0F0F0"/>
            <w:vAlign w:val="center"/>
          </w:tcPr>
          <w:p>
            <w:pPr>
              <w:jc w:val="left"/>
            </w:pPr>
            <w:r/>
            <w:r>
              <w:rPr>
                <w:rFonts w:ascii="Calibri" w:hAnsi="Calibri"/>
                <w:color w:val="2D2D2D"/>
                <w:sz w:val="18"/>
              </w:rPr>
              <w:t>§4 layered KYC</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Bank</w:t>
            </w:r>
          </w:p>
        </w:tc>
        <w:tc>
          <w:tcPr>
            <w:tcW w:type="dxa" w:w="2268"/>
            <w:vAlign w:val="center"/>
          </w:tcPr>
          <w:p>
            <w:pPr>
              <w:jc w:val="left"/>
            </w:pPr>
            <w:r/>
            <w:r>
              <w:rPr>
                <w:rFonts w:ascii="Calibri" w:hAnsi="Calibri"/>
                <w:color w:val="2D2D2D"/>
                <w:sz w:val="18"/>
              </w:rPr>
              <w:t>Submits institutional issuance request to MITHQAL</w:t>
            </w:r>
          </w:p>
        </w:tc>
        <w:tc>
          <w:tcPr>
            <w:tcW w:type="dxa" w:w="2268"/>
            <w:vAlign w:val="center"/>
          </w:tcPr>
          <w:p>
            <w:pPr>
              <w:jc w:val="left"/>
            </w:pPr>
            <w:r/>
            <w:r>
              <w:rPr>
                <w:rFonts w:ascii="Calibri" w:hAnsi="Calibri"/>
                <w:color w:val="2D2D2D"/>
                <w:sz w:val="18"/>
              </w:rPr>
              <w:t>API call with institution credentials</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Authenticates institution (license, status, sanctions)</w:t>
            </w:r>
          </w:p>
        </w:tc>
        <w:tc>
          <w:tcPr>
            <w:tcW w:type="dxa" w:w="2268"/>
            <w:shd w:fill="F0F0F0"/>
            <w:vAlign w:val="center"/>
          </w:tcPr>
          <w:p>
            <w:pPr>
              <w:jc w:val="left"/>
            </w:pPr>
            <w:r/>
            <w:r>
              <w:rPr>
                <w:rFonts w:ascii="Calibri" w:hAnsi="Calibri"/>
                <w:color w:val="2D2D2D"/>
                <w:sz w:val="18"/>
              </w:rPr>
              <w:t>§20 registry check</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Authority check (function permitted, corridor allowed)</w:t>
            </w:r>
          </w:p>
        </w:tc>
        <w:tc>
          <w:tcPr>
            <w:tcW w:type="dxa" w:w="2268"/>
            <w:vAlign w:val="center"/>
          </w:tcPr>
          <w:p>
            <w:pPr>
              <w:jc w:val="left"/>
            </w:pPr>
            <w:r/>
            <w:r>
              <w:rPr>
                <w:rFonts w:ascii="Calibri" w:hAnsi="Calibri"/>
                <w:color w:val="2D2D2D"/>
                <w:sz w:val="18"/>
              </w:rPr>
              <w:t>§20 authorization</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Verifies eligible reserve/funding asset</w:t>
            </w:r>
          </w:p>
        </w:tc>
        <w:tc>
          <w:tcPr>
            <w:tcW w:type="dxa" w:w="2268"/>
            <w:shd w:fill="F0F0F0"/>
            <w:vAlign w:val="center"/>
          </w:tcPr>
          <w:p>
            <w:pPr>
              <w:jc w:val="left"/>
            </w:pPr>
            <w:r/>
            <w:r>
              <w:rPr>
                <w:rFonts w:ascii="Calibri" w:hAnsi="Calibri"/>
                <w:color w:val="2D2D2D"/>
                <w:sz w:val="18"/>
              </w:rPr>
              <w:t>§31 reserve architecture</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Custody verification (allocated, segregated)</w:t>
            </w:r>
          </w:p>
        </w:tc>
        <w:tc>
          <w:tcPr>
            <w:tcW w:type="dxa" w:w="2268"/>
            <w:vAlign w:val="center"/>
          </w:tcPr>
          <w:p>
            <w:pPr>
              <w:jc w:val="left"/>
            </w:pPr>
            <w:r/>
            <w:r>
              <w:rPr>
                <w:rFonts w:ascii="Calibri" w:hAnsi="Calibri"/>
                <w:color w:val="2D2D2D"/>
                <w:sz w:val="18"/>
              </w:rPr>
              <w:t>§51 custody</w:t>
            </w:r>
          </w:p>
        </w:tc>
      </w:tr>
      <w:tr>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Calculates NAV (mark-to-market)</w:t>
            </w:r>
          </w:p>
        </w:tc>
        <w:tc>
          <w:tcPr>
            <w:tcW w:type="dxa" w:w="2268"/>
            <w:shd w:fill="F0F0F0"/>
            <w:vAlign w:val="center"/>
          </w:tcPr>
          <w:p>
            <w:pPr>
              <w:jc w:val="left"/>
            </w:pPr>
            <w:r/>
            <w:r>
              <w:rPr>
                <w:rFonts w:ascii="Calibri" w:hAnsi="Calibri"/>
                <w:color w:val="2D2D2D"/>
                <w:sz w:val="18"/>
              </w:rPr>
              <w:t>§32 NAV formula</w:t>
            </w:r>
          </w:p>
        </w:tc>
      </w:tr>
      <w:tr>
        <w:tc>
          <w:tcPr>
            <w:tcW w:type="dxa" w:w="2268"/>
            <w:vAlign w:val="center"/>
          </w:tcPr>
          <w:p>
            <w:pPr>
              <w:jc w:val="left"/>
            </w:pPr>
            <w:r/>
            <w:r>
              <w:rPr>
                <w:rFonts w:ascii="Calibri" w:hAnsi="Calibri"/>
                <w:color w:val="2D2D2D"/>
                <w:sz w:val="18"/>
              </w:rPr>
              <w:t>9</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Checks RR ≥ 100%, StressRR, constitutional constraints</w:t>
            </w:r>
          </w:p>
        </w:tc>
        <w:tc>
          <w:tcPr>
            <w:tcW w:type="dxa" w:w="2268"/>
            <w:vAlign w:val="center"/>
          </w:tcPr>
          <w:p>
            <w:pPr>
              <w:jc w:val="left"/>
            </w:pPr>
            <w:r/>
            <w:r>
              <w:rPr>
                <w:rFonts w:ascii="Calibri" w:hAnsi="Calibri"/>
                <w:color w:val="2D2D2D"/>
                <w:sz w:val="18"/>
              </w:rPr>
              <w:t>§33 CALM, §34 state machine</w:t>
            </w:r>
          </w:p>
        </w:tc>
      </w:tr>
      <w:tr>
        <w:tc>
          <w:tcPr>
            <w:tcW w:type="dxa" w:w="2268"/>
            <w:shd w:fill="F0F0F0"/>
            <w:vAlign w:val="center"/>
          </w:tcPr>
          <w:p>
            <w:pPr>
              <w:jc w:val="left"/>
            </w:pPr>
            <w:r/>
            <w:r>
              <w:rPr>
                <w:rFonts w:ascii="Calibri" w:hAnsi="Calibri"/>
                <w:color w:val="2D2D2D"/>
                <w:sz w:val="18"/>
              </w:rPr>
              <w:t>10</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Generates Proof of Reserves (cryptographic)</w:t>
            </w:r>
          </w:p>
        </w:tc>
        <w:tc>
          <w:tcPr>
            <w:tcW w:type="dxa" w:w="2268"/>
            <w:shd w:fill="F0F0F0"/>
            <w:vAlign w:val="center"/>
          </w:tcPr>
          <w:p>
            <w:pPr>
              <w:jc w:val="left"/>
            </w:pPr>
            <w:r/>
            <w:r>
              <w:rPr>
                <w:rFonts w:ascii="Calibri" w:hAnsi="Calibri"/>
                <w:color w:val="2D2D2D"/>
                <w:sz w:val="18"/>
              </w:rPr>
              <w:t>zk-SNARK / Merkle proof</w:t>
            </w:r>
          </w:p>
        </w:tc>
      </w:tr>
      <w:tr>
        <w:tc>
          <w:tcPr>
            <w:tcW w:type="dxa" w:w="2268"/>
            <w:vAlign w:val="center"/>
          </w:tcPr>
          <w:p>
            <w:pPr>
              <w:jc w:val="left"/>
            </w:pPr>
            <w:r/>
            <w:r>
              <w:rPr>
                <w:rFonts w:ascii="Calibri" w:hAnsi="Calibri"/>
                <w:color w:val="2D2D2D"/>
                <w:sz w:val="18"/>
              </w:rPr>
              <w:t>11</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Generates Proof of Solvency (reserve ≥ liability)</w:t>
            </w:r>
          </w:p>
        </w:tc>
        <w:tc>
          <w:tcPr>
            <w:tcW w:type="dxa" w:w="2268"/>
            <w:vAlign w:val="center"/>
          </w:tcPr>
          <w:p>
            <w:pPr>
              <w:jc w:val="left"/>
            </w:pPr>
            <w:r/>
            <w:r>
              <w:rPr>
                <w:rFonts w:ascii="Calibri" w:hAnsi="Calibri"/>
                <w:color w:val="2D2D2D"/>
                <w:sz w:val="18"/>
              </w:rPr>
              <w:t>Reconciliation proof</w:t>
            </w:r>
          </w:p>
        </w:tc>
      </w:tr>
      <w:tr>
        <w:tc>
          <w:tcPr>
            <w:tcW w:type="dxa" w:w="2268"/>
            <w:shd w:fill="F0F0F0"/>
            <w:vAlign w:val="center"/>
          </w:tcPr>
          <w:p>
            <w:pPr>
              <w:jc w:val="left"/>
            </w:pPr>
            <w:r/>
            <w:r>
              <w:rPr>
                <w:rFonts w:ascii="Calibri" w:hAnsi="Calibri"/>
                <w:color w:val="2D2D2D"/>
                <w:sz w:val="18"/>
              </w:rPr>
              <w:t>12</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Deterministic authorization (NO discretion)</w:t>
            </w:r>
          </w:p>
        </w:tc>
        <w:tc>
          <w:tcPr>
            <w:tcW w:type="dxa" w:w="2268"/>
            <w:shd w:fill="F0F0F0"/>
            <w:vAlign w:val="center"/>
          </w:tcPr>
          <w:p>
            <w:pPr>
              <w:jc w:val="left"/>
            </w:pPr>
            <w:r/>
            <w:r>
              <w:rPr>
                <w:rFonts w:ascii="Calibri" w:hAnsi="Calibri"/>
                <w:color w:val="2D2D2D"/>
                <w:sz w:val="18"/>
              </w:rPr>
              <w:t>All checks passed → auto-authorize</w:t>
            </w:r>
          </w:p>
        </w:tc>
      </w:tr>
      <w:tr>
        <w:tc>
          <w:tcPr>
            <w:tcW w:type="dxa" w:w="2268"/>
            <w:vAlign w:val="center"/>
          </w:tcPr>
          <w:p>
            <w:pPr>
              <w:jc w:val="left"/>
            </w:pPr>
            <w:r/>
            <w:r>
              <w:rPr>
                <w:rFonts w:ascii="Calibri" w:hAnsi="Calibri"/>
                <w:color w:val="2D2D2D"/>
                <w:sz w:val="18"/>
              </w:rPr>
              <w:t>13</w:t>
            </w:r>
          </w:p>
        </w:tc>
        <w:tc>
          <w:tcPr>
            <w:tcW w:type="dxa" w:w="2268"/>
            <w:vAlign w:val="center"/>
          </w:tcPr>
          <w:p>
            <w:pPr>
              <w:jc w:val="left"/>
            </w:pPr>
            <w:r/>
            <w:r>
              <w:rPr>
                <w:rFonts w:ascii="Calibri" w:hAnsi="Calibri"/>
                <w:color w:val="2D2D2D"/>
                <w:sz w:val="18"/>
              </w:rPr>
              <w:t>Mint.sol</w:t>
            </w:r>
          </w:p>
        </w:tc>
        <w:tc>
          <w:tcPr>
            <w:tcW w:type="dxa" w:w="2268"/>
            <w:vAlign w:val="center"/>
          </w:tcPr>
          <w:p>
            <w:pPr>
              <w:jc w:val="left"/>
            </w:pPr>
            <w:r/>
            <w:r>
              <w:rPr>
                <w:rFonts w:ascii="Calibri" w:hAnsi="Calibri"/>
                <w:color w:val="2D2D2D"/>
                <w:sz w:val="18"/>
              </w:rPr>
              <w:t>Executes mint (idempotent CTID enforced)</w:t>
            </w:r>
          </w:p>
        </w:tc>
        <w:tc>
          <w:tcPr>
            <w:tcW w:type="dxa" w:w="2268"/>
            <w:vAlign w:val="center"/>
          </w:tcPr>
          <w:p>
            <w:pPr>
              <w:jc w:val="left"/>
            </w:pPr>
            <w:r/>
            <w:r>
              <w:rPr>
                <w:rFonts w:ascii="Calibri" w:hAnsi="Calibri"/>
                <w:color w:val="2D2D2D"/>
                <w:sz w:val="18"/>
              </w:rPr>
              <w:t>On-chain transaction</w:t>
            </w:r>
          </w:p>
        </w:tc>
      </w:tr>
      <w:tr>
        <w:tc>
          <w:tcPr>
            <w:tcW w:type="dxa" w:w="2268"/>
            <w:shd w:fill="F0F0F0"/>
            <w:vAlign w:val="center"/>
          </w:tcPr>
          <w:p>
            <w:pPr>
              <w:jc w:val="left"/>
            </w:pPr>
            <w:r/>
            <w:r>
              <w:rPr>
                <w:rFonts w:ascii="Calibri" w:hAnsi="Calibri"/>
                <w:color w:val="2D2D2D"/>
                <w:sz w:val="18"/>
              </w:rPr>
              <w:t>14</w:t>
            </w:r>
          </w:p>
        </w:tc>
        <w:tc>
          <w:tcPr>
            <w:tcW w:type="dxa" w:w="2268"/>
            <w:shd w:fill="F0F0F0"/>
            <w:vAlign w:val="center"/>
          </w:tcPr>
          <w:p>
            <w:pPr>
              <w:jc w:val="left"/>
            </w:pPr>
            <w:r/>
            <w:r>
              <w:rPr>
                <w:rFonts w:ascii="Calibri" w:hAnsi="Calibri"/>
                <w:color w:val="2D2D2D"/>
                <w:sz w:val="18"/>
              </w:rPr>
              <w:t>MTQ.sol</w:t>
            </w:r>
          </w:p>
        </w:tc>
        <w:tc>
          <w:tcPr>
            <w:tcW w:type="dxa" w:w="2268"/>
            <w:shd w:fill="F0F0F0"/>
            <w:vAlign w:val="center"/>
          </w:tcPr>
          <w:p>
            <w:pPr>
              <w:jc w:val="left"/>
            </w:pPr>
            <w:r/>
            <w:r>
              <w:rPr>
                <w:rFonts w:ascii="Calibri" w:hAnsi="Calibri"/>
                <w:color w:val="2D2D2D"/>
                <w:sz w:val="18"/>
              </w:rPr>
              <w:t>Credits MTQ to institutional wallet</w:t>
            </w:r>
          </w:p>
        </w:tc>
        <w:tc>
          <w:tcPr>
            <w:tcW w:type="dxa" w:w="2268"/>
            <w:shd w:fill="F0F0F0"/>
            <w:vAlign w:val="center"/>
          </w:tcPr>
          <w:p>
            <w:pPr>
              <w:jc w:val="left"/>
            </w:pPr>
            <w:r/>
            <w:r>
              <w:rPr>
                <w:rFonts w:ascii="Calibri" w:hAnsi="Calibri"/>
                <w:color w:val="2D2D2D"/>
                <w:sz w:val="18"/>
              </w:rPr>
              <w:t>Supply update event</w:t>
            </w:r>
          </w:p>
        </w:tc>
      </w:tr>
      <w:tr>
        <w:tc>
          <w:tcPr>
            <w:tcW w:type="dxa" w:w="2268"/>
            <w:vAlign w:val="center"/>
          </w:tcPr>
          <w:p>
            <w:pPr>
              <w:jc w:val="left"/>
            </w:pPr>
            <w:r/>
            <w:r>
              <w:rPr>
                <w:rFonts w:ascii="Calibri" w:hAnsi="Calibri"/>
                <w:color w:val="2D2D2D"/>
                <w:sz w:val="18"/>
              </w:rPr>
              <w:t>15</w:t>
            </w:r>
          </w:p>
        </w:tc>
        <w:tc>
          <w:tcPr>
            <w:tcW w:type="dxa" w:w="2268"/>
            <w:vAlign w:val="center"/>
          </w:tcPr>
          <w:p>
            <w:pPr>
              <w:jc w:val="left"/>
            </w:pPr>
            <w:r/>
            <w:r>
              <w:rPr>
                <w:rFonts w:ascii="Calibri" w:hAnsi="Calibri"/>
                <w:color w:val="2D2D2D"/>
                <w:sz w:val="18"/>
              </w:rPr>
              <w:t>Settlement Layer</w:t>
            </w:r>
          </w:p>
        </w:tc>
        <w:tc>
          <w:tcPr>
            <w:tcW w:type="dxa" w:w="2268"/>
            <w:vAlign w:val="center"/>
          </w:tcPr>
          <w:p>
            <w:pPr>
              <w:jc w:val="left"/>
            </w:pPr>
            <w:r/>
            <w:r>
              <w:rPr>
                <w:rFonts w:ascii="Calibri" w:hAnsi="Calibri"/>
                <w:color w:val="2D2D2D"/>
                <w:sz w:val="18"/>
              </w:rPr>
              <w:t>MTQ available in corporate bank-linked account</w:t>
            </w:r>
          </w:p>
        </w:tc>
        <w:tc>
          <w:tcPr>
            <w:tcW w:type="dxa" w:w="2268"/>
            <w:vAlign w:val="center"/>
          </w:tcPr>
          <w:p>
            <w:pPr>
              <w:jc w:val="left"/>
            </w:pPr>
            <w:r/>
            <w:r>
              <w:rPr>
                <w:rFonts w:ascii="Calibri" w:hAnsi="Calibri"/>
                <w:color w:val="2D2D2D"/>
                <w:sz w:val="18"/>
              </w:rPr>
              <w:t>Settlement record created</w:t>
            </w:r>
          </w:p>
        </w:tc>
      </w:tr>
    </w:tbl>
    <w:p/>
    <w:p>
      <w:pPr>
        <w:pStyle w:val="Heading3"/>
      </w:pPr>
      <w:r>
        <w:t>§3.3 Issuance Authorization Decision Logic</w:t>
      </w:r>
    </w:p>
    <w:p>
      <w:pPr>
        <w:ind w:left="283"/>
        <w:shd w:fill="F5F5F5"/>
      </w:pPr>
      <w:r>
        <w:rPr>
          <w:rFonts w:ascii="Consolas" w:hAnsi="Consolas"/>
          <w:color w:val="6B6B6B"/>
          <w:sz w:val="18"/>
        </w:rPr>
        <w:t>IF institution not found in registry → REJECT</w:t>
        <w:br/>
        <w:t>IF institution status ≠ ACTIVE → REJECT</w:t>
        <w:br/>
        <w:t>IF institution sanctions = BLOCKED → REJECT</w:t>
        <w:br/>
        <w:t>IF institution authorization expired → REJECT</w:t>
        <w:br/>
        <w:t>IF function not permitted → REJECT</w:t>
        <w:br/>
        <w:t>IF amount &gt; maxTransactionSize → REJECT</w:t>
        <w:br/>
        <w:t>IF currency not permitted → REJECT</w:t>
        <w:br/>
        <w:t>IF corridor not permitted → REJECT</w:t>
        <w:br/>
        <w:t>IF jurisdiction PROHIBITED → REJECT (geo-fence)</w:t>
        <w:br/>
        <w:t>IF jurisdiction UNKNOWN → REJECT (conservative block)</w:t>
        <w:br/>
        <w:t>IF RR &lt; 100% → REJECT (constitutional floor)</w:t>
        <w:br/>
        <w:t>IF RR &lt; 105% → ENHANCED RESTRICTIONS (policy floor)</w:t>
        <w:br/>
        <w:t>IF all checks pass → AUTHORIZE (deterministic)</w:t>
      </w:r>
    </w:p>
    <w:p>
      <w:r>
        <w:rPr>
          <w:b/>
        </w:rPr>
        <w:t>Implementation Reference:</w:t>
      </w:r>
      <w:r>
        <w:t xml:space="preserve"> </w:t>
      </w:r>
      <w:r>
        <w:rPr>
          <w:rFonts w:ascii="Consolas" w:hAnsi="Consolas"/>
          <w:color w:val="6B6B6B"/>
          <w:sz w:val="19"/>
        </w:rPr>
        <w:t>src/lib/institutional-authorization.ts</w:t>
      </w:r>
      <w:r>
        <w:t xml:space="preserve"> → </w:t>
      </w:r>
      <w:r>
        <w:rPr>
          <w:rFonts w:ascii="Consolas" w:hAnsi="Consolas"/>
          <w:color w:val="6B6B6B"/>
          <w:sz w:val="19"/>
        </w:rPr>
        <w:t>checkInstitutionAuthorization()</w:t>
      </w:r>
    </w:p>
    <w:p>
      <w:pPr>
        <w:pStyle w:val="Heading3"/>
      </w:pPr>
      <w:r>
        <w:t>§3.4 Prohibited: Discretionary Minting</w:t>
      </w:r>
    </w:p>
    <w:p>
      <w:r>
        <w:t xml:space="preserve">The following types of minting are </w:t>
      </w:r>
      <w:r>
        <w:rPr>
          <w:b/>
        </w:rPr>
        <w:t>PERMANENTLY PROHIBITED</w:t>
      </w:r>
      <w:r>
        <w: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Type</w:t>
            </w:r>
          </w:p>
        </w:tc>
        <w:tc>
          <w:tcPr>
            <w:tcW w:type="dxa" w:w="3024"/>
            <w:shd w:fill="1A365F"/>
            <w:vAlign w:val="center"/>
          </w:tcPr>
          <w:p>
            <w:pPr>
              <w:jc w:val="left"/>
            </w:pPr>
            <w:r/>
            <w:r>
              <w:rPr>
                <w:rFonts w:ascii="Calibri" w:hAnsi="Calibri"/>
                <w:b/>
                <w:color w:val="FFFFFF"/>
                <w:sz w:val="18"/>
              </w:rPr>
              <w:t>Description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Executive minting</w:t>
            </w:r>
          </w:p>
        </w:tc>
        <w:tc>
          <w:tcPr>
            <w:tcW w:type="dxa" w:w="3024"/>
            <w:vAlign w:val="center"/>
          </w:tcPr>
          <w:p>
            <w:pPr>
              <w:jc w:val="left"/>
            </w:pPr>
            <w:r/>
            <w:r>
              <w:rPr>
                <w:rFonts w:ascii="Calibri" w:hAnsi="Calibri"/>
                <w:color w:val="2D2D2D"/>
                <w:sz w:val="18"/>
              </w:rPr>
              <w:t>CEO/COO/CTO directs mint</w:t>
            </w:r>
          </w:p>
        </w:tc>
        <w:tc>
          <w:tcPr>
            <w:tcW w:type="dxa" w:w="3024"/>
            <w:vAlign w:val="center"/>
          </w:tcPr>
          <w:p>
            <w:pPr>
              <w:jc w:val="left"/>
            </w:pPr>
            <w:r/>
            <w:r>
              <w:rPr>
                <w:rFonts w:ascii="Calibri" w:hAnsi="Calibri"/>
                <w:color w:val="2D2D2D"/>
                <w:sz w:val="18"/>
              </w:rPr>
              <w:t>❌ PROHIBITED</w:t>
            </w:r>
          </w:p>
        </w:tc>
      </w:tr>
      <w:tr>
        <w:tc>
          <w:tcPr>
            <w:tcW w:type="dxa" w:w="3024"/>
            <w:shd w:fill="F0F0F0"/>
            <w:vAlign w:val="center"/>
          </w:tcPr>
          <w:p>
            <w:pPr>
              <w:jc w:val="left"/>
            </w:pPr>
            <w:r/>
            <w:r>
              <w:rPr>
                <w:rFonts w:ascii="Calibri" w:hAnsi="Calibri"/>
                <w:color w:val="2D2D2D"/>
                <w:sz w:val="18"/>
              </w:rPr>
              <w:t>Council minting</w:t>
            </w:r>
          </w:p>
        </w:tc>
        <w:tc>
          <w:tcPr>
            <w:tcW w:type="dxa" w:w="3024"/>
            <w:shd w:fill="F0F0F0"/>
            <w:vAlign w:val="center"/>
          </w:tcPr>
          <w:p>
            <w:pPr>
              <w:jc w:val="left"/>
            </w:pPr>
            <w:r/>
            <w:r>
              <w:rPr>
                <w:rFonts w:ascii="Calibri" w:hAnsi="Calibri"/>
                <w:color w:val="2D2D2D"/>
                <w:sz w:val="18"/>
              </w:rPr>
              <w:t>Governance council votes to mint</w:t>
            </w:r>
          </w:p>
        </w:tc>
        <w:tc>
          <w:tcPr>
            <w:tcW w:type="dxa" w:w="3024"/>
            <w:shd w:fill="F0F0F0"/>
            <w:vAlign w:val="center"/>
          </w:tcPr>
          <w:p>
            <w:pPr>
              <w:jc w:val="left"/>
            </w:pPr>
            <w:r/>
            <w:r>
              <w:rPr>
                <w:rFonts w:ascii="Calibri" w:hAnsi="Calibri"/>
                <w:color w:val="2D2D2D"/>
                <w:sz w:val="18"/>
              </w:rPr>
              <w:t>❌ PROHIBITED</w:t>
            </w:r>
          </w:p>
        </w:tc>
      </w:tr>
      <w:tr>
        <w:tc>
          <w:tcPr>
            <w:tcW w:type="dxa" w:w="3024"/>
            <w:vAlign w:val="center"/>
          </w:tcPr>
          <w:p>
            <w:pPr>
              <w:jc w:val="left"/>
            </w:pPr>
            <w:r/>
            <w:r>
              <w:rPr>
                <w:rFonts w:ascii="Calibri" w:hAnsi="Calibri"/>
                <w:color w:val="2D2D2D"/>
                <w:sz w:val="18"/>
              </w:rPr>
              <w:t>Emergency arbitrary minting</w:t>
            </w:r>
          </w:p>
        </w:tc>
        <w:tc>
          <w:tcPr>
            <w:tcW w:type="dxa" w:w="3024"/>
            <w:vAlign w:val="center"/>
          </w:tcPr>
          <w:p>
            <w:pPr>
              <w:jc w:val="left"/>
            </w:pPr>
            <w:r/>
            <w:r>
              <w:rPr>
                <w:rFonts w:ascii="Calibri" w:hAnsi="Calibri"/>
                <w:color w:val="2D2D2D"/>
                <w:sz w:val="18"/>
              </w:rPr>
              <w:t>"Emergency" override</w:t>
            </w:r>
          </w:p>
        </w:tc>
        <w:tc>
          <w:tcPr>
            <w:tcW w:type="dxa" w:w="3024"/>
            <w:vAlign w:val="center"/>
          </w:tcPr>
          <w:p>
            <w:pPr>
              <w:jc w:val="left"/>
            </w:pPr>
            <w:r/>
            <w:r>
              <w:rPr>
                <w:rFonts w:ascii="Calibri" w:hAnsi="Calibri"/>
                <w:color w:val="2D2D2D"/>
                <w:sz w:val="18"/>
              </w:rPr>
              <w:t>❌ PROHIBITED</w:t>
            </w:r>
          </w:p>
        </w:tc>
      </w:tr>
      <w:tr>
        <w:tc>
          <w:tcPr>
            <w:tcW w:type="dxa" w:w="3024"/>
            <w:shd w:fill="F0F0F0"/>
            <w:vAlign w:val="center"/>
          </w:tcPr>
          <w:p>
            <w:pPr>
              <w:jc w:val="left"/>
            </w:pPr>
            <w:r/>
            <w:r>
              <w:rPr>
                <w:rFonts w:ascii="Calibri" w:hAnsi="Calibri"/>
                <w:color w:val="2D2D2D"/>
                <w:sz w:val="18"/>
              </w:rPr>
              <w:t>Treasury minting</w:t>
            </w:r>
          </w:p>
        </w:tc>
        <w:tc>
          <w:tcPr>
            <w:tcW w:type="dxa" w:w="3024"/>
            <w:shd w:fill="F0F0F0"/>
            <w:vAlign w:val="center"/>
          </w:tcPr>
          <w:p>
            <w:pPr>
              <w:jc w:val="left"/>
            </w:pPr>
            <w:r/>
            <w:r>
              <w:rPr>
                <w:rFonts w:ascii="Calibri" w:hAnsi="Calibri"/>
                <w:color w:val="2D2D2D"/>
                <w:sz w:val="18"/>
              </w:rPr>
              <w:t>MITHQAL treasury mints for operations</w:t>
            </w:r>
          </w:p>
        </w:tc>
        <w:tc>
          <w:tcPr>
            <w:tcW w:type="dxa" w:w="3024"/>
            <w:shd w:fill="F0F0F0"/>
            <w:vAlign w:val="center"/>
          </w:tcPr>
          <w:p>
            <w:pPr>
              <w:jc w:val="left"/>
            </w:pPr>
            <w:r/>
            <w:r>
              <w:rPr>
                <w:rFonts w:ascii="Calibri" w:hAnsi="Calibri"/>
                <w:color w:val="2D2D2D"/>
                <w:sz w:val="18"/>
              </w:rPr>
              <w:t>❌ PROHIBITED</w:t>
            </w:r>
          </w:p>
        </w:tc>
      </w:tr>
      <w:tr>
        <w:tc>
          <w:tcPr>
            <w:tcW w:type="dxa" w:w="3024"/>
            <w:vAlign w:val="center"/>
          </w:tcPr>
          <w:p>
            <w:pPr>
              <w:jc w:val="left"/>
            </w:pPr>
            <w:r/>
            <w:r>
              <w:rPr>
                <w:rFonts w:ascii="Calibri" w:hAnsi="Calibri"/>
                <w:color w:val="2D2D2D"/>
                <w:sz w:val="18"/>
              </w:rPr>
              <w:t>Compensation minting</w:t>
            </w:r>
          </w:p>
        </w:tc>
        <w:tc>
          <w:tcPr>
            <w:tcW w:type="dxa" w:w="3024"/>
            <w:vAlign w:val="center"/>
          </w:tcPr>
          <w:p>
            <w:pPr>
              <w:jc w:val="left"/>
            </w:pPr>
            <w:r/>
            <w:r>
              <w:rPr>
                <w:rFonts w:ascii="Calibri" w:hAnsi="Calibri"/>
                <w:color w:val="2D2D2D"/>
                <w:sz w:val="18"/>
              </w:rPr>
              <w:t>MTQ minted as compensation</w:t>
            </w:r>
          </w:p>
        </w:tc>
        <w:tc>
          <w:tcPr>
            <w:tcW w:type="dxa" w:w="3024"/>
            <w:vAlign w:val="center"/>
          </w:tcPr>
          <w:p>
            <w:pPr>
              <w:jc w:val="left"/>
            </w:pPr>
            <w:r/>
            <w:r>
              <w:rPr>
                <w:rFonts w:ascii="Calibri" w:hAnsi="Calibri"/>
                <w:color w:val="2D2D2D"/>
                <w:sz w:val="18"/>
              </w:rPr>
              <w:t>❌ PROHIBITED</w:t>
            </w:r>
          </w:p>
        </w:tc>
      </w:tr>
      <w:tr>
        <w:tc>
          <w:tcPr>
            <w:tcW w:type="dxa" w:w="3024"/>
            <w:shd w:fill="F0F0F0"/>
            <w:vAlign w:val="center"/>
          </w:tcPr>
          <w:p>
            <w:pPr>
              <w:jc w:val="left"/>
            </w:pPr>
            <w:r/>
            <w:r>
              <w:rPr>
                <w:rFonts w:ascii="Calibri" w:hAnsi="Calibri"/>
                <w:color w:val="2D2D2D"/>
                <w:sz w:val="18"/>
              </w:rPr>
              <w:t>Operational funding minting</w:t>
            </w:r>
          </w:p>
        </w:tc>
        <w:tc>
          <w:tcPr>
            <w:tcW w:type="dxa" w:w="3024"/>
            <w:shd w:fill="F0F0F0"/>
            <w:vAlign w:val="center"/>
          </w:tcPr>
          <w:p>
            <w:pPr>
              <w:jc w:val="left"/>
            </w:pPr>
            <w:r/>
            <w:r>
              <w:rPr>
                <w:rFonts w:ascii="Calibri" w:hAnsi="Calibri"/>
                <w:color w:val="2D2D2D"/>
                <w:sz w:val="18"/>
              </w:rPr>
              <w:t>MTQ minted to fund operations</w:t>
            </w:r>
          </w:p>
        </w:tc>
        <w:tc>
          <w:tcPr>
            <w:tcW w:type="dxa" w:w="3024"/>
            <w:shd w:fill="F0F0F0"/>
            <w:vAlign w:val="center"/>
          </w:tcPr>
          <w:p>
            <w:pPr>
              <w:jc w:val="left"/>
            </w:pPr>
            <w:r/>
            <w:r>
              <w:rPr>
                <w:rFonts w:ascii="Calibri" w:hAnsi="Calibri"/>
                <w:color w:val="2D2D2D"/>
                <w:sz w:val="18"/>
              </w:rPr>
              <w:t>❌ PROHIBITED</w:t>
            </w:r>
          </w:p>
        </w:tc>
      </w:tr>
      <w:tr>
        <w:tc>
          <w:tcPr>
            <w:tcW w:type="dxa" w:w="3024"/>
            <w:vAlign w:val="center"/>
          </w:tcPr>
          <w:p>
            <w:pPr>
              <w:jc w:val="left"/>
            </w:pPr>
            <w:r/>
            <w:r>
              <w:rPr>
                <w:rFonts w:ascii="Calibri" w:hAnsi="Calibri"/>
                <w:color w:val="2D2D2D"/>
                <w:sz w:val="18"/>
              </w:rPr>
              <w:t>Governance minting</w:t>
            </w:r>
          </w:p>
        </w:tc>
        <w:tc>
          <w:tcPr>
            <w:tcW w:type="dxa" w:w="3024"/>
            <w:vAlign w:val="center"/>
          </w:tcPr>
          <w:p>
            <w:pPr>
              <w:jc w:val="left"/>
            </w:pPr>
            <w:r/>
            <w:r>
              <w:rPr>
                <w:rFonts w:ascii="Calibri" w:hAnsi="Calibri"/>
                <w:color w:val="2D2D2D"/>
                <w:sz w:val="18"/>
              </w:rPr>
              <w:t>Governance vote to mint</w:t>
            </w:r>
          </w:p>
        </w:tc>
        <w:tc>
          <w:tcPr>
            <w:tcW w:type="dxa" w:w="3024"/>
            <w:vAlign w:val="center"/>
          </w:tcPr>
          <w:p>
            <w:pPr>
              <w:jc w:val="left"/>
            </w:pPr>
            <w:r/>
            <w:r>
              <w:rPr>
                <w:rFonts w:ascii="Calibri" w:hAnsi="Calibri"/>
                <w:color w:val="2D2D2D"/>
                <w:sz w:val="18"/>
              </w:rPr>
              <w:t>❌ PROHIBITED</w:t>
            </w:r>
          </w:p>
        </w:tc>
      </w:tr>
      <w:tr>
        <w:tc>
          <w:tcPr>
            <w:tcW w:type="dxa" w:w="3024"/>
            <w:shd w:fill="F0F0F0"/>
            <w:vAlign w:val="center"/>
          </w:tcPr>
          <w:p>
            <w:pPr>
              <w:jc w:val="left"/>
            </w:pPr>
            <w:r/>
            <w:r>
              <w:rPr>
                <w:rFonts w:ascii="Calibri" w:hAnsi="Calibri"/>
                <w:color w:val="2D2D2D"/>
                <w:sz w:val="18"/>
              </w:rPr>
              <w:t>Promotional minting</w:t>
            </w:r>
          </w:p>
        </w:tc>
        <w:tc>
          <w:tcPr>
            <w:tcW w:type="dxa" w:w="3024"/>
            <w:shd w:fill="F0F0F0"/>
            <w:vAlign w:val="center"/>
          </w:tcPr>
          <w:p>
            <w:pPr>
              <w:jc w:val="left"/>
            </w:pPr>
            <w:r/>
            <w:r>
              <w:rPr>
                <w:rFonts w:ascii="Calibri" w:hAnsi="Calibri"/>
                <w:color w:val="2D2D2D"/>
                <w:sz w:val="18"/>
              </w:rPr>
              <w:t>MTQ minted for marketing</w:t>
            </w:r>
          </w:p>
        </w:tc>
        <w:tc>
          <w:tcPr>
            <w:tcW w:type="dxa" w:w="3024"/>
            <w:shd w:fill="F0F0F0"/>
            <w:vAlign w:val="center"/>
          </w:tcPr>
          <w:p>
            <w:pPr>
              <w:jc w:val="left"/>
            </w:pPr>
            <w:r/>
            <w:r>
              <w:rPr>
                <w:rFonts w:ascii="Calibri" w:hAnsi="Calibri"/>
                <w:color w:val="2D2D2D"/>
                <w:sz w:val="18"/>
              </w:rPr>
              <w:t>❌ PROHIBITED</w:t>
            </w:r>
          </w:p>
        </w:tc>
      </w:tr>
    </w:tbl>
    <w:p/>
    <w:p>
      <w:r>
        <w:rPr>
          <w:b/>
        </w:rPr>
        <w:t>Fundamental Rule:</w:t>
      </w:r>
      <w:r>
        <w:t xml:space="preserve"> Revenue must never influence monetary issuance. The sequence is:</w:t>
      </w:r>
    </w:p>
    <w:p>
      <w:pPr>
        <w:pStyle w:val="ListNumber"/>
        <w:ind w:left="425"/>
      </w:pPr>
      <w:r>
        <w:t>Legal eligibility</w:t>
      </w:r>
    </w:p>
    <w:p>
      <w:pPr>
        <w:pStyle w:val="ListNumber"/>
        <w:ind w:left="425"/>
      </w:pPr>
      <w:r>
        <w:t>Institutional authorization</w:t>
      </w:r>
    </w:p>
    <w:p>
      <w:pPr>
        <w:pStyle w:val="ListNumber"/>
        <w:ind w:left="425"/>
      </w:pPr>
      <w:r>
        <w:t>Reserve/funding verification</w:t>
      </w:r>
    </w:p>
    <w:p>
      <w:pPr>
        <w:pStyle w:val="ListNumber"/>
        <w:ind w:left="425"/>
      </w:pPr>
      <w:r>
        <w:t>Risk checks</w:t>
      </w:r>
    </w:p>
    <w:p>
      <w:pPr>
        <w:pStyle w:val="ListNumber"/>
        <w:ind w:left="425"/>
      </w:pPr>
      <w:r>
        <w:t>Issuance</w:t>
      </w:r>
    </w:p>
    <w:p>
      <w:pPr>
        <w:pStyle w:val="ListNumber"/>
        <w:ind w:left="425"/>
      </w:pPr>
      <w:r>
        <w:t>Fee accounting</w:t>
      </w:r>
    </w:p>
    <w:p>
      <w:r>
        <w:rPr>
          <w:b/>
        </w:rPr>
        <w:t>NEVER:</w:t>
      </w:r>
      <w:r>
        <w:t xml:space="preserve"> Fee paid → MTQ issued.</w:t>
      </w:r>
    </w:p>
    <w:p>
      <w:pPr>
        <w:pBdr>
          <w:bottom w:val="single" w:sz="12" w:space="1" w:color="C59B1E"/>
        </w:pBdr>
      </w:pPr>
    </w:p>
    <w:p>
      <w:pPr>
        <w:pStyle w:val="Heading2"/>
      </w:pPr>
      <w:r>
        <w:t>§4 — KYC/KYB ARCHITECTURE (Layered)</w:t>
      </w:r>
    </w:p>
    <w:p>
      <w:pPr>
        <w:pStyle w:val="Heading3"/>
      </w:pPr>
      <w:r>
        <w:t>§4.1 Principle</w:t>
      </w:r>
    </w:p>
    <w:p>
      <w:pPr>
        <w:spacing w:before="120" w:after="120"/>
        <w:ind w:left="567" w:right="567"/>
        <w:pBdr>
          <w:left w:val="single" w:sz="24" w:space="8" w:color="C59B1E"/>
        </w:pBdr>
        <w:shd w:fill="FFFBF0"/>
      </w:pPr>
      <w:r>
        <w:rPr>
          <w:b/>
          <w:i/>
          <w:color w:val="1A365F"/>
          <w:sz w:val="22"/>
        </w:rPr>
        <w:t>**The participating regulated institution knows its customer; MITHQAL knows and authorizes its participating institution and validates the institutional settlement transaction.**</w:t>
      </w:r>
    </w:p>
    <w:p>
      <w:r>
        <w:t xml:space="preserve">MITHQAL does NOT blindly duplicate customer KYC. However, if applicable law requires MITHQAL to collect, verify, retain, or disclose additional customer information, the architecture </w:t>
      </w:r>
      <w:r>
        <w:rPr>
          <w:b/>
        </w:rPr>
        <w:t>must</w:t>
      </w:r>
      <w:r>
        <w:t xml:space="preserve"> support that requirement.</w:t>
      </w:r>
    </w:p>
    <w:p>
      <w:pPr>
        <w:pStyle w:val="Heading3"/>
      </w:pPr>
      <w:r>
        <w:t>§4.2 Customer-Level (performed by the regulated participating institution)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Function</w:t>
            </w:r>
          </w:p>
        </w:tc>
        <w:tc>
          <w:tcPr>
            <w:tcW w:type="dxa" w:w="3024"/>
            <w:shd w:fill="1A365F"/>
            <w:vAlign w:val="center"/>
          </w:tcPr>
          <w:p>
            <w:pPr>
              <w:jc w:val="left"/>
            </w:pPr>
            <w:r/>
            <w:r>
              <w:rPr>
                <w:rFonts w:ascii="Calibri" w:hAnsi="Calibri"/>
                <w:b/>
                <w:color w:val="FFFFFF"/>
                <w:sz w:val="18"/>
              </w:rPr>
              <w:t>Performed By</w:t>
            </w:r>
          </w:p>
        </w:tc>
        <w:tc>
          <w:tcPr>
            <w:tcW w:type="dxa" w:w="3024"/>
            <w:shd w:fill="1A365F"/>
            <w:vAlign w:val="center"/>
          </w:tcPr>
          <w:p>
            <w:pPr>
              <w:jc w:val="left"/>
            </w:pPr>
            <w:r/>
            <w:r>
              <w:rPr>
                <w:rFonts w:ascii="Calibri" w:hAnsi="Calibri"/>
                <w:b/>
                <w:color w:val="FFFFFF"/>
                <w:sz w:val="18"/>
              </w:rPr>
              <w:t>MITHQAL Role</w:t>
            </w:r>
          </w:p>
        </w:tc>
      </w:tr>
      <w:tr>
        <w:tc>
          <w:tcPr>
            <w:tcW w:type="dxa" w:w="3024"/>
            <w:vAlign w:val="center"/>
          </w:tcPr>
          <w:p>
            <w:pPr>
              <w:jc w:val="left"/>
            </w:pPr>
            <w:r/>
            <w:r>
              <w:rPr>
                <w:rFonts w:ascii="Calibri" w:hAnsi="Calibri"/>
                <w:color w:val="2D2D2D"/>
                <w:sz w:val="18"/>
              </w:rPr>
              <w:t>KYC (Know Your Customer)</w:t>
            </w:r>
          </w:p>
        </w:tc>
        <w:tc>
          <w:tcPr>
            <w:tcW w:type="dxa" w:w="3024"/>
            <w:vAlign w:val="center"/>
          </w:tcPr>
          <w:p>
            <w:pPr>
              <w:jc w:val="left"/>
            </w:pPr>
            <w:r/>
            <w:r>
              <w:rPr>
                <w:rFonts w:ascii="Calibri" w:hAnsi="Calibri"/>
                <w:color w:val="2D2D2D"/>
                <w:sz w:val="18"/>
              </w:rPr>
              <w:t>Bank</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KYB (Know Your Business)</w:t>
            </w:r>
          </w:p>
        </w:tc>
        <w:tc>
          <w:tcPr>
            <w:tcW w:type="dxa" w:w="3024"/>
            <w:shd w:fill="F0F0F0"/>
            <w:vAlign w:val="center"/>
          </w:tcPr>
          <w:p>
            <w:pPr>
              <w:jc w:val="left"/>
            </w:pPr>
            <w:r/>
            <w:r>
              <w:rPr>
                <w:rFonts w:ascii="Calibri" w:hAnsi="Calibri"/>
                <w:color w:val="2D2D2D"/>
                <w:sz w:val="18"/>
              </w:rPr>
              <w:t>Bank</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UBO (Ultimate Beneficial Owner) identification</w:t>
            </w:r>
          </w:p>
        </w:tc>
        <w:tc>
          <w:tcPr>
            <w:tcW w:type="dxa" w:w="3024"/>
            <w:vAlign w:val="center"/>
          </w:tcPr>
          <w:p>
            <w:pPr>
              <w:jc w:val="left"/>
            </w:pPr>
            <w:r/>
            <w:r>
              <w:rPr>
                <w:rFonts w:ascii="Calibri" w:hAnsi="Calibri"/>
                <w:color w:val="2D2D2D"/>
                <w:sz w:val="18"/>
              </w:rPr>
              <w:t>Bank</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AML/CFT (Anti-Money Laundering / Counter Financing of Terrorism)</w:t>
            </w:r>
          </w:p>
        </w:tc>
        <w:tc>
          <w:tcPr>
            <w:tcW w:type="dxa" w:w="3024"/>
            <w:shd w:fill="F0F0F0"/>
            <w:vAlign w:val="center"/>
          </w:tcPr>
          <w:p>
            <w:pPr>
              <w:jc w:val="left"/>
            </w:pPr>
            <w:r/>
            <w:r>
              <w:rPr>
                <w:rFonts w:ascii="Calibri" w:hAnsi="Calibri"/>
                <w:color w:val="2D2D2D"/>
                <w:sz w:val="18"/>
              </w:rPr>
              <w:t>Bank</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Source-of-funds / source-of-wealth checks</w:t>
            </w:r>
          </w:p>
        </w:tc>
        <w:tc>
          <w:tcPr>
            <w:tcW w:type="dxa" w:w="3024"/>
            <w:vAlign w:val="center"/>
          </w:tcPr>
          <w:p>
            <w:pPr>
              <w:jc w:val="left"/>
            </w:pPr>
            <w:r/>
            <w:r>
              <w:rPr>
                <w:rFonts w:ascii="Calibri" w:hAnsi="Calibri"/>
                <w:color w:val="2D2D2D"/>
                <w:sz w:val="18"/>
              </w:rPr>
              <w:t>Bank</w:t>
            </w:r>
          </w:p>
        </w:tc>
        <w:tc>
          <w:tcPr>
            <w:tcW w:type="dxa" w:w="3024"/>
            <w:vAlign w:val="center"/>
          </w:tcPr>
          <w:p>
            <w:pPr>
              <w:jc w:val="left"/>
            </w:pPr>
            <w:r/>
            <w:r>
              <w:rPr>
                <w:rFonts w:ascii="Calibri" w:hAnsi="Calibri"/>
                <w:color w:val="2D2D2D"/>
                <w:sz w:val="18"/>
              </w:rPr>
              <w:t>None (where applicable)</w:t>
            </w:r>
          </w:p>
        </w:tc>
      </w:tr>
      <w:tr>
        <w:tc>
          <w:tcPr>
            <w:tcW w:type="dxa" w:w="3024"/>
            <w:shd w:fill="F0F0F0"/>
            <w:vAlign w:val="center"/>
          </w:tcPr>
          <w:p>
            <w:pPr>
              <w:jc w:val="left"/>
            </w:pPr>
            <w:r/>
            <w:r>
              <w:rPr>
                <w:rFonts w:ascii="Calibri" w:hAnsi="Calibri"/>
                <w:color w:val="2D2D2D"/>
                <w:sz w:val="18"/>
              </w:rPr>
              <w:t>Sanctions screening (customer-level)</w:t>
            </w:r>
          </w:p>
        </w:tc>
        <w:tc>
          <w:tcPr>
            <w:tcW w:type="dxa" w:w="3024"/>
            <w:shd w:fill="F0F0F0"/>
            <w:vAlign w:val="center"/>
          </w:tcPr>
          <w:p>
            <w:pPr>
              <w:jc w:val="left"/>
            </w:pPr>
            <w:r/>
            <w:r>
              <w:rPr>
                <w:rFonts w:ascii="Calibri" w:hAnsi="Calibri"/>
                <w:color w:val="2D2D2D"/>
                <w:sz w:val="18"/>
              </w:rPr>
              <w:t>Bank</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Transaction monitoring (customer-level)</w:t>
            </w:r>
          </w:p>
        </w:tc>
        <w:tc>
          <w:tcPr>
            <w:tcW w:type="dxa" w:w="3024"/>
            <w:vAlign w:val="center"/>
          </w:tcPr>
          <w:p>
            <w:pPr>
              <w:jc w:val="left"/>
            </w:pPr>
            <w:r/>
            <w:r>
              <w:rPr>
                <w:rFonts w:ascii="Calibri" w:hAnsi="Calibri"/>
                <w:color w:val="2D2D2D"/>
                <w:sz w:val="18"/>
              </w:rPr>
              <w:t>Bank</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Customer risk assessment</w:t>
            </w:r>
          </w:p>
        </w:tc>
        <w:tc>
          <w:tcPr>
            <w:tcW w:type="dxa" w:w="3024"/>
            <w:shd w:fill="F0F0F0"/>
            <w:vAlign w:val="center"/>
          </w:tcPr>
          <w:p>
            <w:pPr>
              <w:jc w:val="left"/>
            </w:pPr>
            <w:r/>
            <w:r>
              <w:rPr>
                <w:rFonts w:ascii="Calibri" w:hAnsi="Calibri"/>
                <w:color w:val="2D2D2D"/>
                <w:sz w:val="18"/>
              </w:rPr>
              <w:t>Bank</w:t>
            </w:r>
          </w:p>
        </w:tc>
        <w:tc>
          <w:tcPr>
            <w:tcW w:type="dxa" w:w="3024"/>
            <w:shd w:fill="F0F0F0"/>
            <w:vAlign w:val="center"/>
          </w:tcPr>
          <w:p>
            <w:pPr>
              <w:jc w:val="left"/>
            </w:pPr>
            <w:r/>
            <w:r>
              <w:rPr>
                <w:rFonts w:ascii="Calibri" w:hAnsi="Calibri"/>
                <w:color w:val="2D2D2D"/>
                <w:sz w:val="18"/>
              </w:rPr>
              <w:t>None</w:t>
            </w:r>
          </w:p>
        </w:tc>
      </w:tr>
    </w:tbl>
    <w:p/>
    <w:p>
      <w:pPr>
        <w:pStyle w:val="Heading3"/>
      </w:pPr>
      <w:r>
        <w:t>§4.3 MITHQAL-Level (performed by MITHQAL)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Function</w:t>
            </w:r>
          </w:p>
        </w:tc>
        <w:tc>
          <w:tcPr>
            <w:tcW w:type="dxa" w:w="3024"/>
            <w:shd w:fill="1A365F"/>
            <w:vAlign w:val="center"/>
          </w:tcPr>
          <w:p>
            <w:pPr>
              <w:jc w:val="left"/>
            </w:pPr>
            <w:r/>
            <w:r>
              <w:rPr>
                <w:rFonts w:ascii="Calibri" w:hAnsi="Calibri"/>
                <w:b/>
                <w:color w:val="FFFFFF"/>
                <w:sz w:val="18"/>
              </w:rPr>
              <w:t>Performed By</w:t>
            </w:r>
          </w:p>
        </w:tc>
        <w:tc>
          <w:tcPr>
            <w:tcW w:type="dxa" w:w="3024"/>
            <w:shd w:fill="1A365F"/>
            <w:vAlign w:val="center"/>
          </w:tcPr>
          <w:p>
            <w:pPr>
              <w:jc w:val="left"/>
            </w:pPr>
            <w:r/>
            <w:r>
              <w:rPr>
                <w:rFonts w:ascii="Calibri" w:hAnsi="Calibri"/>
                <w:b/>
                <w:color w:val="FFFFFF"/>
                <w:sz w:val="18"/>
              </w:rPr>
              <w:t>Bank Role</w:t>
            </w:r>
          </w:p>
        </w:tc>
      </w:tr>
      <w:tr>
        <w:tc>
          <w:tcPr>
            <w:tcW w:type="dxa" w:w="3024"/>
            <w:vAlign w:val="center"/>
          </w:tcPr>
          <w:p>
            <w:pPr>
              <w:jc w:val="left"/>
            </w:pPr>
            <w:r/>
            <w:r>
              <w:rPr>
                <w:rFonts w:ascii="Calibri" w:hAnsi="Calibri"/>
                <w:color w:val="2D2D2D"/>
                <w:sz w:val="18"/>
              </w:rPr>
              <w:t>Institution identification</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Institution authorization</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Institution credential verification</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Institutional permissions</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Jurisdiction eligibility</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Settlement instruction validation</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Sanctions/jurisdiction controls (MITHQAL layer)</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Transaction integrity checks</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None</w:t>
            </w:r>
          </w:p>
        </w:tc>
      </w:tr>
      <w:tr>
        <w:tc>
          <w:tcPr>
            <w:tcW w:type="dxa" w:w="3024"/>
            <w:vAlign w:val="center"/>
          </w:tcPr>
          <w:p>
            <w:pPr>
              <w:jc w:val="left"/>
            </w:pPr>
            <w:r/>
            <w:r>
              <w:rPr>
                <w:rFonts w:ascii="Calibri" w:hAnsi="Calibri"/>
                <w:color w:val="2D2D2D"/>
                <w:sz w:val="18"/>
              </w:rPr>
              <w:t>Institutional auditability</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None</w:t>
            </w:r>
          </w:p>
        </w:tc>
      </w:tr>
      <w:tr>
        <w:tc>
          <w:tcPr>
            <w:tcW w:type="dxa" w:w="3024"/>
            <w:shd w:fill="F0F0F0"/>
            <w:vAlign w:val="center"/>
          </w:tcPr>
          <w:p>
            <w:pPr>
              <w:jc w:val="left"/>
            </w:pPr>
            <w:r/>
            <w:r>
              <w:rPr>
                <w:rFonts w:ascii="Calibri" w:hAnsi="Calibri"/>
                <w:color w:val="2D2D2D"/>
                <w:sz w:val="18"/>
              </w:rPr>
              <w:t>Immutable settlement records</w:t>
            </w:r>
          </w:p>
        </w:tc>
        <w:tc>
          <w:tcPr>
            <w:tcW w:type="dxa" w:w="3024"/>
            <w:shd w:fill="F0F0F0"/>
            <w:vAlign w:val="center"/>
          </w:tcPr>
          <w:p>
            <w:pPr>
              <w:jc w:val="left"/>
            </w:pPr>
            <w:r/>
            <w:r>
              <w:rPr>
                <w:rFonts w:ascii="Calibri" w:hAnsi="Calibri"/>
                <w:color w:val="2D2D2D"/>
                <w:sz w:val="18"/>
              </w:rPr>
              <w:t>MITHQAL</w:t>
            </w:r>
          </w:p>
        </w:tc>
        <w:tc>
          <w:tcPr>
            <w:tcW w:type="dxa" w:w="3024"/>
            <w:shd w:fill="F0F0F0"/>
            <w:vAlign w:val="center"/>
          </w:tcPr>
          <w:p>
            <w:pPr>
              <w:jc w:val="left"/>
            </w:pPr>
            <w:r/>
            <w:r>
              <w:rPr>
                <w:rFonts w:ascii="Calibri" w:hAnsi="Calibri"/>
                <w:color w:val="2D2D2D"/>
                <w:sz w:val="18"/>
              </w:rPr>
              <w:t>None</w:t>
            </w:r>
          </w:p>
        </w:tc>
      </w:tr>
    </w:tbl>
    <w:p/>
    <w:p>
      <w:pPr>
        <w:pStyle w:val="Heading3"/>
      </w:pPr>
      <w:r>
        <w:t>§4.4 Legal Exception Clause</w:t>
      </w:r>
    </w:p>
    <w:p>
      <w:r>
        <w:rPr>
          <w:b/>
        </w:rPr>
        <w:t>If applicable law requires MITHQAL to collect, verify, retain, or disclose additional customer information, the architecture must support that requirement.</w:t>
      </w:r>
      <w:r>
        <w:t xml:space="preserve"> This includes:</w:t>
      </w:r>
    </w:p>
    <w:p>
      <w:pPr>
        <w:pStyle w:val="ListBullet"/>
        <w:ind w:left="425"/>
      </w:pPr>
      <w:r>
        <w:t>Regulator-mandated direct collection</w:t>
      </w:r>
    </w:p>
    <w:p>
      <w:pPr>
        <w:pStyle w:val="ListBullet"/>
        <w:ind w:left="425"/>
      </w:pPr>
      <w:r>
        <w:t>Court-ordered disclosure</w:t>
      </w:r>
    </w:p>
    <w:p>
      <w:pPr>
        <w:pStyle w:val="ListBullet"/>
        <w:ind w:left="425"/>
      </w:pPr>
      <w:r>
        <w:t>Lawful intercept requests</w:t>
      </w:r>
    </w:p>
    <w:p>
      <w:pPr>
        <w:pStyle w:val="ListBullet"/>
        <w:ind w:left="425"/>
      </w:pPr>
      <w:r>
        <w:t>AML/CFT reporting obligations</w:t>
      </w:r>
    </w:p>
    <w:p>
      <w:pPr>
        <w:pStyle w:val="ListBullet"/>
        <w:ind w:left="425"/>
      </w:pPr>
      <w:r>
        <w:t>Tax information exchange agreements</w:t>
      </w:r>
    </w:p>
    <w:p>
      <w:pPr>
        <w:pStyle w:val="Heading3"/>
      </w:pPr>
      <w:r>
        <w:t>§4.5 Privacy Rule</w:t>
      </w:r>
    </w:p>
    <w:p>
      <w:r>
        <w:t>Customer information remains primarily within the regulated institution. MITHQAL uses:</w:t>
      </w:r>
    </w:p>
    <w:p>
      <w:pPr>
        <w:pStyle w:val="ListBullet"/>
        <w:ind w:left="425"/>
      </w:pPr>
      <w:r>
        <w:t>Minimum necessary information</w:t>
      </w:r>
    </w:p>
    <w:p>
      <w:pPr>
        <w:pStyle w:val="ListBullet"/>
        <w:ind w:left="425"/>
      </w:pPr>
      <w:r>
        <w:t>Cryptographic attestations (§25 ZK architecture)</w:t>
      </w:r>
    </w:p>
    <w:p>
      <w:pPr>
        <w:pStyle w:val="ListBullet"/>
        <w:ind w:left="425"/>
      </w:pPr>
      <w:r>
        <w:t>Selective disclosure</w:t>
      </w:r>
    </w:p>
    <w:p>
      <w:pPr>
        <w:pStyle w:val="ListBullet"/>
        <w:ind w:left="425"/>
      </w:pPr>
      <w:r>
        <w:t>Policy-bound disclosure</w:t>
      </w:r>
    </w:p>
    <w:p>
      <w:r>
        <w:t>See §24 (Privacy Architecture) for the full 3-layer model.</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KYC_ARCHITECTURE</w:t>
      </w:r>
    </w:p>
    <w:p>
      <w:pPr>
        <w:pBdr>
          <w:bottom w:val="single" w:sz="12" w:space="1" w:color="C59B1E"/>
        </w:pBdr>
      </w:pPr>
    </w:p>
    <w:p>
      <w:pPr>
        <w:pStyle w:val="Heading2"/>
      </w:pPr>
      <w:r>
        <w:t>§5 — NEUTRAL CROSS-BORDER SETTLEMENT FLOW</w:t>
      </w:r>
    </w:p>
    <w:p>
      <w:pPr>
        <w:pStyle w:val="Heading3"/>
      </w:pPr>
      <w:r>
        <w:t>§5.1 Canonical Flow</w:t>
      </w:r>
    </w:p>
    <w:p>
      <w:pPr>
        <w:ind w:left="283"/>
        <w:shd w:fill="F5F5F5"/>
      </w:pPr>
      <w:r>
        <w:rPr>
          <w:rFonts w:ascii="Consolas" w:hAnsi="Consolas"/>
          <w:color w:val="6B6B6B"/>
          <w:sz w:val="18"/>
        </w:rPr>
        <w:t>SOVEREIGN MONEY / CBDC A</w:t>
        <w:br/>
        <w:t xml:space="preserve">        ↓</w:t>
        <w:br/>
        <w:t>REGULATED INSTITUTION A</w:t>
        <w:br/>
        <w:t xml:space="preserve">        ↓</w:t>
        <w:br/>
        <w:t xml:space="preserve">        MTQ</w:t>
        <w:br/>
        <w:t xml:space="preserve">        ↓</w:t>
        <w:br/>
        <w:t>MITHQAL NEUTRAL SETTLEMENT LAYER</w:t>
        <w:br/>
        <w:t xml:space="preserve">        ↓</w:t>
        <w:br/>
        <w:t xml:space="preserve">        MTQ</w:t>
        <w:br/>
        <w:t xml:space="preserve">        ↓</w:t>
        <w:br/>
        <w:t>REGULATED INSTITUTION B</w:t>
        <w:br/>
        <w:t xml:space="preserve">        ↓</w:t>
        <w:br/>
        <w:t>SOVEREIGN MONEY / CBDC B</w:t>
      </w:r>
    </w:p>
    <w:p>
      <w:pPr>
        <w:pStyle w:val="Heading3"/>
      </w:pPr>
      <w:r>
        <w:t>§5.2 Worked Example — Japan Importer ↔ U.S. Exporter</w:t>
      </w:r>
    </w:p>
    <w:p>
      <w:r>
        <w:rPr>
          <w:b/>
        </w:rPr>
        <w:t>Scenario:</w:t>
      </w:r>
      <w:r>
        <w:t xml:space="preserve"> A Japanese company imports goods from a U.S. exporter and needs to settle a $10 million payment.</w:t>
      </w:r>
    </w:p>
    <w:p>
      <w:r>
        <w:rPr>
          <w:b/>
        </w:rPr>
        <w:t>Step-by-Step Flow:</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Step</w:t>
            </w:r>
          </w:p>
        </w:tc>
        <w:tc>
          <w:tcPr>
            <w:tcW w:type="dxa" w:w="2268"/>
            <w:shd w:fill="1A365F"/>
            <w:vAlign w:val="center"/>
          </w:tcPr>
          <w:p>
            <w:pPr>
              <w:jc w:val="left"/>
            </w:pPr>
            <w:r/>
            <w:r>
              <w:rPr>
                <w:rFonts w:ascii="Calibri" w:hAnsi="Calibri"/>
                <w:b/>
                <w:color w:val="FFFFFF"/>
                <w:sz w:val="18"/>
              </w:rPr>
              <w:t>Actor</w:t>
            </w:r>
          </w:p>
        </w:tc>
        <w:tc>
          <w:tcPr>
            <w:tcW w:type="dxa" w:w="2268"/>
            <w:shd w:fill="1A365F"/>
            <w:vAlign w:val="center"/>
          </w:tcPr>
          <w:p>
            <w:pPr>
              <w:jc w:val="left"/>
            </w:pPr>
            <w:r/>
            <w:r>
              <w:rPr>
                <w:rFonts w:ascii="Calibri" w:hAnsi="Calibri"/>
                <w:b/>
                <w:color w:val="FFFFFF"/>
                <w:sz w:val="18"/>
              </w:rPr>
              <w:t>Action</w:t>
            </w:r>
          </w:p>
        </w:tc>
        <w:tc>
          <w:tcPr>
            <w:tcW w:type="dxa" w:w="2268"/>
            <w:shd w:fill="1A365F"/>
            <w:vAlign w:val="center"/>
          </w:tcPr>
          <w:p>
            <w:pPr>
              <w:jc w:val="left"/>
            </w:pPr>
            <w:r/>
            <w:r>
              <w:rPr>
                <w:rFonts w:ascii="Calibri" w:hAnsi="Calibri"/>
                <w:b/>
                <w:color w:val="FFFFFF"/>
                <w:sz w:val="18"/>
              </w:rPr>
              <w:t>System State</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Japanese Importer</w:t>
            </w:r>
          </w:p>
        </w:tc>
        <w:tc>
          <w:tcPr>
            <w:tcW w:type="dxa" w:w="2268"/>
            <w:vAlign w:val="center"/>
          </w:tcPr>
          <w:p>
            <w:pPr>
              <w:jc w:val="left"/>
            </w:pPr>
            <w:r/>
            <w:r>
              <w:rPr>
                <w:rFonts w:ascii="Calibri" w:hAnsi="Calibri"/>
                <w:color w:val="2D2D2D"/>
                <w:sz w:val="18"/>
              </w:rPr>
              <w:t>Requests $10M payment to U.S. Exporter via Japanese Bank</w:t>
            </w:r>
          </w:p>
        </w:tc>
        <w:tc>
          <w:tcPr>
            <w:tcW w:type="dxa" w:w="2268"/>
            <w:vAlign w:val="center"/>
          </w:tcPr>
          <w:p>
            <w:pPr>
              <w:jc w:val="left"/>
            </w:pPr>
            <w:r/>
            <w:r>
              <w:rPr>
                <w:rFonts w:ascii="Calibri" w:hAnsi="Calibri"/>
                <w:color w:val="2D2D2D"/>
                <w:sz w:val="18"/>
              </w:rPr>
              <w:t>Corporate treasury dashboard (§11)</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Japanese Bank (INST-003)</w:t>
            </w:r>
          </w:p>
        </w:tc>
        <w:tc>
          <w:tcPr>
            <w:tcW w:type="dxa" w:w="2268"/>
            <w:shd w:fill="F0F0F0"/>
            <w:vAlign w:val="center"/>
          </w:tcPr>
          <w:p>
            <w:pPr>
              <w:jc w:val="left"/>
            </w:pPr>
            <w:r/>
            <w:r>
              <w:rPr>
                <w:rFonts w:ascii="Calibri" w:hAnsi="Calibri"/>
                <w:color w:val="2D2D2D"/>
                <w:sz w:val="18"/>
              </w:rPr>
              <w:t>Validates customer KYC, AML, sanctions, funding</w:t>
            </w:r>
          </w:p>
        </w:tc>
        <w:tc>
          <w:tcPr>
            <w:tcW w:type="dxa" w:w="2268"/>
            <w:shd w:fill="F0F0F0"/>
            <w:vAlign w:val="center"/>
          </w:tcPr>
          <w:p>
            <w:pPr>
              <w:jc w:val="left"/>
            </w:pPr>
            <w:r/>
            <w:r>
              <w:rPr>
                <w:rFonts w:ascii="Calibri" w:hAnsi="Calibri"/>
                <w:color w:val="2D2D2D"/>
                <w:sz w:val="18"/>
              </w:rPr>
              <w:t>Bank Identity Vault (§24 Layer 1)</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Japanese Bank</w:t>
            </w:r>
          </w:p>
        </w:tc>
        <w:tc>
          <w:tcPr>
            <w:tcW w:type="dxa" w:w="2268"/>
            <w:vAlign w:val="center"/>
          </w:tcPr>
          <w:p>
            <w:pPr>
              <w:jc w:val="left"/>
            </w:pPr>
            <w:r/>
            <w:r>
              <w:rPr>
                <w:rFonts w:ascii="Calibri" w:hAnsi="Calibri"/>
                <w:color w:val="2D2D2D"/>
                <w:sz w:val="18"/>
              </w:rPr>
              <w:t>Submits institutional issuance request to MITHQAL</w:t>
            </w:r>
          </w:p>
        </w:tc>
        <w:tc>
          <w:tcPr>
            <w:tcW w:type="dxa" w:w="2268"/>
            <w:vAlign w:val="center"/>
          </w:tcPr>
          <w:p>
            <w:pPr>
              <w:jc w:val="left"/>
            </w:pPr>
            <w:r/>
            <w:r>
              <w:rPr>
                <w:rFonts w:ascii="Calibri" w:hAnsi="Calibri"/>
                <w:color w:val="2D2D2D"/>
                <w:sz w:val="18"/>
              </w:rPr>
              <w:t>API: `processWholesaleSettlement()`</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Authenticates INST-003 (FSA license, ACTIVE, CLEAR sanctions)</w:t>
            </w:r>
          </w:p>
        </w:tc>
        <w:tc>
          <w:tcPr>
            <w:tcW w:type="dxa" w:w="2268"/>
            <w:shd w:fill="F0F0F0"/>
            <w:vAlign w:val="center"/>
          </w:tcPr>
          <w:p>
            <w:pPr>
              <w:jc w:val="left"/>
            </w:pPr>
            <w:r/>
            <w:r>
              <w:rPr>
                <w:rFonts w:ascii="Calibri" w:hAnsi="Calibri"/>
                <w:color w:val="2D2D2D"/>
                <w:sz w:val="18"/>
              </w:rPr>
              <w:t>§20 registry check</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Authority check: JP jurisdiction ALLOWED, JP-US corridor permitted</w:t>
            </w:r>
          </w:p>
        </w:tc>
        <w:tc>
          <w:tcPr>
            <w:tcW w:type="dxa" w:w="2268"/>
            <w:vAlign w:val="center"/>
          </w:tcPr>
          <w:p>
            <w:pPr>
              <w:jc w:val="left"/>
            </w:pPr>
            <w:r/>
            <w:r>
              <w:rPr>
                <w:rFonts w:ascii="Calibri" w:hAnsi="Calibri"/>
                <w:color w:val="2D2D2D"/>
                <w:sz w:val="18"/>
              </w:rPr>
              <w:t>§15 jurisdictional engine</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Reserve verification: JPY eligible, custody verified</w:t>
            </w:r>
          </w:p>
        </w:tc>
        <w:tc>
          <w:tcPr>
            <w:tcW w:type="dxa" w:w="2268"/>
            <w:shd w:fill="F0F0F0"/>
            <w:vAlign w:val="center"/>
          </w:tcPr>
          <w:p>
            <w:pPr>
              <w:jc w:val="left"/>
            </w:pPr>
            <w:r/>
            <w:r>
              <w:rPr>
                <w:rFonts w:ascii="Calibri" w:hAnsi="Calibri"/>
                <w:color w:val="2D2D2D"/>
                <w:sz w:val="18"/>
              </w:rPr>
              <w:t>§31 reserve architecture</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NAV calculation + RR check (≥100%)</w:t>
            </w:r>
          </w:p>
        </w:tc>
        <w:tc>
          <w:tcPr>
            <w:tcW w:type="dxa" w:w="2268"/>
            <w:vAlign w:val="center"/>
          </w:tcPr>
          <w:p>
            <w:pPr>
              <w:jc w:val="left"/>
            </w:pPr>
            <w:r/>
            <w:r>
              <w:rPr>
                <w:rFonts w:ascii="Calibri" w:hAnsi="Calibri"/>
                <w:color w:val="2D2D2D"/>
                <w:sz w:val="18"/>
              </w:rPr>
              <w:t>Constitutional gate</w:t>
            </w:r>
          </w:p>
        </w:tc>
      </w:tr>
      <w:tr>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Proof of Reserves + Proof of Solvency</w:t>
            </w:r>
          </w:p>
        </w:tc>
        <w:tc>
          <w:tcPr>
            <w:tcW w:type="dxa" w:w="2268"/>
            <w:shd w:fill="F0F0F0"/>
            <w:vAlign w:val="center"/>
          </w:tcPr>
          <w:p>
            <w:pPr>
              <w:jc w:val="left"/>
            </w:pPr>
            <w:r/>
            <w:r>
              <w:rPr>
                <w:rFonts w:ascii="Calibri" w:hAnsi="Calibri"/>
                <w:color w:val="2D2D2D"/>
                <w:sz w:val="18"/>
              </w:rPr>
              <w:t>Cryptographic proof generated</w:t>
            </w:r>
          </w:p>
        </w:tc>
      </w:tr>
      <w:tr>
        <w:tc>
          <w:tcPr>
            <w:tcW w:type="dxa" w:w="2268"/>
            <w:vAlign w:val="center"/>
          </w:tcPr>
          <w:p>
            <w:pPr>
              <w:jc w:val="left"/>
            </w:pPr>
            <w:r/>
            <w:r>
              <w:rPr>
                <w:rFonts w:ascii="Calibri" w:hAnsi="Calibri"/>
                <w:color w:val="2D2D2D"/>
                <w:sz w:val="18"/>
              </w:rPr>
              <w:t>9</w:t>
            </w:r>
          </w:p>
        </w:tc>
        <w:tc>
          <w:tcPr>
            <w:tcW w:type="dxa" w:w="2268"/>
            <w:vAlign w:val="center"/>
          </w:tcPr>
          <w:p>
            <w:pPr>
              <w:jc w:val="left"/>
            </w:pPr>
            <w:r/>
            <w:r>
              <w:rPr>
                <w:rFonts w:ascii="Calibri" w:hAnsi="Calibri"/>
                <w:color w:val="2D2D2D"/>
                <w:sz w:val="18"/>
              </w:rPr>
              <w:t>Mint.sol</w:t>
            </w:r>
          </w:p>
        </w:tc>
        <w:tc>
          <w:tcPr>
            <w:tcW w:type="dxa" w:w="2268"/>
            <w:vAlign w:val="center"/>
          </w:tcPr>
          <w:p>
            <w:pPr>
              <w:jc w:val="left"/>
            </w:pPr>
            <w:r/>
            <w:r>
              <w:rPr>
                <w:rFonts w:ascii="Calibri" w:hAnsi="Calibri"/>
                <w:color w:val="2D2D2D"/>
                <w:sz w:val="18"/>
              </w:rPr>
              <w:t>Executes mint (deterministic, idempotent CTID)</w:t>
            </w:r>
          </w:p>
        </w:tc>
        <w:tc>
          <w:tcPr>
            <w:tcW w:type="dxa" w:w="2268"/>
            <w:vAlign w:val="center"/>
          </w:tcPr>
          <w:p>
            <w:pPr>
              <w:jc w:val="left"/>
            </w:pPr>
            <w:r/>
            <w:r>
              <w:rPr>
                <w:rFonts w:ascii="Calibri" w:hAnsi="Calibri"/>
                <w:color w:val="2D2D2D"/>
                <w:sz w:val="18"/>
              </w:rPr>
              <w:t>Atomic on-chain transaction</w:t>
            </w:r>
          </w:p>
        </w:tc>
      </w:tr>
      <w:tr>
        <w:tc>
          <w:tcPr>
            <w:tcW w:type="dxa" w:w="2268"/>
            <w:shd w:fill="F0F0F0"/>
            <w:vAlign w:val="center"/>
          </w:tcPr>
          <w:p>
            <w:pPr>
              <w:jc w:val="left"/>
            </w:pPr>
            <w:r/>
            <w:r>
              <w:rPr>
                <w:rFonts w:ascii="Calibri" w:hAnsi="Calibri"/>
                <w:color w:val="2D2D2D"/>
                <w:sz w:val="18"/>
              </w:rPr>
              <w:t>10</w:t>
            </w:r>
          </w:p>
        </w:tc>
        <w:tc>
          <w:tcPr>
            <w:tcW w:type="dxa" w:w="2268"/>
            <w:shd w:fill="F0F0F0"/>
            <w:vAlign w:val="center"/>
          </w:tcPr>
          <w:p>
            <w:pPr>
              <w:jc w:val="left"/>
            </w:pPr>
            <w:r/>
            <w:r>
              <w:rPr>
                <w:rFonts w:ascii="Calibri" w:hAnsi="Calibri"/>
                <w:color w:val="2D2D2D"/>
                <w:sz w:val="18"/>
              </w:rPr>
              <w:t>MTQ enters settlement layer</w:t>
            </w:r>
          </w:p>
        </w:tc>
        <w:tc>
          <w:tcPr>
            <w:tcW w:type="dxa" w:w="2268"/>
            <w:shd w:fill="F0F0F0"/>
            <w:vAlign w:val="center"/>
          </w:tcPr>
          <w:p>
            <w:pPr>
              <w:jc w:val="left"/>
            </w:pPr>
            <w:r/>
            <w:r>
              <w:rPr>
                <w:rFonts w:ascii="Calibri" w:hAnsi="Calibri"/>
                <w:color w:val="2D2D2D"/>
                <w:sz w:val="18"/>
              </w:rPr>
              <w:t>10M MTQ transferred to U.S. Bank (INST-001)</w:t>
            </w:r>
          </w:p>
        </w:tc>
        <w:tc>
          <w:tcPr>
            <w:tcW w:type="dxa" w:w="2268"/>
            <w:shd w:fill="F0F0F0"/>
            <w:vAlign w:val="center"/>
          </w:tcPr>
          <w:p>
            <w:pPr>
              <w:jc w:val="left"/>
            </w:pPr>
            <w:r/>
            <w:r>
              <w:rPr>
                <w:rFonts w:ascii="Calibri" w:hAnsi="Calibri"/>
                <w:color w:val="2D2D2D"/>
                <w:sz w:val="18"/>
              </w:rPr>
              <w:t>Settlement record created (§9)</w:t>
            </w:r>
          </w:p>
        </w:tc>
      </w:tr>
      <w:tr>
        <w:tc>
          <w:tcPr>
            <w:tcW w:type="dxa" w:w="2268"/>
            <w:vAlign w:val="center"/>
          </w:tcPr>
          <w:p>
            <w:pPr>
              <w:jc w:val="left"/>
            </w:pPr>
            <w:r/>
            <w:r>
              <w:rPr>
                <w:rFonts w:ascii="Calibri" w:hAnsi="Calibri"/>
                <w:color w:val="2D2D2D"/>
                <w:sz w:val="18"/>
              </w:rPr>
              <w:t>11</w:t>
            </w:r>
          </w:p>
        </w:tc>
        <w:tc>
          <w:tcPr>
            <w:tcW w:type="dxa" w:w="2268"/>
            <w:vAlign w:val="center"/>
          </w:tcPr>
          <w:p>
            <w:pPr>
              <w:jc w:val="left"/>
            </w:pPr>
            <w:r/>
            <w:r>
              <w:rPr>
                <w:rFonts w:ascii="Calibri" w:hAnsi="Calibri"/>
                <w:color w:val="2D2D2D"/>
                <w:sz w:val="18"/>
              </w:rPr>
              <w:t>U.S. Bank (INST-001)</w:t>
            </w:r>
          </w:p>
        </w:tc>
        <w:tc>
          <w:tcPr>
            <w:tcW w:type="dxa" w:w="2268"/>
            <w:vAlign w:val="center"/>
          </w:tcPr>
          <w:p>
            <w:pPr>
              <w:jc w:val="left"/>
            </w:pPr>
            <w:r/>
            <w:r>
              <w:rPr>
                <w:rFonts w:ascii="Calibri" w:hAnsi="Calibri"/>
                <w:color w:val="2D2D2D"/>
                <w:sz w:val="18"/>
              </w:rPr>
              <w:t>Receives MTQ, validates institutional authorization</w:t>
            </w:r>
          </w:p>
        </w:tc>
        <w:tc>
          <w:tcPr>
            <w:tcW w:type="dxa" w:w="2268"/>
            <w:vAlign w:val="center"/>
          </w:tcPr>
          <w:p>
            <w:pPr>
              <w:jc w:val="left"/>
            </w:pPr>
            <w:r/>
            <w:r>
              <w:rPr>
                <w:rFonts w:ascii="Calibri" w:hAnsi="Calibri"/>
                <w:color w:val="2D2D2D"/>
                <w:sz w:val="18"/>
              </w:rPr>
              <w:t>Receiver auth check</w:t>
            </w:r>
          </w:p>
        </w:tc>
      </w:tr>
      <w:tr>
        <w:tc>
          <w:tcPr>
            <w:tcW w:type="dxa" w:w="2268"/>
            <w:shd w:fill="F0F0F0"/>
            <w:vAlign w:val="center"/>
          </w:tcPr>
          <w:p>
            <w:pPr>
              <w:jc w:val="left"/>
            </w:pPr>
            <w:r/>
            <w:r>
              <w:rPr>
                <w:rFonts w:ascii="Calibri" w:hAnsi="Calibri"/>
                <w:color w:val="2D2D2D"/>
                <w:sz w:val="18"/>
              </w:rPr>
              <w:t>12</w:t>
            </w:r>
          </w:p>
        </w:tc>
        <w:tc>
          <w:tcPr>
            <w:tcW w:type="dxa" w:w="2268"/>
            <w:shd w:fill="F0F0F0"/>
            <w:vAlign w:val="center"/>
          </w:tcPr>
          <w:p>
            <w:pPr>
              <w:jc w:val="left"/>
            </w:pPr>
            <w:r/>
            <w:r>
              <w:rPr>
                <w:rFonts w:ascii="Calibri" w:hAnsi="Calibri"/>
                <w:color w:val="2D2D2D"/>
                <w:sz w:val="18"/>
              </w:rPr>
              <w:t>U.S. Bank</w:t>
            </w:r>
          </w:p>
        </w:tc>
        <w:tc>
          <w:tcPr>
            <w:tcW w:type="dxa" w:w="2268"/>
            <w:shd w:fill="F0F0F0"/>
            <w:vAlign w:val="center"/>
          </w:tcPr>
          <w:p>
            <w:pPr>
              <w:jc w:val="left"/>
            </w:pPr>
            <w:r/>
            <w:r>
              <w:rPr>
                <w:rFonts w:ascii="Calibri" w:hAnsi="Calibri"/>
                <w:color w:val="2D2D2D"/>
                <w:sz w:val="18"/>
              </w:rPr>
              <w:t>Burns MTQ for USD reserve release</w:t>
            </w:r>
          </w:p>
        </w:tc>
        <w:tc>
          <w:tcPr>
            <w:tcW w:type="dxa" w:w="2268"/>
            <w:shd w:fill="F0F0F0"/>
            <w:vAlign w:val="center"/>
          </w:tcPr>
          <w:p>
            <w:pPr>
              <w:jc w:val="left"/>
            </w:pPr>
            <w:r/>
            <w:r>
              <w:rPr>
                <w:rFonts w:ascii="Calibri" w:hAnsi="Calibri"/>
                <w:color w:val="2D2D2D"/>
                <w:sz w:val="18"/>
              </w:rPr>
              <w:t>`processRedemption()`</w:t>
            </w:r>
          </w:p>
        </w:tc>
      </w:tr>
      <w:tr>
        <w:tc>
          <w:tcPr>
            <w:tcW w:type="dxa" w:w="2268"/>
            <w:vAlign w:val="center"/>
          </w:tcPr>
          <w:p>
            <w:pPr>
              <w:jc w:val="left"/>
            </w:pPr>
            <w:r/>
            <w:r>
              <w:rPr>
                <w:rFonts w:ascii="Calibri" w:hAnsi="Calibri"/>
                <w:color w:val="2D2D2D"/>
                <w:sz w:val="18"/>
              </w:rPr>
              <w:t>13</w:t>
            </w:r>
          </w:p>
        </w:tc>
        <w:tc>
          <w:tcPr>
            <w:tcW w:type="dxa" w:w="2268"/>
            <w:vAlign w:val="center"/>
          </w:tcPr>
          <w:p>
            <w:pPr>
              <w:jc w:val="left"/>
            </w:pPr>
            <w:r/>
            <w:r>
              <w:rPr>
                <w:rFonts w:ascii="Calibri" w:hAnsi="Calibri"/>
                <w:color w:val="2D2D2D"/>
                <w:sz w:val="18"/>
              </w:rPr>
              <w:t>U.S. Bank</w:t>
            </w:r>
          </w:p>
        </w:tc>
        <w:tc>
          <w:tcPr>
            <w:tcW w:type="dxa" w:w="2268"/>
            <w:vAlign w:val="center"/>
          </w:tcPr>
          <w:p>
            <w:pPr>
              <w:jc w:val="left"/>
            </w:pPr>
            <w:r/>
            <w:r>
              <w:rPr>
                <w:rFonts w:ascii="Calibri" w:hAnsi="Calibri"/>
                <w:color w:val="2D2D2D"/>
                <w:sz w:val="18"/>
              </w:rPr>
              <w:t>Credits USD to U.S. Exporter's account</w:t>
            </w:r>
          </w:p>
        </w:tc>
        <w:tc>
          <w:tcPr>
            <w:tcW w:type="dxa" w:w="2268"/>
            <w:vAlign w:val="center"/>
          </w:tcPr>
          <w:p>
            <w:pPr>
              <w:jc w:val="left"/>
            </w:pPr>
            <w:r/>
            <w:r>
              <w:rPr>
                <w:rFonts w:ascii="Calibri" w:hAnsi="Calibri"/>
                <w:color w:val="2D2D2D"/>
                <w:sz w:val="18"/>
              </w:rPr>
              <w:t>Banking-rail finality (§26)</w:t>
            </w:r>
          </w:p>
        </w:tc>
      </w:tr>
    </w:tbl>
    <w:p/>
    <w:p>
      <w:r>
        <w:rPr>
          <w:b/>
        </w:rPr>
        <w:t>Key Principle:</w:t>
      </w:r>
      <w:r>
        <w:t xml:space="preserve"> The Japanese importer and U.S. exporter do </w:t>
      </w:r>
      <w:r>
        <w:rPr>
          <w:b/>
        </w:rPr>
        <w:t>not</w:t>
      </w:r>
      <w:r>
        <w:t xml:space="preserve"> need to become direct MTQ issuers. MITHQAL is the </w:t>
      </w:r>
      <w:r>
        <w:rPr>
          <w:b/>
        </w:rPr>
        <w:t>neutral middle settlement layer</w:t>
      </w:r>
      <w:r>
        <w:t>.</w:t>
      </w:r>
    </w:p>
    <w:p>
      <w:r>
        <w:rPr>
          <w:b/>
        </w:rPr>
        <w:t>Corporate Experience:</w:t>
      </w:r>
    </w:p>
    <w:p>
      <w:pPr>
        <w:pStyle w:val="ListBullet"/>
        <w:ind w:left="425"/>
      </w:pPr>
      <w:r>
        <w:t>Japanese importer sees: "International payment initiated — settling via bank"</w:t>
      </w:r>
    </w:p>
    <w:p>
      <w:pPr>
        <w:pStyle w:val="ListBullet"/>
        <w:ind w:left="425"/>
      </w:pPr>
      <w:r>
        <w:t>U.S. exporter sees: "Payment received — $10M credited to account"</w:t>
      </w:r>
    </w:p>
    <w:p>
      <w:pPr>
        <w:pStyle w:val="ListBullet"/>
        <w:ind w:left="425"/>
      </w:pPr>
      <w:r>
        <w:t>Neither needs to understand MTQ or blockchain</w:t>
      </w:r>
    </w:p>
    <w:p>
      <w:pPr>
        <w:pStyle w:val="Heading3"/>
      </w:pPr>
      <w:r>
        <w:t>§5.3 Implementation</w:t>
      </w:r>
    </w:p>
    <w:p>
      <w:r>
        <w:rPr>
          <w:b/>
        </w:rPr>
        <w:t>Module:</w:t>
      </w:r>
      <w:r>
        <w:t xml:space="preserve"> </w:t>
      </w:r>
      <w:r>
        <w:rPr>
          <w:rFonts w:ascii="Consolas" w:hAnsi="Consolas"/>
          <w:color w:val="6B6B6B"/>
          <w:sz w:val="19"/>
        </w:rPr>
        <w:t>src/lib/wholesale-settlement.ts</w:t>
      </w:r>
      <w:r>
        <w:t xml:space="preserve"> → </w:t>
      </w:r>
      <w:r>
        <w:rPr>
          <w:rFonts w:ascii="Consolas" w:hAnsi="Consolas"/>
          <w:color w:val="6B6B6B"/>
          <w:sz w:val="19"/>
        </w:rPr>
        <w:t>processWholesaleSettlement()</w:t>
      </w:r>
    </w:p>
    <w:p>
      <w:pPr>
        <w:ind w:left="283"/>
        <w:shd w:fill="F5F5F5"/>
      </w:pPr>
      <w:r>
        <w:rPr>
          <w:rFonts w:ascii="Consolas" w:hAnsi="Consolas"/>
          <w:color w:val="6B6B6B"/>
          <w:sz w:val="18"/>
        </w:rPr>
        <w:t>const result = await processWholesaleSettlement({</w:t>
        <w:br/>
        <w:t xml:space="preserve">  institutionId: "INST-003",           // Japanese Bank</w:t>
        <w:br/>
        <w:t xml:space="preserve">  counterpartyInstitutionId: "INST-001", // U.S. Bank</w:t>
        <w:br/>
        <w:t xml:space="preserve">  amount: 10_000_000,</w:t>
        <w:br/>
        <w:t xml:space="preserve">  currency: "USD",</w:t>
        <w:br/>
        <w:t xml:space="preserve">  corridor: "JP-US",</w:t>
        <w:br/>
        <w:t xml:space="preserve">  settlementChannel: "WHOLESALE",</w:t>
        <w:br/>
        <w:t>}, navUsd, reserveRatio);</w:t>
      </w:r>
    </w:p>
    <w:p>
      <w:pPr>
        <w:pStyle w:val="Heading3"/>
      </w:pPr>
      <w:r>
        <w:t>§5.4 Settlement Channel Taxonomy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Channel</w:t>
            </w:r>
          </w:p>
        </w:tc>
        <w:tc>
          <w:tcPr>
            <w:tcW w:type="dxa" w:w="3024"/>
            <w:shd w:fill="1A365F"/>
            <w:vAlign w:val="center"/>
          </w:tcPr>
          <w:p>
            <w:pPr>
              <w:jc w:val="left"/>
            </w:pPr>
            <w:r/>
            <w:r>
              <w:rPr>
                <w:rFonts w:ascii="Calibri" w:hAnsi="Calibri"/>
                <w:b/>
                <w:color w:val="FFFFFF"/>
                <w:sz w:val="18"/>
              </w:rPr>
              <w:t>Use Case</w:t>
            </w:r>
          </w:p>
        </w:tc>
        <w:tc>
          <w:tcPr>
            <w:tcW w:type="dxa" w:w="3024"/>
            <w:shd w:fill="1A365F"/>
            <w:vAlign w:val="center"/>
          </w:tcPr>
          <w:p>
            <w:pPr>
              <w:jc w:val="left"/>
            </w:pPr>
            <w:r/>
            <w:r>
              <w:rPr>
                <w:rFonts w:ascii="Calibri" w:hAnsi="Calibri"/>
                <w:b/>
                <w:color w:val="FFFFFF"/>
                <w:sz w:val="18"/>
              </w:rPr>
              <w:t>Finality</w:t>
            </w:r>
          </w:p>
        </w:tc>
      </w:tr>
      <w:tr>
        <w:tc>
          <w:tcPr>
            <w:tcW w:type="dxa" w:w="3024"/>
            <w:vAlign w:val="center"/>
          </w:tcPr>
          <w:p>
            <w:pPr>
              <w:jc w:val="left"/>
            </w:pPr>
            <w:r/>
            <w:r>
              <w:rPr>
                <w:rFonts w:ascii="Calibri" w:hAnsi="Calibri"/>
                <w:color w:val="2D2D2D"/>
                <w:sz w:val="18"/>
              </w:rPr>
              <w:t>WHOLESALE</w:t>
            </w:r>
          </w:p>
        </w:tc>
        <w:tc>
          <w:tcPr>
            <w:tcW w:type="dxa" w:w="3024"/>
            <w:vAlign w:val="center"/>
          </w:tcPr>
          <w:p>
            <w:pPr>
              <w:jc w:val="left"/>
            </w:pPr>
            <w:r/>
            <w:r>
              <w:rPr>
                <w:rFonts w:ascii="Calibri" w:hAnsi="Calibri"/>
                <w:color w:val="2D2D2D"/>
                <w:sz w:val="18"/>
              </w:rPr>
              <w:t>Bank-to-bank institutional settlement</w:t>
            </w:r>
          </w:p>
        </w:tc>
        <w:tc>
          <w:tcPr>
            <w:tcW w:type="dxa" w:w="3024"/>
            <w:vAlign w:val="center"/>
          </w:tcPr>
          <w:p>
            <w:pPr>
              <w:jc w:val="left"/>
            </w:pPr>
            <w:r/>
            <w:r>
              <w:rPr>
                <w:rFonts w:ascii="Calibri" w:hAnsi="Calibri"/>
                <w:color w:val="2D2D2D"/>
                <w:sz w:val="18"/>
              </w:rPr>
              <w:t>Technical + Legal</w:t>
            </w:r>
          </w:p>
        </w:tc>
      </w:tr>
      <w:tr>
        <w:tc>
          <w:tcPr>
            <w:tcW w:type="dxa" w:w="3024"/>
            <w:shd w:fill="F0F0F0"/>
            <w:vAlign w:val="center"/>
          </w:tcPr>
          <w:p>
            <w:pPr>
              <w:jc w:val="left"/>
            </w:pPr>
            <w:r/>
            <w:r>
              <w:rPr>
                <w:rFonts w:ascii="Calibri" w:hAnsi="Calibri"/>
                <w:color w:val="2D2D2D"/>
                <w:sz w:val="18"/>
              </w:rPr>
              <w:t>CBDC_BRIDGE</w:t>
            </w:r>
          </w:p>
        </w:tc>
        <w:tc>
          <w:tcPr>
            <w:tcW w:type="dxa" w:w="3024"/>
            <w:shd w:fill="F0F0F0"/>
            <w:vAlign w:val="center"/>
          </w:tcPr>
          <w:p>
            <w:pPr>
              <w:jc w:val="left"/>
            </w:pPr>
            <w:r/>
            <w:r>
              <w:rPr>
                <w:rFonts w:ascii="Calibri" w:hAnsi="Calibri"/>
                <w:color w:val="2D2D2D"/>
                <w:sz w:val="18"/>
              </w:rPr>
              <w:t>Central-bank-connected settlement</w:t>
            </w:r>
          </w:p>
        </w:tc>
        <w:tc>
          <w:tcPr>
            <w:tcW w:type="dxa" w:w="3024"/>
            <w:shd w:fill="F0F0F0"/>
            <w:vAlign w:val="center"/>
          </w:tcPr>
          <w:p>
            <w:pPr>
              <w:jc w:val="left"/>
            </w:pPr>
            <w:r/>
            <w:r>
              <w:rPr>
                <w:rFonts w:ascii="Calibri" w:hAnsi="Calibri"/>
                <w:color w:val="2D2D2D"/>
                <w:sz w:val="18"/>
              </w:rPr>
              <w:t>Technical + Legal + CB</w:t>
            </w:r>
          </w:p>
        </w:tc>
      </w:tr>
      <w:tr>
        <w:tc>
          <w:tcPr>
            <w:tcW w:type="dxa" w:w="3024"/>
            <w:vAlign w:val="center"/>
          </w:tcPr>
          <w:p>
            <w:pPr>
              <w:jc w:val="left"/>
            </w:pPr>
            <w:r/>
            <w:r>
              <w:rPr>
                <w:rFonts w:ascii="Calibri" w:hAnsi="Calibri"/>
                <w:color w:val="2D2D2D"/>
                <w:sz w:val="18"/>
              </w:rPr>
              <w:t>CORPORATE</w:t>
            </w:r>
          </w:p>
        </w:tc>
        <w:tc>
          <w:tcPr>
            <w:tcW w:type="dxa" w:w="3024"/>
            <w:vAlign w:val="center"/>
          </w:tcPr>
          <w:p>
            <w:pPr>
              <w:jc w:val="left"/>
            </w:pPr>
            <w:r/>
            <w:r>
              <w:rPr>
                <w:rFonts w:ascii="Calibri" w:hAnsi="Calibri"/>
                <w:color w:val="2D2D2D"/>
                <w:sz w:val="18"/>
              </w:rPr>
              <w:t>Corporate trade settlement (via bank)</w:t>
            </w:r>
          </w:p>
        </w:tc>
        <w:tc>
          <w:tcPr>
            <w:tcW w:type="dxa" w:w="3024"/>
            <w:vAlign w:val="center"/>
          </w:tcPr>
          <w:p>
            <w:pPr>
              <w:jc w:val="left"/>
            </w:pPr>
            <w:r/>
            <w:r>
              <w:rPr>
                <w:rFonts w:ascii="Calibri" w:hAnsi="Calibri"/>
                <w:color w:val="2D2D2D"/>
                <w:sz w:val="18"/>
              </w:rPr>
              <w:t>Technical + Legal + Banking</w:t>
            </w:r>
          </w:p>
        </w:tc>
      </w:tr>
      <w:tr>
        <w:tc>
          <w:tcPr>
            <w:tcW w:type="dxa" w:w="3024"/>
            <w:shd w:fill="F0F0F0"/>
            <w:vAlign w:val="center"/>
          </w:tcPr>
          <w:p>
            <w:pPr>
              <w:jc w:val="left"/>
            </w:pPr>
            <w:r/>
            <w:r>
              <w:rPr>
                <w:rFonts w:ascii="Calibri" w:hAnsi="Calibri"/>
                <w:color w:val="2D2D2D"/>
                <w:sz w:val="18"/>
              </w:rPr>
              <w:t>INTERBANK</w:t>
            </w:r>
          </w:p>
        </w:tc>
        <w:tc>
          <w:tcPr>
            <w:tcW w:type="dxa" w:w="3024"/>
            <w:shd w:fill="F0F0F0"/>
            <w:vAlign w:val="center"/>
          </w:tcPr>
          <w:p>
            <w:pPr>
              <w:jc w:val="left"/>
            </w:pPr>
            <w:r/>
            <w:r>
              <w:rPr>
                <w:rFonts w:ascii="Calibri" w:hAnsi="Calibri"/>
                <w:color w:val="2D2D2D"/>
                <w:sz w:val="18"/>
              </w:rPr>
              <w:t>Bank liquidity management</w:t>
            </w:r>
          </w:p>
        </w:tc>
        <w:tc>
          <w:tcPr>
            <w:tcW w:type="dxa" w:w="3024"/>
            <w:shd w:fill="F0F0F0"/>
            <w:vAlign w:val="center"/>
          </w:tcPr>
          <w:p>
            <w:pPr>
              <w:jc w:val="left"/>
            </w:pPr>
            <w:r/>
            <w:r>
              <w:rPr>
                <w:rFonts w:ascii="Calibri" w:hAnsi="Calibri"/>
                <w:color w:val="2D2D2D"/>
                <w:sz w:val="18"/>
              </w:rPr>
              <w:t>Technical + Legal</w:t>
            </w:r>
          </w:p>
        </w:tc>
      </w:tr>
    </w:tbl>
    <w:p/>
    <w:p>
      <w:pPr>
        <w:pBdr>
          <w:bottom w:val="single" w:sz="12" w:space="1" w:color="C59B1E"/>
        </w:pBdr>
      </w:pPr>
    </w:p>
    <w:p>
      <w:pPr>
        <w:pStyle w:val="Heading2"/>
      </w:pPr>
      <w:r>
        <w:t>§6 — NEUTRALITY DOCTRINE (Immutable)</w:t>
      </w:r>
    </w:p>
    <w:p>
      <w:pPr>
        <w:pStyle w:val="Heading3"/>
      </w:pPr>
      <w:r>
        <w:t>§6.1 Canonical Statement</w:t>
      </w:r>
    </w:p>
    <w:p>
      <w:pPr>
        <w:spacing w:before="120" w:after="120"/>
        <w:ind w:left="567" w:right="567"/>
        <w:pBdr>
          <w:left w:val="single" w:sz="24" w:space="8" w:color="C59B1E"/>
        </w:pBdr>
        <w:shd w:fill="FFFBF0"/>
      </w:pPr>
      <w:r>
        <w:rPr>
          <w:b/>
          <w:i/>
          <w:color w:val="1A365F"/>
          <w:sz w:val="22"/>
        </w:rPr>
        <w:t>**MITHQAL shall not compete with sovereign monetary systems.**</w:t>
      </w:r>
    </w:p>
    <w:p>
      <w:r>
        <w:t xml:space="preserve">This is an </w:t>
      </w:r>
      <w:r>
        <w:rPr>
          <w:b/>
        </w:rPr>
        <w:t>immutable constitutional doctrine</w:t>
      </w:r>
      <w:r>
        <w:t xml:space="preserve"> — it cannot be amended, waived, or overridden by any governance body.</w:t>
      </w:r>
    </w:p>
    <w:p>
      <w:pPr>
        <w:pStyle w:val="Heading3"/>
      </w:pPr>
      <w:r>
        <w:t>§6.2 Explicit Neutrality Rules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Rule</w:t>
            </w:r>
          </w:p>
        </w:tc>
        <w:tc>
          <w:tcPr>
            <w:tcW w:type="dxa" w:w="4536"/>
            <w:shd w:fill="1A365F"/>
            <w:vAlign w:val="center"/>
          </w:tcPr>
          <w:p>
            <w:pPr>
              <w:jc w:val="left"/>
            </w:pPr>
            <w:r/>
            <w:r>
              <w:rPr>
                <w:rFonts w:ascii="Calibri" w:hAnsi="Calibri"/>
                <w:b/>
                <w:color w:val="FFFFFF"/>
                <w:sz w:val="18"/>
              </w:rPr>
              <w:t>Statement</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USD remains USD</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JPY remains JPY</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EUR remains EUR</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AED remains AED</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RMB remains RMB</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CBDCs remain liabilities of their issuing central banks</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MTQ does not replace domestic monetary systems</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MTQ does not establish monetary policy</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MITHQAL does not set sovereign interest rates</w:t>
            </w:r>
          </w:p>
        </w:tc>
      </w:tr>
      <w:tr>
        <w:tc>
          <w:tcPr>
            <w:tcW w:type="dxa" w:w="4536"/>
            <w:shd w:fill="F0F0F0"/>
            <w:vAlign w:val="center"/>
          </w:tcPr>
          <w:p>
            <w:pPr>
              <w:jc w:val="left"/>
            </w:pPr>
            <w:r/>
            <w:r>
              <w:rPr>
                <w:rFonts w:ascii="Calibri" w:hAnsi="Calibri"/>
                <w:color w:val="2D2D2D"/>
                <w:sz w:val="18"/>
              </w:rPr>
              <w:t>10</w:t>
            </w:r>
          </w:p>
        </w:tc>
        <w:tc>
          <w:tcPr>
            <w:tcW w:type="dxa" w:w="4536"/>
            <w:shd w:fill="F0F0F0"/>
            <w:vAlign w:val="center"/>
          </w:tcPr>
          <w:p>
            <w:pPr>
              <w:jc w:val="left"/>
            </w:pPr>
            <w:r/>
            <w:r>
              <w:rPr>
                <w:rFonts w:ascii="Calibri" w:hAnsi="Calibri"/>
                <w:color w:val="2D2D2D"/>
                <w:sz w:val="18"/>
              </w:rPr>
              <w:t>MITHQAL does not attempt to displace any sovereign currency</w:t>
            </w:r>
          </w:p>
        </w:tc>
      </w:tr>
    </w:tbl>
    <w:p/>
    <w:p>
      <w:pPr>
        <w:pStyle w:val="Heading3"/>
      </w:pPr>
      <w:r>
        <w:t>§6.3 Strategic Statement</w:t>
      </w:r>
    </w:p>
    <w:p>
      <w:pPr>
        <w:spacing w:before="120" w:after="120"/>
        <w:ind w:left="567" w:right="567"/>
        <w:pBdr>
          <w:left w:val="single" w:sz="24" w:space="8" w:color="C59B1E"/>
        </w:pBdr>
        <w:shd w:fill="FFFBF0"/>
      </w:pPr>
      <w:r>
        <w:rPr>
          <w:b/>
          <w:i/>
          <w:color w:val="1A365F"/>
          <w:sz w:val="22"/>
        </w:rPr>
        <w:t>**MTQ exists between monetary systems, not instead of monetary systems.**</w:t>
      </w:r>
    </w:p>
    <w:p>
      <w:pPr>
        <w:pStyle w:val="Heading3"/>
      </w:pPr>
      <w:r>
        <w:t>§6.4 Operational Implications</w:t>
      </w:r>
    </w:p>
    <w:p>
      <w:pPr>
        <w:pStyle w:val="ListNumber"/>
        <w:ind w:left="425"/>
      </w:pPr>
      <w:r>
        <w:rPr>
          <w:b/>
        </w:rPr>
        <w:t>No monetary policy:</w:t>
      </w:r>
      <w:r>
        <w:t xml:space="preserve"> MITHQAL does not set interest rates, does not conduct open market operations, does not manage money supply</w:t>
      </w:r>
    </w:p>
    <w:p>
      <w:pPr>
        <w:pStyle w:val="ListNumber"/>
        <w:ind w:left="425"/>
      </w:pPr>
      <w:r>
        <w:rPr>
          <w:b/>
        </w:rPr>
        <w:t>No currency competition:</w:t>
      </w:r>
      <w:r>
        <w:t xml:space="preserve"> MTQ does not compete with USD, EUR, JPY, or any sovereign currency</w:t>
      </w:r>
    </w:p>
    <w:p>
      <w:pPr>
        <w:pStyle w:val="ListNumber"/>
        <w:ind w:left="425"/>
      </w:pPr>
      <w:r>
        <w:rPr>
          <w:b/>
        </w:rPr>
        <w:t>No CBDC replacement:</w:t>
      </w:r>
      <w:r>
        <w:t xml:space="preserve"> MTQ is not a CBDC and does not replace CBDCs</w:t>
      </w:r>
    </w:p>
    <w:p>
      <w:pPr>
        <w:pStyle w:val="ListNumber"/>
        <w:ind w:left="425"/>
      </w:pPr>
      <w:r>
        <w:rPr>
          <w:b/>
        </w:rPr>
        <w:t>Neutral bridge:</w:t>
      </w:r>
      <w:r>
        <w:t xml:space="preserve"> MTQ is the neutral institutional bridge between monetary systems</w:t>
      </w:r>
    </w:p>
    <w:p>
      <w:pPr>
        <w:pStyle w:val="ListNumber"/>
        <w:ind w:left="425"/>
      </w:pPr>
      <w:r>
        <w:rPr>
          <w:b/>
        </w:rPr>
        <w:t>Sovereign preservation:</w:t>
      </w:r>
      <w:r>
        <w:t xml:space="preserve"> Each country's monetary system remains sovereign</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NEUTRALITY_DOCTRINE</w:t>
      </w:r>
    </w:p>
    <w:p>
      <w:pPr>
        <w:pBdr>
          <w:bottom w:val="single" w:sz="12" w:space="1" w:color="C59B1E"/>
        </w:pBdr>
      </w:pPr>
    </w:p>
    <w:p>
      <w:pPr>
        <w:pStyle w:val="Heading2"/>
      </w:pPr>
      <w:r>
        <w:t>§7 — CBDC INTEROPERABILITY LAYER</w:t>
      </w:r>
    </w:p>
    <w:p>
      <w:pPr>
        <w:pStyle w:val="Heading3"/>
      </w:pPr>
      <w:r>
        <w:t>§7.1 Layer Name</w:t>
      </w:r>
    </w:p>
    <w:p>
      <w:r>
        <w:rPr>
          <w:b/>
        </w:rPr>
        <w:t>MITHQAL Neutral CBDC Interoperability Layer</w:t>
      </w:r>
      <w:r>
        <w:t xml:space="preserve"> — a first-class architectural layer dedicated to wholesale CBDC interoperability.</w:t>
      </w:r>
    </w:p>
    <w:p>
      <w:pPr>
        <w:pStyle w:val="Heading3"/>
      </w:pPr>
      <w:r>
        <w:t>§7.2 Supported Flows (5 Canonical)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Flow</w:t>
            </w:r>
          </w:p>
        </w:tc>
        <w:tc>
          <w:tcPr>
            <w:tcW w:type="dxa" w:w="3024"/>
            <w:shd w:fill="1A365F"/>
            <w:vAlign w:val="center"/>
          </w:tcPr>
          <w:p>
            <w:pPr>
              <w:jc w:val="left"/>
            </w:pPr>
            <w:r/>
            <w:r>
              <w:rPr>
                <w:rFonts w:ascii="Calibri" w:hAnsi="Calibri"/>
                <w:b/>
                <w:color w:val="FFFFFF"/>
                <w:sz w:val="18"/>
              </w:rPr>
              <w:t>Authorization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wholesale CBDC → MTQ → wholesale CBDC</w:t>
            </w:r>
          </w:p>
        </w:tc>
        <w:tc>
          <w:tcPr>
            <w:tcW w:type="dxa" w:w="3024"/>
            <w:vAlign w:val="center"/>
          </w:tcPr>
          <w:p>
            <w:pPr>
              <w:jc w:val="left"/>
            </w:pPr>
            <w:r/>
            <w:r>
              <w:rPr>
                <w:rFonts w:ascii="Calibri" w:hAnsi="Calibri"/>
                <w:color w:val="2D2D2D"/>
                <w:sz w:val="18"/>
              </w:rPr>
              <w:t>Subject to explicit legal + technical authorization</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CBDC → MTQ → bank money</w:t>
            </w:r>
          </w:p>
        </w:tc>
        <w:tc>
          <w:tcPr>
            <w:tcW w:type="dxa" w:w="3024"/>
            <w:shd w:fill="F0F0F0"/>
            <w:vAlign w:val="center"/>
          </w:tcPr>
          <w:p>
            <w:pPr>
              <w:jc w:val="left"/>
            </w:pPr>
            <w:r/>
            <w:r>
              <w:rPr>
                <w:rFonts w:ascii="Calibri" w:hAnsi="Calibri"/>
                <w:color w:val="2D2D2D"/>
                <w:sz w:val="18"/>
              </w:rPr>
              <w:t>Subject to explicit legal + technical authorization</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bank money → MTQ → CBDC</w:t>
            </w:r>
          </w:p>
        </w:tc>
        <w:tc>
          <w:tcPr>
            <w:tcW w:type="dxa" w:w="3024"/>
            <w:vAlign w:val="center"/>
          </w:tcPr>
          <w:p>
            <w:pPr>
              <w:jc w:val="left"/>
            </w:pPr>
            <w:r/>
            <w:r>
              <w:rPr>
                <w:rFonts w:ascii="Calibri" w:hAnsi="Calibri"/>
                <w:color w:val="2D2D2D"/>
                <w:sz w:val="18"/>
              </w:rPr>
              <w:t>Subject to explicit legal + technical authorization</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bank money → MTQ → bank money</w:t>
            </w:r>
          </w:p>
        </w:tc>
        <w:tc>
          <w:tcPr>
            <w:tcW w:type="dxa" w:w="3024"/>
            <w:shd w:fill="F0F0F0"/>
            <w:vAlign w:val="center"/>
          </w:tcPr>
          <w:p>
            <w:pPr>
              <w:jc w:val="left"/>
            </w:pPr>
            <w:r/>
            <w:r>
              <w:rPr>
                <w:rFonts w:ascii="Calibri" w:hAnsi="Calibri"/>
                <w:color w:val="2D2D2D"/>
                <w:sz w:val="18"/>
              </w:rPr>
              <w:t>Standard wholesale flow</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tokenized sovereign/cash-equivalent assets → MTQ → regulated destination settlement assets</w:t>
            </w:r>
          </w:p>
        </w:tc>
        <w:tc>
          <w:tcPr>
            <w:tcW w:type="dxa" w:w="3024"/>
            <w:vAlign w:val="center"/>
          </w:tcPr>
          <w:p>
            <w:pPr>
              <w:jc w:val="left"/>
            </w:pPr>
            <w:r/>
            <w:r>
              <w:rPr>
                <w:rFonts w:ascii="Calibri" w:hAnsi="Calibri"/>
                <w:color w:val="2D2D2D"/>
                <w:sz w:val="18"/>
              </w:rPr>
              <w:t>Subject to asset eligibility</w:t>
            </w:r>
          </w:p>
        </w:tc>
      </w:tr>
    </w:tbl>
    <w:p/>
    <w:p>
      <w:pPr>
        <w:pStyle w:val="Heading3"/>
      </w:pPr>
      <w:r>
        <w:t>§7.3 Principles</w:t>
      </w:r>
    </w:p>
    <w:p>
      <w:pPr>
        <w:pStyle w:val="ListNumber"/>
        <w:ind w:left="425"/>
      </w:pPr>
      <w:r>
        <w:rPr>
          <w:b/>
        </w:rPr>
        <w:t>Do NOT require every country to adopt the same CBDC technology.</w:t>
      </w:r>
      <w:r>
        <w:t xml:space="preserve"> Different jurisdictions have different CBDC architectures (DLT-based, centralized, hybrid). MITHQAL is technology-agnostic.</w:t>
      </w:r>
    </w:p>
    <w:p>
      <w:pPr>
        <w:pStyle w:val="ListNumber"/>
        <w:ind w:left="425"/>
      </w:pPr>
      <w:r>
        <w:rPr>
          <w:b/>
        </w:rPr>
        <w:t>Do NOT require one sovereign currency to become the international settlement currency.</w:t>
      </w:r>
      <w:r>
        <w:t xml:space="preserve"> MTQ is neutral — it does not favor USD, EUR, or any single currency.</w:t>
      </w:r>
    </w:p>
    <w:p>
      <w:pPr>
        <w:pStyle w:val="ListNumber"/>
        <w:ind w:left="425"/>
      </w:pPr>
      <w:r>
        <w:rPr>
          <w:b/>
        </w:rPr>
        <w:t>Use MTQ as the neutral institutional bridge.</w:t>
      </w:r>
      <w:r>
        <w:t xml:space="preserve"> CBDCs connect to MTQ; MTQ connects to other CBDCs.</w:t>
      </w:r>
    </w:p>
    <w:p>
      <w:pPr>
        <w:pStyle w:val="Heading3"/>
      </w:pPr>
      <w:r>
        <w:t>§7.4 Implementation</w:t>
      </w:r>
    </w:p>
    <w:p>
      <w:r>
        <w:rPr>
          <w:b/>
        </w:rPr>
        <w:t>Module:</w:t>
      </w:r>
      <w:r>
        <w:t xml:space="preserve"> </w:t>
      </w:r>
      <w:r>
        <w:rPr>
          <w:rFonts w:ascii="Consolas" w:hAnsi="Consolas"/>
          <w:color w:val="6B6B6B"/>
          <w:sz w:val="19"/>
        </w:rPr>
        <w:t>src/lib/wholesale-settlement.ts</w:t>
      </w:r>
      <w:r>
        <w:t xml:space="preserve"> → </w:t>
      </w:r>
      <w:r>
        <w:rPr>
          <w:rFonts w:ascii="Consolas" w:hAnsi="Consolas"/>
          <w:color w:val="6B6B6B"/>
          <w:sz w:val="19"/>
        </w:rPr>
        <w:t>checkCBDCInterop()</w:t>
      </w:r>
    </w:p>
    <w:p>
      <w:pPr>
        <w:ind w:left="283"/>
        <w:shd w:fill="F5F5F5"/>
      </w:pPr>
      <w:r>
        <w:rPr>
          <w:rFonts w:ascii="Consolas" w:hAnsi="Consolas"/>
          <w:color w:val="6B6B6B"/>
          <w:sz w:val="18"/>
        </w:rPr>
        <w:t>const result = checkCBDCInterop({</w:t>
        <w:br/>
        <w:t xml:space="preserve">  sourceSystem: "WHOLESALE_CBDC",</w:t>
        <w:br/>
        <w:t xml:space="preserve">  destinationSystem: "BANK_MONEY",</w:t>
        <w:br/>
        <w:t xml:space="preserve">  sourceJurisdiction: "JP",</w:t>
        <w:br/>
        <w:t xml:space="preserve">  destinationJurisdiction: "US",</w:t>
        <w:br/>
        <w:t xml:space="preserve">  amount: 10_000_000,</w:t>
        <w:br/>
        <w:t xml:space="preserve">  institutionId: "INST-003",</w:t>
        <w:br/>
        <w:t>});</w:t>
        <w:br/>
        <w:t>// → { supported: true, flow: "wholesale CBDC → MTQ → bank money", reason: "..." }</w:t>
      </w:r>
    </w:p>
    <w:p>
      <w:pPr>
        <w:pStyle w:val="Heading3"/>
      </w:pPr>
      <w:r>
        <w:t>§7.5 CBDC Interop ≠ Central-Bank Endorsement</w:t>
      </w:r>
    </w:p>
    <w:p>
      <w:r>
        <w:t xml:space="preserve">CBDC interoperability does </w:t>
      </w:r>
      <w:r>
        <w:rPr>
          <w:b/>
        </w:rPr>
        <w:t>NOT</w:t>
      </w:r>
      <w:r>
        <w:t xml:space="preserve"> mean:</w:t>
      </w:r>
    </w:p>
    <w:p>
      <w:pPr>
        <w:pStyle w:val="ListBullet"/>
        <w:ind w:left="425"/>
      </w:pPr>
      <w:r>
        <w:t>Central banks have endorsed MITHQAL ❌</w:t>
      </w:r>
    </w:p>
    <w:p>
      <w:pPr>
        <w:pStyle w:val="ListBullet"/>
        <w:ind w:left="425"/>
      </w:pPr>
      <w:r>
        <w:t>Central banks are MTQ participants ❌</w:t>
      </w:r>
    </w:p>
    <w:p>
      <w:pPr>
        <w:pStyle w:val="ListBullet"/>
        <w:ind w:left="425"/>
      </w:pPr>
      <w:r>
        <w:t>MTQ is a CBDC ❌</w:t>
      </w:r>
    </w:p>
    <w:p>
      <w:r>
        <w:t xml:space="preserve">CBDC interoperability means MITHQAL can </w:t>
      </w:r>
      <w:r>
        <w:rPr>
          <w:b/>
        </w:rPr>
        <w:t>technically connect</w:t>
      </w:r>
      <w:r>
        <w:t xml:space="preserve"> to CBDC systems, subject to explicit legal and technical authorization by the relevant central bank.</w:t>
      </w:r>
    </w:p>
    <w:p>
      <w:pPr>
        <w:pBdr>
          <w:bottom w:val="single" w:sz="12" w:space="1" w:color="C59B1E"/>
        </w:pBdr>
      </w:pPr>
    </w:p>
    <w:p>
      <w:pPr>
        <w:pStyle w:val="Heading2"/>
      </w:pPr>
      <w:r>
        <w:t>§8 — CENTRAL-BANK PARTICIPATION MODEL</w:t>
      </w:r>
    </w:p>
    <w:p>
      <w:pPr>
        <w:pStyle w:val="Heading3"/>
      </w:pPr>
      <w:r>
        <w:t>§8.1 Three Modes</w:t>
      </w:r>
    </w:p>
    <w:p>
      <w:r>
        <w:t xml:space="preserve">Central-bank participation is </w:t>
      </w:r>
      <w:r>
        <w:rPr>
          <w:b/>
        </w:rPr>
        <w:t>NOT universal</w:t>
      </w:r>
      <w:r>
        <w:t xml:space="preserve"> — different jurisdictions have different monetary infrastructure and legal frameworks. MITHQAL supports three modes:</w:t>
      </w:r>
    </w:p>
    <w:p>
      <w:pPr>
        <w:pStyle w:val="Heading3"/>
      </w:pPr>
      <w:r>
        <w:t>§8.2 Mode 1 — Bank-Only (Current Default)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**Name**</w:t>
            </w:r>
          </w:p>
        </w:tc>
        <w:tc>
          <w:tcPr>
            <w:tcW w:type="dxa" w:w="4536"/>
            <w:vAlign w:val="center"/>
          </w:tcPr>
          <w:p>
            <w:pPr>
              <w:jc w:val="left"/>
            </w:pPr>
            <w:r/>
            <w:r>
              <w:rPr>
                <w:rFonts w:ascii="Calibri" w:hAnsi="Calibri"/>
                <w:color w:val="2D2D2D"/>
                <w:sz w:val="18"/>
              </w:rPr>
              <w:t>Bank-Only</w:t>
            </w:r>
          </w:p>
        </w:tc>
      </w:tr>
      <w:tr>
        <w:tc>
          <w:tcPr>
            <w:tcW w:type="dxa" w:w="4536"/>
            <w:shd w:fill="F0F0F0"/>
            <w:vAlign w:val="center"/>
          </w:tcPr>
          <w:p>
            <w:pPr>
              <w:jc w:val="left"/>
            </w:pPr>
            <w:r/>
            <w:r>
              <w:rPr>
                <w:rFonts w:ascii="Calibri" w:hAnsi="Calibri"/>
                <w:color w:val="2D2D2D"/>
                <w:sz w:val="18"/>
              </w:rPr>
              <w:t>**Description**</w:t>
            </w:r>
          </w:p>
        </w:tc>
        <w:tc>
          <w:tcPr>
            <w:tcW w:type="dxa" w:w="4536"/>
            <w:shd w:fill="F0F0F0"/>
            <w:vAlign w:val="center"/>
          </w:tcPr>
          <w:p>
            <w:pPr>
              <w:jc w:val="left"/>
            </w:pPr>
            <w:r/>
            <w:r>
              <w:rPr>
                <w:rFonts w:ascii="Calibri" w:hAnsi="Calibri"/>
                <w:color w:val="2D2D2D"/>
                <w:sz w:val="18"/>
              </w:rPr>
              <w:t>Commercial/regulated institutions interact with MTQ</w:t>
            </w:r>
          </w:p>
        </w:tc>
      </w:tr>
      <w:tr>
        <w:tc>
          <w:tcPr>
            <w:tcW w:type="dxa" w:w="4536"/>
            <w:vAlign w:val="center"/>
          </w:tcPr>
          <w:p>
            <w:pPr>
              <w:jc w:val="left"/>
            </w:pPr>
            <w:r/>
            <w:r>
              <w:rPr>
                <w:rFonts w:ascii="Calibri" w:hAnsi="Calibri"/>
                <w:color w:val="2D2D2D"/>
                <w:sz w:val="18"/>
              </w:rPr>
              <w:t>**Authorization Required**</w:t>
            </w:r>
          </w:p>
        </w:tc>
        <w:tc>
          <w:tcPr>
            <w:tcW w:type="dxa" w:w="4536"/>
            <w:vAlign w:val="center"/>
          </w:tcPr>
          <w:p>
            <w:pPr>
              <w:jc w:val="left"/>
            </w:pPr>
            <w:r/>
            <w:r>
              <w:rPr>
                <w:rFonts w:ascii="Calibri" w:hAnsi="Calibri"/>
                <w:color w:val="2D2D2D"/>
                <w:sz w:val="18"/>
              </w:rPr>
              <w:t>No (banks only)</w:t>
            </w:r>
          </w:p>
        </w:tc>
      </w:tr>
      <w:tr>
        <w:tc>
          <w:tcPr>
            <w:tcW w:type="dxa" w:w="4536"/>
            <w:shd w:fill="F0F0F0"/>
            <w:vAlign w:val="center"/>
          </w:tcPr>
          <w:p>
            <w:pPr>
              <w:jc w:val="left"/>
            </w:pPr>
            <w:r/>
            <w:r>
              <w:rPr>
                <w:rFonts w:ascii="Calibri" w:hAnsi="Calibri"/>
                <w:color w:val="2D2D2D"/>
                <w:sz w:val="18"/>
              </w:rPr>
              <w:t>**Central Bank Role**</w:t>
            </w:r>
          </w:p>
        </w:tc>
        <w:tc>
          <w:tcPr>
            <w:tcW w:type="dxa" w:w="4536"/>
            <w:shd w:fill="F0F0F0"/>
            <w:vAlign w:val="center"/>
          </w:tcPr>
          <w:p>
            <w:pPr>
              <w:jc w:val="left"/>
            </w:pPr>
            <w:r/>
            <w:r>
              <w:rPr>
                <w:rFonts w:ascii="Calibri" w:hAnsi="Calibri"/>
                <w:color w:val="2D2D2D"/>
                <w:sz w:val="18"/>
              </w:rPr>
              <w:t>None (indirect)</w:t>
            </w:r>
          </w:p>
        </w:tc>
      </w:tr>
    </w:tbl>
    <w:p/>
    <w:p>
      <w:pPr>
        <w:ind w:left="283"/>
        <w:shd w:fill="F5F5F5"/>
      </w:pPr>
      <w:r>
        <w:rPr>
          <w:rFonts w:ascii="Consolas" w:hAnsi="Consolas"/>
          <w:color w:val="6B6B6B"/>
          <w:sz w:val="18"/>
        </w:rPr>
        <w:t>Bank A → MTQ → Bank B</w:t>
      </w:r>
    </w:p>
    <w:p>
      <w:r>
        <w:t xml:space="preserve">This is the </w:t>
      </w:r>
      <w:r>
        <w:rPr>
          <w:b/>
        </w:rPr>
        <w:t>standard production mode</w:t>
      </w:r>
      <w:r>
        <w:t>. No central-bank interface required.</w:t>
      </w:r>
    </w:p>
    <w:p>
      <w:pPr>
        <w:pStyle w:val="Heading3"/>
      </w:pPr>
      <w:r>
        <w:t>§8.3 Mode 2 — Central-Bank-Connected (Production Target)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**Name**</w:t>
            </w:r>
          </w:p>
        </w:tc>
        <w:tc>
          <w:tcPr>
            <w:tcW w:type="dxa" w:w="4536"/>
            <w:vAlign w:val="center"/>
          </w:tcPr>
          <w:p>
            <w:pPr>
              <w:jc w:val="left"/>
            </w:pPr>
            <w:r/>
            <w:r>
              <w:rPr>
                <w:rFonts w:ascii="Calibri" w:hAnsi="Calibri"/>
                <w:color w:val="2D2D2D"/>
                <w:sz w:val="18"/>
              </w:rPr>
              <w:t>Central-Bank-Connected</w:t>
            </w:r>
          </w:p>
        </w:tc>
      </w:tr>
      <w:tr>
        <w:tc>
          <w:tcPr>
            <w:tcW w:type="dxa" w:w="4536"/>
            <w:shd w:fill="F0F0F0"/>
            <w:vAlign w:val="center"/>
          </w:tcPr>
          <w:p>
            <w:pPr>
              <w:jc w:val="left"/>
            </w:pPr>
            <w:r/>
            <w:r>
              <w:rPr>
                <w:rFonts w:ascii="Calibri" w:hAnsi="Calibri"/>
                <w:color w:val="2D2D2D"/>
                <w:sz w:val="18"/>
              </w:rPr>
              <w:t>**Description**</w:t>
            </w:r>
          </w:p>
        </w:tc>
        <w:tc>
          <w:tcPr>
            <w:tcW w:type="dxa" w:w="4536"/>
            <w:shd w:fill="F0F0F0"/>
            <w:vAlign w:val="center"/>
          </w:tcPr>
          <w:p>
            <w:pPr>
              <w:jc w:val="left"/>
            </w:pPr>
            <w:r/>
            <w:r>
              <w:rPr>
                <w:rFonts w:ascii="Calibri" w:hAnsi="Calibri"/>
                <w:color w:val="2D2D2D"/>
                <w:sz w:val="18"/>
              </w:rPr>
              <w:t>Banks settle through a central-bank or wholesale-CBDC interface</w:t>
            </w:r>
          </w:p>
        </w:tc>
      </w:tr>
      <w:tr>
        <w:tc>
          <w:tcPr>
            <w:tcW w:type="dxa" w:w="4536"/>
            <w:vAlign w:val="center"/>
          </w:tcPr>
          <w:p>
            <w:pPr>
              <w:jc w:val="left"/>
            </w:pPr>
            <w:r/>
            <w:r>
              <w:rPr>
                <w:rFonts w:ascii="Calibri" w:hAnsi="Calibri"/>
                <w:color w:val="2D2D2D"/>
                <w:sz w:val="18"/>
              </w:rPr>
              <w:t>**Authorization Required**</w:t>
            </w:r>
          </w:p>
        </w:tc>
        <w:tc>
          <w:tcPr>
            <w:tcW w:type="dxa" w:w="4536"/>
            <w:vAlign w:val="center"/>
          </w:tcPr>
          <w:p>
            <w:pPr>
              <w:jc w:val="left"/>
            </w:pPr>
            <w:r/>
            <w:r>
              <w:rPr>
                <w:rFonts w:ascii="Calibri" w:hAnsi="Calibri"/>
                <w:color w:val="2D2D2D"/>
                <w:sz w:val="18"/>
              </w:rPr>
              <w:t>Yes (explicit CB authorization)</w:t>
            </w:r>
          </w:p>
        </w:tc>
      </w:tr>
      <w:tr>
        <w:tc>
          <w:tcPr>
            <w:tcW w:type="dxa" w:w="4536"/>
            <w:shd w:fill="F0F0F0"/>
            <w:vAlign w:val="center"/>
          </w:tcPr>
          <w:p>
            <w:pPr>
              <w:jc w:val="left"/>
            </w:pPr>
            <w:r/>
            <w:r>
              <w:rPr>
                <w:rFonts w:ascii="Calibri" w:hAnsi="Calibri"/>
                <w:color w:val="2D2D2D"/>
                <w:sz w:val="18"/>
              </w:rPr>
              <w:t>**Central Bank Role**</w:t>
            </w:r>
          </w:p>
        </w:tc>
        <w:tc>
          <w:tcPr>
            <w:tcW w:type="dxa" w:w="4536"/>
            <w:shd w:fill="F0F0F0"/>
            <w:vAlign w:val="center"/>
          </w:tcPr>
          <w:p>
            <w:pPr>
              <w:jc w:val="left"/>
            </w:pPr>
            <w:r/>
            <w:r>
              <w:rPr>
                <w:rFonts w:ascii="Calibri" w:hAnsi="Calibri"/>
                <w:color w:val="2D2D2D"/>
                <w:sz w:val="18"/>
              </w:rPr>
              <w:t>Settlement interface</w:t>
            </w:r>
          </w:p>
        </w:tc>
      </w:tr>
    </w:tbl>
    <w:p/>
    <w:p>
      <w:pPr>
        <w:ind w:left="283"/>
        <w:shd w:fill="F5F5F5"/>
      </w:pPr>
      <w:r>
        <w:rPr>
          <w:rFonts w:ascii="Consolas" w:hAnsi="Consolas"/>
          <w:color w:val="6B6B6B"/>
          <w:sz w:val="18"/>
        </w:rPr>
        <w:t>Bank A → CB Interface A → MTQ → CB Interface B → Bank B</w:t>
      </w:r>
    </w:p>
    <w:p>
      <w:r>
        <w:t>Banks settle through a central-bank or wholesale-CBDC interface. Requires explicit CB authorization.</w:t>
      </w:r>
    </w:p>
    <w:p>
      <w:pPr>
        <w:pStyle w:val="Heading3"/>
      </w:pPr>
      <w:r>
        <w:t>§8.4 Mode 3 — Direct Central-Bank Participation (Strategic Option)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**Name**</w:t>
            </w:r>
          </w:p>
        </w:tc>
        <w:tc>
          <w:tcPr>
            <w:tcW w:type="dxa" w:w="4536"/>
            <w:vAlign w:val="center"/>
          </w:tcPr>
          <w:p>
            <w:pPr>
              <w:jc w:val="left"/>
            </w:pPr>
            <w:r/>
            <w:r>
              <w:rPr>
                <w:rFonts w:ascii="Calibri" w:hAnsi="Calibri"/>
                <w:color w:val="2D2D2D"/>
                <w:sz w:val="18"/>
              </w:rPr>
              <w:t>Direct Central-Bank Participation</w:t>
            </w:r>
          </w:p>
        </w:tc>
      </w:tr>
      <w:tr>
        <w:tc>
          <w:tcPr>
            <w:tcW w:type="dxa" w:w="4536"/>
            <w:shd w:fill="F0F0F0"/>
            <w:vAlign w:val="center"/>
          </w:tcPr>
          <w:p>
            <w:pPr>
              <w:jc w:val="left"/>
            </w:pPr>
            <w:r/>
            <w:r>
              <w:rPr>
                <w:rFonts w:ascii="Calibri" w:hAnsi="Calibri"/>
                <w:color w:val="2D2D2D"/>
                <w:sz w:val="18"/>
              </w:rPr>
              <w:t>**Description**</w:t>
            </w:r>
          </w:p>
        </w:tc>
        <w:tc>
          <w:tcPr>
            <w:tcW w:type="dxa" w:w="4536"/>
            <w:shd w:fill="F0F0F0"/>
            <w:vAlign w:val="center"/>
          </w:tcPr>
          <w:p>
            <w:pPr>
              <w:jc w:val="left"/>
            </w:pPr>
            <w:r/>
            <w:r>
              <w:rPr>
                <w:rFonts w:ascii="Calibri" w:hAnsi="Calibri"/>
                <w:color w:val="2D2D2D"/>
                <w:sz w:val="18"/>
              </w:rPr>
              <w:t>A central bank directly participates only if it formally authorizes it</w:t>
            </w:r>
          </w:p>
        </w:tc>
      </w:tr>
      <w:tr>
        <w:tc>
          <w:tcPr>
            <w:tcW w:type="dxa" w:w="4536"/>
            <w:vAlign w:val="center"/>
          </w:tcPr>
          <w:p>
            <w:pPr>
              <w:jc w:val="left"/>
            </w:pPr>
            <w:r/>
            <w:r>
              <w:rPr>
                <w:rFonts w:ascii="Calibri" w:hAnsi="Calibri"/>
                <w:color w:val="2D2D2D"/>
                <w:sz w:val="18"/>
              </w:rPr>
              <w:t>**Authorization Required**</w:t>
            </w:r>
          </w:p>
        </w:tc>
        <w:tc>
          <w:tcPr>
            <w:tcW w:type="dxa" w:w="4536"/>
            <w:vAlign w:val="center"/>
          </w:tcPr>
          <w:p>
            <w:pPr>
              <w:jc w:val="left"/>
            </w:pPr>
            <w:r/>
            <w:r>
              <w:rPr>
                <w:rFonts w:ascii="Calibri" w:hAnsi="Calibri"/>
                <w:color w:val="2D2D2D"/>
                <w:sz w:val="18"/>
              </w:rPr>
              <w:t>Yes (explicit sovereign authorization)</w:t>
            </w:r>
          </w:p>
        </w:tc>
      </w:tr>
      <w:tr>
        <w:tc>
          <w:tcPr>
            <w:tcW w:type="dxa" w:w="4536"/>
            <w:shd w:fill="F0F0F0"/>
            <w:vAlign w:val="center"/>
          </w:tcPr>
          <w:p>
            <w:pPr>
              <w:jc w:val="left"/>
            </w:pPr>
            <w:r/>
            <w:r>
              <w:rPr>
                <w:rFonts w:ascii="Calibri" w:hAnsi="Calibri"/>
                <w:color w:val="2D2D2D"/>
                <w:sz w:val="18"/>
              </w:rPr>
              <w:t>**Central Bank Role**</w:t>
            </w:r>
          </w:p>
        </w:tc>
        <w:tc>
          <w:tcPr>
            <w:tcW w:type="dxa" w:w="4536"/>
            <w:shd w:fill="F0F0F0"/>
            <w:vAlign w:val="center"/>
          </w:tcPr>
          <w:p>
            <w:pPr>
              <w:jc w:val="left"/>
            </w:pPr>
            <w:r/>
            <w:r>
              <w:rPr>
                <w:rFonts w:ascii="Calibri" w:hAnsi="Calibri"/>
                <w:color w:val="2D2D2D"/>
                <w:sz w:val="18"/>
              </w:rPr>
              <w:t>Direct participant</w:t>
            </w:r>
          </w:p>
        </w:tc>
      </w:tr>
    </w:tbl>
    <w:p/>
    <w:p>
      <w:pPr>
        <w:ind w:left="283"/>
        <w:shd w:fill="F5F5F5"/>
      </w:pPr>
      <w:r>
        <w:rPr>
          <w:rFonts w:ascii="Consolas" w:hAnsi="Consolas"/>
          <w:color w:val="6B6B6B"/>
          <w:sz w:val="18"/>
        </w:rPr>
        <w:t>CB A → MTQ → CB B</w:t>
      </w:r>
    </w:p>
    <w:p>
      <w:r>
        <w:t xml:space="preserve">Available </w:t>
      </w:r>
      <w:r>
        <w:rPr>
          <w:b/>
        </w:rPr>
        <w:t>ONLY</w:t>
      </w:r>
      <w:r>
        <w:t xml:space="preserve"> where the relevant authority explicitly authorizes it. Never claim a central bank is an MTQ participant unless formally approved.</w:t>
      </w:r>
    </w:p>
    <w:p>
      <w:pPr>
        <w:pStyle w:val="Heading3"/>
      </w:pPr>
      <w:r>
        <w:t>§8.5 Mode Transitions</w:t>
      </w:r>
    </w:p>
    <w:p>
      <w:pPr>
        <w:ind w:left="283"/>
        <w:shd w:fill="F5F5F5"/>
      </w:pPr>
      <w:r>
        <w:rPr>
          <w:rFonts w:ascii="Consolas" w:hAnsi="Consolas"/>
          <w:color w:val="6B6B6B"/>
          <w:sz w:val="18"/>
        </w:rPr>
        <w:t>Mode 1 (Bank-Only) → Mode 2 (CB-Connected) → Mode 3 (Direct CB)</w:t>
        <w:br/>
        <w:t xml:space="preserve">         ↑                      ↑                      ↑</w:t>
        <w:br/>
        <w:t xml:space="preserve">   Default mode          Requires CB auth     Requires sovereign auth</w:t>
      </w:r>
    </w:p>
    <w:p>
      <w:r>
        <w:rPr>
          <w:b/>
        </w:rPr>
        <w:t>Transition rules:</w:t>
      </w:r>
    </w:p>
    <w:p>
      <w:pPr>
        <w:pStyle w:val="ListBullet"/>
        <w:ind w:left="425"/>
      </w:pPr>
      <w:r>
        <w:t>Mode 1 → Mode 2: Central bank authorizes wholesale-CBDC interface</w:t>
      </w:r>
    </w:p>
    <w:p>
      <w:pPr>
        <w:pStyle w:val="ListBullet"/>
        <w:ind w:left="425"/>
      </w:pPr>
      <w:r>
        <w:t>Mode 2 → Mode 3: Central bank authorizes direct participation</w:t>
      </w:r>
    </w:p>
    <w:p>
      <w:pPr>
        <w:pStyle w:val="ListBullet"/>
        <w:ind w:left="425"/>
      </w:pPr>
      <w:r>
        <w:t>Mode 3 → Mode 2: Central bank withdraws direct participation</w:t>
      </w:r>
    </w:p>
    <w:p>
      <w:pPr>
        <w:pStyle w:val="ListBullet"/>
        <w:ind w:left="425"/>
      </w:pPr>
      <w:r>
        <w:t>Mode 2 → Mode 1: Central bank disconnects interface</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CB_PARTICIPATION_MODES</w:t>
      </w:r>
    </w:p>
    <w:p>
      <w:pPr>
        <w:pStyle w:val="Heading3"/>
      </w:pPr>
      <w:r>
        <w:t>§8.6 Correct Jurisdictional Language</w:t>
      </w:r>
    </w:p>
    <w:p>
      <w:r>
        <w:rPr>
          <w:b/>
        </w:rPr>
        <w:t>DO NOT say:</w:t>
      </w:r>
      <w:r>
        <w:t xml:space="preserve"> "All banks are controlled by central banks."</w:t>
      </w:r>
    </w:p>
    <w:p>
      <w:r>
        <w:t>Some jurisdictions have:</w:t>
      </w:r>
    </w:p>
    <w:p>
      <w:pPr>
        <w:pStyle w:val="ListBullet"/>
        <w:ind w:left="425"/>
      </w:pPr>
      <w:r>
        <w:t>Central banks</w:t>
      </w:r>
    </w:p>
    <w:p>
      <w:pPr>
        <w:pStyle w:val="ListBullet"/>
        <w:ind w:left="425"/>
      </w:pPr>
      <w:r>
        <w:t>Separate banking supervisors</w:t>
      </w:r>
    </w:p>
    <w:p>
      <w:pPr>
        <w:pStyle w:val="ListBullet"/>
        <w:ind w:left="425"/>
      </w:pPr>
      <w:r>
        <w:t>Payment regulators</w:t>
      </w:r>
    </w:p>
    <w:p>
      <w:pPr>
        <w:pStyle w:val="ListBullet"/>
        <w:ind w:left="425"/>
      </w:pPr>
      <w:r>
        <w:t>Financial-intelligence units</w:t>
      </w:r>
    </w:p>
    <w:p>
      <w:pPr>
        <w:pStyle w:val="ListBullet"/>
        <w:ind w:left="425"/>
      </w:pPr>
      <w:r>
        <w:t>Securities regulators</w:t>
      </w:r>
    </w:p>
    <w:p>
      <w:pPr>
        <w:pStyle w:val="ListBullet"/>
        <w:ind w:left="425"/>
      </w:pPr>
      <w:r>
        <w:t>Data authorities</w:t>
      </w:r>
    </w:p>
    <w:p>
      <w:r>
        <w:rPr>
          <w:b/>
        </w:rPr>
        <w:t>Correct principle:</w:t>
      </w:r>
    </w:p>
    <w:p>
      <w:pPr>
        <w:spacing w:before="120" w:after="120"/>
        <w:ind w:left="567" w:right="567"/>
        <w:pBdr>
          <w:left w:val="single" w:sz="24" w:space="8" w:color="C59B1E"/>
        </w:pBdr>
        <w:shd w:fill="FFFBF0"/>
      </w:pPr>
      <w:r>
        <w:rPr>
          <w:b/>
          <w:i/>
          <w:color w:val="1A365F"/>
          <w:sz w:val="22"/>
        </w:rPr>
        <w:t>Each participating institution remains subject to the regulatory framework applicable in its jurisdiction, and MITHQAL enforces the permissions applicable to that institution and corridor.</w:t>
      </w:r>
    </w:p>
    <w:p>
      <w:pPr>
        <w:pBdr>
          <w:bottom w:val="single" w:sz="12" w:space="1" w:color="C59B1E"/>
        </w:pBdr>
      </w:pPr>
    </w:p>
    <w:p>
      <w:pPr>
        <w:pStyle w:val="Heading2"/>
      </w:pPr>
      <w:r>
        <w:t>§9 — INSTITUTIONAL TRACEABILITY</w:t>
      </w:r>
    </w:p>
    <w:p>
      <w:pPr>
        <w:pStyle w:val="Heading3"/>
      </w:pPr>
      <w:r>
        <w:t>§9.1 Settlement Record Schema</w:t>
      </w:r>
    </w:p>
    <w:p>
      <w:r>
        <w:t xml:space="preserve">Every MTQ transaction creates an </w:t>
      </w:r>
      <w:r>
        <w:rPr>
          <w:b/>
        </w:rPr>
        <w:t>immutable settlement record</w:t>
      </w:r>
      <w:r>
        <w:t xml:space="preserve"> containing: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Field</w:t>
            </w:r>
          </w:p>
        </w:tc>
        <w:tc>
          <w:tcPr>
            <w:tcW w:type="dxa" w:w="3024"/>
            <w:shd w:fill="1A365F"/>
            <w:vAlign w:val="center"/>
          </w:tcPr>
          <w:p>
            <w:pPr>
              <w:jc w:val="left"/>
            </w:pPr>
            <w:r/>
            <w:r>
              <w:rPr>
                <w:rFonts w:ascii="Calibri" w:hAnsi="Calibri"/>
                <w:b/>
                <w:color w:val="FFFFFF"/>
                <w:sz w:val="18"/>
              </w:rPr>
              <w:t>Type</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`institutionalSender`</w:t>
            </w:r>
          </w:p>
        </w:tc>
        <w:tc>
          <w:tcPr>
            <w:tcW w:type="dxa" w:w="3024"/>
            <w:vAlign w:val="center"/>
          </w:tcPr>
          <w:p>
            <w:pPr>
              <w:jc w:val="left"/>
            </w:pPr>
            <w:r/>
            <w:r>
              <w:rPr>
                <w:rFonts w:ascii="Calibri" w:hAnsi="Calibri"/>
                <w:color w:val="2D2D2D"/>
                <w:sz w:val="18"/>
              </w:rPr>
              <w:t>string</w:t>
            </w:r>
          </w:p>
        </w:tc>
        <w:tc>
          <w:tcPr>
            <w:tcW w:type="dxa" w:w="3024"/>
            <w:vAlign w:val="center"/>
          </w:tcPr>
          <w:p>
            <w:pPr>
              <w:jc w:val="left"/>
            </w:pPr>
            <w:r/>
            <w:r>
              <w:rPr>
                <w:rFonts w:ascii="Calibri" w:hAnsi="Calibri"/>
                <w:color w:val="2D2D2D"/>
                <w:sz w:val="18"/>
              </w:rPr>
              <w:t>Sender institution ID</w:t>
            </w:r>
          </w:p>
        </w:tc>
      </w:tr>
      <w:tr>
        <w:tc>
          <w:tcPr>
            <w:tcW w:type="dxa" w:w="3024"/>
            <w:shd w:fill="F0F0F0"/>
            <w:vAlign w:val="center"/>
          </w:tcPr>
          <w:p>
            <w:pPr>
              <w:jc w:val="left"/>
            </w:pPr>
            <w:r/>
            <w:r>
              <w:rPr>
                <w:rFonts w:ascii="Calibri" w:hAnsi="Calibri"/>
                <w:color w:val="2D2D2D"/>
                <w:sz w:val="18"/>
              </w:rPr>
              <w:t>`institutionalReceiver`</w:t>
            </w:r>
          </w:p>
        </w:tc>
        <w:tc>
          <w:tcPr>
            <w:tcW w:type="dxa" w:w="3024"/>
            <w:shd w:fill="F0F0F0"/>
            <w:vAlign w:val="center"/>
          </w:tcPr>
          <w:p>
            <w:pPr>
              <w:jc w:val="left"/>
            </w:pPr>
            <w:r/>
            <w:r>
              <w:rPr>
                <w:rFonts w:ascii="Calibri" w:hAnsi="Calibri"/>
                <w:color w:val="2D2D2D"/>
                <w:sz w:val="18"/>
              </w:rPr>
              <w:t>string</w:t>
            </w:r>
          </w:p>
        </w:tc>
        <w:tc>
          <w:tcPr>
            <w:tcW w:type="dxa" w:w="3024"/>
            <w:shd w:fill="F0F0F0"/>
            <w:vAlign w:val="center"/>
          </w:tcPr>
          <w:p>
            <w:pPr>
              <w:jc w:val="left"/>
            </w:pPr>
            <w:r/>
            <w:r>
              <w:rPr>
                <w:rFonts w:ascii="Calibri" w:hAnsi="Calibri"/>
                <w:color w:val="2D2D2D"/>
                <w:sz w:val="18"/>
              </w:rPr>
              <w:t>Receiver institution ID</w:t>
            </w:r>
          </w:p>
        </w:tc>
      </w:tr>
      <w:tr>
        <w:tc>
          <w:tcPr>
            <w:tcW w:type="dxa" w:w="3024"/>
            <w:vAlign w:val="center"/>
          </w:tcPr>
          <w:p>
            <w:pPr>
              <w:jc w:val="left"/>
            </w:pPr>
            <w:r/>
            <w:r>
              <w:rPr>
                <w:rFonts w:ascii="Calibri" w:hAnsi="Calibri"/>
                <w:color w:val="2D2D2D"/>
                <w:sz w:val="18"/>
              </w:rPr>
              <w:t>`transactionId`</w:t>
            </w:r>
          </w:p>
        </w:tc>
        <w:tc>
          <w:tcPr>
            <w:tcW w:type="dxa" w:w="3024"/>
            <w:vAlign w:val="center"/>
          </w:tcPr>
          <w:p>
            <w:pPr>
              <w:jc w:val="left"/>
            </w:pPr>
            <w:r/>
            <w:r>
              <w:rPr>
                <w:rFonts w:ascii="Calibri" w:hAnsi="Calibri"/>
                <w:color w:val="2D2D2D"/>
                <w:sz w:val="18"/>
              </w:rPr>
              <w:t>string</w:t>
            </w:r>
          </w:p>
        </w:tc>
        <w:tc>
          <w:tcPr>
            <w:tcW w:type="dxa" w:w="3024"/>
            <w:vAlign w:val="center"/>
          </w:tcPr>
          <w:p>
            <w:pPr>
              <w:jc w:val="left"/>
            </w:pPr>
            <w:r/>
            <w:r>
              <w:rPr>
                <w:rFonts w:ascii="Calibri" w:hAnsi="Calibri"/>
                <w:color w:val="2D2D2D"/>
                <w:sz w:val="18"/>
              </w:rPr>
              <w:t>Unique transaction ID (idempotent CTID)</w:t>
            </w:r>
          </w:p>
        </w:tc>
      </w:tr>
      <w:tr>
        <w:tc>
          <w:tcPr>
            <w:tcW w:type="dxa" w:w="3024"/>
            <w:shd w:fill="F0F0F0"/>
            <w:vAlign w:val="center"/>
          </w:tcPr>
          <w:p>
            <w:pPr>
              <w:jc w:val="left"/>
            </w:pPr>
            <w:r/>
            <w:r>
              <w:rPr>
                <w:rFonts w:ascii="Calibri" w:hAnsi="Calibri"/>
                <w:color w:val="2D2D2D"/>
                <w:sz w:val="18"/>
              </w:rPr>
              <w:t>`timestamp`</w:t>
            </w:r>
          </w:p>
        </w:tc>
        <w:tc>
          <w:tcPr>
            <w:tcW w:type="dxa" w:w="3024"/>
            <w:shd w:fill="F0F0F0"/>
            <w:vAlign w:val="center"/>
          </w:tcPr>
          <w:p>
            <w:pPr>
              <w:jc w:val="left"/>
            </w:pPr>
            <w:r/>
            <w:r>
              <w:rPr>
                <w:rFonts w:ascii="Calibri" w:hAnsi="Calibri"/>
                <w:color w:val="2D2D2D"/>
                <w:sz w:val="18"/>
              </w:rPr>
              <w:t>ISO 8601</w:t>
            </w:r>
          </w:p>
        </w:tc>
        <w:tc>
          <w:tcPr>
            <w:tcW w:type="dxa" w:w="3024"/>
            <w:shd w:fill="F0F0F0"/>
            <w:vAlign w:val="center"/>
          </w:tcPr>
          <w:p>
            <w:pPr>
              <w:jc w:val="left"/>
            </w:pPr>
            <w:r/>
            <w:r>
              <w:rPr>
                <w:rFonts w:ascii="Calibri" w:hAnsi="Calibri"/>
                <w:color w:val="2D2D2D"/>
                <w:sz w:val="18"/>
              </w:rPr>
              <w:t>Settlement timestamp</w:t>
            </w:r>
          </w:p>
        </w:tc>
      </w:tr>
      <w:tr>
        <w:tc>
          <w:tcPr>
            <w:tcW w:type="dxa" w:w="3024"/>
            <w:vAlign w:val="center"/>
          </w:tcPr>
          <w:p>
            <w:pPr>
              <w:jc w:val="left"/>
            </w:pPr>
            <w:r/>
            <w:r>
              <w:rPr>
                <w:rFonts w:ascii="Calibri" w:hAnsi="Calibri"/>
                <w:color w:val="2D2D2D"/>
                <w:sz w:val="18"/>
              </w:rPr>
              <w:t>`mtqAmount`</w:t>
            </w:r>
          </w:p>
        </w:tc>
        <w:tc>
          <w:tcPr>
            <w:tcW w:type="dxa" w:w="3024"/>
            <w:vAlign w:val="center"/>
          </w:tcPr>
          <w:p>
            <w:pPr>
              <w:jc w:val="left"/>
            </w:pPr>
            <w:r/>
            <w:r>
              <w:rPr>
                <w:rFonts w:ascii="Calibri" w:hAnsi="Calibri"/>
                <w:color w:val="2D2D2D"/>
                <w:sz w:val="18"/>
              </w:rPr>
              <w:t>number</w:t>
            </w:r>
          </w:p>
        </w:tc>
        <w:tc>
          <w:tcPr>
            <w:tcW w:type="dxa" w:w="3024"/>
            <w:vAlign w:val="center"/>
          </w:tcPr>
          <w:p>
            <w:pPr>
              <w:jc w:val="left"/>
            </w:pPr>
            <w:r/>
            <w:r>
              <w:rPr>
                <w:rFonts w:ascii="Calibri" w:hAnsi="Calibri"/>
                <w:color w:val="2D2D2D"/>
                <w:sz w:val="18"/>
              </w:rPr>
              <w:t>MTQ amount</w:t>
            </w:r>
          </w:p>
        </w:tc>
      </w:tr>
      <w:tr>
        <w:tc>
          <w:tcPr>
            <w:tcW w:type="dxa" w:w="3024"/>
            <w:shd w:fill="F0F0F0"/>
            <w:vAlign w:val="center"/>
          </w:tcPr>
          <w:p>
            <w:pPr>
              <w:jc w:val="left"/>
            </w:pPr>
            <w:r/>
            <w:r>
              <w:rPr>
                <w:rFonts w:ascii="Calibri" w:hAnsi="Calibri"/>
                <w:color w:val="2D2D2D"/>
                <w:sz w:val="18"/>
              </w:rPr>
              <w:t>`settlementState`</w:t>
            </w:r>
          </w:p>
        </w:tc>
        <w:tc>
          <w:tcPr>
            <w:tcW w:type="dxa" w:w="3024"/>
            <w:shd w:fill="F0F0F0"/>
            <w:vAlign w:val="center"/>
          </w:tcPr>
          <w:p>
            <w:pPr>
              <w:jc w:val="left"/>
            </w:pPr>
            <w:r/>
            <w:r>
              <w:rPr>
                <w:rFonts w:ascii="Calibri" w:hAnsi="Calibri"/>
                <w:color w:val="2D2D2D"/>
                <w:sz w:val="18"/>
              </w:rPr>
              <w:t>string</w:t>
            </w:r>
          </w:p>
        </w:tc>
        <w:tc>
          <w:tcPr>
            <w:tcW w:type="dxa" w:w="3024"/>
            <w:shd w:fill="F0F0F0"/>
            <w:vAlign w:val="center"/>
          </w:tcPr>
          <w:p>
            <w:pPr>
              <w:jc w:val="left"/>
            </w:pPr>
            <w:r/>
            <w:r>
              <w:rPr>
                <w:rFonts w:ascii="Calibri" w:hAnsi="Calibri"/>
                <w:color w:val="2D2D2D"/>
                <w:sz w:val="18"/>
              </w:rPr>
              <w:t>SETTLED / PENDING / FAILED</w:t>
            </w:r>
          </w:p>
        </w:tc>
      </w:tr>
      <w:tr>
        <w:tc>
          <w:tcPr>
            <w:tcW w:type="dxa" w:w="3024"/>
            <w:vAlign w:val="center"/>
          </w:tcPr>
          <w:p>
            <w:pPr>
              <w:jc w:val="left"/>
            </w:pPr>
            <w:r/>
            <w:r>
              <w:rPr>
                <w:rFonts w:ascii="Calibri" w:hAnsi="Calibri"/>
                <w:color w:val="2D2D2D"/>
                <w:sz w:val="18"/>
              </w:rPr>
              <w:t>`authorizationState`</w:t>
            </w:r>
          </w:p>
        </w:tc>
        <w:tc>
          <w:tcPr>
            <w:tcW w:type="dxa" w:w="3024"/>
            <w:vAlign w:val="center"/>
          </w:tcPr>
          <w:p>
            <w:pPr>
              <w:jc w:val="left"/>
            </w:pPr>
            <w:r/>
            <w:r>
              <w:rPr>
                <w:rFonts w:ascii="Calibri" w:hAnsi="Calibri"/>
                <w:color w:val="2D2D2D"/>
                <w:sz w:val="18"/>
              </w:rPr>
              <w:t>string</w:t>
            </w:r>
          </w:p>
        </w:tc>
        <w:tc>
          <w:tcPr>
            <w:tcW w:type="dxa" w:w="3024"/>
            <w:vAlign w:val="center"/>
          </w:tcPr>
          <w:p>
            <w:pPr>
              <w:jc w:val="left"/>
            </w:pPr>
            <w:r/>
            <w:r>
              <w:rPr>
                <w:rFonts w:ascii="Calibri" w:hAnsi="Calibri"/>
                <w:color w:val="2D2D2D"/>
                <w:sz w:val="18"/>
              </w:rPr>
              <w:t>AUTHORIZED / REJECTED / PENDING</w:t>
            </w:r>
          </w:p>
        </w:tc>
      </w:tr>
      <w:tr>
        <w:tc>
          <w:tcPr>
            <w:tcW w:type="dxa" w:w="3024"/>
            <w:shd w:fill="F0F0F0"/>
            <w:vAlign w:val="center"/>
          </w:tcPr>
          <w:p>
            <w:pPr>
              <w:jc w:val="left"/>
            </w:pPr>
            <w:r/>
            <w:r>
              <w:rPr>
                <w:rFonts w:ascii="Calibri" w:hAnsi="Calibri"/>
                <w:color w:val="2D2D2D"/>
                <w:sz w:val="18"/>
              </w:rPr>
              <w:t>`complianceState`</w:t>
            </w:r>
          </w:p>
        </w:tc>
        <w:tc>
          <w:tcPr>
            <w:tcW w:type="dxa" w:w="3024"/>
            <w:shd w:fill="F0F0F0"/>
            <w:vAlign w:val="center"/>
          </w:tcPr>
          <w:p>
            <w:pPr>
              <w:jc w:val="left"/>
            </w:pPr>
            <w:r/>
            <w:r>
              <w:rPr>
                <w:rFonts w:ascii="Calibri" w:hAnsi="Calibri"/>
                <w:color w:val="2D2D2D"/>
                <w:sz w:val="18"/>
              </w:rPr>
              <w:t>string</w:t>
            </w:r>
          </w:p>
        </w:tc>
        <w:tc>
          <w:tcPr>
            <w:tcW w:type="dxa" w:w="3024"/>
            <w:shd w:fill="F0F0F0"/>
            <w:vAlign w:val="center"/>
          </w:tcPr>
          <w:p>
            <w:pPr>
              <w:jc w:val="left"/>
            </w:pPr>
            <w:r/>
            <w:r>
              <w:rPr>
                <w:rFonts w:ascii="Calibri" w:hAnsi="Calibri"/>
                <w:color w:val="2D2D2D"/>
                <w:sz w:val="18"/>
              </w:rPr>
              <w:t>CLEARED / FLAGGED / BLOCKED</w:t>
            </w:r>
          </w:p>
        </w:tc>
      </w:tr>
      <w:tr>
        <w:tc>
          <w:tcPr>
            <w:tcW w:type="dxa" w:w="3024"/>
            <w:vAlign w:val="center"/>
          </w:tcPr>
          <w:p>
            <w:pPr>
              <w:jc w:val="left"/>
            </w:pPr>
            <w:r/>
            <w:r>
              <w:rPr>
                <w:rFonts w:ascii="Calibri" w:hAnsi="Calibri"/>
                <w:color w:val="2D2D2D"/>
                <w:sz w:val="18"/>
              </w:rPr>
              <w:t>`reserveReference`</w:t>
            </w:r>
          </w:p>
        </w:tc>
        <w:tc>
          <w:tcPr>
            <w:tcW w:type="dxa" w:w="3024"/>
            <w:vAlign w:val="center"/>
          </w:tcPr>
          <w:p>
            <w:pPr>
              <w:jc w:val="left"/>
            </w:pPr>
            <w:r/>
            <w:r>
              <w:rPr>
                <w:rFonts w:ascii="Calibri" w:hAnsi="Calibri"/>
                <w:color w:val="2D2D2D"/>
                <w:sz w:val="18"/>
              </w:rPr>
              <w:t>string</w:t>
            </w:r>
          </w:p>
        </w:tc>
        <w:tc>
          <w:tcPr>
            <w:tcW w:type="dxa" w:w="3024"/>
            <w:vAlign w:val="center"/>
          </w:tcPr>
          <w:p>
            <w:pPr>
              <w:jc w:val="left"/>
            </w:pPr>
            <w:r/>
            <w:r>
              <w:rPr>
                <w:rFonts w:ascii="Calibri" w:hAnsi="Calibri"/>
                <w:color w:val="2D2D2D"/>
                <w:sz w:val="18"/>
              </w:rPr>
              <w:t>Reserve proof reference</w:t>
            </w:r>
          </w:p>
        </w:tc>
      </w:tr>
      <w:tr>
        <w:tc>
          <w:tcPr>
            <w:tcW w:type="dxa" w:w="3024"/>
            <w:shd w:fill="F0F0F0"/>
            <w:vAlign w:val="center"/>
          </w:tcPr>
          <w:p>
            <w:pPr>
              <w:jc w:val="left"/>
            </w:pPr>
            <w:r/>
            <w:r>
              <w:rPr>
                <w:rFonts w:ascii="Calibri" w:hAnsi="Calibri"/>
                <w:color w:val="2D2D2D"/>
                <w:sz w:val="18"/>
              </w:rPr>
              <w:t>`cryptographicHash`</w:t>
            </w:r>
          </w:p>
        </w:tc>
        <w:tc>
          <w:tcPr>
            <w:tcW w:type="dxa" w:w="3024"/>
            <w:shd w:fill="F0F0F0"/>
            <w:vAlign w:val="center"/>
          </w:tcPr>
          <w:p>
            <w:pPr>
              <w:jc w:val="left"/>
            </w:pPr>
            <w:r/>
            <w:r>
              <w:rPr>
                <w:rFonts w:ascii="Calibri" w:hAnsi="Calibri"/>
                <w:color w:val="2D2D2D"/>
                <w:sz w:val="18"/>
              </w:rPr>
              <w:t>string</w:t>
            </w:r>
          </w:p>
        </w:tc>
        <w:tc>
          <w:tcPr>
            <w:tcW w:type="dxa" w:w="3024"/>
            <w:shd w:fill="F0F0F0"/>
            <w:vAlign w:val="center"/>
          </w:tcPr>
          <w:p>
            <w:pPr>
              <w:jc w:val="left"/>
            </w:pPr>
            <w:r/>
            <w:r>
              <w:rPr>
                <w:rFonts w:ascii="Calibri" w:hAnsi="Calibri"/>
                <w:color w:val="2D2D2D"/>
                <w:sz w:val="18"/>
              </w:rPr>
              <w:t>Transaction hash</w:t>
            </w:r>
          </w:p>
        </w:tc>
      </w:tr>
      <w:tr>
        <w:tc>
          <w:tcPr>
            <w:tcW w:type="dxa" w:w="3024"/>
            <w:vAlign w:val="center"/>
          </w:tcPr>
          <w:p>
            <w:pPr>
              <w:jc w:val="left"/>
            </w:pPr>
            <w:r/>
            <w:r>
              <w:rPr>
                <w:rFonts w:ascii="Calibri" w:hAnsi="Calibri"/>
                <w:color w:val="2D2D2D"/>
                <w:sz w:val="18"/>
              </w:rPr>
              <w:t>`validatorSignature`</w:t>
            </w:r>
          </w:p>
        </w:tc>
        <w:tc>
          <w:tcPr>
            <w:tcW w:type="dxa" w:w="3024"/>
            <w:vAlign w:val="center"/>
          </w:tcPr>
          <w:p>
            <w:pPr>
              <w:jc w:val="left"/>
            </w:pPr>
            <w:r/>
            <w:r>
              <w:rPr>
                <w:rFonts w:ascii="Calibri" w:hAnsi="Calibri"/>
                <w:color w:val="2D2D2D"/>
                <w:sz w:val="18"/>
              </w:rPr>
              <w:t>string</w:t>
            </w:r>
          </w:p>
        </w:tc>
        <w:tc>
          <w:tcPr>
            <w:tcW w:type="dxa" w:w="3024"/>
            <w:vAlign w:val="center"/>
          </w:tcPr>
          <w:p>
            <w:pPr>
              <w:jc w:val="left"/>
            </w:pPr>
            <w:r/>
            <w:r>
              <w:rPr>
                <w:rFonts w:ascii="Calibri" w:hAnsi="Calibri"/>
                <w:color w:val="2D2D2D"/>
                <w:sz w:val="18"/>
              </w:rPr>
              <w:t>Validator signature evidence</w:t>
            </w:r>
          </w:p>
        </w:tc>
      </w:tr>
      <w:tr>
        <w:tc>
          <w:tcPr>
            <w:tcW w:type="dxa" w:w="3024"/>
            <w:shd w:fill="F0F0F0"/>
            <w:vAlign w:val="center"/>
          </w:tcPr>
          <w:p>
            <w:pPr>
              <w:jc w:val="left"/>
            </w:pPr>
            <w:r/>
            <w:r>
              <w:rPr>
                <w:rFonts w:ascii="Calibri" w:hAnsi="Calibri"/>
                <w:color w:val="2D2D2D"/>
                <w:sz w:val="18"/>
              </w:rPr>
              <w:t>`ledgerCommitment`</w:t>
            </w:r>
          </w:p>
        </w:tc>
        <w:tc>
          <w:tcPr>
            <w:tcW w:type="dxa" w:w="3024"/>
            <w:shd w:fill="F0F0F0"/>
            <w:vAlign w:val="center"/>
          </w:tcPr>
          <w:p>
            <w:pPr>
              <w:jc w:val="left"/>
            </w:pPr>
            <w:r/>
            <w:r>
              <w:rPr>
                <w:rFonts w:ascii="Calibri" w:hAnsi="Calibri"/>
                <w:color w:val="2D2D2D"/>
                <w:sz w:val="18"/>
              </w:rPr>
              <w:t>string</w:t>
            </w:r>
          </w:p>
        </w:tc>
        <w:tc>
          <w:tcPr>
            <w:tcW w:type="dxa" w:w="3024"/>
            <w:shd w:fill="F0F0F0"/>
            <w:vAlign w:val="center"/>
          </w:tcPr>
          <w:p>
            <w:pPr>
              <w:jc w:val="left"/>
            </w:pPr>
            <w:r/>
            <w:r>
              <w:rPr>
                <w:rFonts w:ascii="Calibri" w:hAnsi="Calibri"/>
                <w:color w:val="2D2D2D"/>
                <w:sz w:val="18"/>
              </w:rPr>
              <w:t>Ledger commitment hash</w:t>
            </w:r>
          </w:p>
        </w:tc>
      </w:tr>
      <w:tr>
        <w:tc>
          <w:tcPr>
            <w:tcW w:type="dxa" w:w="3024"/>
            <w:vAlign w:val="center"/>
          </w:tcPr>
          <w:p>
            <w:pPr>
              <w:jc w:val="left"/>
            </w:pPr>
            <w:r/>
            <w:r>
              <w:rPr>
                <w:rFonts w:ascii="Calibri" w:hAnsi="Calibri"/>
                <w:color w:val="2D2D2D"/>
                <w:sz w:val="18"/>
              </w:rPr>
              <w:t>`jurisdiction`</w:t>
            </w:r>
          </w:p>
        </w:tc>
        <w:tc>
          <w:tcPr>
            <w:tcW w:type="dxa" w:w="3024"/>
            <w:vAlign w:val="center"/>
          </w:tcPr>
          <w:p>
            <w:pPr>
              <w:jc w:val="left"/>
            </w:pPr>
            <w:r/>
            <w:r>
              <w:rPr>
                <w:rFonts w:ascii="Calibri" w:hAnsi="Calibri"/>
                <w:color w:val="2D2D2D"/>
                <w:sz w:val="18"/>
              </w:rPr>
              <w:t>string</w:t>
            </w:r>
          </w:p>
        </w:tc>
        <w:tc>
          <w:tcPr>
            <w:tcW w:type="dxa" w:w="3024"/>
            <w:vAlign w:val="center"/>
          </w:tcPr>
          <w:p>
            <w:pPr>
              <w:jc w:val="left"/>
            </w:pPr>
            <w:r/>
            <w:r>
              <w:rPr>
                <w:rFonts w:ascii="Calibri" w:hAnsi="Calibri"/>
                <w:color w:val="2D2D2D"/>
                <w:sz w:val="18"/>
              </w:rPr>
              <w:t>Sender-Receiver jurisdiction pair</w:t>
            </w:r>
          </w:p>
        </w:tc>
      </w:tr>
      <w:tr>
        <w:tc>
          <w:tcPr>
            <w:tcW w:type="dxa" w:w="3024"/>
            <w:shd w:fill="F0F0F0"/>
            <w:vAlign w:val="center"/>
          </w:tcPr>
          <w:p>
            <w:pPr>
              <w:jc w:val="left"/>
            </w:pPr>
            <w:r/>
            <w:r>
              <w:rPr>
                <w:rFonts w:ascii="Calibri" w:hAnsi="Calibri"/>
                <w:color w:val="2D2D2D"/>
                <w:sz w:val="18"/>
              </w:rPr>
              <w:t>`settlementChannel`</w:t>
            </w:r>
          </w:p>
        </w:tc>
        <w:tc>
          <w:tcPr>
            <w:tcW w:type="dxa" w:w="3024"/>
            <w:shd w:fill="F0F0F0"/>
            <w:vAlign w:val="center"/>
          </w:tcPr>
          <w:p>
            <w:pPr>
              <w:jc w:val="left"/>
            </w:pPr>
            <w:r/>
            <w:r>
              <w:rPr>
                <w:rFonts w:ascii="Calibri" w:hAnsi="Calibri"/>
                <w:color w:val="2D2D2D"/>
                <w:sz w:val="18"/>
              </w:rPr>
              <w:t>string</w:t>
            </w:r>
          </w:p>
        </w:tc>
        <w:tc>
          <w:tcPr>
            <w:tcW w:type="dxa" w:w="3024"/>
            <w:shd w:fill="F0F0F0"/>
            <w:vAlign w:val="center"/>
          </w:tcPr>
          <w:p>
            <w:pPr>
              <w:jc w:val="left"/>
            </w:pPr>
            <w:r/>
            <w:r>
              <w:rPr>
                <w:rFonts w:ascii="Calibri" w:hAnsi="Calibri"/>
                <w:color w:val="2D2D2D"/>
                <w:sz w:val="18"/>
              </w:rPr>
              <w:t>WHOLESALE / CBDC_BRIDGE / CORPORATE / INTERBANK</w:t>
            </w:r>
          </w:p>
        </w:tc>
      </w:tr>
      <w:tr>
        <w:tc>
          <w:tcPr>
            <w:tcW w:type="dxa" w:w="3024"/>
            <w:vAlign w:val="center"/>
          </w:tcPr>
          <w:p>
            <w:pPr>
              <w:jc w:val="left"/>
            </w:pPr>
            <w:r/>
            <w:r>
              <w:rPr>
                <w:rFonts w:ascii="Calibri" w:hAnsi="Calibri"/>
                <w:color w:val="2D2D2D"/>
                <w:sz w:val="18"/>
              </w:rPr>
              <w:t>`finalityStatus`</w:t>
            </w:r>
          </w:p>
        </w:tc>
        <w:tc>
          <w:tcPr>
            <w:tcW w:type="dxa" w:w="3024"/>
            <w:vAlign w:val="center"/>
          </w:tcPr>
          <w:p>
            <w:pPr>
              <w:jc w:val="left"/>
            </w:pPr>
            <w:r/>
            <w:r>
              <w:rPr>
                <w:rFonts w:ascii="Calibri" w:hAnsi="Calibri"/>
                <w:color w:val="2D2D2D"/>
                <w:sz w:val="18"/>
              </w:rPr>
              <w:t>enum</w:t>
            </w:r>
          </w:p>
        </w:tc>
        <w:tc>
          <w:tcPr>
            <w:tcW w:type="dxa" w:w="3024"/>
            <w:vAlign w:val="center"/>
          </w:tcPr>
          <w:p>
            <w:pPr>
              <w:jc w:val="left"/>
            </w:pPr>
            <w:r/>
            <w:r>
              <w:rPr>
                <w:rFonts w:ascii="Calibri" w:hAnsi="Calibri"/>
                <w:color w:val="2D2D2D"/>
                <w:sz w:val="18"/>
              </w:rPr>
              <w:t>PENDING / TECHNICAL_FINAL / LEGAL_FINAL / BANKING_FINAL</w:t>
            </w:r>
          </w:p>
        </w:tc>
      </w:tr>
    </w:tbl>
    <w:p/>
    <w:p>
      <w:pPr>
        <w:pStyle w:val="Heading3"/>
      </w:pPr>
      <w:r>
        <w:t>§9.2 Trace Path</w:t>
      </w:r>
    </w:p>
    <w:p>
      <w:r>
        <w:t>The system supports authorized tracing from:</w:t>
      </w:r>
    </w:p>
    <w:p>
      <w:pPr>
        <w:ind w:left="283"/>
        <w:shd w:fill="F5F5F5"/>
      </w:pPr>
      <w:r>
        <w:rPr>
          <w:rFonts w:ascii="Consolas" w:hAnsi="Consolas"/>
          <w:color w:val="6B6B6B"/>
          <w:sz w:val="18"/>
        </w:rPr>
        <w:t>MTQ Transaction</w:t>
        <w:br/>
        <w:t xml:space="preserve">      ↓</w:t>
        <w:br/>
        <w:t>Participating Institution</w:t>
        <w:br/>
        <w:t xml:space="preserve">      ↓</w:t>
        <w:br/>
        <w:t>Institutional Reference</w:t>
        <w:br/>
        <w:t xml:space="preserve">      ↓</w:t>
        <w:br/>
        <w:t>Underlying Customer Transaction</w:t>
      </w:r>
    </w:p>
    <w:p>
      <w:r>
        <w:rPr>
          <w:b/>
        </w:rPr>
        <w:t>Detailed trace (6-hop):</w:t>
      </w:r>
    </w:p>
    <w:p>
      <w:pPr>
        <w:ind w:left="283"/>
        <w:shd w:fill="F5F5F5"/>
      </w:pPr>
      <w:r>
        <w:rPr>
          <w:rFonts w:ascii="Consolas" w:hAnsi="Consolas"/>
          <w:color w:val="6B6B6B"/>
          <w:sz w:val="18"/>
        </w:rPr>
        <w:t>Customer</w:t>
        <w:br/>
        <w:t xml:space="preserve">  ↓</w:t>
        <w:br/>
        <w:t>Bank Account Transaction ID</w:t>
        <w:br/>
        <w:t xml:space="preserve">  ↓</w:t>
        <w:br/>
        <w:t>Bank Institutional Settlement ID</w:t>
        <w:br/>
        <w:t xml:space="preserve">  ↓</w:t>
        <w:br/>
        <w:t>MITHQAL Settlement ID</w:t>
        <w:br/>
        <w:t xml:space="preserve">  ↓</w:t>
        <w:br/>
        <w:t>MTQ Transaction Hash</w:t>
        <w:br/>
        <w:t xml:space="preserve">  ↓</w:t>
        <w:br/>
        <w:t>Receiving Bank Settlement ID</w:t>
        <w:br/>
        <w:t xml:space="preserve">  ↓</w:t>
        <w:br/>
        <w:t>Beneficiary Account</w:t>
      </w:r>
    </w:p>
    <w:p>
      <w:pPr>
        <w:pStyle w:val="Heading3"/>
      </w:pPr>
      <w:r>
        <w:t>§9.3 Access Rules</w:t>
      </w:r>
    </w:p>
    <w:p>
      <w:r>
        <w:t xml:space="preserve">Access to settlement records is </w:t>
      </w:r>
      <w:r>
        <w:rPr>
          <w:b/>
        </w:rPr>
        <w:t>permissioned</w:t>
      </w:r>
      <w:r>
        <w:t xml:space="preserve"> according to:</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Role</w:t>
            </w:r>
          </w:p>
        </w:tc>
        <w:tc>
          <w:tcPr>
            <w:tcW w:type="dxa" w:w="4536"/>
            <w:shd w:fill="1A365F"/>
            <w:vAlign w:val="center"/>
          </w:tcPr>
          <w:p>
            <w:pPr>
              <w:jc w:val="left"/>
            </w:pPr>
            <w:r/>
            <w:r>
              <w:rPr>
                <w:rFonts w:ascii="Calibri" w:hAnsi="Calibri"/>
                <w:b/>
                <w:color w:val="FFFFFF"/>
                <w:sz w:val="18"/>
              </w:rPr>
              <w:t>Access Level</w:t>
            </w:r>
          </w:p>
        </w:tc>
      </w:tr>
      <w:tr>
        <w:tc>
          <w:tcPr>
            <w:tcW w:type="dxa" w:w="4536"/>
            <w:vAlign w:val="center"/>
          </w:tcPr>
          <w:p>
            <w:pPr>
              <w:jc w:val="left"/>
            </w:pPr>
            <w:r/>
            <w:r>
              <w:rPr>
                <w:rFonts w:ascii="Calibri" w:hAnsi="Calibri"/>
                <w:color w:val="2D2D2D"/>
                <w:sz w:val="18"/>
              </w:rPr>
              <w:t>Participating institution</w:t>
            </w:r>
          </w:p>
        </w:tc>
        <w:tc>
          <w:tcPr>
            <w:tcW w:type="dxa" w:w="4536"/>
            <w:vAlign w:val="center"/>
          </w:tcPr>
          <w:p>
            <w:pPr>
              <w:jc w:val="left"/>
            </w:pPr>
            <w:r/>
            <w:r>
              <w:rPr>
                <w:rFonts w:ascii="Calibri" w:hAnsi="Calibri"/>
                <w:color w:val="2D2D2D"/>
                <w:sz w:val="18"/>
              </w:rPr>
              <w:t>Full access to own transactions</w:t>
            </w:r>
          </w:p>
        </w:tc>
      </w:tr>
      <w:tr>
        <w:tc>
          <w:tcPr>
            <w:tcW w:type="dxa" w:w="4536"/>
            <w:shd w:fill="F0F0F0"/>
            <w:vAlign w:val="center"/>
          </w:tcPr>
          <w:p>
            <w:pPr>
              <w:jc w:val="left"/>
            </w:pPr>
            <w:r/>
            <w:r>
              <w:rPr>
                <w:rFonts w:ascii="Calibri" w:hAnsi="Calibri"/>
                <w:color w:val="2D2D2D"/>
                <w:sz w:val="18"/>
              </w:rPr>
              <w:t>Regulator</w:t>
            </w:r>
          </w:p>
        </w:tc>
        <w:tc>
          <w:tcPr>
            <w:tcW w:type="dxa" w:w="4536"/>
            <w:shd w:fill="F0F0F0"/>
            <w:vAlign w:val="center"/>
          </w:tcPr>
          <w:p>
            <w:pPr>
              <w:jc w:val="left"/>
            </w:pPr>
            <w:r/>
            <w:r>
              <w:rPr>
                <w:rFonts w:ascii="Calibri" w:hAnsi="Calibri"/>
                <w:color w:val="2D2D2D"/>
                <w:sz w:val="18"/>
              </w:rPr>
              <w:t>Authorized mechanism (lawful access)</w:t>
            </w:r>
          </w:p>
        </w:tc>
      </w:tr>
      <w:tr>
        <w:tc>
          <w:tcPr>
            <w:tcW w:type="dxa" w:w="4536"/>
            <w:vAlign w:val="center"/>
          </w:tcPr>
          <w:p>
            <w:pPr>
              <w:jc w:val="left"/>
            </w:pPr>
            <w:r/>
            <w:r>
              <w:rPr>
                <w:rFonts w:ascii="Calibri" w:hAnsi="Calibri"/>
                <w:color w:val="2D2D2D"/>
                <w:sz w:val="18"/>
              </w:rPr>
              <w:t>Central bank</w:t>
            </w:r>
          </w:p>
        </w:tc>
        <w:tc>
          <w:tcPr>
            <w:tcW w:type="dxa" w:w="4536"/>
            <w:vAlign w:val="center"/>
          </w:tcPr>
          <w:p>
            <w:pPr>
              <w:jc w:val="left"/>
            </w:pPr>
            <w:r/>
            <w:r>
              <w:rPr>
                <w:rFonts w:ascii="Calibri" w:hAnsi="Calibri"/>
                <w:color w:val="2D2D2D"/>
                <w:sz w:val="18"/>
              </w:rPr>
              <w:t>Authorized mechanism (where legally permitted)</w:t>
            </w:r>
          </w:p>
        </w:tc>
      </w:tr>
      <w:tr>
        <w:tc>
          <w:tcPr>
            <w:tcW w:type="dxa" w:w="4536"/>
            <w:shd w:fill="F0F0F0"/>
            <w:vAlign w:val="center"/>
          </w:tcPr>
          <w:p>
            <w:pPr>
              <w:jc w:val="left"/>
            </w:pPr>
            <w:r/>
            <w:r>
              <w:rPr>
                <w:rFonts w:ascii="Calibri" w:hAnsi="Calibri"/>
                <w:color w:val="2D2D2D"/>
                <w:sz w:val="18"/>
              </w:rPr>
              <w:t>Independent auditor</w:t>
            </w:r>
          </w:p>
        </w:tc>
        <w:tc>
          <w:tcPr>
            <w:tcW w:type="dxa" w:w="4536"/>
            <w:shd w:fill="F0F0F0"/>
            <w:vAlign w:val="center"/>
          </w:tcPr>
          <w:p>
            <w:pPr>
              <w:jc w:val="left"/>
            </w:pPr>
            <w:r/>
            <w:r>
              <w:rPr>
                <w:rFonts w:ascii="Calibri" w:hAnsi="Calibri"/>
                <w:color w:val="2D2D2D"/>
                <w:sz w:val="18"/>
              </w:rPr>
              <w:t>Authorization + cryptographic proof access</w:t>
            </w:r>
          </w:p>
        </w:tc>
      </w:tr>
      <w:tr>
        <w:tc>
          <w:tcPr>
            <w:tcW w:type="dxa" w:w="4536"/>
            <w:vAlign w:val="center"/>
          </w:tcPr>
          <w:p>
            <w:pPr>
              <w:jc w:val="left"/>
            </w:pPr>
            <w:r/>
            <w:r>
              <w:rPr>
                <w:rFonts w:ascii="Calibri" w:hAnsi="Calibri"/>
                <w:color w:val="2D2D2D"/>
                <w:sz w:val="18"/>
              </w:rPr>
              <w:t>External party</w:t>
            </w:r>
          </w:p>
        </w:tc>
        <w:tc>
          <w:tcPr>
            <w:tcW w:type="dxa" w:w="4536"/>
            <w:vAlign w:val="center"/>
          </w:tcPr>
          <w:p>
            <w:pPr>
              <w:jc w:val="left"/>
            </w:pPr>
            <w:r/>
            <w:r>
              <w:rPr>
                <w:rFonts w:ascii="Calibri" w:hAnsi="Calibri"/>
                <w:color w:val="2D2D2D"/>
                <w:sz w:val="18"/>
              </w:rPr>
              <w:t>NO access (privacy by default)</w:t>
            </w:r>
          </w:p>
        </w:tc>
      </w:tr>
    </w:tbl>
    <w:p/>
    <w:p>
      <w:pPr>
        <w:pStyle w:val="Heading3"/>
      </w:pPr>
      <w:r>
        <w:t>§9.4 Privacy Rule</w:t>
      </w:r>
    </w:p>
    <w:p>
      <w:pPr>
        <w:spacing w:before="120" w:after="120"/>
        <w:ind w:left="567" w:right="567"/>
        <w:pBdr>
          <w:left w:val="single" w:sz="24" w:space="8" w:color="C59B1E"/>
        </w:pBdr>
        <w:shd w:fill="FFFBF0"/>
      </w:pPr>
      <w:r>
        <w:rPr>
          <w:b/>
          <w:i/>
          <w:color w:val="1A365F"/>
          <w:sz w:val="22"/>
        </w:rPr>
        <w:t>**MITHQAL should not expose sensitive customer information publicly.** Access must be permissioned according to participating-institution rights, regulator rights, central-bank rights, and legal disclosure requirements.</w:t>
      </w:r>
    </w:p>
    <w:p>
      <w:r>
        <w:t>See §24 (Privacy Architecture) for the 3-layer model.</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SettlementRecord</w:t>
      </w:r>
      <w:r>
        <w:t xml:space="preserve">, </w:t>
      </w:r>
      <w:r>
        <w:rPr>
          <w:rFonts w:ascii="Consolas" w:hAnsi="Consolas"/>
          <w:color w:val="6B6B6B"/>
          <w:sz w:val="19"/>
        </w:rPr>
        <w:t>TRACEABILITY</w:t>
      </w:r>
    </w:p>
    <w:p>
      <w:pPr>
        <w:pBdr>
          <w:bottom w:val="single" w:sz="12" w:space="1" w:color="C59B1E"/>
        </w:pBdr>
      </w:pPr>
    </w:p>
    <w:p>
      <w:pPr>
        <w:pStyle w:val="Heading2"/>
      </w:pPr>
      <w:r>
        <w:t>§10 — CORE VALUE PROPOSITION</w:t>
      </w:r>
    </w:p>
    <w:p>
      <w:pPr>
        <w:pStyle w:val="Heading3"/>
      </w:pPr>
      <w:r>
        <w:t>§10.1 Canonical Statement</w:t>
      </w:r>
    </w:p>
    <w:p>
      <w:pPr>
        <w:spacing w:before="120" w:after="120"/>
        <w:ind w:left="567" w:right="567"/>
        <w:pBdr>
          <w:left w:val="single" w:sz="24" w:space="8" w:color="C59B1E"/>
        </w:pBdr>
        <w:shd w:fill="FFFBF0"/>
      </w:pPr>
      <w:r>
        <w:rPr>
          <w:b/>
          <w:i/>
          <w:color w:val="1A365F"/>
          <w:sz w:val="22"/>
        </w:rPr>
        <w:t>**MITHQAL combines digital settlement speed with regulated-money traceability and neutral cross-border interoperability.**</w:t>
      </w:r>
    </w:p>
    <w:p>
      <w:pPr>
        <w:pStyle w:val="Heading3"/>
      </w:pPr>
      <w:r>
        <w:t>§10.2 Three Pillars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Pillar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**Neutrality**</w:t>
            </w:r>
          </w:p>
        </w:tc>
        <w:tc>
          <w:tcPr>
            <w:tcW w:type="dxa" w:w="4536"/>
            <w:vAlign w:val="center"/>
          </w:tcPr>
          <w:p>
            <w:pPr>
              <w:jc w:val="left"/>
            </w:pPr>
            <w:r/>
            <w:r>
              <w:rPr>
                <w:rFonts w:ascii="Calibri" w:hAnsi="Calibri"/>
                <w:color w:val="2D2D2D"/>
                <w:sz w:val="18"/>
              </w:rPr>
              <w:t>Does not compete with sovereign currencies. MTQ connects monetary systems.</w:t>
            </w:r>
          </w:p>
        </w:tc>
      </w:tr>
      <w:tr>
        <w:tc>
          <w:tcPr>
            <w:tcW w:type="dxa" w:w="4536"/>
            <w:shd w:fill="F0F0F0"/>
            <w:vAlign w:val="center"/>
          </w:tcPr>
          <w:p>
            <w:pPr>
              <w:jc w:val="left"/>
            </w:pPr>
            <w:r/>
            <w:r>
              <w:rPr>
                <w:rFonts w:ascii="Calibri" w:hAnsi="Calibri"/>
                <w:color w:val="2D2D2D"/>
                <w:sz w:val="18"/>
              </w:rPr>
              <w:t>**Speed**</w:t>
            </w:r>
          </w:p>
        </w:tc>
        <w:tc>
          <w:tcPr>
            <w:tcW w:type="dxa" w:w="4536"/>
            <w:shd w:fill="F0F0F0"/>
            <w:vAlign w:val="center"/>
          </w:tcPr>
          <w:p>
            <w:pPr>
              <w:jc w:val="left"/>
            </w:pPr>
            <w:r/>
            <w:r>
              <w:rPr>
                <w:rFonts w:ascii="Calibri" w:hAnsi="Calibri"/>
                <w:color w:val="2D2D2D"/>
                <w:sz w:val="18"/>
              </w:rPr>
              <w:t>Digital settlement with cryptographic finality and automated processing.</w:t>
            </w:r>
          </w:p>
        </w:tc>
      </w:tr>
      <w:tr>
        <w:tc>
          <w:tcPr>
            <w:tcW w:type="dxa" w:w="4536"/>
            <w:vAlign w:val="center"/>
          </w:tcPr>
          <w:p>
            <w:pPr>
              <w:jc w:val="left"/>
            </w:pPr>
            <w:r/>
            <w:r>
              <w:rPr>
                <w:rFonts w:ascii="Calibri" w:hAnsi="Calibri"/>
                <w:color w:val="2D2D2D"/>
                <w:sz w:val="18"/>
              </w:rPr>
              <w:t>**Traceability**</w:t>
            </w:r>
          </w:p>
        </w:tc>
        <w:tc>
          <w:tcPr>
            <w:tcW w:type="dxa" w:w="4536"/>
            <w:vAlign w:val="center"/>
          </w:tcPr>
          <w:p>
            <w:pPr>
              <w:jc w:val="left"/>
            </w:pPr>
            <w:r/>
            <w:r>
              <w:rPr>
                <w:rFonts w:ascii="Calibri" w:hAnsi="Calibri"/>
                <w:color w:val="2D2D2D"/>
                <w:sz w:val="18"/>
              </w:rPr>
              <w:t>Institutionally attributable, auditable, compliance-aware settlement.</w:t>
            </w:r>
          </w:p>
        </w:tc>
      </w:tr>
    </w:tbl>
    <w:p/>
    <w:p>
      <w:pPr>
        <w:pStyle w:val="Heading3"/>
      </w:pPr>
      <w:r>
        <w:t>§10.3 What the Value Proposition Does NOT Include</w:t>
      </w:r>
    </w:p>
    <w:p>
      <w:pPr>
        <w:pStyle w:val="ListBullet"/>
        <w:ind w:left="425"/>
      </w:pPr>
      <w:r>
        <w:t>❌ "MTQ creates economic growth automatically"</w:t>
      </w:r>
    </w:p>
    <w:p>
      <w:pPr>
        <w:pStyle w:val="ListBullet"/>
        <w:ind w:left="425"/>
      </w:pPr>
      <w:r>
        <w:t>❌ "MTQ is risk-free"</w:t>
      </w:r>
    </w:p>
    <w:p>
      <w:pPr>
        <w:pStyle w:val="ListBullet"/>
        <w:ind w:left="425"/>
      </w:pPr>
      <w:r>
        <w:t>❌ "MTQ guarantees specific savings"</w:t>
      </w:r>
    </w:p>
    <w:p>
      <w:pPr>
        <w:pStyle w:val="ListBullet"/>
        <w:ind w:left="425"/>
      </w:pPr>
      <w:r>
        <w:t>❌ "MTQ replaces correspondent banking"</w:t>
      </w:r>
    </w:p>
    <w:p>
      <w:pPr>
        <w:pStyle w:val="ListBullet"/>
        <w:ind w:left="425"/>
      </w:pPr>
      <w:r>
        <w:t>❌ "MTQ eliminates all settlement friction"</w:t>
      </w:r>
    </w:p>
    <w:p>
      <w:pPr>
        <w:pStyle w:val="Heading3"/>
      </w:pPr>
      <w:r>
        <w:t>§10.4 Implementation Reference</w:t>
      </w:r>
    </w:p>
    <w:p>
      <w:r>
        <w:rPr>
          <w:b/>
        </w:rPr>
        <w:t>Module:</w:t>
      </w:r>
      <w:r>
        <w:t xml:space="preserve"> </w:t>
      </w:r>
      <w:r>
        <w:rPr>
          <w:rFonts w:ascii="Consolas" w:hAnsi="Consolas"/>
          <w:color w:val="6B6B6B"/>
          <w:sz w:val="19"/>
        </w:rPr>
        <w:t>src/lib/v25-0-identity.ts</w:t>
      </w:r>
      <w:r>
        <w:t xml:space="preserve"> → </w:t>
      </w:r>
      <w:r>
        <w:rPr>
          <w:rFonts w:ascii="Consolas" w:hAnsi="Consolas"/>
          <w:color w:val="6B6B6B"/>
          <w:sz w:val="19"/>
        </w:rPr>
        <w:t>VALUE_PROPOSITION</w:t>
      </w:r>
    </w:p>
    <w:p>
      <w:pPr>
        <w:pBdr>
          <w:bottom w:val="single" w:sz="12" w:space="1" w:color="C59B1E"/>
        </w:pBdr>
      </w:pPr>
    </w:p>
    <w:p>
      <w:r>
        <w:br w:type="page"/>
      </w:r>
    </w:p>
    <w:p>
      <w:pPr>
        <w:jc w:val="center"/>
      </w:pPr>
      <w:r>
        <w:rPr>
          <w:b/>
          <w:color w:val="1A365F"/>
          <w:sz w:val="44"/>
        </w:rPr>
        <w:t>PART II — PARTICIPANT &amp; ISSUANCE ARCHITECTURE</w:t>
      </w:r>
    </w:p>
    <w:p>
      <w:pPr>
        <w:pBdr>
          <w:bottom w:val="single" w:sz="18" w:space="1" w:color="1A365F"/>
        </w:pBdr>
      </w:pPr>
    </w:p>
    <w:p>
      <w:pPr>
        <w:pStyle w:val="Heading2"/>
      </w:pPr>
      <w:r>
        <w:t>§11 — CORPORATE MTQ SETTLEMENT ACCOUNT</w:t>
      </w:r>
    </w:p>
    <w:p>
      <w:pPr>
        <w:pStyle w:val="Heading3"/>
      </w:pPr>
      <w:r>
        <w:t>§11.1 Concept Definition</w:t>
      </w:r>
    </w:p>
    <w:p>
      <w:r>
        <w:t xml:space="preserve">A </w:t>
      </w:r>
      <w:r>
        <w:rPr>
          <w:b/>
        </w:rPr>
        <w:t>Corporate MTQ Settlement Account</w:t>
      </w:r>
      <w:r>
        <w:t xml:space="preserve"> is a bank-controlled institutional MTQ settlement account linked to the corporate's existing regulated banking relationship.</w:t>
      </w:r>
    </w:p>
    <w:p>
      <w:r>
        <w:rPr>
          <w:b/>
        </w:rPr>
        <w:t>Key Distinction:</w:t>
      </w:r>
    </w:p>
    <w:p>
      <w:pPr>
        <w:pStyle w:val="ListBullet"/>
        <w:ind w:left="425"/>
      </w:pPr>
      <w:r>
        <w:t xml:space="preserve">The </w:t>
      </w:r>
      <w:r>
        <w:rPr>
          <w:b/>
        </w:rPr>
        <w:t>corporation</w:t>
      </w:r>
      <w:r>
        <w:t xml:space="preserve"> is the </w:t>
      </w:r>
      <w:r>
        <w:rPr>
          <w:b/>
        </w:rPr>
        <w:t>beneficial economic holder</w:t>
      </w:r>
    </w:p>
    <w:p>
      <w:pPr>
        <w:pStyle w:val="ListBullet"/>
        <w:ind w:left="425"/>
      </w:pPr>
      <w:r>
        <w:t xml:space="preserve">The </w:t>
      </w:r>
      <w:r>
        <w:rPr>
          <w:b/>
        </w:rPr>
        <w:t>bank</w:t>
      </w:r>
      <w:r>
        <w:t xml:space="preserve"> is the </w:t>
      </w:r>
      <w:r>
        <w:rPr>
          <w:b/>
        </w:rPr>
        <w:t>regulated access and security layer</w:t>
      </w:r>
    </w:p>
    <w:p>
      <w:pPr>
        <w:pStyle w:val="ListBullet"/>
        <w:ind w:left="425"/>
      </w:pPr>
      <w:r>
        <w:rPr>
          <w:b/>
        </w:rPr>
        <w:t>MITHQAL</w:t>
      </w:r>
      <w:r>
        <w:t xml:space="preserve"> controls the </w:t>
      </w:r>
      <w:r>
        <w:rPr>
          <w:b/>
        </w:rPr>
        <w:t>MTQ settlement protocol</w:t>
      </w:r>
    </w:p>
    <w:p>
      <w:r>
        <w:rPr>
          <w:b/>
        </w:rPr>
        <w:t>Terminology Note:</w:t>
      </w:r>
      <w:r>
        <w:t xml:space="preserve"> Avoid calling it legally an "MTQ bank account" until jurisdiction-specific counsel confirms that terminology. Use "Corporate MTQ Settlement Account" until legal review.</w:t>
      </w:r>
    </w:p>
    <w:p>
      <w:pPr>
        <w:pStyle w:val="Heading3"/>
      </w:pPr>
      <w:r>
        <w:t>§11.2 Division of Control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Bank Controls</w:t>
            </w:r>
          </w:p>
        </w:tc>
        <w:tc>
          <w:tcPr>
            <w:tcW w:type="dxa" w:w="4536"/>
            <w:shd w:fill="1A365F"/>
            <w:vAlign w:val="center"/>
          </w:tcPr>
          <w:p>
            <w:pPr>
              <w:jc w:val="left"/>
            </w:pPr>
            <w:r/>
            <w:r>
              <w:rPr>
                <w:rFonts w:ascii="Calibri" w:hAnsi="Calibri"/>
                <w:b/>
                <w:color w:val="FFFFFF"/>
                <w:sz w:val="18"/>
              </w:rPr>
              <w:t>MITHQAL Controls</w:t>
            </w:r>
          </w:p>
        </w:tc>
      </w:tr>
      <w:tr>
        <w:tc>
          <w:tcPr>
            <w:tcW w:type="dxa" w:w="4536"/>
            <w:vAlign w:val="center"/>
          </w:tcPr>
          <w:p>
            <w:pPr>
              <w:jc w:val="left"/>
            </w:pPr>
            <w:r/>
            <w:r>
              <w:rPr>
                <w:rFonts w:ascii="Calibri" w:hAnsi="Calibri"/>
                <w:color w:val="2D2D2D"/>
                <w:sz w:val="18"/>
              </w:rPr>
              <w:t>Authentication</w:t>
            </w:r>
          </w:p>
        </w:tc>
        <w:tc>
          <w:tcPr>
            <w:tcW w:type="dxa" w:w="4536"/>
            <w:vAlign w:val="center"/>
          </w:tcPr>
          <w:p>
            <w:pPr>
              <w:jc w:val="left"/>
            </w:pPr>
            <w:r/>
            <w:r>
              <w:rPr>
                <w:rFonts w:ascii="Calibri" w:hAnsi="Calibri"/>
                <w:color w:val="2D2D2D"/>
                <w:sz w:val="18"/>
              </w:rPr>
              <w:t>MTQ protocol</w:t>
            </w:r>
          </w:p>
        </w:tc>
      </w:tr>
      <w:tr>
        <w:tc>
          <w:tcPr>
            <w:tcW w:type="dxa" w:w="4536"/>
            <w:shd w:fill="F0F0F0"/>
            <w:vAlign w:val="center"/>
          </w:tcPr>
          <w:p>
            <w:pPr>
              <w:jc w:val="left"/>
            </w:pPr>
            <w:r/>
            <w:r>
              <w:rPr>
                <w:rFonts w:ascii="Calibri" w:hAnsi="Calibri"/>
                <w:color w:val="2D2D2D"/>
                <w:sz w:val="18"/>
              </w:rPr>
              <w:t>Key management (HSM/MPC)</w:t>
            </w:r>
          </w:p>
        </w:tc>
        <w:tc>
          <w:tcPr>
            <w:tcW w:type="dxa" w:w="4536"/>
            <w:shd w:fill="F0F0F0"/>
            <w:vAlign w:val="center"/>
          </w:tcPr>
          <w:p>
            <w:pPr>
              <w:jc w:val="left"/>
            </w:pPr>
            <w:r/>
            <w:r>
              <w:rPr>
                <w:rFonts w:ascii="Calibri" w:hAnsi="Calibri"/>
                <w:color w:val="2D2D2D"/>
                <w:sz w:val="18"/>
              </w:rPr>
              <w:t>Issuance rules</w:t>
            </w:r>
          </w:p>
        </w:tc>
      </w:tr>
      <w:tr>
        <w:tc>
          <w:tcPr>
            <w:tcW w:type="dxa" w:w="4536"/>
            <w:vAlign w:val="center"/>
          </w:tcPr>
          <w:p>
            <w:pPr>
              <w:jc w:val="left"/>
            </w:pPr>
            <w:r/>
            <w:r>
              <w:rPr>
                <w:rFonts w:ascii="Calibri" w:hAnsi="Calibri"/>
                <w:color w:val="2D2D2D"/>
                <w:sz w:val="18"/>
              </w:rPr>
              <w:t>Corporate signatories</w:t>
            </w:r>
          </w:p>
        </w:tc>
        <w:tc>
          <w:tcPr>
            <w:tcW w:type="dxa" w:w="4536"/>
            <w:vAlign w:val="center"/>
          </w:tcPr>
          <w:p>
            <w:pPr>
              <w:jc w:val="left"/>
            </w:pPr>
            <w:r/>
            <w:r>
              <w:rPr>
                <w:rFonts w:ascii="Calibri" w:hAnsi="Calibri"/>
                <w:color w:val="2D2D2D"/>
                <w:sz w:val="18"/>
              </w:rPr>
              <w:t>Supply</w:t>
            </w:r>
          </w:p>
        </w:tc>
      </w:tr>
      <w:tr>
        <w:tc>
          <w:tcPr>
            <w:tcW w:type="dxa" w:w="4536"/>
            <w:shd w:fill="F0F0F0"/>
            <w:vAlign w:val="center"/>
          </w:tcPr>
          <w:p>
            <w:pPr>
              <w:jc w:val="left"/>
            </w:pPr>
            <w:r/>
            <w:r>
              <w:rPr>
                <w:rFonts w:ascii="Calibri" w:hAnsi="Calibri"/>
                <w:color w:val="2D2D2D"/>
                <w:sz w:val="18"/>
              </w:rPr>
              <w:t>Transaction policy</w:t>
            </w:r>
          </w:p>
        </w:tc>
        <w:tc>
          <w:tcPr>
            <w:tcW w:type="dxa" w:w="4536"/>
            <w:shd w:fill="F0F0F0"/>
            <w:vAlign w:val="center"/>
          </w:tcPr>
          <w:p>
            <w:pPr>
              <w:jc w:val="left"/>
            </w:pPr>
            <w:r/>
            <w:r>
              <w:rPr>
                <w:rFonts w:ascii="Calibri" w:hAnsi="Calibri"/>
                <w:color w:val="2D2D2D"/>
                <w:sz w:val="18"/>
              </w:rPr>
              <w:t>Settlement state</w:t>
            </w:r>
          </w:p>
        </w:tc>
      </w:tr>
      <w:tr>
        <w:tc>
          <w:tcPr>
            <w:tcW w:type="dxa" w:w="4536"/>
            <w:vAlign w:val="center"/>
          </w:tcPr>
          <w:p>
            <w:pPr>
              <w:jc w:val="left"/>
            </w:pPr>
            <w:r/>
            <w:r>
              <w:rPr>
                <w:rFonts w:ascii="Calibri" w:hAnsi="Calibri"/>
                <w:color w:val="2D2D2D"/>
                <w:sz w:val="18"/>
              </w:rPr>
              <w:t>Cybersecurity</w:t>
            </w:r>
          </w:p>
        </w:tc>
        <w:tc>
          <w:tcPr>
            <w:tcW w:type="dxa" w:w="4536"/>
            <w:vAlign w:val="center"/>
          </w:tcPr>
          <w:p>
            <w:pPr>
              <w:jc w:val="left"/>
            </w:pPr>
            <w:r/>
            <w:r>
              <w:rPr>
                <w:rFonts w:ascii="Calibri" w:hAnsi="Calibri"/>
                <w:color w:val="2D2D2D"/>
                <w:sz w:val="18"/>
              </w:rPr>
              <w:t>Institutional permissions</w:t>
            </w:r>
          </w:p>
        </w:tc>
      </w:tr>
      <w:tr>
        <w:tc>
          <w:tcPr>
            <w:tcW w:type="dxa" w:w="4536"/>
            <w:shd w:fill="F0F0F0"/>
            <w:vAlign w:val="center"/>
          </w:tcPr>
          <w:p>
            <w:pPr>
              <w:jc w:val="left"/>
            </w:pPr>
            <w:r/>
            <w:r>
              <w:rPr>
                <w:rFonts w:ascii="Calibri" w:hAnsi="Calibri"/>
                <w:color w:val="2D2D2D"/>
                <w:sz w:val="18"/>
              </w:rPr>
              <w:t>Fraud controls</w:t>
            </w:r>
          </w:p>
        </w:tc>
        <w:tc>
          <w:tcPr>
            <w:tcW w:type="dxa" w:w="4536"/>
            <w:shd w:fill="F0F0F0"/>
            <w:vAlign w:val="center"/>
          </w:tcPr>
          <w:p>
            <w:pPr>
              <w:jc w:val="left"/>
            </w:pPr>
            <w:r/>
            <w:r>
              <w:rPr>
                <w:rFonts w:ascii="Calibri" w:hAnsi="Calibri"/>
                <w:color w:val="2D2D2D"/>
                <w:sz w:val="18"/>
              </w:rPr>
              <w:t>Reserve/monetary integrity</w:t>
            </w:r>
          </w:p>
        </w:tc>
      </w:tr>
      <w:tr>
        <w:tc>
          <w:tcPr>
            <w:tcW w:type="dxa" w:w="4536"/>
            <w:vAlign w:val="center"/>
          </w:tcPr>
          <w:p>
            <w:pPr>
              <w:jc w:val="left"/>
            </w:pPr>
            <w:r/>
            <w:r>
              <w:rPr>
                <w:rFonts w:ascii="Calibri" w:hAnsi="Calibri"/>
                <w:color w:val="2D2D2D"/>
                <w:sz w:val="18"/>
              </w:rPr>
              <w:t>Account recovery</w:t>
            </w:r>
          </w:p>
        </w:tc>
        <w:tc>
          <w:tcPr>
            <w:tcW w:type="dxa" w:w="4536"/>
            <w:vAlign w:val="center"/>
          </w:tcPr>
          <w:p>
            <w:pPr>
              <w:jc w:val="left"/>
            </w:pPr>
            <w:r/>
            <w:r>
              <w:rPr>
                <w:rFonts w:ascii="Calibri" w:hAnsi="Calibri"/>
                <w:color w:val="2D2D2D"/>
                <w:sz w:val="18"/>
              </w:rPr>
            </w:r>
          </w:p>
        </w:tc>
      </w:tr>
      <w:tr>
        <w:tc>
          <w:tcPr>
            <w:tcW w:type="dxa" w:w="4536"/>
            <w:shd w:fill="F0F0F0"/>
            <w:vAlign w:val="center"/>
          </w:tcPr>
          <w:p>
            <w:pPr>
              <w:jc w:val="left"/>
            </w:pPr>
            <w:r/>
            <w:r>
              <w:rPr>
                <w:rFonts w:ascii="Calibri" w:hAnsi="Calibri"/>
                <w:color w:val="2D2D2D"/>
                <w:sz w:val="18"/>
              </w:rPr>
              <w:t>Segregation of duties</w:t>
            </w:r>
          </w:p>
        </w:tc>
        <w:tc>
          <w:tcPr>
            <w:tcW w:type="dxa" w:w="4536"/>
            <w:shd w:fill="F0F0F0"/>
            <w:vAlign w:val="center"/>
          </w:tcPr>
          <w:p>
            <w:pPr>
              <w:jc w:val="left"/>
            </w:pPr>
            <w:r/>
            <w:r>
              <w:rPr>
                <w:rFonts w:ascii="Calibri" w:hAnsi="Calibri"/>
                <w:color w:val="2D2D2D"/>
                <w:sz w:val="18"/>
              </w:rPr>
            </w:r>
          </w:p>
        </w:tc>
      </w:tr>
    </w:tbl>
    <w:p/>
    <w:p>
      <w:r>
        <w:rPr>
          <w:b/>
        </w:rPr>
        <w:t>Principle:</w:t>
      </w:r>
      <w:r>
        <w:t xml:space="preserve"> Bank controls the access/security layer. MITHQAL controls the MTQ settlement protocol.</w:t>
      </w:r>
    </w:p>
    <w:p>
      <w:pPr>
        <w:pStyle w:val="Heading3"/>
      </w:pPr>
      <w:r>
        <w:t>§11.3 Account Schema</w:t>
      </w:r>
    </w:p>
    <w:p>
      <w:pPr>
        <w:ind w:left="283"/>
        <w:shd w:fill="F5F5F5"/>
      </w:pPr>
      <w:r>
        <w:rPr>
          <w:rFonts w:ascii="Consolas" w:hAnsi="Consolas"/>
          <w:color w:val="6B6B6B"/>
          <w:sz w:val="18"/>
        </w:rPr>
        <w:t>interface CorporateSettlementAccount {</w:t>
        <w:br/>
        <w:t xml:space="preserve">  accountId: string;                    // CSA-{timestamp}-{random}</w:t>
        <w:br/>
        <w:t xml:space="preserve">  corporateId: string;</w:t>
        <w:br/>
        <w:t xml:space="preserve">  corporateName: string;</w:t>
        <w:br/>
        <w:t xml:space="preserve">  bankInstitutionId: string;           // The regulated bank</w:t>
        <w:br/>
        <w:t xml:space="preserve">  jurisdiction: string;</w:t>
        <w:br/>
        <w:t xml:space="preserve">  status: "ACTIVE" | "SUSPENDED" | "CLOSED" | "PENDING";</w:t>
        <w:br/>
        <w:br/>
        <w:t xml:space="preserve">  // Bank-controlled fields</w:t>
        <w:br/>
        <w:t xml:space="preserve">  authenticationMethod: "HSM_MPC" | "HSM" | "MPC";</w:t>
        <w:br/>
        <w:t xml:space="preserve">  corporateSignatories: string[];</w:t>
        <w:br/>
        <w:t xml:space="preserve">  transactionPolicy: TransactionPolicy;</w:t>
        <w:br/>
        <w:t xml:space="preserve">  cybersecurityLevel: "STANDARD" | "ENHANCED" | "MAXIMUM";</w:t>
        <w:br/>
        <w:t xml:space="preserve">  fraudControls: boolean;</w:t>
        <w:br/>
        <w:t xml:space="preserve">  accountRecovery: "ENABLED" | "DISABLED";</w:t>
        <w:br/>
        <w:t xml:space="preserve">  segregationOfDuties: boolean;</w:t>
        <w:br/>
        <w:br/>
        <w:t xml:space="preserve">  // MITHQAL-controlled fields</w:t>
        <w:br/>
        <w:t xml:space="preserve">  mtqBalance: number;</w:t>
        <w:br/>
        <w:t xml:space="preserve">  settlementLimits: {</w:t>
        <w:br/>
        <w:t xml:space="preserve">    maxSingleTransaction: number;</w:t>
        <w:br/>
        <w:t xml:space="preserve">    dailyLimit: number;</w:t>
        <w:br/>
        <w:t xml:space="preserve">    monthlyLimit: number;</w:t>
        <w:br/>
        <w:t xml:space="preserve">  };</w:t>
        <w:br/>
        <w:br/>
        <w:t xml:space="preserve">  createdAt: string;</w:t>
        <w:br/>
        <w:t xml:space="preserve">  lastActivity: string;</w:t>
        <w:br/>
        <w:t>}</w:t>
      </w:r>
    </w:p>
    <w:p>
      <w:pPr>
        <w:pStyle w:val="Heading3"/>
      </w:pPr>
      <w:r>
        <w:t>§11.4 Transaction Policy</w:t>
      </w:r>
    </w:p>
    <w:p>
      <w:pPr>
        <w:ind w:left="283"/>
        <w:shd w:fill="F5F5F5"/>
      </w:pPr>
      <w:r>
        <w:rPr>
          <w:rFonts w:ascii="Consolas" w:hAnsi="Consolas"/>
          <w:color w:val="6B6B6B"/>
          <w:sz w:val="18"/>
        </w:rPr>
        <w:t>interface TransactionPolicy {</w:t>
        <w:br/>
        <w:t xml:space="preserve">  requireDualApproval: boolean;      // segregation of duties</w:t>
        <w:br/>
        <w:t xml:space="preserve">  maxWithoutApproval: number;        // auto-approve threshold</w:t>
        <w:br/>
        <w:t xml:space="preserve">  approvalThreshold: number;         // requires signatory approval</w:t>
        <w:br/>
        <w:t xml:space="preserve">  allowedCorridors: string[];</w:t>
        <w:br/>
        <w:t xml:space="preserve">  allowedCurrencies: string[];</w:t>
        <w:br/>
        <w:t xml:space="preserve">  blackoutPeriods?: string[];        // time-based restrictions</w:t>
        <w:br/>
        <w:t>}</w:t>
      </w:r>
    </w:p>
    <w:p>
      <w:pPr>
        <w:pStyle w:val="Heading3"/>
      </w:pPr>
      <w:r>
        <w:t>§11.5 Why the Bank-Linked Account Is Strategically Superior</w:t>
      </w:r>
    </w:p>
    <w:p>
      <w:r>
        <w:t xml:space="preserve">The corporate does </w:t>
      </w:r>
      <w:r>
        <w:rPr>
          <w:b/>
        </w:rPr>
        <w:t>not</w:t>
      </w:r>
      <w:r>
        <w:t xml:space="preserve"> need to become a crypto user. It already has:</w:t>
      </w:r>
    </w:p>
    <w:p>
      <w:pPr>
        <w:pStyle w:val="ListBullet"/>
        <w:ind w:left="425"/>
      </w:pPr>
      <w:r>
        <w:t>A bank account</w:t>
      </w:r>
    </w:p>
    <w:p>
      <w:pPr>
        <w:pStyle w:val="ListBullet"/>
        <w:ind w:left="425"/>
      </w:pPr>
      <w:r>
        <w:t>Legal identity</w:t>
      </w:r>
    </w:p>
    <w:p>
      <w:pPr>
        <w:pStyle w:val="ListBullet"/>
        <w:ind w:left="425"/>
      </w:pPr>
      <w:r>
        <w:t>KYB</w:t>
      </w:r>
    </w:p>
    <w:p>
      <w:pPr>
        <w:pStyle w:val="ListBullet"/>
        <w:ind w:left="425"/>
      </w:pPr>
      <w:r>
        <w:t>UBO records</w:t>
      </w:r>
    </w:p>
    <w:p>
      <w:pPr>
        <w:pStyle w:val="ListBullet"/>
        <w:ind w:left="425"/>
      </w:pPr>
      <w:r>
        <w:t>Authorized signatories</w:t>
      </w:r>
    </w:p>
    <w:p>
      <w:pPr>
        <w:pStyle w:val="ListBullet"/>
        <w:ind w:left="425"/>
      </w:pPr>
      <w:r>
        <w:t>Banking security</w:t>
      </w:r>
    </w:p>
    <w:p>
      <w:pPr>
        <w:pStyle w:val="ListBullet"/>
        <w:ind w:left="425"/>
      </w:pPr>
      <w:r>
        <w:t>Treasury controls</w:t>
      </w:r>
    </w:p>
    <w:p>
      <w:r>
        <w:rPr>
          <w:b/>
        </w:rPr>
        <w:t>The user experience becomes:</w:t>
      </w:r>
    </w:p>
    <w:p>
      <w:pPr>
        <w:spacing w:before="120" w:after="120"/>
        <w:ind w:left="567" w:right="567"/>
        <w:pBdr>
          <w:left w:val="single" w:sz="24" w:space="8" w:color="C59B1E"/>
        </w:pBdr>
        <w:shd w:fill="FFFBF0"/>
      </w:pPr>
      <w:r>
        <w:rPr>
          <w:b/>
          <w:i/>
          <w:color w:val="1A365F"/>
          <w:sz w:val="22"/>
        </w:rPr>
        <w:t>"I want to make a $10 million international payment."</w:t>
      </w:r>
    </w:p>
    <w:p>
      <w:r>
        <w:rPr>
          <w:b/>
        </w:rPr>
        <w:t>NOT:</w:t>
      </w:r>
    </w:p>
    <w:p>
      <w:pPr>
        <w:spacing w:before="120" w:after="120"/>
        <w:ind w:left="567" w:right="567"/>
        <w:pBdr>
          <w:left w:val="single" w:sz="24" w:space="8" w:color="C59B1E"/>
        </w:pBdr>
        <w:shd w:fill="FFFBF0"/>
      </w:pPr>
      <w:r>
        <w:rPr>
          <w:b/>
          <w:i/>
          <w:color w:val="1A365F"/>
          <w:sz w:val="22"/>
        </w:rPr>
        <w:t>"I need to buy cryptocurrency."</w:t>
      </w:r>
    </w:p>
    <w:p>
      <w:r>
        <w:t>This is far more appropriate for corporate banking.</w:t>
      </w:r>
    </w:p>
    <w:p>
      <w:pPr>
        <w:pStyle w:val="Heading3"/>
      </w:pPr>
      <w:r>
        <w:t>§11.6 Corporate Treasury Dashboard (UX Concept)</w:t>
      </w:r>
    </w:p>
    <w:p>
      <w:r>
        <w:t xml:space="preserve">The blockchain should be </w:t>
      </w:r>
      <w:r>
        <w:rPr>
          <w:b/>
        </w:rPr>
        <w:t>infrastructure</w:t>
      </w:r>
      <w:r>
        <w:t>, not the customer experience.</w:t>
      </w:r>
    </w:p>
    <w:p>
      <w:pPr>
        <w:ind w:left="283"/>
        <w:shd w:fill="F5F5F5"/>
      </w:pPr>
      <w:r>
        <w:rPr>
          <w:rFonts w:ascii="Consolas" w:hAnsi="Consolas"/>
          <w:color w:val="6B6B6B"/>
          <w:sz w:val="18"/>
        </w:rPr>
        <w:t>┌─────────────────────────────────────────────────┐</w:t>
        <w:br/>
        <w:t>│  Corporate Treasury Dashboard                     │</w:t>
        <w:br/>
        <w:t>├─────────────────────────────────────────────────┤</w:t>
        <w:br/>
        <w:t>│                                                   │</w:t>
        <w:br/>
        <w:t>│  JPY Account             ¥1,500,000,000          │</w:t>
        <w:br/>
        <w:t>│  USD Account               $5,000,000             │</w:t>
        <w:br/>
        <w:t>│  MTQ Settlement Account      18,000,000 MTQ       │</w:t>
        <w:br/>
        <w:t>│                                                   │</w:t>
        <w:br/>
        <w:t>│  ┌─────────────────────────────────────────┐     │</w:t>
        <w:br/>
        <w:t>│  │  [Make International Payment]            │     │</w:t>
        <w:br/>
        <w:t>│  │  [Receive Settlement]                    │     │</w:t>
        <w:br/>
        <w:t>│  │  [Convert / Redeem]                      │     │</w:t>
        <w:br/>
        <w:t>│  │  [View Settlement]                       │     │</w:t>
        <w:br/>
        <w:t>│  │  [Reconcile]                             │     │</w:t>
        <w:br/>
        <w:t>│  └─────────────────────────────────────────┘     │</w:t>
        <w:br/>
        <w:t>│                                                   │</w:t>
        <w:br/>
        <w:t>│  Recent Settlements:                              │</w:t>
        <w:br/>
        <w:t>│  ┌─────────┬──────────┬────────┬────────┬──────┐ │</w:t>
        <w:br/>
        <w:t>│  │ TXN ID  │ Counter  │ Amount │ Status │ Date │ │</w:t>
        <w:br/>
        <w:t>│  ├─────────┼──────────┼────────┼────────┼──────┤ │</w:t>
        <w:br/>
        <w:t>│  │ MTQ-001 │ US Bank  │ $10M   │ SETTLED│ 08/14│ │</w:t>
        <w:br/>
        <w:t>│  │ MTQ-002 │ EU Bank  │ €5M    │ SETTLED│ 08/14│ │</w:t>
        <w:br/>
        <w:t>│  └─────────┴──────────┴────────┴────────┴──────┘ │</w:t>
        <w:br/>
        <w:t>└─────────────────────────────────────────────────┘</w:t>
      </w:r>
    </w:p>
    <w:p>
      <w:r>
        <w:rPr>
          <w:b/>
        </w:rPr>
        <w:t>Implementation Reference:</w:t>
      </w:r>
      <w:r>
        <w:t xml:space="preserve"> </w:t>
      </w:r>
      <w:r>
        <w:rPr>
          <w:rFonts w:ascii="Consolas" w:hAnsi="Consolas"/>
          <w:color w:val="6B6B6B"/>
          <w:sz w:val="19"/>
        </w:rPr>
        <w:t>src/lib/corporate-settlement-account.ts</w:t>
      </w:r>
      <w:r>
        <w:t xml:space="preserve"> → </w:t>
      </w:r>
      <w:r>
        <w:rPr>
          <w:rFonts w:ascii="Consolas" w:hAnsi="Consolas"/>
          <w:color w:val="6B6B6B"/>
          <w:sz w:val="19"/>
        </w:rPr>
        <w:t>createCorporateSettlementAccount()</w:t>
      </w:r>
      <w:r>
        <w:t xml:space="preserve">, </w:t>
      </w:r>
      <w:r>
        <w:rPr>
          <w:rFonts w:ascii="Consolas" w:hAnsi="Consolas"/>
          <w:color w:val="6B6B6B"/>
          <w:sz w:val="19"/>
        </w:rPr>
        <w:t>CorporateSettlementAccount</w:t>
      </w:r>
      <w:r>
        <w:t xml:space="preserve">, </w:t>
      </w:r>
      <w:r>
        <w:rPr>
          <w:rFonts w:ascii="Consolas" w:hAnsi="Consolas"/>
          <w:color w:val="6B6B6B"/>
          <w:sz w:val="19"/>
        </w:rPr>
        <w:t>CorporateTreasuryDashboard</w:t>
      </w:r>
    </w:p>
    <w:p>
      <w:pPr>
        <w:pBdr>
          <w:bottom w:val="single" w:sz="12" w:space="1" w:color="C59B1E"/>
        </w:pBdr>
      </w:pPr>
    </w:p>
    <w:p>
      <w:pPr>
        <w:pStyle w:val="Heading2"/>
      </w:pPr>
      <w:r>
        <w:t>§12 — BANK-CONTROLLED WALLET ARCHITECTURE</w:t>
      </w:r>
    </w:p>
    <w:p>
      <w:pPr>
        <w:pStyle w:val="Heading3"/>
      </w:pPr>
      <w:r>
        <w:t>§12.1 Hybrid Model</w:t>
      </w:r>
    </w:p>
    <w:p>
      <w:r>
        <w:t xml:space="preserve">Use a hybrid model: </w:t>
      </w:r>
      <w:r>
        <w:rPr>
          <w:b/>
        </w:rPr>
        <w:t>on-chain institutional wallet</w:t>
      </w:r>
      <w:r>
        <w:t xml:space="preserve"> (bank-controlled) + </w:t>
      </w:r>
      <w:r>
        <w:rPr>
          <w:b/>
        </w:rPr>
        <w:t>internal bank subaccounts</w:t>
      </w:r>
      <w:r>
        <w:t xml:space="preserve"> (corporate-level).</w:t>
      </w:r>
    </w:p>
    <w:p>
      <w:pPr>
        <w:ind w:left="283"/>
        <w:shd w:fill="F5F5F5"/>
      </w:pPr>
      <w:r>
        <w:rPr>
          <w:rFonts w:ascii="Consolas" w:hAnsi="Consolas"/>
          <w:color w:val="6B6B6B"/>
          <w:sz w:val="18"/>
        </w:rPr>
        <w:t>Bank A MTQ Institutional Wallet (on-chain)</w:t>
        <w:br/>
        <w:t xml:space="preserve">        │</w:t>
        <w:br/>
        <w:t xml:space="preserve">        ├── Corporate X subaccount</w:t>
        <w:br/>
        <w:t xml:space="preserve">        ├── Corporate Y subaccount</w:t>
        <w:br/>
        <w:t xml:space="preserve">        └── Corporate Z subaccount</w:t>
      </w:r>
    </w:p>
    <w:p>
      <w:r>
        <w:t>This reduces wallet proliferation while keeping customer attribution inside the bank.</w:t>
      </w:r>
    </w:p>
    <w:p>
      <w:pPr>
        <w:pStyle w:val="Heading3"/>
      </w:pPr>
      <w:r>
        <w:t>§12.2 Bank Institutional Wallet Schema</w:t>
      </w:r>
    </w:p>
    <w:p>
      <w:pPr>
        <w:ind w:left="283"/>
        <w:shd w:fill="F5F5F5"/>
      </w:pPr>
      <w:r>
        <w:rPr>
          <w:rFonts w:ascii="Consolas" w:hAnsi="Consolas"/>
          <w:color w:val="6B6B6B"/>
          <w:sz w:val="18"/>
        </w:rPr>
        <w:t>interface BankInstitutionalWallet {</w:t>
        <w:br/>
        <w:t xml:space="preserve">  walletId: string;                    // WALLET-{bankInstitutionId}</w:t>
        <w:br/>
        <w:t xml:space="preserve">  bankInstitutionId: string;</w:t>
        <w:br/>
        <w:t xml:space="preserve">  onChainAddress: string;             // single on-chain address</w:t>
        <w:br/>
        <w:t xml:space="preserve">  totalMtqBalance: number;</w:t>
        <w:br/>
        <w:t xml:space="preserve">  subaccounts: CorporateSubaccount[];</w:t>
        <w:br/>
        <w:t xml:space="preserve">  status: "ACTIVE" | "SUSPENDED" | "FROZEN";</w:t>
        <w:br/>
        <w:t xml:space="preserve">  cryptographicAttestation?: BankAttestation;</w:t>
        <w:br/>
        <w:t>}</w:t>
      </w:r>
    </w:p>
    <w:p>
      <w:pPr>
        <w:pStyle w:val="Heading3"/>
      </w:pPr>
      <w:r>
        <w:t>§12.3 Corporate Subaccount Schema</w:t>
      </w:r>
    </w:p>
    <w:p>
      <w:pPr>
        <w:ind w:left="283"/>
        <w:shd w:fill="F5F5F5"/>
      </w:pPr>
      <w:r>
        <w:rPr>
          <w:rFonts w:ascii="Consolas" w:hAnsi="Consolas"/>
          <w:color w:val="6B6B6B"/>
          <w:sz w:val="18"/>
        </w:rPr>
        <w:t>interface CorporateSubaccount {</w:t>
        <w:br/>
        <w:t xml:space="preserve">  subaccountId: string;</w:t>
        <w:br/>
        <w:t xml:space="preserve">  corporateId: string;</w:t>
        <w:br/>
        <w:t xml:space="preserve">  corporateName: string;</w:t>
        <w:br/>
        <w:t xml:space="preserve">  balance: number;</w:t>
        <w:br/>
        <w:t xml:space="preserve">  internalReference: string;          // bank-internal, NOT exposed to MITHQAL</w:t>
        <w:br/>
        <w:t xml:space="preserve">  kycStatus: "VALID" | "EXPIRED" | "PENDING";</w:t>
        <w:br/>
        <w:t xml:space="preserve">  amlStatus: "CLEAR" | "FLAGGED" | "UNDER_REVIEW";</w:t>
        <w:br/>
        <w:t xml:space="preserve">  sanctionsStatus: "CLEAR" | "FLAGGED" | "BLOCKED";</w:t>
        <w:br/>
        <w:t>}</w:t>
      </w:r>
    </w:p>
    <w:p>
      <w:pPr>
        <w:pStyle w:val="Heading3"/>
      </w:pPr>
      <w:r>
        <w:t>§12.4 Bank Attestation (Cryptographic)</w:t>
      </w:r>
    </w:p>
    <w:p>
      <w:pPr>
        <w:ind w:left="283"/>
        <w:shd w:fill="F5F5F5"/>
      </w:pPr>
      <w:r>
        <w:rPr>
          <w:rFonts w:ascii="Consolas" w:hAnsi="Consolas"/>
          <w:color w:val="6B6B6B"/>
          <w:sz w:val="18"/>
        </w:rPr>
        <w:t>interface BankAttestation {</w:t>
        <w:br/>
        <w:t xml:space="preserve">  attestationId: string;</w:t>
        <w:br/>
        <w:t xml:space="preserve">  bankInstitutionId: string;</w:t>
        <w:br/>
        <w:t xml:space="preserve">  totalWalletBalance: number;</w:t>
        <w:br/>
        <w:t xml:space="preserve">  sumOfSubaccounts: number;</w:t>
        <w:br/>
        <w:t xml:space="preserve">  reconciliationMatch: boolean;</w:t>
        <w:br/>
        <w:t xml:space="preserve">  signedAt: string;</w:t>
        <w:br/>
        <w:t xml:space="preserve">  signatureHash: string;</w:t>
        <w:br/>
        <w:t xml:space="preserve">  zkProof?: string;                   // ZK proof of sufficient backing</w:t>
        <w:br/>
        <w:t>}</w:t>
      </w:r>
    </w:p>
    <w:p>
      <w:pPr>
        <w:pStyle w:val="Heading3"/>
      </w:pPr>
      <w:r>
        <w:t>§12.5 MITHQAL Visibility</w:t>
      </w:r>
    </w:p>
    <w:p>
      <w:r>
        <w:t>MITHQAL sees:</w:t>
      </w:r>
    </w:p>
    <w:p>
      <w:pPr>
        <w:pStyle w:val="ListBullet"/>
        <w:ind w:left="425"/>
      </w:pPr>
      <w:r>
        <w:t>Aggregate institutional balances (bank-level)</w:t>
      </w:r>
    </w:p>
    <w:p>
      <w:pPr>
        <w:pStyle w:val="ListBullet"/>
        <w:ind w:left="425"/>
      </w:pPr>
      <w:r>
        <w:t>Cryptographic proofs/attestations</w:t>
      </w:r>
    </w:p>
    <w:p>
      <w:r>
        <w:t xml:space="preserve">MITHQAL does </w:t>
      </w:r>
      <w:r>
        <w:rPr>
          <w:b/>
        </w:rPr>
        <w:t>NOT</w:t>
      </w:r>
      <w:r>
        <w:t xml:space="preserve"> see:</w:t>
      </w:r>
    </w:p>
    <w:p>
      <w:pPr>
        <w:pStyle w:val="ListBullet"/>
        <w:ind w:left="425"/>
      </w:pPr>
      <w:r>
        <w:t>Individual corporate subaccount balances (by default)</w:t>
      </w:r>
    </w:p>
    <w:p>
      <w:pPr>
        <w:pStyle w:val="ListBullet"/>
        <w:ind w:left="425"/>
      </w:pPr>
      <w:r>
        <w:t>Customer identities (by default)</w:t>
      </w:r>
    </w:p>
    <w:p>
      <w:pPr>
        <w:pStyle w:val="ListBullet"/>
        <w:ind w:left="425"/>
      </w:pPr>
      <w:r>
        <w:t>Bank-internal references</w:t>
      </w:r>
    </w:p>
    <w:p>
      <w:r>
        <w:t>See §24 (Privacy Architecture) for the 3-layer model.</w:t>
      </w:r>
    </w:p>
    <w:p>
      <w:pPr>
        <w:pStyle w:val="Heading3"/>
      </w:pPr>
      <w:r>
        <w:t>§12.6 Bank Cybersecurity Responsibilities</w:t>
      </w:r>
    </w:p>
    <w:p>
      <w:r>
        <w:t>The bank controls:</w:t>
      </w:r>
    </w:p>
    <w:p>
      <w:pPr>
        <w:pStyle w:val="ListBullet"/>
        <w:ind w:left="425"/>
      </w:pPr>
      <w:r>
        <w:t>Authentication</w:t>
      </w:r>
    </w:p>
    <w:p>
      <w:pPr>
        <w:pStyle w:val="ListBullet"/>
        <w:ind w:left="425"/>
      </w:pPr>
      <w:r>
        <w:t>HSM/MPC key management</w:t>
      </w:r>
    </w:p>
    <w:p>
      <w:pPr>
        <w:pStyle w:val="ListBullet"/>
        <w:ind w:left="425"/>
      </w:pPr>
      <w:r>
        <w:t>Corporate signatories</w:t>
      </w:r>
    </w:p>
    <w:p>
      <w:pPr>
        <w:pStyle w:val="ListBullet"/>
        <w:ind w:left="425"/>
      </w:pPr>
      <w:r>
        <w:t>MFA (Multi-Factor Authentication)</w:t>
      </w:r>
    </w:p>
    <w:p>
      <w:pPr>
        <w:pStyle w:val="ListBullet"/>
        <w:ind w:left="425"/>
      </w:pPr>
      <w:r>
        <w:t>Transaction approvals</w:t>
      </w:r>
    </w:p>
    <w:p>
      <w:pPr>
        <w:pStyle w:val="ListBullet"/>
        <w:ind w:left="425"/>
      </w:pPr>
      <w:r>
        <w:t>Device controls</w:t>
      </w:r>
    </w:p>
    <w:p>
      <w:pPr>
        <w:pStyle w:val="ListBullet"/>
        <w:ind w:left="425"/>
      </w:pPr>
      <w:r>
        <w:t>Fraud detection</w:t>
      </w:r>
    </w:p>
    <w:p>
      <w:pPr>
        <w:pStyle w:val="ListBullet"/>
        <w:ind w:left="425"/>
      </w:pPr>
      <w:r>
        <w:t>Key recovery</w:t>
      </w:r>
    </w:p>
    <w:p>
      <w:pPr>
        <w:pStyle w:val="ListBullet"/>
        <w:ind w:left="425"/>
      </w:pPr>
      <w:r>
        <w:t>Operational security</w:t>
      </w:r>
    </w:p>
    <w:p>
      <w:r>
        <w:t>MITHQAL provides:</w:t>
      </w:r>
    </w:p>
    <w:p>
      <w:pPr>
        <w:pStyle w:val="ListBullet"/>
        <w:ind w:left="425"/>
      </w:pPr>
      <w:r>
        <w:t>Cryptographic settlement</w:t>
      </w:r>
    </w:p>
    <w:p>
      <w:pPr>
        <w:pStyle w:val="ListBullet"/>
        <w:ind w:left="425"/>
      </w:pPr>
      <w:r>
        <w:t>Policy enforcement</w:t>
      </w:r>
    </w:p>
    <w:p>
      <w:pPr>
        <w:pStyle w:val="ListBullet"/>
        <w:ind w:left="425"/>
      </w:pPr>
      <w:r>
        <w:t>Issuance controls</w:t>
      </w:r>
    </w:p>
    <w:p>
      <w:pPr>
        <w:pStyle w:val="ListBullet"/>
        <w:ind w:left="425"/>
      </w:pPr>
      <w:r>
        <w:t>Ledger integrity</w:t>
      </w:r>
    </w:p>
    <w:p>
      <w:pPr>
        <w:pStyle w:val="ListBullet"/>
        <w:ind w:left="425"/>
      </w:pPr>
      <w:r>
        <w:t>Institutional auditability</w:t>
      </w:r>
    </w:p>
    <w:p>
      <w:r>
        <w:rPr>
          <w:b/>
        </w:rPr>
        <w:t>Implementation Reference:</w:t>
      </w:r>
      <w:r>
        <w:t xml:space="preserve"> </w:t>
      </w:r>
      <w:r>
        <w:rPr>
          <w:rFonts w:ascii="Consolas" w:hAnsi="Consolas"/>
          <w:color w:val="6B6B6B"/>
          <w:sz w:val="19"/>
        </w:rPr>
        <w:t>src/lib/corporate-settlement-account.ts</w:t>
      </w:r>
      <w:r>
        <w:t xml:space="preserve"> → </w:t>
      </w:r>
      <w:r>
        <w:rPr>
          <w:rFonts w:ascii="Consolas" w:hAnsi="Consolas"/>
          <w:color w:val="6B6B6B"/>
          <w:sz w:val="19"/>
        </w:rPr>
        <w:t>createBankInstitutionalWallet()</w:t>
      </w:r>
      <w:r>
        <w:t xml:space="preserve">, </w:t>
      </w:r>
      <w:r>
        <w:rPr>
          <w:rFonts w:ascii="Consolas" w:hAnsi="Consolas"/>
          <w:color w:val="6B6B6B"/>
          <w:sz w:val="19"/>
        </w:rPr>
        <w:t>addCorporateSubaccount()</w:t>
      </w:r>
      <w:r>
        <w:t xml:space="preserve">, </w:t>
      </w:r>
      <w:r>
        <w:rPr>
          <w:rFonts w:ascii="Consolas" w:hAnsi="Consolas"/>
          <w:color w:val="6B6B6B"/>
          <w:sz w:val="19"/>
        </w:rPr>
        <w:t>BankInstitutionalWallet</w:t>
      </w:r>
      <w:r>
        <w:t xml:space="preserve">, </w:t>
      </w:r>
      <w:r>
        <w:rPr>
          <w:rFonts w:ascii="Consolas" w:hAnsi="Consolas"/>
          <w:color w:val="6B6B6B"/>
          <w:sz w:val="19"/>
        </w:rPr>
        <w:t>CorporateSubaccount</w:t>
      </w:r>
    </w:p>
    <w:p>
      <w:pPr>
        <w:pBdr>
          <w:bottom w:val="single" w:sz="12" w:space="1" w:color="C59B1E"/>
        </w:pBdr>
      </w:pPr>
    </w:p>
    <w:p>
      <w:pPr>
        <w:pStyle w:val="Heading2"/>
      </w:pPr>
      <w:r>
        <w:t>§13 — TRADING LANGUAGE REDEFINITION</w:t>
      </w:r>
    </w:p>
    <w:p>
      <w:pPr>
        <w:pStyle w:val="Heading3"/>
      </w:pPr>
      <w:r>
        <w:t>§13.1 Permitted</w:t>
      </w:r>
    </w:p>
    <w:p>
      <w:r>
        <w:rPr>
          <w:b/>
        </w:rPr>
        <w:t>Institutional reserve acquisition/rebalancing</w:t>
      </w:r>
      <w:r>
        <w:t xml:space="preserve"> necessary to maintain the constitutional reserve.</w:t>
      </w:r>
    </w:p>
    <w:p>
      <w:r>
        <w:rPr>
          <w:b/>
        </w:rPr>
        <w:t>Examples:</w:t>
      </w:r>
    </w:p>
    <w:p>
      <w:pPr>
        <w:pStyle w:val="ListBullet"/>
        <w:ind w:left="425"/>
      </w:pPr>
      <w:r>
        <w:t>Buying gold to maintain 15% strategic target</w:t>
      </w:r>
    </w:p>
    <w:p>
      <w:pPr>
        <w:pStyle w:val="ListBullet"/>
        <w:ind w:left="425"/>
      </w:pPr>
      <w:r>
        <w:t>Rebalancing FX basket to maintain concentration limits</w:t>
      </w:r>
    </w:p>
    <w:p>
      <w:pPr>
        <w:pStyle w:val="ListBullet"/>
        <w:ind w:left="425"/>
      </w:pPr>
      <w:r>
        <w:t>Acquiring PAXG (tokenized gold) to maintain 5% tokenized target</w:t>
      </w:r>
    </w:p>
    <w:p>
      <w:pPr>
        <w:pStyle w:val="ListBullet"/>
        <w:ind w:left="425"/>
      </w:pPr>
      <w:r>
        <w:t>Selling non-gold assets to improve LCR</w:t>
      </w:r>
    </w:p>
    <w:p>
      <w:pPr>
        <w:pStyle w:val="Heading3"/>
      </w:pPr>
      <w:r>
        <w:t>§13.2 Prohibited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Activity</w:t>
            </w:r>
          </w:p>
        </w:tc>
        <w:tc>
          <w:tcPr>
            <w:tcW w:type="dxa" w:w="4536"/>
            <w:shd w:fill="1A365F"/>
            <w:vAlign w:val="center"/>
          </w:tcPr>
          <w:p>
            <w:pPr>
              <w:jc w:val="left"/>
            </w:pPr>
            <w:r/>
            <w:r>
              <w:rPr>
                <w:rFonts w:ascii="Calibri" w:hAnsi="Calibri"/>
                <w:b/>
                <w:color w:val="FFFFFF"/>
                <w:sz w:val="18"/>
              </w:rPr>
              <w:t>Status</w:t>
            </w:r>
          </w:p>
        </w:tc>
      </w:tr>
      <w:tr>
        <w:tc>
          <w:tcPr>
            <w:tcW w:type="dxa" w:w="4536"/>
            <w:vAlign w:val="center"/>
          </w:tcPr>
          <w:p>
            <w:pPr>
              <w:jc w:val="left"/>
            </w:pPr>
            <w:r/>
            <w:r>
              <w:rPr>
                <w:rFonts w:ascii="Calibri" w:hAnsi="Calibri"/>
                <w:color w:val="2D2D2D"/>
                <w:sz w:val="18"/>
              </w:rPr>
              <w:t>Speculative trading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Return maximization</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Market making</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Order books</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Brokerage</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Exchange operation</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Portfolio management for customers</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Derivatives</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Leverage</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Yield farming</w:t>
            </w:r>
          </w:p>
        </w:tc>
        <w:tc>
          <w:tcPr>
            <w:tcW w:type="dxa" w:w="4536"/>
            <w:shd w:fill="F0F0F0"/>
            <w:vAlign w:val="center"/>
          </w:tcPr>
          <w:p>
            <w:pPr>
              <w:jc w:val="left"/>
            </w:pPr>
            <w:r/>
            <w:r>
              <w:rPr>
                <w:rFonts w:ascii="Calibri" w:hAnsi="Calibri"/>
                <w:color w:val="2D2D2D"/>
                <w:sz w:val="18"/>
              </w:rPr>
              <w:t>❌ PROHIBITED</w:t>
            </w:r>
          </w:p>
        </w:tc>
      </w:tr>
    </w:tbl>
    <w:p/>
    <w:p>
      <w:pPr>
        <w:pStyle w:val="Heading3"/>
      </w:pPr>
      <w:r>
        <w:t>§13.3 Constitutional Rule</w:t>
      </w:r>
    </w:p>
    <w:p>
      <w:pPr>
        <w:spacing w:before="120" w:after="120"/>
        <w:ind w:left="567" w:right="567"/>
        <w:pBdr>
          <w:left w:val="single" w:sz="24" w:space="8" w:color="C59B1E"/>
        </w:pBdr>
        <w:shd w:fill="FFFBF0"/>
      </w:pPr>
      <w:r>
        <w:rPr>
          <w:b/>
          <w:i/>
          <w:color w:val="1A365F"/>
          <w:sz w:val="22"/>
        </w:rPr>
        <w:t>**Reserve management exists to preserve settlement integrity, not to generate speculative profit.**</w:t>
      </w:r>
    </w:p>
    <w:p>
      <w:pPr>
        <w:pStyle w:val="Heading3"/>
      </w:pPr>
      <w:r>
        <w:t>§13.4 FX Boundary</w:t>
      </w:r>
    </w:p>
    <w:p>
      <w:r>
        <w:t xml:space="preserve">MITHQAL is </w:t>
      </w:r>
      <w:r>
        <w:rPr>
          <w:b/>
        </w:rPr>
        <w:t>NOT</w:t>
      </w:r>
      <w:r>
        <w:t xml:space="preserve"> the FX exchange.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Actor</w:t>
            </w:r>
          </w:p>
        </w:tc>
        <w:tc>
          <w:tcPr>
            <w:tcW w:type="dxa" w:w="4536"/>
            <w:shd w:fill="1A365F"/>
            <w:vAlign w:val="center"/>
          </w:tcPr>
          <w:p>
            <w:pPr>
              <w:jc w:val="left"/>
            </w:pPr>
            <w:r/>
            <w:r>
              <w:rPr>
                <w:rFonts w:ascii="Calibri" w:hAnsi="Calibri"/>
                <w:b/>
                <w:color w:val="FFFFFF"/>
                <w:sz w:val="18"/>
              </w:rPr>
              <w:t>Role</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JPY → MTQ → USD settlement (neutral bridge)</w:t>
            </w:r>
          </w:p>
        </w:tc>
      </w:tr>
      <w:tr>
        <w:tc>
          <w:tcPr>
            <w:tcW w:type="dxa" w:w="4536"/>
            <w:shd w:fill="F0F0F0"/>
            <w:vAlign w:val="center"/>
          </w:tcPr>
          <w:p>
            <w:pPr>
              <w:jc w:val="left"/>
            </w:pPr>
            <w:r/>
            <w:r>
              <w:rPr>
                <w:rFonts w:ascii="Calibri" w:hAnsi="Calibri"/>
                <w:color w:val="2D2D2D"/>
                <w:sz w:val="18"/>
              </w:rPr>
              <w:t>Banks</w:t>
            </w:r>
          </w:p>
        </w:tc>
        <w:tc>
          <w:tcPr>
            <w:tcW w:type="dxa" w:w="4536"/>
            <w:shd w:fill="F0F0F0"/>
            <w:vAlign w:val="center"/>
          </w:tcPr>
          <w:p>
            <w:pPr>
              <w:jc w:val="left"/>
            </w:pPr>
            <w:r/>
            <w:r>
              <w:rPr>
                <w:rFonts w:ascii="Calibri" w:hAnsi="Calibri"/>
                <w:color w:val="2D2D2D"/>
                <w:sz w:val="18"/>
              </w:rPr>
              <w:t>JPY ↔ USD economic conversion / customer FX</w:t>
            </w:r>
          </w:p>
        </w:tc>
      </w:tr>
    </w:tbl>
    <w:p/>
    <w:p>
      <w:r>
        <w:rPr>
          <w:b/>
        </w:rPr>
        <w:t>Boundary:</w:t>
      </w:r>
      <w:r>
        <w:t xml:space="preserve"> FX remains within regulated banking infrastructure. MITHQAL does not operate an FX exchange.</w:t>
      </w:r>
    </w:p>
    <w:p>
      <w:r>
        <w:rPr>
          <w:b/>
        </w:rPr>
        <w:t>Implementation Reference:</w:t>
      </w:r>
      <w:r>
        <w:t xml:space="preserve"> </w:t>
      </w:r>
      <w:r>
        <w:rPr>
          <w:rFonts w:ascii="Consolas" w:hAnsi="Consolas"/>
          <w:color w:val="6B6B6B"/>
          <w:sz w:val="19"/>
        </w:rPr>
        <w:t>src/lib/v25-0-privacy-revenue-principles.ts</w:t>
      </w:r>
      <w:r>
        <w:t xml:space="preserve"> → </w:t>
      </w:r>
      <w:r>
        <w:rPr>
          <w:rFonts w:ascii="Consolas" w:hAnsi="Consolas"/>
          <w:color w:val="6B6B6B"/>
          <w:sz w:val="19"/>
        </w:rPr>
        <w:t>FX_BOUNDARY</w:t>
      </w:r>
    </w:p>
    <w:p>
      <w:pPr>
        <w:pBdr>
          <w:bottom w:val="single" w:sz="12" w:space="1" w:color="C59B1E"/>
        </w:pBdr>
      </w:pPr>
    </w:p>
    <w:p>
      <w:pPr>
        <w:pStyle w:val="Heading2"/>
      </w:pPr>
      <w:r>
        <w:t>§14 — REDEMPTION FLOW (Institutional)</w:t>
      </w:r>
    </w:p>
    <w:p>
      <w:pPr>
        <w:pStyle w:val="Heading3"/>
      </w:pPr>
      <w:r>
        <w:t>§14.1 Canonical Flow</w:t>
      </w:r>
    </w:p>
    <w:p>
      <w:r>
        <w:t xml:space="preserve">MTQ redemption occurs </w:t>
      </w:r>
      <w:r>
        <w:rPr>
          <w:b/>
        </w:rPr>
        <w:t>through authorized institutional channels</w:t>
      </w:r>
      <w:r>
        <w:t xml:space="preserve"> only.</w:t>
      </w:r>
    </w:p>
    <w:p>
      <w:pPr>
        <w:ind w:left="283"/>
        <w:shd w:fill="F5F5F5"/>
      </w:pPr>
      <w:r>
        <w:rPr>
          <w:rFonts w:ascii="Consolas" w:hAnsi="Consolas"/>
          <w:color w:val="6B6B6B"/>
          <w:sz w:val="18"/>
        </w:rPr>
        <w:t>Receiving Bank</w:t>
        <w:br/>
        <w:t xml:space="preserve">      ↓</w:t>
        <w:br/>
        <w:t>Redemption Instruction</w:t>
        <w:br/>
        <w:t xml:space="preserve">      ↓</w:t>
        <w:br/>
        <w:t>Institutional Validation</w:t>
        <w:br/>
        <w:t xml:space="preserve">      ↓</w:t>
        <w:br/>
        <w:t>MTQ Burn</w:t>
        <w:br/>
        <w:t xml:space="preserve">      ↓</w:t>
        <w:br/>
        <w:t>Reserve Claim Calculation</w:t>
        <w:br/>
        <w:t xml:space="preserve">      ↓</w:t>
        <w:br/>
        <w:t>Reserve Release</w:t>
        <w:br/>
        <w:t xml:space="preserve">      ↓</w:t>
        <w:br/>
        <w:t>Approved Banking / Settlement Rail</w:t>
        <w:br/>
        <w:t xml:space="preserve">      ↓</w:t>
        <w:br/>
        <w:t>Destination Institution</w:t>
      </w:r>
    </w:p>
    <w:p>
      <w:pPr>
        <w:pStyle w:val="Heading3"/>
      </w:pPr>
      <w:r>
        <w:t>§14.2 Detailed Redemption Pipeline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Step</w:t>
            </w:r>
          </w:p>
        </w:tc>
        <w:tc>
          <w:tcPr>
            <w:tcW w:type="dxa" w:w="2268"/>
            <w:shd w:fill="1A365F"/>
            <w:vAlign w:val="center"/>
          </w:tcPr>
          <w:p>
            <w:pPr>
              <w:jc w:val="left"/>
            </w:pPr>
            <w:r/>
            <w:r>
              <w:rPr>
                <w:rFonts w:ascii="Calibri" w:hAnsi="Calibri"/>
                <w:b/>
                <w:color w:val="FFFFFF"/>
                <w:sz w:val="18"/>
              </w:rPr>
              <w:t>Actor</w:t>
            </w:r>
          </w:p>
        </w:tc>
        <w:tc>
          <w:tcPr>
            <w:tcW w:type="dxa" w:w="2268"/>
            <w:shd w:fill="1A365F"/>
            <w:vAlign w:val="center"/>
          </w:tcPr>
          <w:p>
            <w:pPr>
              <w:jc w:val="left"/>
            </w:pPr>
            <w:r/>
            <w:r>
              <w:rPr>
                <w:rFonts w:ascii="Calibri" w:hAnsi="Calibri"/>
                <w:b/>
                <w:color w:val="FFFFFF"/>
                <w:sz w:val="18"/>
              </w:rPr>
              <w:t>Action</w:t>
            </w:r>
          </w:p>
        </w:tc>
        <w:tc>
          <w:tcPr>
            <w:tcW w:type="dxa" w:w="2268"/>
            <w:shd w:fill="1A365F"/>
            <w:vAlign w:val="center"/>
          </w:tcPr>
          <w:p>
            <w:pPr>
              <w:jc w:val="left"/>
            </w:pPr>
            <w:r/>
            <w:r>
              <w:rPr>
                <w:rFonts w:ascii="Calibri" w:hAnsi="Calibri"/>
                <w:b/>
                <w:color w:val="FFFFFF"/>
                <w:sz w:val="18"/>
              </w:rPr>
              <w:t>Check</w:t>
            </w:r>
          </w:p>
        </w:tc>
      </w:tr>
      <w:tr>
        <w:tc>
          <w:tcPr>
            <w:tcW w:type="dxa" w:w="2268"/>
            <w:vAlign w:val="center"/>
          </w:tcPr>
          <w:p>
            <w:pPr>
              <w:jc w:val="left"/>
            </w:pPr>
            <w:r/>
            <w:r>
              <w:rPr>
                <w:rFonts w:ascii="Calibri" w:hAnsi="Calibri"/>
                <w:color w:val="2D2D2D"/>
                <w:sz w:val="18"/>
              </w:rPr>
              <w:t>1</w:t>
            </w:r>
          </w:p>
        </w:tc>
        <w:tc>
          <w:tcPr>
            <w:tcW w:type="dxa" w:w="2268"/>
            <w:vAlign w:val="center"/>
          </w:tcPr>
          <w:p>
            <w:pPr>
              <w:jc w:val="left"/>
            </w:pPr>
            <w:r/>
            <w:r>
              <w:rPr>
                <w:rFonts w:ascii="Calibri" w:hAnsi="Calibri"/>
                <w:color w:val="2D2D2D"/>
                <w:sz w:val="18"/>
              </w:rPr>
              <w:t>Receiving Bank</w:t>
            </w:r>
          </w:p>
        </w:tc>
        <w:tc>
          <w:tcPr>
            <w:tcW w:type="dxa" w:w="2268"/>
            <w:vAlign w:val="center"/>
          </w:tcPr>
          <w:p>
            <w:pPr>
              <w:jc w:val="left"/>
            </w:pPr>
            <w:r/>
            <w:r>
              <w:rPr>
                <w:rFonts w:ascii="Calibri" w:hAnsi="Calibri"/>
                <w:color w:val="2D2D2D"/>
                <w:sz w:val="18"/>
              </w:rPr>
              <w:t>Receives redemption request from corporate</w:t>
            </w:r>
          </w:p>
        </w:tc>
        <w:tc>
          <w:tcPr>
            <w:tcW w:type="dxa" w:w="2268"/>
            <w:vAlign w:val="center"/>
          </w:tcPr>
          <w:p>
            <w:pPr>
              <w:jc w:val="left"/>
            </w:pPr>
            <w:r/>
            <w:r>
              <w:rPr>
                <w:rFonts w:ascii="Calibri" w:hAnsi="Calibri"/>
                <w:color w:val="2D2D2D"/>
                <w:sz w:val="18"/>
              </w:rPr>
              <w:t>Validate corporate authorization</w:t>
            </w:r>
          </w:p>
        </w:tc>
      </w:tr>
      <w:tr>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Receiving Bank</w:t>
            </w:r>
          </w:p>
        </w:tc>
        <w:tc>
          <w:tcPr>
            <w:tcW w:type="dxa" w:w="2268"/>
            <w:shd w:fill="F0F0F0"/>
            <w:vAlign w:val="center"/>
          </w:tcPr>
          <w:p>
            <w:pPr>
              <w:jc w:val="left"/>
            </w:pPr>
            <w:r/>
            <w:r>
              <w:rPr>
                <w:rFonts w:ascii="Calibri" w:hAnsi="Calibri"/>
                <w:color w:val="2D2D2D"/>
                <w:sz w:val="18"/>
              </w:rPr>
              <w:t>Submits institutional redemption request to MITHQAL</w:t>
            </w:r>
          </w:p>
        </w:tc>
        <w:tc>
          <w:tcPr>
            <w:tcW w:type="dxa" w:w="2268"/>
            <w:shd w:fill="F0F0F0"/>
            <w:vAlign w:val="center"/>
          </w:tcPr>
          <w:p>
            <w:pPr>
              <w:jc w:val="left"/>
            </w:pPr>
            <w:r/>
            <w:r>
              <w:rPr>
                <w:rFonts w:ascii="Calibri" w:hAnsi="Calibri"/>
                <w:color w:val="2D2D2D"/>
                <w:sz w:val="18"/>
              </w:rPr>
              <w:t>API: `processRedemption()`</w:t>
            </w:r>
          </w:p>
        </w:tc>
      </w:tr>
      <w:tr>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Validates institution (REDEEM function permitted)</w:t>
            </w:r>
          </w:p>
        </w:tc>
        <w:tc>
          <w:tcPr>
            <w:tcW w:type="dxa" w:w="2268"/>
            <w:vAlign w:val="center"/>
          </w:tcPr>
          <w:p>
            <w:pPr>
              <w:jc w:val="left"/>
            </w:pPr>
            <w:r/>
            <w:r>
              <w:rPr>
                <w:rFonts w:ascii="Calibri" w:hAnsi="Calibri"/>
                <w:color w:val="2D2D2D"/>
                <w:sz w:val="18"/>
              </w:rPr>
              <w:t>§20 registry check</w:t>
            </w:r>
          </w:p>
        </w:tc>
      </w:tr>
      <w:tr>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Validates MTQ burn eligibility</w:t>
            </w:r>
          </w:p>
        </w:tc>
        <w:tc>
          <w:tcPr>
            <w:tcW w:type="dxa" w:w="2268"/>
            <w:shd w:fill="F0F0F0"/>
            <w:vAlign w:val="center"/>
          </w:tcPr>
          <w:p>
            <w:pPr>
              <w:jc w:val="left"/>
            </w:pPr>
            <w:r/>
            <w:r>
              <w:rPr>
                <w:rFonts w:ascii="Calibri" w:hAnsi="Calibri"/>
                <w:color w:val="2D2D2D"/>
                <w:sz w:val="18"/>
              </w:rPr>
              <w:t>Supply integrity</w:t>
            </w:r>
          </w:p>
        </w:tc>
      </w:tr>
      <w:tr>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Enforces jurisdictional redemption permissions</w:t>
            </w:r>
          </w:p>
        </w:tc>
        <w:tc>
          <w:tcPr>
            <w:tcW w:type="dxa" w:w="2268"/>
            <w:vAlign w:val="center"/>
          </w:tcPr>
          <w:p>
            <w:pPr>
              <w:jc w:val="left"/>
            </w:pPr>
            <w:r/>
            <w:r>
              <w:rPr>
                <w:rFonts w:ascii="Calibri" w:hAnsi="Calibri"/>
                <w:color w:val="2D2D2D"/>
                <w:sz w:val="18"/>
              </w:rPr>
              <w:t>§15 jurisdictional engine</w:t>
            </w:r>
          </w:p>
        </w:tc>
      </w:tr>
      <w:tr>
        <w:tc>
          <w:tcPr>
            <w:tcW w:type="dxa" w:w="2268"/>
            <w:shd w:fill="F0F0F0"/>
            <w:vAlign w:val="center"/>
          </w:tcPr>
          <w:p>
            <w:pPr>
              <w:jc w:val="left"/>
            </w:pPr>
            <w:r/>
            <w:r>
              <w:rPr>
                <w:rFonts w:ascii="Calibri" w:hAnsi="Calibri"/>
                <w:color w:val="2D2D2D"/>
                <w:sz w:val="18"/>
              </w:rPr>
              <w:t>6</w:t>
            </w:r>
          </w:p>
        </w:tc>
        <w:tc>
          <w:tcPr>
            <w:tcW w:type="dxa" w:w="2268"/>
            <w:shd w:fill="F0F0F0"/>
            <w:vAlign w:val="center"/>
          </w:tcPr>
          <w:p>
            <w:pPr>
              <w:jc w:val="left"/>
            </w:pPr>
            <w:r/>
            <w:r>
              <w:rPr>
                <w:rFonts w:ascii="Calibri" w:hAnsi="Calibri"/>
                <w:color w:val="2D2D2D"/>
                <w:sz w:val="18"/>
              </w:rPr>
              <w:t>MITHQAL</w:t>
            </w:r>
          </w:p>
        </w:tc>
        <w:tc>
          <w:tcPr>
            <w:tcW w:type="dxa" w:w="2268"/>
            <w:shd w:fill="F0F0F0"/>
            <w:vAlign w:val="center"/>
          </w:tcPr>
          <w:p>
            <w:pPr>
              <w:jc w:val="left"/>
            </w:pPr>
            <w:r/>
            <w:r>
              <w:rPr>
                <w:rFonts w:ascii="Calibri" w:hAnsi="Calibri"/>
                <w:color w:val="2D2D2D"/>
                <w:sz w:val="18"/>
              </w:rPr>
              <w:t>Verifies reserves available</w:t>
            </w:r>
          </w:p>
        </w:tc>
        <w:tc>
          <w:tcPr>
            <w:tcW w:type="dxa" w:w="2268"/>
            <w:shd w:fill="F0F0F0"/>
            <w:vAlign w:val="center"/>
          </w:tcPr>
          <w:p>
            <w:pPr>
              <w:jc w:val="left"/>
            </w:pPr>
            <w:r/>
            <w:r>
              <w:rPr>
                <w:rFonts w:ascii="Calibri" w:hAnsi="Calibri"/>
                <w:color w:val="2D2D2D"/>
                <w:sz w:val="18"/>
              </w:rPr>
              <w:t>§31 reserve architecture</w:t>
            </w:r>
          </w:p>
        </w:tc>
      </w:tr>
      <w:tr>
        <w:tc>
          <w:tcPr>
            <w:tcW w:type="dxa" w:w="2268"/>
            <w:vAlign w:val="center"/>
          </w:tcPr>
          <w:p>
            <w:pPr>
              <w:jc w:val="left"/>
            </w:pPr>
            <w:r/>
            <w:r>
              <w:rPr>
                <w:rFonts w:ascii="Calibri" w:hAnsi="Calibri"/>
                <w:color w:val="2D2D2D"/>
                <w:sz w:val="18"/>
              </w:rPr>
              <w:t>7</w:t>
            </w:r>
          </w:p>
        </w:tc>
        <w:tc>
          <w:tcPr>
            <w:tcW w:type="dxa" w:w="2268"/>
            <w:vAlign w:val="center"/>
          </w:tcPr>
          <w:p>
            <w:pPr>
              <w:jc w:val="left"/>
            </w:pPr>
            <w:r/>
            <w:r>
              <w:rPr>
                <w:rFonts w:ascii="Calibri" w:hAnsi="Calibri"/>
                <w:color w:val="2D2D2D"/>
                <w:sz w:val="18"/>
              </w:rPr>
              <w:t>MITHQAL</w:t>
            </w:r>
          </w:p>
        </w:tc>
        <w:tc>
          <w:tcPr>
            <w:tcW w:type="dxa" w:w="2268"/>
            <w:vAlign w:val="center"/>
          </w:tcPr>
          <w:p>
            <w:pPr>
              <w:jc w:val="left"/>
            </w:pPr>
            <w:r/>
            <w:r>
              <w:rPr>
                <w:rFonts w:ascii="Calibri" w:hAnsi="Calibri"/>
                <w:color w:val="2D2D2D"/>
                <w:sz w:val="18"/>
              </w:rPr>
              <w:t>Enforces RR/Stress rules (RR ≥ 100%)</w:t>
            </w:r>
          </w:p>
        </w:tc>
        <w:tc>
          <w:tcPr>
            <w:tcW w:type="dxa" w:w="2268"/>
            <w:vAlign w:val="center"/>
          </w:tcPr>
          <w:p>
            <w:pPr>
              <w:jc w:val="left"/>
            </w:pPr>
            <w:r/>
            <w:r>
              <w:rPr>
                <w:rFonts w:ascii="Calibri" w:hAnsi="Calibri"/>
                <w:color w:val="2D2D2D"/>
                <w:sz w:val="18"/>
              </w:rPr>
              <w:t>Constitutional gate</w:t>
            </w:r>
          </w:p>
        </w:tc>
      </w:tr>
      <w:tr>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Redeem.sol</w:t>
            </w:r>
          </w:p>
        </w:tc>
        <w:tc>
          <w:tcPr>
            <w:tcW w:type="dxa" w:w="2268"/>
            <w:shd w:fill="F0F0F0"/>
            <w:vAlign w:val="center"/>
          </w:tcPr>
          <w:p>
            <w:pPr>
              <w:jc w:val="left"/>
            </w:pPr>
            <w:r/>
            <w:r>
              <w:rPr>
                <w:rFonts w:ascii="Calibri" w:hAnsi="Calibri"/>
                <w:color w:val="2D2D2D"/>
                <w:sz w:val="18"/>
              </w:rPr>
              <w:t>Executes atomic burn/release</w:t>
            </w:r>
          </w:p>
        </w:tc>
        <w:tc>
          <w:tcPr>
            <w:tcW w:type="dxa" w:w="2268"/>
            <w:shd w:fill="F0F0F0"/>
            <w:vAlign w:val="center"/>
          </w:tcPr>
          <w:p>
            <w:pPr>
              <w:jc w:val="left"/>
            </w:pPr>
            <w:r/>
            <w:r>
              <w:rPr>
                <w:rFonts w:ascii="Calibri" w:hAnsi="Calibri"/>
                <w:color w:val="2D2D2D"/>
                <w:sz w:val="18"/>
              </w:rPr>
              <w:t>Burn MTQ, release reserve</w:t>
            </w:r>
          </w:p>
        </w:tc>
      </w:tr>
      <w:tr>
        <w:tc>
          <w:tcPr>
            <w:tcW w:type="dxa" w:w="2268"/>
            <w:vAlign w:val="center"/>
          </w:tcPr>
          <w:p>
            <w:pPr>
              <w:jc w:val="left"/>
            </w:pPr>
            <w:r/>
            <w:r>
              <w:rPr>
                <w:rFonts w:ascii="Calibri" w:hAnsi="Calibri"/>
                <w:color w:val="2D2D2D"/>
                <w:sz w:val="18"/>
              </w:rPr>
              <w:t>9</w:t>
            </w:r>
          </w:p>
        </w:tc>
        <w:tc>
          <w:tcPr>
            <w:tcW w:type="dxa" w:w="2268"/>
            <w:vAlign w:val="center"/>
          </w:tcPr>
          <w:p>
            <w:pPr>
              <w:jc w:val="left"/>
            </w:pPr>
            <w:r/>
            <w:r>
              <w:rPr>
                <w:rFonts w:ascii="Calibri" w:hAnsi="Calibri"/>
                <w:color w:val="2D2D2D"/>
                <w:sz w:val="18"/>
              </w:rPr>
              <w:t>Banking rail</w:t>
            </w:r>
          </w:p>
        </w:tc>
        <w:tc>
          <w:tcPr>
            <w:tcW w:type="dxa" w:w="2268"/>
            <w:vAlign w:val="center"/>
          </w:tcPr>
          <w:p>
            <w:pPr>
              <w:jc w:val="left"/>
            </w:pPr>
            <w:r/>
            <w:r>
              <w:rPr>
                <w:rFonts w:ascii="Calibri" w:hAnsi="Calibri"/>
                <w:color w:val="2D2D2D"/>
                <w:sz w:val="18"/>
              </w:rPr>
              <w:t>Credits destination institution</w:t>
            </w:r>
          </w:p>
        </w:tc>
        <w:tc>
          <w:tcPr>
            <w:tcW w:type="dxa" w:w="2268"/>
            <w:vAlign w:val="center"/>
          </w:tcPr>
          <w:p>
            <w:pPr>
              <w:jc w:val="left"/>
            </w:pPr>
            <w:r/>
            <w:r>
              <w:rPr>
                <w:rFonts w:ascii="Calibri" w:hAnsi="Calibri"/>
                <w:color w:val="2D2D2D"/>
                <w:sz w:val="18"/>
              </w:rPr>
              <w:t>Banking finality (§26)</w:t>
            </w:r>
          </w:p>
        </w:tc>
      </w:tr>
    </w:tbl>
    <w:p/>
    <w:p>
      <w:pPr>
        <w:pStyle w:val="Heading3"/>
      </w:pPr>
      <w:r>
        <w:t>§14.3 No Unrestricted Public Redemption</w:t>
      </w:r>
    </w:p>
    <w:p>
      <w:r>
        <w:rPr>
          <w:b/>
        </w:rPr>
        <w:t>DO NOT</w:t>
      </w:r>
      <w:r>
        <w:t xml:space="preserve"> create unrestricted public redemption that bypasses local legal/payment requirements.</w:t>
      </w:r>
    </w:p>
    <w:p>
      <w:r>
        <w:t>Redemption must:</w:t>
      </w:r>
    </w:p>
    <w:p>
      <w:pPr>
        <w:pStyle w:val="ListBullet"/>
        <w:ind w:left="425"/>
      </w:pPr>
      <w:r>
        <w:t>Go through authorized institutional channels</w:t>
      </w:r>
    </w:p>
    <w:p>
      <w:pPr>
        <w:pStyle w:val="ListBullet"/>
        <w:ind w:left="425"/>
      </w:pPr>
      <w:r>
        <w:t>Respect jurisdictional rules</w:t>
      </w:r>
    </w:p>
    <w:p>
      <w:pPr>
        <w:pStyle w:val="ListBullet"/>
        <w:ind w:left="425"/>
      </w:pPr>
      <w:r>
        <w:t>Enforce banking-rail requirements</w:t>
      </w:r>
    </w:p>
    <w:p>
      <w:pPr>
        <w:pStyle w:val="ListBullet"/>
        <w:ind w:left="425"/>
      </w:pPr>
      <w:r>
        <w:t>Maintain atomicity (burn + release are atomic)</w:t>
      </w:r>
    </w:p>
    <w:p>
      <w:pPr>
        <w:pStyle w:val="Heading3"/>
      </w:pPr>
      <w:r>
        <w:t>§14.4 Atomicity Requirements</w:t>
      </w:r>
    </w:p>
    <w:p>
      <w:pPr>
        <w:pStyle w:val="ListBullet"/>
        <w:ind w:left="425"/>
      </w:pPr>
      <w:r>
        <w:t xml:space="preserve">MTQ burn and reserve release are </w:t>
      </w:r>
      <w:r>
        <w:rPr>
          <w:b/>
        </w:rPr>
        <w:t>atomic</w:t>
      </w:r>
      <w:r>
        <w:t xml:space="preserve"> — either both succeed or both fail</w:t>
      </w:r>
    </w:p>
    <w:p>
      <w:pPr>
        <w:pStyle w:val="ListBullet"/>
        <w:ind w:left="425"/>
      </w:pPr>
      <w:r>
        <w:t>Idempotent CTID enforced (no double-redemption)</w:t>
      </w:r>
    </w:p>
    <w:p>
      <w:pPr>
        <w:pStyle w:val="ListBullet"/>
        <w:ind w:left="425"/>
      </w:pPr>
      <w:r>
        <w:t>Supply integrity maintained (burned MTQ removed from supply)</w:t>
      </w:r>
    </w:p>
    <w:p>
      <w:pPr>
        <w:pStyle w:val="Heading3"/>
      </w:pPr>
      <w:r>
        <w:t>§14.5 In-Kind Redemption (Preserved from v24.2.1)</w:t>
      </w:r>
    </w:p>
    <w:p>
      <w:r>
        <w:t>For proportional in-kind redemption:</w:t>
      </w:r>
    </w:p>
    <w:p>
      <w:pPr>
        <w:ind w:left="283"/>
        <w:shd w:fill="F5F5F5"/>
      </w:pPr>
      <w:r>
        <w:rPr>
          <w:rFonts w:ascii="Consolas" w:hAnsi="Consolas"/>
          <w:color w:val="6B6B6B"/>
          <w:sz w:val="18"/>
        </w:rPr>
        <w:t>R_a' = R_a × (1 - x)</w:t>
        <w:br/>
        <w:t>L' = L × (1 - x)</w:t>
        <w:br/>
        <w:t>Therefore: RR' = R_a' / L' = RR</w:t>
      </w:r>
    </w:p>
    <w:p>
      <w:r>
        <w:t>In-kind preserves the pre-redemption ratio under ideal proportional execution.</w:t>
      </w:r>
    </w:p>
    <w:p>
      <w:r>
        <w:rPr>
          <w:b/>
        </w:rPr>
        <w:t>In-kind does NOT:</w:t>
      </w:r>
    </w:p>
    <w:p>
      <w:pPr>
        <w:pStyle w:val="ListBullet"/>
        <w:ind w:left="425"/>
      </w:pPr>
      <w:r>
        <w:t>Create value</w:t>
      </w:r>
    </w:p>
    <w:p>
      <w:pPr>
        <w:pStyle w:val="ListBullet"/>
        <w:ind w:left="425"/>
      </w:pPr>
      <w:r>
        <w:t>Guarantee PAR</w:t>
      </w:r>
    </w:p>
    <w:p>
      <w:pPr>
        <w:pStyle w:val="ListBullet"/>
        <w:ind w:left="425"/>
      </w:pPr>
      <w:r>
        <w:t>Restore insolvency</w:t>
      </w:r>
    </w:p>
    <w:p>
      <w:pPr>
        <w:pStyle w:val="ListBullet"/>
        <w:ind w:left="425"/>
      </w:pPr>
      <w:r>
        <w:t>Mathematically prevent a future market loss</w:t>
      </w:r>
    </w:p>
    <w:p>
      <w:r>
        <w:rPr>
          <w:b/>
        </w:rPr>
        <w:t>Implementation Reference:</w:t>
      </w:r>
      <w:r>
        <w:t xml:space="preserve"> </w:t>
      </w:r>
      <w:r>
        <w:rPr>
          <w:rFonts w:ascii="Consolas" w:hAnsi="Consolas"/>
          <w:color w:val="6B6B6B"/>
          <w:sz w:val="19"/>
        </w:rPr>
        <w:t>src/lib/wholesale-settlement.ts</w:t>
      </w:r>
      <w:r>
        <w:t xml:space="preserve"> → </w:t>
      </w:r>
      <w:r>
        <w:rPr>
          <w:rFonts w:ascii="Consolas" w:hAnsi="Consolas"/>
          <w:color w:val="6B6B6B"/>
          <w:sz w:val="19"/>
        </w:rPr>
        <w:t>processRedemption()</w:t>
      </w:r>
    </w:p>
    <w:p>
      <w:pPr>
        <w:pBdr>
          <w:bottom w:val="single" w:sz="12" w:space="1" w:color="C59B1E"/>
        </w:pBdr>
      </w:pPr>
    </w:p>
    <w:p>
      <w:pPr>
        <w:pStyle w:val="Heading2"/>
      </w:pPr>
      <w:r>
        <w:t>§15 — JURISDICTIONAL REGULATORY PERIMETER ENGINE</w:t>
      </w:r>
    </w:p>
    <w:p>
      <w:pPr>
        <w:pStyle w:val="Heading3"/>
      </w:pPr>
      <w:r>
        <w:t>§15.1 Engine Architecture</w:t>
      </w:r>
    </w:p>
    <w:p>
      <w:r>
        <w:t xml:space="preserve">Every deployment jurisdiction must classify MTQ across </w:t>
      </w:r>
      <w:r>
        <w:rPr>
          <w:b/>
        </w:rPr>
        <w:t>19 dimensions</w:t>
      </w:r>
      <w:r>
        <w: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Dimension</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`mtqLegalStatus`</w:t>
            </w:r>
          </w:p>
        </w:tc>
        <w:tc>
          <w:tcPr>
            <w:tcW w:type="dxa" w:w="3024"/>
            <w:vAlign w:val="center"/>
          </w:tcPr>
          <w:p>
            <w:pPr>
              <w:jc w:val="left"/>
            </w:pPr>
            <w:r/>
            <w:r>
              <w:rPr>
                <w:rFonts w:ascii="Calibri" w:hAnsi="Calibri"/>
                <w:color w:val="2D2D2D"/>
                <w:sz w:val="18"/>
              </w:rPr>
              <w:t>MTQ legal classification</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`issuanceStatus`</w:t>
            </w:r>
          </w:p>
        </w:tc>
        <w:tc>
          <w:tcPr>
            <w:tcW w:type="dxa" w:w="3024"/>
            <w:shd w:fill="F0F0F0"/>
            <w:vAlign w:val="center"/>
          </w:tcPr>
          <w:p>
            <w:pPr>
              <w:jc w:val="left"/>
            </w:pPr>
            <w:r/>
            <w:r>
              <w:rPr>
                <w:rFonts w:ascii="Calibri" w:hAnsi="Calibri"/>
                <w:color w:val="2D2D2D"/>
                <w:sz w:val="18"/>
              </w:rPr>
              <w:t>Issuance authorization</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`settlementStatus`</w:t>
            </w:r>
          </w:p>
        </w:tc>
        <w:tc>
          <w:tcPr>
            <w:tcW w:type="dxa" w:w="3024"/>
            <w:vAlign w:val="center"/>
          </w:tcPr>
          <w:p>
            <w:pPr>
              <w:jc w:val="left"/>
            </w:pPr>
            <w:r/>
            <w:r>
              <w:rPr>
                <w:rFonts w:ascii="Calibri" w:hAnsi="Calibri"/>
                <w:color w:val="2D2D2D"/>
                <w:sz w:val="18"/>
              </w:rPr>
              <w:t>Settlement authorization</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`custodyStatus`</w:t>
            </w:r>
          </w:p>
        </w:tc>
        <w:tc>
          <w:tcPr>
            <w:tcW w:type="dxa" w:w="3024"/>
            <w:shd w:fill="F0F0F0"/>
            <w:vAlign w:val="center"/>
          </w:tcPr>
          <w:p>
            <w:pPr>
              <w:jc w:val="left"/>
            </w:pPr>
            <w:r/>
            <w:r>
              <w:rPr>
                <w:rFonts w:ascii="Calibri" w:hAnsi="Calibri"/>
                <w:color w:val="2D2D2D"/>
                <w:sz w:val="18"/>
              </w:rPr>
              <w:t>Custody authorization</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`redemptionStatus`</w:t>
            </w:r>
          </w:p>
        </w:tc>
        <w:tc>
          <w:tcPr>
            <w:tcW w:type="dxa" w:w="3024"/>
            <w:vAlign w:val="center"/>
          </w:tcPr>
          <w:p>
            <w:pPr>
              <w:jc w:val="left"/>
            </w:pPr>
            <w:r/>
            <w:r>
              <w:rPr>
                <w:rFonts w:ascii="Calibri" w:hAnsi="Calibri"/>
                <w:color w:val="2D2D2D"/>
                <w:sz w:val="18"/>
              </w:rPr>
              <w:t>Redemption authorization</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`paymentServicesExposure`</w:t>
            </w:r>
          </w:p>
        </w:tc>
        <w:tc>
          <w:tcPr>
            <w:tcW w:type="dxa" w:w="3024"/>
            <w:shd w:fill="F0F0F0"/>
            <w:vAlign w:val="center"/>
          </w:tcPr>
          <w:p>
            <w:pPr>
              <w:jc w:val="left"/>
            </w:pPr>
            <w:r/>
            <w:r>
              <w:rPr>
                <w:rFonts w:ascii="Calibri" w:hAnsi="Calibri"/>
                <w:color w:val="2D2D2D"/>
                <w:sz w:val="18"/>
              </w:rPr>
              <w:t>Payment services regulation</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`stablecoinExposure`</w:t>
            </w:r>
          </w:p>
        </w:tc>
        <w:tc>
          <w:tcPr>
            <w:tcW w:type="dxa" w:w="3024"/>
            <w:vAlign w:val="center"/>
          </w:tcPr>
          <w:p>
            <w:pPr>
              <w:jc w:val="left"/>
            </w:pPr>
            <w:r/>
            <w:r>
              <w:rPr>
                <w:rFonts w:ascii="Calibri" w:hAnsi="Calibri"/>
                <w:color w:val="2D2D2D"/>
                <w:sz w:val="18"/>
              </w:rPr>
              <w:t>Stablecoin regulation</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`artRwaExposure`</w:t>
            </w:r>
          </w:p>
        </w:tc>
        <w:tc>
          <w:tcPr>
            <w:tcW w:type="dxa" w:w="3024"/>
            <w:shd w:fill="F0F0F0"/>
            <w:vAlign w:val="center"/>
          </w:tcPr>
          <w:p>
            <w:pPr>
              <w:jc w:val="left"/>
            </w:pPr>
            <w:r/>
            <w:r>
              <w:rPr>
                <w:rFonts w:ascii="Calibri" w:hAnsi="Calibri"/>
                <w:color w:val="2D2D2D"/>
                <w:sz w:val="18"/>
              </w:rPr>
              <w:t>ART/RWA (Asset-Referenced Token) regulation</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`securitiesExposure`</w:t>
            </w:r>
          </w:p>
        </w:tc>
        <w:tc>
          <w:tcPr>
            <w:tcW w:type="dxa" w:w="3024"/>
            <w:vAlign w:val="center"/>
          </w:tcPr>
          <w:p>
            <w:pPr>
              <w:jc w:val="left"/>
            </w:pPr>
            <w:r/>
            <w:r>
              <w:rPr>
                <w:rFonts w:ascii="Calibri" w:hAnsi="Calibri"/>
                <w:color w:val="2D2D2D"/>
                <w:sz w:val="18"/>
              </w:rPr>
              <w:t>Securities regulation</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`commodityExposure`</w:t>
            </w:r>
          </w:p>
        </w:tc>
        <w:tc>
          <w:tcPr>
            <w:tcW w:type="dxa" w:w="3024"/>
            <w:shd w:fill="F0F0F0"/>
            <w:vAlign w:val="center"/>
          </w:tcPr>
          <w:p>
            <w:pPr>
              <w:jc w:val="left"/>
            </w:pPr>
            <w:r/>
            <w:r>
              <w:rPr>
                <w:rFonts w:ascii="Calibri" w:hAnsi="Calibri"/>
                <w:color w:val="2D2D2D"/>
                <w:sz w:val="18"/>
              </w:rPr>
              <w:t>Commodity regulation</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`financialMarketExposure`</w:t>
            </w:r>
          </w:p>
        </w:tc>
        <w:tc>
          <w:tcPr>
            <w:tcW w:type="dxa" w:w="3024"/>
            <w:vAlign w:val="center"/>
          </w:tcPr>
          <w:p>
            <w:pPr>
              <w:jc w:val="left"/>
            </w:pPr>
            <w:r/>
            <w:r>
              <w:rPr>
                <w:rFonts w:ascii="Calibri" w:hAnsi="Calibri"/>
                <w:color w:val="2D2D2D"/>
                <w:sz w:val="18"/>
              </w:rPr>
              <w:t>Financial market infrastructure</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`amlCft`</w:t>
            </w:r>
          </w:p>
        </w:tc>
        <w:tc>
          <w:tcPr>
            <w:tcW w:type="dxa" w:w="3024"/>
            <w:shd w:fill="F0F0F0"/>
            <w:vAlign w:val="center"/>
          </w:tcPr>
          <w:p>
            <w:pPr>
              <w:jc w:val="left"/>
            </w:pPr>
            <w:r/>
            <w:r>
              <w:rPr>
                <w:rFonts w:ascii="Calibri" w:hAnsi="Calibri"/>
                <w:color w:val="2D2D2D"/>
                <w:sz w:val="18"/>
              </w:rPr>
              <w:t>AML/CFT requirements</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`sanctions`</w:t>
            </w:r>
          </w:p>
        </w:tc>
        <w:tc>
          <w:tcPr>
            <w:tcW w:type="dxa" w:w="3024"/>
            <w:vAlign w:val="center"/>
          </w:tcPr>
          <w:p>
            <w:pPr>
              <w:jc w:val="left"/>
            </w:pPr>
            <w:r/>
            <w:r>
              <w:rPr>
                <w:rFonts w:ascii="Calibri" w:hAnsi="Calibri"/>
                <w:color w:val="2D2D2D"/>
                <w:sz w:val="18"/>
              </w:rPr>
              <w:t>Sanctions compliance</w:t>
            </w:r>
          </w:p>
        </w:tc>
      </w:tr>
      <w:tr>
        <w:tc>
          <w:tcPr>
            <w:tcW w:type="dxa" w:w="3024"/>
            <w:shd w:fill="F0F0F0"/>
            <w:vAlign w:val="center"/>
          </w:tcPr>
          <w:p>
            <w:pPr>
              <w:jc w:val="left"/>
            </w:pPr>
            <w:r/>
            <w:r>
              <w:rPr>
                <w:rFonts w:ascii="Calibri" w:hAnsi="Calibri"/>
                <w:color w:val="2D2D2D"/>
                <w:sz w:val="18"/>
              </w:rPr>
              <w:t>14</w:t>
            </w:r>
          </w:p>
        </w:tc>
        <w:tc>
          <w:tcPr>
            <w:tcW w:type="dxa" w:w="3024"/>
            <w:shd w:fill="F0F0F0"/>
            <w:vAlign w:val="center"/>
          </w:tcPr>
          <w:p>
            <w:pPr>
              <w:jc w:val="left"/>
            </w:pPr>
            <w:r/>
            <w:r>
              <w:rPr>
                <w:rFonts w:ascii="Calibri" w:hAnsi="Calibri"/>
                <w:color w:val="2D2D2D"/>
                <w:sz w:val="18"/>
              </w:rPr>
              <w:t>`dataPrivacy`</w:t>
            </w:r>
          </w:p>
        </w:tc>
        <w:tc>
          <w:tcPr>
            <w:tcW w:type="dxa" w:w="3024"/>
            <w:shd w:fill="F0F0F0"/>
            <w:vAlign w:val="center"/>
          </w:tcPr>
          <w:p>
            <w:pPr>
              <w:jc w:val="left"/>
            </w:pPr>
            <w:r/>
            <w:r>
              <w:rPr>
                <w:rFonts w:ascii="Calibri" w:hAnsi="Calibri"/>
                <w:color w:val="2D2D2D"/>
                <w:sz w:val="18"/>
              </w:rPr>
              <w:t>Data privacy requirements</w:t>
            </w:r>
          </w:p>
        </w:tc>
      </w:tr>
      <w:tr>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`crossBorderTransfer`</w:t>
            </w:r>
          </w:p>
        </w:tc>
        <w:tc>
          <w:tcPr>
            <w:tcW w:type="dxa" w:w="3024"/>
            <w:vAlign w:val="center"/>
          </w:tcPr>
          <w:p>
            <w:pPr>
              <w:jc w:val="left"/>
            </w:pPr>
            <w:r/>
            <w:r>
              <w:rPr>
                <w:rFonts w:ascii="Calibri" w:hAnsi="Calibri"/>
                <w:color w:val="2D2D2D"/>
                <w:sz w:val="18"/>
              </w:rPr>
              <w:t>Cross-border transfer rules</w:t>
            </w:r>
          </w:p>
        </w:tc>
      </w:tr>
      <w:tr>
        <w:tc>
          <w:tcPr>
            <w:tcW w:type="dxa" w:w="3024"/>
            <w:shd w:fill="F0F0F0"/>
            <w:vAlign w:val="center"/>
          </w:tcPr>
          <w:p>
            <w:pPr>
              <w:jc w:val="left"/>
            </w:pPr>
            <w:r/>
            <w:r>
              <w:rPr>
                <w:rFonts w:ascii="Calibri" w:hAnsi="Calibri"/>
                <w:color w:val="2D2D2D"/>
                <w:sz w:val="18"/>
              </w:rPr>
              <w:t>16</w:t>
            </w:r>
          </w:p>
        </w:tc>
        <w:tc>
          <w:tcPr>
            <w:tcW w:type="dxa" w:w="3024"/>
            <w:shd w:fill="F0F0F0"/>
            <w:vAlign w:val="center"/>
          </w:tcPr>
          <w:p>
            <w:pPr>
              <w:jc w:val="left"/>
            </w:pPr>
            <w:r/>
            <w:r>
              <w:rPr>
                <w:rFonts w:ascii="Calibri" w:hAnsi="Calibri"/>
                <w:color w:val="2D2D2D"/>
                <w:sz w:val="18"/>
              </w:rPr>
              <w:t>`capitalControls`</w:t>
            </w:r>
          </w:p>
        </w:tc>
        <w:tc>
          <w:tcPr>
            <w:tcW w:type="dxa" w:w="3024"/>
            <w:shd w:fill="F0F0F0"/>
            <w:vAlign w:val="center"/>
          </w:tcPr>
          <w:p>
            <w:pPr>
              <w:jc w:val="left"/>
            </w:pPr>
            <w:r/>
            <w:r>
              <w:rPr>
                <w:rFonts w:ascii="Calibri" w:hAnsi="Calibri"/>
                <w:color w:val="2D2D2D"/>
                <w:sz w:val="18"/>
              </w:rPr>
              <w:t>Capital control requirements</w:t>
            </w:r>
          </w:p>
        </w:tc>
      </w:tr>
      <w:tr>
        <w:tc>
          <w:tcPr>
            <w:tcW w:type="dxa" w:w="3024"/>
            <w:vAlign w:val="center"/>
          </w:tcPr>
          <w:p>
            <w:pPr>
              <w:jc w:val="left"/>
            </w:pPr>
            <w:r/>
            <w:r>
              <w:rPr>
                <w:rFonts w:ascii="Calibri" w:hAnsi="Calibri"/>
                <w:color w:val="2D2D2D"/>
                <w:sz w:val="18"/>
              </w:rPr>
              <w:t>17</w:t>
            </w:r>
          </w:p>
        </w:tc>
        <w:tc>
          <w:tcPr>
            <w:tcW w:type="dxa" w:w="3024"/>
            <w:vAlign w:val="center"/>
          </w:tcPr>
          <w:p>
            <w:pPr>
              <w:jc w:val="left"/>
            </w:pPr>
            <w:r/>
            <w:r>
              <w:rPr>
                <w:rFonts w:ascii="Calibri" w:hAnsi="Calibri"/>
                <w:color w:val="2D2D2D"/>
                <w:sz w:val="18"/>
              </w:rPr>
              <w:t>`taxAccounting`</w:t>
            </w:r>
          </w:p>
        </w:tc>
        <w:tc>
          <w:tcPr>
            <w:tcW w:type="dxa" w:w="3024"/>
            <w:vAlign w:val="center"/>
          </w:tcPr>
          <w:p>
            <w:pPr>
              <w:jc w:val="left"/>
            </w:pPr>
            <w:r/>
            <w:r>
              <w:rPr>
                <w:rFonts w:ascii="Calibri" w:hAnsi="Calibri"/>
                <w:color w:val="2D2D2D"/>
                <w:sz w:val="18"/>
              </w:rPr>
              <w:t>Tax/accounting treatment</w:t>
            </w:r>
          </w:p>
        </w:tc>
      </w:tr>
      <w:tr>
        <w:tc>
          <w:tcPr>
            <w:tcW w:type="dxa" w:w="3024"/>
            <w:shd w:fill="F0F0F0"/>
            <w:vAlign w:val="center"/>
          </w:tcPr>
          <w:p>
            <w:pPr>
              <w:jc w:val="left"/>
            </w:pPr>
            <w:r/>
            <w:r>
              <w:rPr>
                <w:rFonts w:ascii="Calibri" w:hAnsi="Calibri"/>
                <w:color w:val="2D2D2D"/>
                <w:sz w:val="18"/>
              </w:rPr>
              <w:t>18</w:t>
            </w:r>
          </w:p>
        </w:tc>
        <w:tc>
          <w:tcPr>
            <w:tcW w:type="dxa" w:w="3024"/>
            <w:shd w:fill="F0F0F0"/>
            <w:vAlign w:val="center"/>
          </w:tcPr>
          <w:p>
            <w:pPr>
              <w:jc w:val="left"/>
            </w:pPr>
            <w:r/>
            <w:r>
              <w:rPr>
                <w:rFonts w:ascii="Calibri" w:hAnsi="Calibri"/>
                <w:color w:val="2D2D2D"/>
                <w:sz w:val="18"/>
              </w:rPr>
              <w:t>`licensing`</w:t>
            </w:r>
          </w:p>
        </w:tc>
        <w:tc>
          <w:tcPr>
            <w:tcW w:type="dxa" w:w="3024"/>
            <w:shd w:fill="F0F0F0"/>
            <w:vAlign w:val="center"/>
          </w:tcPr>
          <w:p>
            <w:pPr>
              <w:jc w:val="left"/>
            </w:pPr>
            <w:r/>
            <w:r>
              <w:rPr>
                <w:rFonts w:ascii="Calibri" w:hAnsi="Calibri"/>
                <w:color w:val="2D2D2D"/>
                <w:sz w:val="18"/>
              </w:rPr>
              <w:t>Licensing requirements</w:t>
            </w:r>
          </w:p>
        </w:tc>
      </w:tr>
      <w:tr>
        <w:tc>
          <w:tcPr>
            <w:tcW w:type="dxa" w:w="3024"/>
            <w:vAlign w:val="center"/>
          </w:tcPr>
          <w:p>
            <w:pPr>
              <w:jc w:val="left"/>
            </w:pPr>
            <w:r/>
            <w:r>
              <w:rPr>
                <w:rFonts w:ascii="Calibri" w:hAnsi="Calibri"/>
                <w:color w:val="2D2D2D"/>
                <w:sz w:val="18"/>
              </w:rPr>
              <w:t>19</w:t>
            </w:r>
          </w:p>
        </w:tc>
        <w:tc>
          <w:tcPr>
            <w:tcW w:type="dxa" w:w="3024"/>
            <w:vAlign w:val="center"/>
          </w:tcPr>
          <w:p>
            <w:pPr>
              <w:jc w:val="left"/>
            </w:pPr>
            <w:r/>
            <w:r>
              <w:rPr>
                <w:rFonts w:ascii="Calibri" w:hAnsi="Calibri"/>
                <w:color w:val="2D2D2D"/>
                <w:sz w:val="18"/>
              </w:rPr>
              <w:t>`institutionalEligibility`</w:t>
            </w:r>
          </w:p>
        </w:tc>
        <w:tc>
          <w:tcPr>
            <w:tcW w:type="dxa" w:w="3024"/>
            <w:vAlign w:val="center"/>
          </w:tcPr>
          <w:p>
            <w:pPr>
              <w:jc w:val="left"/>
            </w:pPr>
            <w:r/>
            <w:r>
              <w:rPr>
                <w:rFonts w:ascii="Calibri" w:hAnsi="Calibri"/>
                <w:color w:val="2D2D2D"/>
                <w:sz w:val="18"/>
              </w:rPr>
              <w:t>Institutional eligibility</w:t>
            </w:r>
          </w:p>
        </w:tc>
      </w:tr>
    </w:tbl>
    <w:p/>
    <w:p>
      <w:pPr>
        <w:pStyle w:val="Heading3"/>
      </w:pPr>
      <w:r>
        <w:t>§15.2 Status Values</w:t>
      </w:r>
    </w:p>
    <w:p>
      <w:r>
        <w:t>Each dimension has one of 5 statuses: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Status</w:t>
            </w:r>
          </w:p>
        </w:tc>
        <w:tc>
          <w:tcPr>
            <w:tcW w:type="dxa" w:w="3024"/>
            <w:shd w:fill="1A365F"/>
            <w:vAlign w:val="center"/>
          </w:tcPr>
          <w:p>
            <w:pPr>
              <w:jc w:val="left"/>
            </w:pPr>
            <w:r/>
            <w:r>
              <w:rPr>
                <w:rFonts w:ascii="Calibri" w:hAnsi="Calibri"/>
                <w:b/>
                <w:color w:val="FFFFFF"/>
                <w:sz w:val="18"/>
              </w:rPr>
              <w:t>Meaning</w:t>
            </w:r>
          </w:p>
        </w:tc>
        <w:tc>
          <w:tcPr>
            <w:tcW w:type="dxa" w:w="3024"/>
            <w:shd w:fill="1A365F"/>
            <w:vAlign w:val="center"/>
          </w:tcPr>
          <w:p>
            <w:pPr>
              <w:jc w:val="left"/>
            </w:pPr>
            <w:r/>
            <w:r>
              <w:rPr>
                <w:rFonts w:ascii="Calibri" w:hAnsi="Calibri"/>
                <w:b/>
                <w:color w:val="FFFFFF"/>
                <w:sz w:val="18"/>
              </w:rPr>
              <w:t>Action</w:t>
            </w:r>
          </w:p>
        </w:tc>
      </w:tr>
      <w:tr>
        <w:tc>
          <w:tcPr>
            <w:tcW w:type="dxa" w:w="3024"/>
            <w:vAlign w:val="center"/>
          </w:tcPr>
          <w:p>
            <w:pPr>
              <w:jc w:val="left"/>
            </w:pPr>
            <w:r/>
            <w:r>
              <w:rPr>
                <w:rFonts w:ascii="Calibri" w:hAnsi="Calibri"/>
                <w:color w:val="2D2D2D"/>
                <w:sz w:val="18"/>
              </w:rPr>
              <w:t>`ALLOWED`</w:t>
            </w:r>
          </w:p>
        </w:tc>
        <w:tc>
          <w:tcPr>
            <w:tcW w:type="dxa" w:w="3024"/>
            <w:vAlign w:val="center"/>
          </w:tcPr>
          <w:p>
            <w:pPr>
              <w:jc w:val="left"/>
            </w:pPr>
            <w:r/>
            <w:r>
              <w:rPr>
                <w:rFonts w:ascii="Calibri" w:hAnsi="Calibri"/>
                <w:color w:val="2D2D2D"/>
                <w:sz w:val="18"/>
              </w:rPr>
              <w:t>Permitted</w:t>
            </w:r>
          </w:p>
        </w:tc>
        <w:tc>
          <w:tcPr>
            <w:tcW w:type="dxa" w:w="3024"/>
            <w:vAlign w:val="center"/>
          </w:tcPr>
          <w:p>
            <w:pPr>
              <w:jc w:val="left"/>
            </w:pPr>
            <w:r/>
            <w:r>
              <w:rPr>
                <w:rFonts w:ascii="Calibri" w:hAnsi="Calibri"/>
                <w:color w:val="2D2D2D"/>
                <w:sz w:val="18"/>
              </w:rPr>
              <w:t>Proceed</w:t>
            </w:r>
          </w:p>
        </w:tc>
      </w:tr>
      <w:tr>
        <w:tc>
          <w:tcPr>
            <w:tcW w:type="dxa" w:w="3024"/>
            <w:shd w:fill="F0F0F0"/>
            <w:vAlign w:val="center"/>
          </w:tcPr>
          <w:p>
            <w:pPr>
              <w:jc w:val="left"/>
            </w:pPr>
            <w:r/>
            <w:r>
              <w:rPr>
                <w:rFonts w:ascii="Calibri" w:hAnsi="Calibri"/>
                <w:color w:val="2D2D2D"/>
                <w:sz w:val="18"/>
              </w:rPr>
              <w:t>`CONDITIONAL`</w:t>
            </w:r>
          </w:p>
        </w:tc>
        <w:tc>
          <w:tcPr>
            <w:tcW w:type="dxa" w:w="3024"/>
            <w:shd w:fill="F0F0F0"/>
            <w:vAlign w:val="center"/>
          </w:tcPr>
          <w:p>
            <w:pPr>
              <w:jc w:val="left"/>
            </w:pPr>
            <w:r/>
            <w:r>
              <w:rPr>
                <w:rFonts w:ascii="Calibri" w:hAnsi="Calibri"/>
                <w:color w:val="2D2D2D"/>
                <w:sz w:val="18"/>
              </w:rPr>
              <w:t>Permitted with conditions</w:t>
            </w:r>
          </w:p>
        </w:tc>
        <w:tc>
          <w:tcPr>
            <w:tcW w:type="dxa" w:w="3024"/>
            <w:shd w:fill="F0F0F0"/>
            <w:vAlign w:val="center"/>
          </w:tcPr>
          <w:p>
            <w:pPr>
              <w:jc w:val="left"/>
            </w:pPr>
            <w:r/>
            <w:r>
              <w:rPr>
                <w:rFonts w:ascii="Calibri" w:hAnsi="Calibri"/>
                <w:color w:val="2D2D2D"/>
                <w:sz w:val="18"/>
              </w:rPr>
              <w:t>Require additional review</w:t>
            </w:r>
          </w:p>
        </w:tc>
      </w:tr>
      <w:tr>
        <w:tc>
          <w:tcPr>
            <w:tcW w:type="dxa" w:w="3024"/>
            <w:vAlign w:val="center"/>
          </w:tcPr>
          <w:p>
            <w:pPr>
              <w:jc w:val="left"/>
            </w:pPr>
            <w:r/>
            <w:r>
              <w:rPr>
                <w:rFonts w:ascii="Calibri" w:hAnsi="Calibri"/>
                <w:color w:val="2D2D2D"/>
                <w:sz w:val="18"/>
              </w:rPr>
              <w:t>`RESTRICTED`</w:t>
            </w:r>
          </w:p>
        </w:tc>
        <w:tc>
          <w:tcPr>
            <w:tcW w:type="dxa" w:w="3024"/>
            <w:vAlign w:val="center"/>
          </w:tcPr>
          <w:p>
            <w:pPr>
              <w:jc w:val="left"/>
            </w:pPr>
            <w:r/>
            <w:r>
              <w:rPr>
                <w:rFonts w:ascii="Calibri" w:hAnsi="Calibri"/>
                <w:color w:val="2D2D2D"/>
                <w:sz w:val="18"/>
              </w:rPr>
              <w:t>Limited permission</w:t>
            </w:r>
          </w:p>
        </w:tc>
        <w:tc>
          <w:tcPr>
            <w:tcW w:type="dxa" w:w="3024"/>
            <w:vAlign w:val="center"/>
          </w:tcPr>
          <w:p>
            <w:pPr>
              <w:jc w:val="left"/>
            </w:pPr>
            <w:r/>
            <w:r>
              <w:rPr>
                <w:rFonts w:ascii="Calibri" w:hAnsi="Calibri"/>
                <w:color w:val="2D2D2D"/>
                <w:sz w:val="18"/>
              </w:rPr>
              <w:t>Apply restrictions</w:t>
            </w:r>
          </w:p>
        </w:tc>
      </w:tr>
      <w:tr>
        <w:tc>
          <w:tcPr>
            <w:tcW w:type="dxa" w:w="3024"/>
            <w:shd w:fill="F0F0F0"/>
            <w:vAlign w:val="center"/>
          </w:tcPr>
          <w:p>
            <w:pPr>
              <w:jc w:val="left"/>
            </w:pPr>
            <w:r/>
            <w:r>
              <w:rPr>
                <w:rFonts w:ascii="Calibri" w:hAnsi="Calibri"/>
                <w:color w:val="2D2D2D"/>
                <w:sz w:val="18"/>
              </w:rPr>
              <w:t>`PROHIBITED`</w:t>
            </w:r>
          </w:p>
        </w:tc>
        <w:tc>
          <w:tcPr>
            <w:tcW w:type="dxa" w:w="3024"/>
            <w:shd w:fill="F0F0F0"/>
            <w:vAlign w:val="center"/>
          </w:tcPr>
          <w:p>
            <w:pPr>
              <w:jc w:val="left"/>
            </w:pPr>
            <w:r/>
            <w:r>
              <w:rPr>
                <w:rFonts w:ascii="Calibri" w:hAnsi="Calibri"/>
                <w:color w:val="2D2D2D"/>
                <w:sz w:val="18"/>
              </w:rPr>
              <w:t>Not permitted</w:t>
            </w:r>
          </w:p>
        </w:tc>
        <w:tc>
          <w:tcPr>
            <w:tcW w:type="dxa" w:w="3024"/>
            <w:shd w:fill="F0F0F0"/>
            <w:vAlign w:val="center"/>
          </w:tcPr>
          <w:p>
            <w:pPr>
              <w:jc w:val="left"/>
            </w:pPr>
            <w:r/>
            <w:r>
              <w:rPr>
                <w:rFonts w:ascii="Calibri" w:hAnsi="Calibri"/>
                <w:color w:val="2D2D2D"/>
                <w:sz w:val="18"/>
              </w:rPr>
              <w:t>BLOCK</w:t>
            </w:r>
          </w:p>
        </w:tc>
      </w:tr>
      <w:tr>
        <w:tc>
          <w:tcPr>
            <w:tcW w:type="dxa" w:w="3024"/>
            <w:vAlign w:val="center"/>
          </w:tcPr>
          <w:p>
            <w:pPr>
              <w:jc w:val="left"/>
            </w:pPr>
            <w:r/>
            <w:r>
              <w:rPr>
                <w:rFonts w:ascii="Calibri" w:hAnsi="Calibri"/>
                <w:color w:val="2D2D2D"/>
                <w:sz w:val="18"/>
              </w:rPr>
              <w:t>`UNKNOWN`</w:t>
            </w:r>
          </w:p>
        </w:tc>
        <w:tc>
          <w:tcPr>
            <w:tcW w:type="dxa" w:w="3024"/>
            <w:vAlign w:val="center"/>
          </w:tcPr>
          <w:p>
            <w:pPr>
              <w:jc w:val="left"/>
            </w:pPr>
            <w:r/>
            <w:r>
              <w:rPr>
                <w:rFonts w:ascii="Calibri" w:hAnsi="Calibri"/>
                <w:color w:val="2D2D2D"/>
                <w:sz w:val="18"/>
              </w:rPr>
              <w:t>Not classified</w:t>
            </w:r>
          </w:p>
        </w:tc>
        <w:tc>
          <w:tcPr>
            <w:tcW w:type="dxa" w:w="3024"/>
            <w:vAlign w:val="center"/>
          </w:tcPr>
          <w:p>
            <w:pPr>
              <w:jc w:val="left"/>
            </w:pPr>
            <w:r/>
            <w:r>
              <w:rPr>
                <w:rFonts w:ascii="Calibri" w:hAnsi="Calibri"/>
                <w:color w:val="2D2D2D"/>
                <w:sz w:val="18"/>
              </w:rPr>
              <w:t>**CONSERVATIVE BLOCK**</w:t>
            </w:r>
          </w:p>
        </w:tc>
      </w:tr>
    </w:tbl>
    <w:p/>
    <w:p>
      <w:pPr>
        <w:pStyle w:val="Heading3"/>
      </w:pPr>
      <w:r>
        <w:t>§15.3 Critical Rule</w:t>
      </w:r>
    </w:p>
    <w:p>
      <w:pPr>
        <w:spacing w:before="120" w:after="120"/>
        <w:ind w:left="567" w:right="567"/>
        <w:pBdr>
          <w:left w:val="single" w:sz="24" w:space="8" w:color="C59B1E"/>
        </w:pBdr>
        <w:shd w:fill="FFFBF0"/>
      </w:pPr>
      <w:r>
        <w:rPr>
          <w:b/>
          <w:i/>
          <w:color w:val="1A365F"/>
          <w:sz w:val="22"/>
        </w:rPr>
        <w:t>**UNKNOWN = CONSERVATIVE BLOCK. Never infer legal permission from MITHQAL's internal label.**</w:t>
      </w:r>
    </w:p>
    <w:p>
      <w:r>
        <w:t xml:space="preserve">If a jurisdiction is not in the registry, or a dimension is not classified, the system </w:t>
      </w:r>
      <w:r>
        <w:rPr>
          <w:b/>
        </w:rPr>
        <w:t>BLOCKS</w:t>
      </w:r>
      <w:r>
        <w:t xml:space="preserve"> the transaction by default.</w:t>
      </w:r>
    </w:p>
    <w:p>
      <w:pPr>
        <w:pStyle w:val="Heading3"/>
      </w:pPr>
      <w:r>
        <w:t>§15.4 Jurisdiction Registry (Current)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Jurisdiction</w:t>
            </w:r>
          </w:p>
        </w:tc>
        <w:tc>
          <w:tcPr>
            <w:tcW w:type="dxa" w:w="1814"/>
            <w:shd w:fill="1A365F"/>
            <w:vAlign w:val="center"/>
          </w:tcPr>
          <w:p>
            <w:pPr>
              <w:jc w:val="left"/>
            </w:pPr>
            <w:r/>
            <w:r>
              <w:rPr>
                <w:rFonts w:ascii="Calibri" w:hAnsi="Calibri"/>
                <w:b/>
                <w:color w:val="FFFFFF"/>
                <w:sz w:val="18"/>
              </w:rPr>
              <w:t>MTQ Legal</w:t>
            </w:r>
          </w:p>
        </w:tc>
        <w:tc>
          <w:tcPr>
            <w:tcW w:type="dxa" w:w="1814"/>
            <w:shd w:fill="1A365F"/>
            <w:vAlign w:val="center"/>
          </w:tcPr>
          <w:p>
            <w:pPr>
              <w:jc w:val="left"/>
            </w:pPr>
            <w:r/>
            <w:r>
              <w:rPr>
                <w:rFonts w:ascii="Calibri" w:hAnsi="Calibri"/>
                <w:b/>
                <w:color w:val="FFFFFF"/>
                <w:sz w:val="18"/>
              </w:rPr>
              <w:t>Settlement</w:t>
            </w:r>
          </w:p>
        </w:tc>
        <w:tc>
          <w:tcPr>
            <w:tcW w:type="dxa" w:w="1814"/>
            <w:shd w:fill="1A365F"/>
            <w:vAlign w:val="center"/>
          </w:tcPr>
          <w:p>
            <w:pPr>
              <w:jc w:val="left"/>
            </w:pPr>
            <w:r/>
            <w:r>
              <w:rPr>
                <w:rFonts w:ascii="Calibri" w:hAnsi="Calibri"/>
                <w:b/>
                <w:color w:val="FFFFFF"/>
                <w:sz w:val="18"/>
              </w:rPr>
              <w:t>Redemption</w:t>
            </w:r>
          </w:p>
        </w:tc>
        <w:tc>
          <w:tcPr>
            <w:tcW w:type="dxa" w:w="1814"/>
            <w:shd w:fill="1A365F"/>
            <w:vAlign w:val="center"/>
          </w:tcPr>
          <w:p>
            <w:pPr>
              <w:jc w:val="left"/>
            </w:pPr>
            <w:r/>
            <w:r>
              <w:rPr>
                <w:rFonts w:ascii="Calibri" w:hAnsi="Calibri"/>
                <w:b/>
                <w:color w:val="FFFFFF"/>
                <w:sz w:val="18"/>
              </w:rPr>
              <w:t>Geo-Fenced</w:t>
            </w:r>
          </w:p>
        </w:tc>
      </w:tr>
      <w:tr>
        <w:tc>
          <w:tcPr>
            <w:tcW w:type="dxa" w:w="1814"/>
            <w:vAlign w:val="center"/>
          </w:tcPr>
          <w:p>
            <w:pPr>
              <w:jc w:val="left"/>
            </w:pPr>
            <w:r/>
            <w:r>
              <w:rPr>
                <w:rFonts w:ascii="Calibri" w:hAnsi="Calibri"/>
                <w:color w:val="2D2D2D"/>
                <w:sz w:val="18"/>
              </w:rPr>
              <w:t>US</w:t>
            </w:r>
          </w:p>
        </w:tc>
        <w:tc>
          <w:tcPr>
            <w:tcW w:type="dxa" w:w="1814"/>
            <w:vAlign w:val="center"/>
          </w:tcPr>
          <w:p>
            <w:pPr>
              <w:jc w:val="left"/>
            </w:pPr>
            <w:r/>
            <w:r>
              <w:rPr>
                <w:rFonts w:ascii="Calibri" w:hAnsi="Calibri"/>
                <w:color w:val="2D2D2D"/>
                <w:sz w:val="18"/>
              </w:rPr>
              <w:t>CONDITIONAL</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No</w:t>
            </w:r>
          </w:p>
        </w:tc>
      </w:tr>
      <w:tr>
        <w:tc>
          <w:tcPr>
            <w:tcW w:type="dxa" w:w="1814"/>
            <w:shd w:fill="F0F0F0"/>
            <w:vAlign w:val="center"/>
          </w:tcPr>
          <w:p>
            <w:pPr>
              <w:jc w:val="left"/>
            </w:pPr>
            <w:r/>
            <w:r>
              <w:rPr>
                <w:rFonts w:ascii="Calibri" w:hAnsi="Calibri"/>
                <w:color w:val="2D2D2D"/>
                <w:sz w:val="18"/>
              </w:rPr>
              <w:t>EU</w:t>
            </w:r>
          </w:p>
        </w:tc>
        <w:tc>
          <w:tcPr>
            <w:tcW w:type="dxa" w:w="1814"/>
            <w:shd w:fill="F0F0F0"/>
            <w:vAlign w:val="center"/>
          </w:tcPr>
          <w:p>
            <w:pPr>
              <w:jc w:val="left"/>
            </w:pPr>
            <w:r/>
            <w:r>
              <w:rPr>
                <w:rFonts w:ascii="Calibri" w:hAnsi="Calibri"/>
                <w:color w:val="2D2D2D"/>
                <w:sz w:val="18"/>
              </w:rPr>
              <w:t>CONDITIONAL</w:t>
            </w:r>
          </w:p>
        </w:tc>
        <w:tc>
          <w:tcPr>
            <w:tcW w:type="dxa" w:w="1814"/>
            <w:shd w:fill="F0F0F0"/>
            <w:vAlign w:val="center"/>
          </w:tcPr>
          <w:p>
            <w:pPr>
              <w:jc w:val="left"/>
            </w:pPr>
            <w:r/>
            <w:r>
              <w:rPr>
                <w:rFonts w:ascii="Calibri" w:hAnsi="Calibri"/>
                <w:color w:val="2D2D2D"/>
                <w:sz w:val="18"/>
              </w:rPr>
              <w:t>ALLOWED</w:t>
            </w:r>
          </w:p>
        </w:tc>
        <w:tc>
          <w:tcPr>
            <w:tcW w:type="dxa" w:w="1814"/>
            <w:shd w:fill="F0F0F0"/>
            <w:vAlign w:val="center"/>
          </w:tcPr>
          <w:p>
            <w:pPr>
              <w:jc w:val="left"/>
            </w:pPr>
            <w:r/>
            <w:r>
              <w:rPr>
                <w:rFonts w:ascii="Calibri" w:hAnsi="Calibri"/>
                <w:color w:val="2D2D2D"/>
                <w:sz w:val="18"/>
              </w:rPr>
              <w:t>ALLOWED</w:t>
            </w:r>
          </w:p>
        </w:tc>
        <w:tc>
          <w:tcPr>
            <w:tcW w:type="dxa" w:w="1814"/>
            <w:shd w:fill="F0F0F0"/>
            <w:vAlign w:val="center"/>
          </w:tcPr>
          <w:p>
            <w:pPr>
              <w:jc w:val="left"/>
            </w:pPr>
            <w:r/>
            <w:r>
              <w:rPr>
                <w:rFonts w:ascii="Calibri" w:hAnsi="Calibri"/>
                <w:color w:val="2D2D2D"/>
                <w:sz w:val="18"/>
              </w:rPr>
              <w:t>No</w:t>
            </w:r>
          </w:p>
        </w:tc>
      </w:tr>
      <w:tr>
        <w:tc>
          <w:tcPr>
            <w:tcW w:type="dxa" w:w="1814"/>
            <w:vAlign w:val="center"/>
          </w:tcPr>
          <w:p>
            <w:pPr>
              <w:jc w:val="left"/>
            </w:pPr>
            <w:r/>
            <w:r>
              <w:rPr>
                <w:rFonts w:ascii="Calibri" w:hAnsi="Calibri"/>
                <w:color w:val="2D2D2D"/>
                <w:sz w:val="18"/>
              </w:rPr>
              <w:t>AE (UAE)</w:t>
            </w:r>
          </w:p>
        </w:tc>
        <w:tc>
          <w:tcPr>
            <w:tcW w:type="dxa" w:w="1814"/>
            <w:vAlign w:val="center"/>
          </w:tcPr>
          <w:p>
            <w:pPr>
              <w:jc w:val="left"/>
            </w:pPr>
            <w:r/>
            <w:r>
              <w:rPr>
                <w:rFonts w:ascii="Calibri" w:hAnsi="Calibri"/>
                <w:color w:val="2D2D2D"/>
                <w:sz w:val="18"/>
              </w:rPr>
              <w:t>CONDITIONAL</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No</w:t>
            </w:r>
          </w:p>
        </w:tc>
      </w:tr>
      <w:tr>
        <w:tc>
          <w:tcPr>
            <w:tcW w:type="dxa" w:w="1814"/>
            <w:shd w:fill="F0F0F0"/>
            <w:vAlign w:val="center"/>
          </w:tcPr>
          <w:p>
            <w:pPr>
              <w:jc w:val="left"/>
            </w:pPr>
            <w:r/>
            <w:r>
              <w:rPr>
                <w:rFonts w:ascii="Calibri" w:hAnsi="Calibri"/>
                <w:color w:val="2D2D2D"/>
                <w:sz w:val="18"/>
              </w:rPr>
              <w:t>SG (Singapore)</w:t>
            </w:r>
          </w:p>
        </w:tc>
        <w:tc>
          <w:tcPr>
            <w:tcW w:type="dxa" w:w="1814"/>
            <w:shd w:fill="F0F0F0"/>
            <w:vAlign w:val="center"/>
          </w:tcPr>
          <w:p>
            <w:pPr>
              <w:jc w:val="left"/>
            </w:pPr>
            <w:r/>
            <w:r>
              <w:rPr>
                <w:rFonts w:ascii="Calibri" w:hAnsi="Calibri"/>
                <w:color w:val="2D2D2D"/>
                <w:sz w:val="18"/>
              </w:rPr>
              <w:t>CONDITIONAL</w:t>
            </w:r>
          </w:p>
        </w:tc>
        <w:tc>
          <w:tcPr>
            <w:tcW w:type="dxa" w:w="1814"/>
            <w:shd w:fill="F0F0F0"/>
            <w:vAlign w:val="center"/>
          </w:tcPr>
          <w:p>
            <w:pPr>
              <w:jc w:val="left"/>
            </w:pPr>
            <w:r/>
            <w:r>
              <w:rPr>
                <w:rFonts w:ascii="Calibri" w:hAnsi="Calibri"/>
                <w:color w:val="2D2D2D"/>
                <w:sz w:val="18"/>
              </w:rPr>
              <w:t>ALLOWED</w:t>
            </w:r>
          </w:p>
        </w:tc>
        <w:tc>
          <w:tcPr>
            <w:tcW w:type="dxa" w:w="1814"/>
            <w:shd w:fill="F0F0F0"/>
            <w:vAlign w:val="center"/>
          </w:tcPr>
          <w:p>
            <w:pPr>
              <w:jc w:val="left"/>
            </w:pPr>
            <w:r/>
            <w:r>
              <w:rPr>
                <w:rFonts w:ascii="Calibri" w:hAnsi="Calibri"/>
                <w:color w:val="2D2D2D"/>
                <w:sz w:val="18"/>
              </w:rPr>
              <w:t>ALLOWED</w:t>
            </w:r>
          </w:p>
        </w:tc>
        <w:tc>
          <w:tcPr>
            <w:tcW w:type="dxa" w:w="1814"/>
            <w:shd w:fill="F0F0F0"/>
            <w:vAlign w:val="center"/>
          </w:tcPr>
          <w:p>
            <w:pPr>
              <w:jc w:val="left"/>
            </w:pPr>
            <w:r/>
            <w:r>
              <w:rPr>
                <w:rFonts w:ascii="Calibri" w:hAnsi="Calibri"/>
                <w:color w:val="2D2D2D"/>
                <w:sz w:val="18"/>
              </w:rPr>
              <w:t>No</w:t>
            </w:r>
          </w:p>
        </w:tc>
      </w:tr>
      <w:tr>
        <w:tc>
          <w:tcPr>
            <w:tcW w:type="dxa" w:w="1814"/>
            <w:vAlign w:val="center"/>
          </w:tcPr>
          <w:p>
            <w:pPr>
              <w:jc w:val="left"/>
            </w:pPr>
            <w:r/>
            <w:r>
              <w:rPr>
                <w:rFonts w:ascii="Calibri" w:hAnsi="Calibri"/>
                <w:color w:val="2D2D2D"/>
                <w:sz w:val="18"/>
              </w:rPr>
              <w:t>JP (Japan)</w:t>
            </w:r>
          </w:p>
        </w:tc>
        <w:tc>
          <w:tcPr>
            <w:tcW w:type="dxa" w:w="1814"/>
            <w:vAlign w:val="center"/>
          </w:tcPr>
          <w:p>
            <w:pPr>
              <w:jc w:val="left"/>
            </w:pPr>
            <w:r/>
            <w:r>
              <w:rPr>
                <w:rFonts w:ascii="Calibri" w:hAnsi="Calibri"/>
                <w:color w:val="2D2D2D"/>
                <w:sz w:val="18"/>
              </w:rPr>
              <w:t>CONDITIONAL</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No</w:t>
            </w:r>
          </w:p>
        </w:tc>
      </w:tr>
      <w:tr>
        <w:tc>
          <w:tcPr>
            <w:tcW w:type="dxa" w:w="1814"/>
            <w:shd w:fill="F0F0F0"/>
            <w:vAlign w:val="center"/>
          </w:tcPr>
          <w:p>
            <w:pPr>
              <w:jc w:val="left"/>
            </w:pPr>
            <w:r/>
            <w:r>
              <w:rPr>
                <w:rFonts w:ascii="Calibri" w:hAnsi="Calibri"/>
                <w:color w:val="2D2D2D"/>
                <w:sz w:val="18"/>
              </w:rPr>
              <w:t>GB (UK)</w:t>
            </w:r>
          </w:p>
        </w:tc>
        <w:tc>
          <w:tcPr>
            <w:tcW w:type="dxa" w:w="1814"/>
            <w:shd w:fill="F0F0F0"/>
            <w:vAlign w:val="center"/>
          </w:tcPr>
          <w:p>
            <w:pPr>
              <w:jc w:val="left"/>
            </w:pPr>
            <w:r/>
            <w:r>
              <w:rPr>
                <w:rFonts w:ascii="Calibri" w:hAnsi="Calibri"/>
                <w:color w:val="2D2D2D"/>
                <w:sz w:val="18"/>
              </w:rPr>
              <w:t>CONDITIONAL</w:t>
            </w:r>
          </w:p>
        </w:tc>
        <w:tc>
          <w:tcPr>
            <w:tcW w:type="dxa" w:w="1814"/>
            <w:shd w:fill="F0F0F0"/>
            <w:vAlign w:val="center"/>
          </w:tcPr>
          <w:p>
            <w:pPr>
              <w:jc w:val="left"/>
            </w:pPr>
            <w:r/>
            <w:r>
              <w:rPr>
                <w:rFonts w:ascii="Calibri" w:hAnsi="Calibri"/>
                <w:color w:val="2D2D2D"/>
                <w:sz w:val="18"/>
              </w:rPr>
              <w:t>ALLOWED</w:t>
            </w:r>
          </w:p>
        </w:tc>
        <w:tc>
          <w:tcPr>
            <w:tcW w:type="dxa" w:w="1814"/>
            <w:shd w:fill="F0F0F0"/>
            <w:vAlign w:val="center"/>
          </w:tcPr>
          <w:p>
            <w:pPr>
              <w:jc w:val="left"/>
            </w:pPr>
            <w:r/>
            <w:r>
              <w:rPr>
                <w:rFonts w:ascii="Calibri" w:hAnsi="Calibri"/>
                <w:color w:val="2D2D2D"/>
                <w:sz w:val="18"/>
              </w:rPr>
              <w:t>ALLOWED</w:t>
            </w:r>
          </w:p>
        </w:tc>
        <w:tc>
          <w:tcPr>
            <w:tcW w:type="dxa" w:w="1814"/>
            <w:shd w:fill="F0F0F0"/>
            <w:vAlign w:val="center"/>
          </w:tcPr>
          <w:p>
            <w:pPr>
              <w:jc w:val="left"/>
            </w:pPr>
            <w:r/>
            <w:r>
              <w:rPr>
                <w:rFonts w:ascii="Calibri" w:hAnsi="Calibri"/>
                <w:color w:val="2D2D2D"/>
                <w:sz w:val="18"/>
              </w:rPr>
              <w:t>No</w:t>
            </w:r>
          </w:p>
        </w:tc>
      </w:tr>
      <w:tr>
        <w:tc>
          <w:tcPr>
            <w:tcW w:type="dxa" w:w="1814"/>
            <w:vAlign w:val="center"/>
          </w:tcPr>
          <w:p>
            <w:pPr>
              <w:jc w:val="left"/>
            </w:pPr>
            <w:r/>
            <w:r>
              <w:rPr>
                <w:rFonts w:ascii="Calibri" w:hAnsi="Calibri"/>
                <w:color w:val="2D2D2D"/>
                <w:sz w:val="18"/>
              </w:rPr>
              <w:t>HK (Hong Kong)</w:t>
            </w:r>
          </w:p>
        </w:tc>
        <w:tc>
          <w:tcPr>
            <w:tcW w:type="dxa" w:w="1814"/>
            <w:vAlign w:val="center"/>
          </w:tcPr>
          <w:p>
            <w:pPr>
              <w:jc w:val="left"/>
            </w:pPr>
            <w:r/>
            <w:r>
              <w:rPr>
                <w:rFonts w:ascii="Calibri" w:hAnsi="Calibri"/>
                <w:color w:val="2D2D2D"/>
                <w:sz w:val="18"/>
              </w:rPr>
              <w:t>CONDITIONAL</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ALLOWED</w:t>
            </w:r>
          </w:p>
        </w:tc>
        <w:tc>
          <w:tcPr>
            <w:tcW w:type="dxa" w:w="1814"/>
            <w:vAlign w:val="center"/>
          </w:tcPr>
          <w:p>
            <w:pPr>
              <w:jc w:val="left"/>
            </w:pPr>
            <w:r/>
            <w:r>
              <w:rPr>
                <w:rFonts w:ascii="Calibri" w:hAnsi="Calibri"/>
                <w:color w:val="2D2D2D"/>
                <w:sz w:val="18"/>
              </w:rPr>
              <w:t>No</w:t>
            </w:r>
          </w:p>
        </w:tc>
      </w:tr>
      <w:tr>
        <w:tc>
          <w:tcPr>
            <w:tcW w:type="dxa" w:w="1814"/>
            <w:shd w:fill="F0F0F0"/>
            <w:vAlign w:val="center"/>
          </w:tcPr>
          <w:p>
            <w:pPr>
              <w:jc w:val="left"/>
            </w:pPr>
            <w:r/>
            <w:r>
              <w:rPr>
                <w:rFonts w:ascii="Calibri" w:hAnsi="Calibri"/>
                <w:color w:val="2D2D2D"/>
                <w:sz w:val="18"/>
              </w:rPr>
              <w:t>CN (China)</w:t>
            </w:r>
          </w:p>
        </w:tc>
        <w:tc>
          <w:tcPr>
            <w:tcW w:type="dxa" w:w="1814"/>
            <w:shd w:fill="F0F0F0"/>
            <w:vAlign w:val="center"/>
          </w:tcPr>
          <w:p>
            <w:pPr>
              <w:jc w:val="left"/>
            </w:pPr>
            <w:r/>
            <w:r>
              <w:rPr>
                <w:rFonts w:ascii="Calibri" w:hAnsi="Calibri"/>
                <w:color w:val="2D2D2D"/>
                <w:sz w:val="18"/>
              </w:rPr>
              <w:t>**PROHIBITED**</w:t>
            </w:r>
          </w:p>
        </w:tc>
        <w:tc>
          <w:tcPr>
            <w:tcW w:type="dxa" w:w="1814"/>
            <w:shd w:fill="F0F0F0"/>
            <w:vAlign w:val="center"/>
          </w:tcPr>
          <w:p>
            <w:pPr>
              <w:jc w:val="left"/>
            </w:pPr>
            <w:r/>
            <w:r>
              <w:rPr>
                <w:rFonts w:ascii="Calibri" w:hAnsi="Calibri"/>
                <w:color w:val="2D2D2D"/>
                <w:sz w:val="18"/>
              </w:rPr>
              <w:t>**PROHIBITED**</w:t>
            </w:r>
          </w:p>
        </w:tc>
        <w:tc>
          <w:tcPr>
            <w:tcW w:type="dxa" w:w="1814"/>
            <w:shd w:fill="F0F0F0"/>
            <w:vAlign w:val="center"/>
          </w:tcPr>
          <w:p>
            <w:pPr>
              <w:jc w:val="left"/>
            </w:pPr>
            <w:r/>
            <w:r>
              <w:rPr>
                <w:rFonts w:ascii="Calibri" w:hAnsi="Calibri"/>
                <w:color w:val="2D2D2D"/>
                <w:sz w:val="18"/>
              </w:rPr>
              <w:t>**PROHIBITED**</w:t>
            </w:r>
          </w:p>
        </w:tc>
        <w:tc>
          <w:tcPr>
            <w:tcW w:type="dxa" w:w="1814"/>
            <w:shd w:fill="F0F0F0"/>
            <w:vAlign w:val="center"/>
          </w:tcPr>
          <w:p>
            <w:pPr>
              <w:jc w:val="left"/>
            </w:pPr>
            <w:r/>
            <w:r>
              <w:rPr>
                <w:rFonts w:ascii="Calibri" w:hAnsi="Calibri"/>
                <w:color w:val="2D2D2D"/>
                <w:sz w:val="18"/>
              </w:rPr>
              <w:t>**YES**</w:t>
            </w:r>
          </w:p>
        </w:tc>
      </w:tr>
    </w:tbl>
    <w:p/>
    <w:p>
      <w:pPr>
        <w:pStyle w:val="Heading3"/>
      </w:pPr>
      <w:r>
        <w:t>§15.5 Extensibility</w:t>
      </w:r>
    </w:p>
    <w:p>
      <w:r>
        <w:t xml:space="preserve">The jurisdiction registry is </w:t>
      </w:r>
      <w:r>
        <w:rPr>
          <w:b/>
        </w:rPr>
        <w:t>extensible</w:t>
      </w:r>
      <w:r>
        <w:t xml:space="preserve"> — new jurisdictions can be added as they are classified. Each new jurisdiction requires:</w:t>
      </w:r>
    </w:p>
    <w:p>
      <w:pPr>
        <w:pStyle w:val="ListNumber"/>
        <w:ind w:left="425"/>
      </w:pPr>
      <w:r>
        <w:t>Legal opinion on MTQ classification</w:t>
      </w:r>
    </w:p>
    <w:p>
      <w:pPr>
        <w:pStyle w:val="ListNumber"/>
        <w:ind w:left="425"/>
      </w:pPr>
      <w:r>
        <w:t>Regulatory analysis of all 19 dimensions</w:t>
      </w:r>
    </w:p>
    <w:p>
      <w:pPr>
        <w:pStyle w:val="ListNumber"/>
        <w:ind w:left="425"/>
      </w:pPr>
      <w:r>
        <w:t>Licensing requirements documentation</w:t>
      </w:r>
    </w:p>
    <w:p>
      <w:pPr>
        <w:pStyle w:val="ListNumber"/>
        <w:ind w:left="425"/>
      </w:pPr>
      <w:r>
        <w:t>Compliance program design</w:t>
      </w:r>
    </w:p>
    <w:p>
      <w:r>
        <w:rPr>
          <w:b/>
        </w:rPr>
        <w:t>Implementation Reference:</w:t>
      </w:r>
      <w:r>
        <w:t xml:space="preserve"> </w:t>
      </w:r>
      <w:r>
        <w:rPr>
          <w:rFonts w:ascii="Consolas" w:hAnsi="Consolas"/>
          <w:color w:val="6B6B6B"/>
          <w:sz w:val="19"/>
        </w:rPr>
        <w:t>src/lib/institutional-authorization.ts</w:t>
      </w:r>
      <w:r>
        <w:t xml:space="preserve"> → </w:t>
      </w:r>
      <w:r>
        <w:rPr>
          <w:rFonts w:ascii="Consolas" w:hAnsi="Consolas"/>
          <w:color w:val="6B6B6B"/>
          <w:sz w:val="19"/>
        </w:rPr>
        <w:t>JURISDICTION_REGISTRY</w:t>
      </w:r>
      <w:r>
        <w:t xml:space="preserve">, </w:t>
      </w:r>
      <w:r>
        <w:rPr>
          <w:rFonts w:ascii="Consolas" w:hAnsi="Consolas"/>
          <w:color w:val="6B6B6B"/>
          <w:sz w:val="19"/>
        </w:rPr>
        <w:t>JurisdictionClassification</w:t>
      </w:r>
    </w:p>
    <w:p>
      <w:pPr>
        <w:pBdr>
          <w:bottom w:val="single" w:sz="12" w:space="1" w:color="C59B1E"/>
        </w:pBdr>
      </w:pPr>
    </w:p>
    <w:p>
      <w:pPr>
        <w:pStyle w:val="Heading2"/>
      </w:pPr>
      <w:r>
        <w:t>§16 — JURISDICTIONAL GEO-FENCING</w:t>
      </w:r>
    </w:p>
    <w:p>
      <w:pPr>
        <w:pStyle w:val="Heading3"/>
      </w:pPr>
      <w:r>
        <w:t>§16.1 Fail-Closed Philosophy</w:t>
      </w:r>
    </w:p>
    <w:p>
      <w:r>
        <w:t xml:space="preserve">Keep and strengthen the existing </w:t>
      </w:r>
      <w:r>
        <w:rPr>
          <w:b/>
        </w:rPr>
        <w:t>China geo-fence</w:t>
      </w:r>
      <w:r>
        <w:t xml:space="preserve">. Implement the same architectural approach for </w:t>
      </w:r>
      <w:r>
        <w:rPr>
          <w:b/>
        </w:rPr>
        <w:t>any jurisdiction</w:t>
      </w:r>
      <w:r>
        <w:t xml:space="preserve"> where:</w:t>
      </w:r>
    </w:p>
    <w:p>
      <w:pPr>
        <w:pStyle w:val="ListBullet"/>
        <w:ind w:left="425"/>
      </w:pPr>
      <w:r>
        <w:t>MTQ issuance is prohibited</w:t>
      </w:r>
    </w:p>
    <w:p>
      <w:pPr>
        <w:pStyle w:val="ListBullet"/>
        <w:ind w:left="425"/>
      </w:pPr>
      <w:r>
        <w:t>Settlement activity is prohibited</w:t>
      </w:r>
    </w:p>
    <w:p>
      <w:pPr>
        <w:pStyle w:val="ListBullet"/>
        <w:ind w:left="425"/>
      </w:pPr>
      <w:r>
        <w:t>Relevant crypto/token activity is prohibited</w:t>
      </w:r>
    </w:p>
    <w:p>
      <w:pPr>
        <w:pStyle w:val="ListBullet"/>
        <w:ind w:left="425"/>
      </w:pPr>
      <w:r>
        <w:t>Institutional access is restricted</w:t>
      </w:r>
    </w:p>
    <w:p>
      <w:pPr>
        <w:pStyle w:val="ListBullet"/>
        <w:ind w:left="425"/>
      </w:pPr>
      <w:r>
        <w:t>Specific transaction categories are prohibited</w:t>
      </w:r>
    </w:p>
    <w:p>
      <w:pPr>
        <w:pStyle w:val="Heading3"/>
      </w:pPr>
      <w:r>
        <w:t>§16.2 Prohibited Circumvention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Circumvention Method</w:t>
            </w:r>
          </w:p>
        </w:tc>
        <w:tc>
          <w:tcPr>
            <w:tcW w:type="dxa" w:w="4536"/>
            <w:shd w:fill="1A365F"/>
            <w:vAlign w:val="center"/>
          </w:tcPr>
          <w:p>
            <w:pPr>
              <w:jc w:val="left"/>
            </w:pPr>
            <w:r/>
            <w:r>
              <w:rPr>
                <w:rFonts w:ascii="Calibri" w:hAnsi="Calibri"/>
                <w:b/>
                <w:color w:val="FFFFFF"/>
                <w:sz w:val="18"/>
              </w:rPr>
              <w:t>Status</w:t>
            </w:r>
          </w:p>
        </w:tc>
      </w:tr>
      <w:tr>
        <w:tc>
          <w:tcPr>
            <w:tcW w:type="dxa" w:w="4536"/>
            <w:vAlign w:val="center"/>
          </w:tcPr>
          <w:p>
            <w:pPr>
              <w:jc w:val="left"/>
            </w:pPr>
            <w:r/>
            <w:r>
              <w:rPr>
                <w:rFonts w:ascii="Calibri" w:hAnsi="Calibri"/>
                <w:color w:val="2D2D2D"/>
                <w:sz w:val="18"/>
              </w:rPr>
              <w:t>VPN circumvention</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Alternate routing to defeat restriction</w:t>
            </w:r>
          </w:p>
        </w:tc>
        <w:tc>
          <w:tcPr>
            <w:tcW w:type="dxa" w:w="4536"/>
            <w:shd w:fill="F0F0F0"/>
            <w:vAlign w:val="center"/>
          </w:tcPr>
          <w:p>
            <w:pPr>
              <w:jc w:val="left"/>
            </w:pPr>
            <w:r/>
            <w:r>
              <w:rPr>
                <w:rFonts w:ascii="Calibri" w:hAnsi="Calibri"/>
                <w:color w:val="2D2D2D"/>
                <w:sz w:val="18"/>
              </w:rPr>
              <w:t>❌ PROHIBITED</w:t>
            </w:r>
          </w:p>
        </w:tc>
      </w:tr>
      <w:tr>
        <w:tc>
          <w:tcPr>
            <w:tcW w:type="dxa" w:w="4536"/>
            <w:vAlign w:val="center"/>
          </w:tcPr>
          <w:p>
            <w:pPr>
              <w:jc w:val="left"/>
            </w:pPr>
            <w:r/>
            <w:r>
              <w:rPr>
                <w:rFonts w:ascii="Calibri" w:hAnsi="Calibri"/>
                <w:color w:val="2D2D2D"/>
                <w:sz w:val="18"/>
              </w:rPr>
              <w:t>Indirect access designed to evade law</w:t>
            </w:r>
          </w:p>
        </w:tc>
        <w:tc>
          <w:tcPr>
            <w:tcW w:type="dxa" w:w="4536"/>
            <w:vAlign w:val="center"/>
          </w:tcPr>
          <w:p>
            <w:pPr>
              <w:jc w:val="left"/>
            </w:pPr>
            <w:r/>
            <w:r>
              <w:rPr>
                <w:rFonts w:ascii="Calibri" w:hAnsi="Calibri"/>
                <w:color w:val="2D2D2D"/>
                <w:sz w:val="18"/>
              </w:rPr>
              <w:t>❌ PROHIBITED</w:t>
            </w:r>
          </w:p>
        </w:tc>
      </w:tr>
      <w:tr>
        <w:tc>
          <w:tcPr>
            <w:tcW w:type="dxa" w:w="4536"/>
            <w:shd w:fill="F0F0F0"/>
            <w:vAlign w:val="center"/>
          </w:tcPr>
          <w:p>
            <w:pPr>
              <w:jc w:val="left"/>
            </w:pPr>
            <w:r/>
            <w:r>
              <w:rPr>
                <w:rFonts w:ascii="Calibri" w:hAnsi="Calibri"/>
                <w:color w:val="2D2D2D"/>
                <w:sz w:val="18"/>
              </w:rPr>
              <w:t>Hidden interfaces</w:t>
            </w:r>
          </w:p>
        </w:tc>
        <w:tc>
          <w:tcPr>
            <w:tcW w:type="dxa" w:w="4536"/>
            <w:shd w:fill="F0F0F0"/>
            <w:vAlign w:val="center"/>
          </w:tcPr>
          <w:p>
            <w:pPr>
              <w:jc w:val="left"/>
            </w:pPr>
            <w:r/>
            <w:r>
              <w:rPr>
                <w:rFonts w:ascii="Calibri" w:hAnsi="Calibri"/>
                <w:color w:val="2D2D2D"/>
                <w:sz w:val="18"/>
              </w:rPr>
              <w:t>❌ PROHIBITED</w:t>
            </w:r>
          </w:p>
        </w:tc>
      </w:tr>
    </w:tbl>
    <w:p/>
    <w:p>
      <w:pPr>
        <w:pStyle w:val="ListBullet"/>
        <w:ind w:left="425"/>
      </w:pPr>
      <w:r>
        <w:t>Sanctions screening (customer-level) | Bank | None |</w:t>
      </w:r>
    </w:p>
    <w:p>
      <w:pPr>
        <w:pStyle w:val="Heading3"/>
      </w:pPr>
      <w:r>
        <w:t>§16.3 Technical Enforcement</w:t>
      </w:r>
    </w:p>
    <w:p>
      <w:pPr>
        <w:ind w:left="283"/>
        <w:shd w:fill="F5F5F5"/>
      </w:pPr>
      <w:r>
        <w:rPr>
          <w:rFonts w:ascii="Consolas" w:hAnsi="Consolas"/>
          <w:color w:val="6B6B6B"/>
          <w:sz w:val="18"/>
        </w:rPr>
        <w:t>function isGeoFenced(jurisdiction: string): boolean {</w:t>
        <w:br/>
        <w:t xml:space="preserve">  const jur = JURISDICTION_REGISTRY[jurisdiction];</w:t>
        <w:br/>
        <w:t xml:space="preserve">  if (!jur) return true; // UNKNOWN = block</w:t>
        <w:br/>
        <w:t xml:space="preserve">  return jur.mtqLegalStatus === "PROHIBITED" || jur.settlementStatus === "PROHIBITED";</w:t>
        <w:br/>
        <w:t>}</w:t>
        <w:br/>
        <w:br/>
        <w:t>// China (CN) → PROHIBITED → isGeoFenced("CN") = true</w:t>
        <w:br/>
        <w:t>// US → CONDITIONAL → isGeoFenced("US") = false</w:t>
        <w:br/>
        <w:t>// Unknown jurisdiction → isGeoFenced("XX") = true (conservative block)</w:t>
      </w:r>
    </w:p>
    <w:p>
      <w:pPr>
        <w:pStyle w:val="Heading3"/>
      </w:pPr>
      <w:r>
        <w:t>§16.4 Geo-Fence Verification</w:t>
      </w:r>
    </w:p>
    <w:p>
      <w:r>
        <w:t>The settlement pipeline (§3.2) checks geo-fencing at:</w:t>
      </w:r>
    </w:p>
    <w:p>
      <w:pPr>
        <w:pStyle w:val="ListBullet"/>
        <w:ind w:left="425"/>
      </w:pPr>
      <w:r>
        <w:t>Step 4: Institution authentication (jurisdiction check)</w:t>
      </w:r>
    </w:p>
    <w:p>
      <w:pPr>
        <w:pStyle w:val="ListBullet"/>
        <w:ind w:left="425"/>
      </w:pPr>
      <w:r>
        <w:t>Step 5: Authority check (corridor check)</w:t>
      </w:r>
    </w:p>
    <w:p>
      <w:pPr>
        <w:pStyle w:val="ListBullet"/>
        <w:ind w:left="425"/>
      </w:pPr>
      <w:r>
        <w:t>§23 Settlement Permission Engine: Check #4 (Jurisdiction allowed)</w:t>
      </w:r>
    </w:p>
    <w:p>
      <w:r>
        <w:t>Any geo-fence violation → transaction BLOCKED.</w:t>
      </w:r>
    </w:p>
    <w:p>
      <w:r>
        <w:rPr>
          <w:b/>
        </w:rPr>
        <w:t>Implementation Reference:</w:t>
      </w:r>
      <w:r>
        <w:t xml:space="preserve"> </w:t>
      </w:r>
      <w:r>
        <w:rPr>
          <w:rFonts w:ascii="Consolas" w:hAnsi="Consolas"/>
          <w:color w:val="6B6B6B"/>
          <w:sz w:val="19"/>
        </w:rPr>
        <w:t>src/lib/institutional-authorization.ts</w:t>
      </w:r>
      <w:r>
        <w:t xml:space="preserve"> → </w:t>
      </w:r>
      <w:r>
        <w:rPr>
          <w:rFonts w:ascii="Consolas" w:hAnsi="Consolas"/>
          <w:color w:val="6B6B6B"/>
          <w:sz w:val="19"/>
        </w:rPr>
        <w:t>isGeoFenced()</w:t>
      </w:r>
    </w:p>
    <w:p>
      <w:pPr>
        <w:pBdr>
          <w:bottom w:val="single" w:sz="12" w:space="1" w:color="C59B1E"/>
        </w:pBdr>
      </w:pPr>
    </w:p>
    <w:p>
      <w:pPr>
        <w:pStyle w:val="Heading2"/>
      </w:pPr>
      <w:r>
        <w:t>§17 — REGULATED ENTRY/EXIT RAILS</w:t>
      </w:r>
    </w:p>
    <w:p>
      <w:pPr>
        <w:pStyle w:val="Heading3"/>
      </w:pPr>
      <w:r>
        <w:t>§17.1 Architecture</w:t>
      </w:r>
    </w:p>
    <w:p>
      <w:r>
        <w:t xml:space="preserve">MITHQAL should </w:t>
      </w:r>
      <w:r>
        <w:rPr>
          <w:b/>
        </w:rPr>
        <w:t>NOT</w:t>
      </w:r>
      <w:r>
        <w:t xml:space="preserve"> become the global FX exchange. Create explicit interfaces for:</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Rail Type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Regulated bank conversion</w:t>
            </w:r>
          </w:p>
        </w:tc>
        <w:tc>
          <w:tcPr>
            <w:tcW w:type="dxa" w:w="4536"/>
            <w:vAlign w:val="center"/>
          </w:tcPr>
          <w:p>
            <w:pPr>
              <w:jc w:val="left"/>
            </w:pPr>
            <w:r/>
            <w:r>
              <w:rPr>
                <w:rFonts w:ascii="Calibri" w:hAnsi="Calibri"/>
                <w:color w:val="2D2D2D"/>
                <w:sz w:val="18"/>
              </w:rPr>
              <w:t>Bank ↔ MTQ conversion</w:t>
            </w:r>
          </w:p>
        </w:tc>
      </w:tr>
      <w:tr>
        <w:tc>
          <w:tcPr>
            <w:tcW w:type="dxa" w:w="4536"/>
            <w:shd w:fill="F0F0F0"/>
            <w:vAlign w:val="center"/>
          </w:tcPr>
          <w:p>
            <w:pPr>
              <w:jc w:val="left"/>
            </w:pPr>
            <w:r/>
            <w:r>
              <w:rPr>
                <w:rFonts w:ascii="Calibri" w:hAnsi="Calibri"/>
                <w:color w:val="2D2D2D"/>
                <w:sz w:val="18"/>
              </w:rPr>
              <w:t>Central-bank settlement balances</w:t>
            </w:r>
          </w:p>
        </w:tc>
        <w:tc>
          <w:tcPr>
            <w:tcW w:type="dxa" w:w="4536"/>
            <w:shd w:fill="F0F0F0"/>
            <w:vAlign w:val="center"/>
          </w:tcPr>
          <w:p>
            <w:pPr>
              <w:jc w:val="left"/>
            </w:pPr>
            <w:r/>
            <w:r>
              <w:rPr>
                <w:rFonts w:ascii="Calibri" w:hAnsi="Calibri"/>
                <w:color w:val="2D2D2D"/>
                <w:sz w:val="18"/>
              </w:rPr>
              <w:t>CB ↔ MTQ interface</w:t>
            </w:r>
          </w:p>
        </w:tc>
      </w:tr>
      <w:tr>
        <w:tc>
          <w:tcPr>
            <w:tcW w:type="dxa" w:w="4536"/>
            <w:vAlign w:val="center"/>
          </w:tcPr>
          <w:p>
            <w:pPr>
              <w:jc w:val="left"/>
            </w:pPr>
            <w:r/>
            <w:r>
              <w:rPr>
                <w:rFonts w:ascii="Calibri" w:hAnsi="Calibri"/>
                <w:color w:val="2D2D2D"/>
                <w:sz w:val="18"/>
              </w:rPr>
              <w:t>Authorized payment rails</w:t>
            </w:r>
          </w:p>
        </w:tc>
        <w:tc>
          <w:tcPr>
            <w:tcW w:type="dxa" w:w="4536"/>
            <w:vAlign w:val="center"/>
          </w:tcPr>
          <w:p>
            <w:pPr>
              <w:jc w:val="left"/>
            </w:pPr>
            <w:r/>
            <w:r>
              <w:rPr>
                <w:rFonts w:ascii="Calibri" w:hAnsi="Calibri"/>
                <w:color w:val="2D2D2D"/>
                <w:sz w:val="18"/>
              </w:rPr>
              <w:t>Payment system ↔ MTQ</w:t>
            </w:r>
          </w:p>
        </w:tc>
      </w:tr>
      <w:tr>
        <w:tc>
          <w:tcPr>
            <w:tcW w:type="dxa" w:w="4536"/>
            <w:shd w:fill="F0F0F0"/>
            <w:vAlign w:val="center"/>
          </w:tcPr>
          <w:p>
            <w:pPr>
              <w:jc w:val="left"/>
            </w:pPr>
            <w:r/>
            <w:r>
              <w:rPr>
                <w:rFonts w:ascii="Calibri" w:hAnsi="Calibri"/>
                <w:color w:val="2D2D2D"/>
                <w:sz w:val="18"/>
              </w:rPr>
              <w:t>Approved CBDC systems</w:t>
            </w:r>
          </w:p>
        </w:tc>
        <w:tc>
          <w:tcPr>
            <w:tcW w:type="dxa" w:w="4536"/>
            <w:shd w:fill="F0F0F0"/>
            <w:vAlign w:val="center"/>
          </w:tcPr>
          <w:p>
            <w:pPr>
              <w:jc w:val="left"/>
            </w:pPr>
            <w:r/>
            <w:r>
              <w:rPr>
                <w:rFonts w:ascii="Calibri" w:hAnsi="Calibri"/>
                <w:color w:val="2D2D2D"/>
                <w:sz w:val="18"/>
              </w:rPr>
              <w:t>CBDC ↔ MTQ</w:t>
            </w:r>
          </w:p>
        </w:tc>
      </w:tr>
      <w:tr>
        <w:tc>
          <w:tcPr>
            <w:tcW w:type="dxa" w:w="4536"/>
            <w:vAlign w:val="center"/>
          </w:tcPr>
          <w:p>
            <w:pPr>
              <w:jc w:val="left"/>
            </w:pPr>
            <w:r/>
            <w:r>
              <w:rPr>
                <w:rFonts w:ascii="Calibri" w:hAnsi="Calibri"/>
                <w:color w:val="2D2D2D"/>
                <w:sz w:val="18"/>
              </w:rPr>
              <w:t>Approved tokenized cash equivalents</w:t>
            </w:r>
          </w:p>
        </w:tc>
        <w:tc>
          <w:tcPr>
            <w:tcW w:type="dxa" w:w="4536"/>
            <w:vAlign w:val="center"/>
          </w:tcPr>
          <w:p>
            <w:pPr>
              <w:jc w:val="left"/>
            </w:pPr>
            <w:r/>
            <w:r>
              <w:rPr>
                <w:rFonts w:ascii="Calibri" w:hAnsi="Calibri"/>
                <w:color w:val="2D2D2D"/>
                <w:sz w:val="18"/>
              </w:rPr>
              <w:t>Tokenized asset ↔ MTQ</w:t>
            </w:r>
          </w:p>
        </w:tc>
      </w:tr>
    </w:tbl>
    <w:p/>
    <w:p>
      <w:pPr>
        <w:pStyle w:val="Heading3"/>
      </w:pPr>
      <w:r>
        <w:t>§17.2 Flow</w:t>
      </w:r>
    </w:p>
    <w:p>
      <w:pPr>
        <w:ind w:left="283"/>
        <w:shd w:fill="F5F5F5"/>
      </w:pPr>
      <w:r>
        <w:rPr>
          <w:rFonts w:ascii="Consolas" w:hAnsi="Consolas"/>
          <w:color w:val="6B6B6B"/>
          <w:sz w:val="18"/>
        </w:rPr>
        <w:t>Domestic Money</w:t>
        <w:br/>
        <w:t xml:space="preserve">     ↓</w:t>
        <w:br/>
        <w:t>Regulated Gateway</w:t>
        <w:br/>
        <w:t xml:space="preserve">     ↓</w:t>
        <w:br/>
        <w:t xml:space="preserve">     MTQ</w:t>
        <w:br/>
        <w:t xml:space="preserve">     ↓</w:t>
        <w:br/>
        <w:t xml:space="preserve">   MITHQAL</w:t>
        <w:br/>
        <w:t xml:space="preserve">     ↓</w:t>
        <w:br/>
        <w:t xml:space="preserve">     MTQ</w:t>
        <w:br/>
        <w:t xml:space="preserve">     ↓</w:t>
        <w:br/>
        <w:t>Regulated Gateway</w:t>
        <w:br/>
        <w:t xml:space="preserve">     ↓</w:t>
        <w:br/>
        <w:t>Destination Money</w:t>
      </w:r>
    </w:p>
    <w:p>
      <w:r>
        <w:rPr>
          <w:b/>
        </w:rPr>
        <w:t>Principle:</w:t>
      </w:r>
      <w:r>
        <w:t xml:space="preserve"> MITHQAL provides the settlement bridge; regulated institutions provide local monetary conversion.</w:t>
      </w:r>
    </w:p>
    <w:p>
      <w:pPr>
        <w:pStyle w:val="Heading3"/>
      </w:pPr>
      <w:r>
        <w:t>§17.3 Boundary</w:t>
      </w:r>
    </w:p>
    <w:p>
      <w:r>
        <w:t xml:space="preserve">MITHQAL does </w:t>
      </w:r>
      <w:r>
        <w:rPr>
          <w:b/>
        </w:rPr>
        <w:t>NOT</w:t>
      </w:r>
      <w:r>
        <w:t>:</w:t>
      </w:r>
    </w:p>
    <w:p>
      <w:pPr>
        <w:pStyle w:val="ListBullet"/>
        <w:ind w:left="425"/>
      </w:pPr>
      <w:r>
        <w:t>Operate an FX exchange</w:t>
      </w:r>
    </w:p>
    <w:p>
      <w:pPr>
        <w:pStyle w:val="ListBullet"/>
        <w:ind w:left="425"/>
      </w:pPr>
      <w:r>
        <w:t>Set FX rates</w:t>
      </w:r>
    </w:p>
    <w:p>
      <w:pPr>
        <w:pStyle w:val="ListBullet"/>
        <w:ind w:left="425"/>
      </w:pPr>
      <w:r>
        <w:t>Provide customer FX services</w:t>
      </w:r>
    </w:p>
    <w:p>
      <w:pPr>
        <w:pStyle w:val="ListBullet"/>
        <w:ind w:left="425"/>
      </w:pPr>
      <w:r>
        <w:t>Compete with bank FX desks</w:t>
      </w:r>
    </w:p>
    <w:p>
      <w:r>
        <w:t>Banks retain FX as a customer service and revenue stream (§29).</w:t>
      </w:r>
    </w:p>
    <w:p>
      <w:pPr>
        <w:pBdr>
          <w:bottom w:val="single" w:sz="12" w:space="1" w:color="C59B1E"/>
        </w:pBdr>
      </w:pPr>
    </w:p>
    <w:p>
      <w:pPr>
        <w:pStyle w:val="Heading2"/>
      </w:pPr>
      <w:r>
        <w:t>§18 — PRODUCT / USER MODEL</w:t>
      </w:r>
    </w:p>
    <w:p>
      <w:pPr>
        <w:pStyle w:val="Heading3"/>
      </w:pPr>
      <w:r>
        <w:t>§18.1 New Terminology (Replaces v24.2 Participant Model)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v24.2 (Retired)</w:t>
            </w:r>
          </w:p>
        </w:tc>
        <w:tc>
          <w:tcPr>
            <w:tcW w:type="dxa" w:w="4536"/>
            <w:shd w:fill="1A365F"/>
            <w:vAlign w:val="center"/>
          </w:tcPr>
          <w:p>
            <w:pPr>
              <w:jc w:val="left"/>
            </w:pPr>
            <w:r/>
            <w:r>
              <w:rPr>
                <w:rFonts w:ascii="Calibri" w:hAnsi="Calibri"/>
                <w:b/>
                <w:color w:val="FFFFFF"/>
                <w:sz w:val="18"/>
              </w:rPr>
              <w:t>v25.0 (Canonical)</w:t>
            </w:r>
          </w:p>
        </w:tc>
      </w:tr>
      <w:tr>
        <w:tc>
          <w:tcPr>
            <w:tcW w:type="dxa" w:w="4536"/>
            <w:vAlign w:val="center"/>
          </w:tcPr>
          <w:p>
            <w:pPr>
              <w:jc w:val="left"/>
            </w:pPr>
            <w:r/>
            <w:r>
              <w:rPr>
                <w:rFonts w:ascii="Calibri" w:hAnsi="Calibri"/>
                <w:color w:val="2D2D2D"/>
                <w:sz w:val="18"/>
              </w:rPr>
              <w:t>Participant</w:t>
            </w:r>
          </w:p>
        </w:tc>
        <w:tc>
          <w:tcPr>
            <w:tcW w:type="dxa" w:w="4536"/>
            <w:vAlign w:val="center"/>
          </w:tcPr>
          <w:p>
            <w:pPr>
              <w:jc w:val="left"/>
            </w:pPr>
            <w:r/>
            <w:r>
              <w:rPr>
                <w:rFonts w:ascii="Calibri" w:hAnsi="Calibri"/>
                <w:color w:val="2D2D2D"/>
                <w:sz w:val="18"/>
              </w:rPr>
              <w:t>Participating institution</w:t>
            </w:r>
          </w:p>
        </w:tc>
      </w:tr>
      <w:tr>
        <w:tc>
          <w:tcPr>
            <w:tcW w:type="dxa" w:w="4536"/>
            <w:shd w:fill="F0F0F0"/>
            <w:vAlign w:val="center"/>
          </w:tcPr>
          <w:p>
            <w:pPr>
              <w:jc w:val="left"/>
            </w:pPr>
            <w:r/>
            <w:r>
              <w:rPr>
                <w:rFonts w:ascii="Calibri" w:hAnsi="Calibri"/>
                <w:color w:val="2D2D2D"/>
                <w:sz w:val="18"/>
              </w:rPr>
              <w:t>User</w:t>
            </w:r>
          </w:p>
        </w:tc>
        <w:tc>
          <w:tcPr>
            <w:tcW w:type="dxa" w:w="4536"/>
            <w:shd w:fill="F0F0F0"/>
            <w:vAlign w:val="center"/>
          </w:tcPr>
          <w:p>
            <w:pPr>
              <w:jc w:val="left"/>
            </w:pPr>
            <w:r/>
            <w:r>
              <w:rPr>
                <w:rFonts w:ascii="Calibri" w:hAnsi="Calibri"/>
                <w:color w:val="2D2D2D"/>
                <w:sz w:val="18"/>
              </w:rPr>
              <w:t>Authorized institution</w:t>
            </w:r>
          </w:p>
        </w:tc>
      </w:tr>
      <w:tr>
        <w:tc>
          <w:tcPr>
            <w:tcW w:type="dxa" w:w="4536"/>
            <w:vAlign w:val="center"/>
          </w:tcPr>
          <w:p>
            <w:pPr>
              <w:jc w:val="left"/>
            </w:pPr>
            <w:r/>
            <w:r>
              <w:rPr>
                <w:rFonts w:ascii="Calibri" w:hAnsi="Calibri"/>
                <w:color w:val="2D2D2D"/>
                <w:sz w:val="18"/>
              </w:rPr>
              <w:t>Depositor</w:t>
            </w:r>
          </w:p>
        </w:tc>
        <w:tc>
          <w:tcPr>
            <w:tcW w:type="dxa" w:w="4536"/>
            <w:vAlign w:val="center"/>
          </w:tcPr>
          <w:p>
            <w:pPr>
              <w:jc w:val="left"/>
            </w:pPr>
            <w:r/>
            <w:r>
              <w:rPr>
                <w:rFonts w:ascii="Calibri" w:hAnsi="Calibri"/>
                <w:color w:val="2D2D2D"/>
                <w:sz w:val="18"/>
              </w:rPr>
              <w:t>Settlement institution</w:t>
            </w:r>
          </w:p>
        </w:tc>
      </w:tr>
      <w:tr>
        <w:tc>
          <w:tcPr>
            <w:tcW w:type="dxa" w:w="4536"/>
            <w:shd w:fill="F0F0F0"/>
            <w:vAlign w:val="center"/>
          </w:tcPr>
          <w:p>
            <w:pPr>
              <w:jc w:val="left"/>
            </w:pPr>
            <w:r/>
            <w:r>
              <w:rPr>
                <w:rFonts w:ascii="Calibri" w:hAnsi="Calibri"/>
                <w:color w:val="2D2D2D"/>
                <w:sz w:val="18"/>
              </w:rPr>
              <w:t>Retail user</w:t>
            </w:r>
          </w:p>
        </w:tc>
        <w:tc>
          <w:tcPr>
            <w:tcW w:type="dxa" w:w="4536"/>
            <w:shd w:fill="F0F0F0"/>
            <w:vAlign w:val="center"/>
          </w:tcPr>
          <w:p>
            <w:pPr>
              <w:jc w:val="left"/>
            </w:pPr>
            <w:r/>
            <w:r>
              <w:rPr>
                <w:rFonts w:ascii="Calibri" w:hAnsi="Calibri"/>
                <w:color w:val="2D2D2D"/>
                <w:sz w:val="18"/>
              </w:rPr>
              <w:t>(removed — no retail access)</w:t>
            </w:r>
          </w:p>
        </w:tc>
      </w:tr>
      <w:tr>
        <w:tc>
          <w:tcPr>
            <w:tcW w:type="dxa" w:w="4536"/>
            <w:vAlign w:val="center"/>
          </w:tcPr>
          <w:p>
            <w:pPr>
              <w:jc w:val="left"/>
            </w:pPr>
            <w:r/>
            <w:r>
              <w:rPr>
                <w:rFonts w:ascii="Calibri" w:hAnsi="Calibri"/>
                <w:color w:val="2D2D2D"/>
                <w:sz w:val="18"/>
              </w:rPr>
              <w:t>Direct minter</w:t>
            </w:r>
          </w:p>
        </w:tc>
        <w:tc>
          <w:tcPr>
            <w:tcW w:type="dxa" w:w="4536"/>
            <w:vAlign w:val="center"/>
          </w:tcPr>
          <w:p>
            <w:pPr>
              <w:jc w:val="left"/>
            </w:pPr>
            <w:r/>
            <w:r>
              <w:rPr>
                <w:rFonts w:ascii="Calibri" w:hAnsi="Calibri"/>
                <w:color w:val="2D2D2D"/>
                <w:sz w:val="18"/>
              </w:rPr>
              <w:t>Authorized issuer/originator</w:t>
            </w:r>
          </w:p>
        </w:tc>
      </w:tr>
    </w:tbl>
    <w:p/>
    <w:p>
      <w:pPr>
        <w:pStyle w:val="ListBullet"/>
        <w:ind w:left="425"/>
      </w:pPr>
      <w:r>
        <w:t>Sanctions screening (customer-level) | Bank | None |</w:t>
      </w:r>
    </w:p>
    <w:p>
      <w:pPr>
        <w:pStyle w:val="Heading3"/>
      </w:pPr>
      <w:r>
        <w:t>§18.2 Canonical Roles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Role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Participating institution</w:t>
            </w:r>
          </w:p>
        </w:tc>
        <w:tc>
          <w:tcPr>
            <w:tcW w:type="dxa" w:w="4536"/>
            <w:vAlign w:val="center"/>
          </w:tcPr>
          <w:p>
            <w:pPr>
              <w:jc w:val="left"/>
            </w:pPr>
            <w:r/>
            <w:r>
              <w:rPr>
                <w:rFonts w:ascii="Calibri" w:hAnsi="Calibri"/>
                <w:color w:val="2D2D2D"/>
                <w:sz w:val="18"/>
              </w:rPr>
              <w:t>Regulated bank or FI authorized to use MTQ</w:t>
            </w:r>
          </w:p>
        </w:tc>
      </w:tr>
      <w:tr>
        <w:tc>
          <w:tcPr>
            <w:tcW w:type="dxa" w:w="4536"/>
            <w:shd w:fill="F0F0F0"/>
            <w:vAlign w:val="center"/>
          </w:tcPr>
          <w:p>
            <w:pPr>
              <w:jc w:val="left"/>
            </w:pPr>
            <w:r/>
            <w:r>
              <w:rPr>
                <w:rFonts w:ascii="Calibri" w:hAnsi="Calibri"/>
                <w:color w:val="2D2D2D"/>
                <w:sz w:val="18"/>
              </w:rPr>
              <w:t>Settlement institution</w:t>
            </w:r>
          </w:p>
        </w:tc>
        <w:tc>
          <w:tcPr>
            <w:tcW w:type="dxa" w:w="4536"/>
            <w:shd w:fill="F0F0F0"/>
            <w:vAlign w:val="center"/>
          </w:tcPr>
          <w:p>
            <w:pPr>
              <w:jc w:val="left"/>
            </w:pPr>
            <w:r/>
            <w:r>
              <w:rPr>
                <w:rFonts w:ascii="Calibri" w:hAnsi="Calibri"/>
                <w:color w:val="2D2D2D"/>
                <w:sz w:val="18"/>
              </w:rPr>
              <w:t>Institution executing MTQ settlement</w:t>
            </w:r>
          </w:p>
        </w:tc>
      </w:tr>
      <w:tr>
        <w:tc>
          <w:tcPr>
            <w:tcW w:type="dxa" w:w="4536"/>
            <w:vAlign w:val="center"/>
          </w:tcPr>
          <w:p>
            <w:pPr>
              <w:jc w:val="left"/>
            </w:pPr>
            <w:r/>
            <w:r>
              <w:rPr>
                <w:rFonts w:ascii="Calibri" w:hAnsi="Calibri"/>
                <w:color w:val="2D2D2D"/>
                <w:sz w:val="18"/>
              </w:rPr>
              <w:t>Authorized issuer/originator</w:t>
            </w:r>
          </w:p>
        </w:tc>
        <w:tc>
          <w:tcPr>
            <w:tcW w:type="dxa" w:w="4536"/>
            <w:vAlign w:val="center"/>
          </w:tcPr>
          <w:p>
            <w:pPr>
              <w:jc w:val="left"/>
            </w:pPr>
            <w:r/>
            <w:r>
              <w:rPr>
                <w:rFonts w:ascii="Calibri" w:hAnsi="Calibri"/>
                <w:color w:val="2D2D2D"/>
                <w:sz w:val="18"/>
              </w:rPr>
              <w:t>Institution permitted to request MTQ issuance</w:t>
            </w:r>
          </w:p>
        </w:tc>
      </w:tr>
      <w:tr>
        <w:tc>
          <w:tcPr>
            <w:tcW w:type="dxa" w:w="4536"/>
            <w:shd w:fill="F0F0F0"/>
            <w:vAlign w:val="center"/>
          </w:tcPr>
          <w:p>
            <w:pPr>
              <w:jc w:val="left"/>
            </w:pPr>
            <w:r/>
            <w:r>
              <w:rPr>
                <w:rFonts w:ascii="Calibri" w:hAnsi="Calibri"/>
                <w:color w:val="2D2D2D"/>
                <w:sz w:val="18"/>
              </w:rPr>
              <w:t>Receiving institution</w:t>
            </w:r>
          </w:p>
        </w:tc>
        <w:tc>
          <w:tcPr>
            <w:tcW w:type="dxa" w:w="4536"/>
            <w:shd w:fill="F0F0F0"/>
            <w:vAlign w:val="center"/>
          </w:tcPr>
          <w:p>
            <w:pPr>
              <w:jc w:val="left"/>
            </w:pPr>
            <w:r/>
            <w:r>
              <w:rPr>
                <w:rFonts w:ascii="Calibri" w:hAnsi="Calibri"/>
                <w:color w:val="2D2D2D"/>
                <w:sz w:val="18"/>
              </w:rPr>
              <w:t>Institution receiving MTQ settlement</w:t>
            </w:r>
          </w:p>
        </w:tc>
      </w:tr>
      <w:tr>
        <w:tc>
          <w:tcPr>
            <w:tcW w:type="dxa" w:w="4536"/>
            <w:vAlign w:val="center"/>
          </w:tcPr>
          <w:p>
            <w:pPr>
              <w:jc w:val="left"/>
            </w:pPr>
            <w:r/>
            <w:r>
              <w:rPr>
                <w:rFonts w:ascii="Calibri" w:hAnsi="Calibri"/>
                <w:color w:val="2D2D2D"/>
                <w:sz w:val="18"/>
              </w:rPr>
              <w:t>Central-bank participant</w:t>
            </w:r>
          </w:p>
        </w:tc>
        <w:tc>
          <w:tcPr>
            <w:tcW w:type="dxa" w:w="4536"/>
            <w:vAlign w:val="center"/>
          </w:tcPr>
          <w:p>
            <w:pPr>
              <w:jc w:val="left"/>
            </w:pPr>
            <w:r/>
            <w:r>
              <w:rPr>
                <w:rFonts w:ascii="Calibri" w:hAnsi="Calibri"/>
                <w:color w:val="2D2D2D"/>
                <w:sz w:val="18"/>
              </w:rPr>
              <w:t>CB authorized to participate (Mode 2/3)</w:t>
            </w:r>
          </w:p>
        </w:tc>
      </w:tr>
      <w:tr>
        <w:tc>
          <w:tcPr>
            <w:tcW w:type="dxa" w:w="4536"/>
            <w:shd w:fill="F0F0F0"/>
            <w:vAlign w:val="center"/>
          </w:tcPr>
          <w:p>
            <w:pPr>
              <w:jc w:val="left"/>
            </w:pPr>
            <w:r/>
            <w:r>
              <w:rPr>
                <w:rFonts w:ascii="Calibri" w:hAnsi="Calibri"/>
                <w:color w:val="2D2D2D"/>
                <w:sz w:val="18"/>
              </w:rPr>
              <w:t>Institutional settlement gateway</w:t>
            </w:r>
          </w:p>
        </w:tc>
        <w:tc>
          <w:tcPr>
            <w:tcW w:type="dxa" w:w="4536"/>
            <w:shd w:fill="F0F0F0"/>
            <w:vAlign w:val="center"/>
          </w:tcPr>
          <w:p>
            <w:pPr>
              <w:jc w:val="left"/>
            </w:pPr>
            <w:r/>
            <w:r>
              <w:rPr>
                <w:rFonts w:ascii="Calibri" w:hAnsi="Calibri"/>
                <w:color w:val="2D2D2D"/>
                <w:sz w:val="18"/>
              </w:rPr>
              <w:t>Regulated gateway for entry/exit</w:t>
            </w:r>
          </w:p>
        </w:tc>
      </w:tr>
      <w:tr>
        <w:tc>
          <w:tcPr>
            <w:tcW w:type="dxa" w:w="4536"/>
            <w:vAlign w:val="center"/>
          </w:tcPr>
          <w:p>
            <w:pPr>
              <w:jc w:val="left"/>
            </w:pPr>
            <w:r/>
            <w:r>
              <w:rPr>
                <w:rFonts w:ascii="Calibri" w:hAnsi="Calibri"/>
                <w:color w:val="2D2D2D"/>
                <w:sz w:val="18"/>
              </w:rPr>
              <w:t>Underlying customer</w:t>
            </w:r>
          </w:p>
        </w:tc>
        <w:tc>
          <w:tcPr>
            <w:tcW w:type="dxa" w:w="4536"/>
            <w:vAlign w:val="center"/>
          </w:tcPr>
          <w:p>
            <w:pPr>
              <w:jc w:val="left"/>
            </w:pPr>
            <w:r/>
            <w:r>
              <w:rPr>
                <w:rFonts w:ascii="Calibri" w:hAnsi="Calibri"/>
                <w:color w:val="2D2D2D"/>
                <w:sz w:val="18"/>
              </w:rPr>
              <w:t>Corporate/trade customer (indirect access via bank)</w:t>
            </w:r>
          </w:p>
        </w:tc>
      </w:tr>
    </w:tbl>
    <w:p/>
    <w:p>
      <w:pPr>
        <w:pStyle w:val="Heading3"/>
      </w:pPr>
      <w:r>
        <w:t>§18.3 Removed Language</w:t>
      </w:r>
    </w:p>
    <w:p>
      <w:r>
        <w:rPr>
          <w:b/>
        </w:rPr>
        <w:t>Remove all language implying:</w:t>
      </w:r>
    </w:p>
    <w:p>
      <w:pPr>
        <w:pStyle w:val="ListBullet"/>
        <w:ind w:left="425"/>
      </w:pPr>
      <w:r>
        <w:t>Everyone can mint ❌</w:t>
      </w:r>
    </w:p>
    <w:p>
      <w:pPr>
        <w:pStyle w:val="ListBullet"/>
        <w:ind w:left="425"/>
      </w:pPr>
      <w:r>
        <w:t>Retail customers are primary MTQ users ❌</w:t>
      </w:r>
    </w:p>
    <w:p>
      <w:pPr>
        <w:pStyle w:val="ListBullet"/>
        <w:ind w:left="425"/>
      </w:pPr>
      <w:r>
        <w:t>MTQ is a general-purpose consumer payment coin ❌</w:t>
      </w:r>
    </w:p>
    <w:p>
      <w:pPr>
        <w:pStyle w:val="ListBullet"/>
        <w:ind w:left="425"/>
      </w:pPr>
      <w:r>
        <w:t>Anyone can directly originate MTQ ❌</w:t>
      </w:r>
    </w:p>
    <w:p>
      <w:pPr>
        <w:pStyle w:val="ListBullet"/>
        <w:ind w:left="425"/>
      </w:pPr>
      <w:r>
        <w:t>MITHQAL is a public crypto platform ❌</w:t>
      </w:r>
    </w:p>
    <w:p>
      <w:pPr>
        <w:pBdr>
          <w:bottom w:val="single" w:sz="12" w:space="1" w:color="C59B1E"/>
        </w:pBdr>
      </w:pPr>
    </w:p>
    <w:p>
      <w:pPr>
        <w:pStyle w:val="Heading2"/>
      </w:pPr>
      <w:r>
        <w:t>§19 — SMART CONTRACT ARCHITECTURE</w:t>
      </w:r>
    </w:p>
    <w:p>
      <w:pPr>
        <w:pStyle w:val="Heading3"/>
      </w:pPr>
      <w:r>
        <w:t>§19.1 Contract Audit Summary</w:t>
      </w:r>
    </w:p>
    <w:p>
      <w:r>
        <w:t xml:space="preserve">9 contracts deployed across Monad Testnet and Arc Network Testnet. v25.0 requires </w:t>
      </w:r>
      <w:r>
        <w:rPr>
          <w:b/>
        </w:rPr>
        <w:t>37 changes</w:t>
      </w:r>
      <w:r>
        <w:t xml:space="preserve"> (15 CRITICAL, 15 HIGH, 7 MEDIUM).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Contract</w:t>
            </w:r>
          </w:p>
        </w:tc>
        <w:tc>
          <w:tcPr>
            <w:tcW w:type="dxa" w:w="2268"/>
            <w:shd w:fill="1A365F"/>
            <w:vAlign w:val="center"/>
          </w:tcPr>
          <w:p>
            <w:pPr>
              <w:jc w:val="left"/>
            </w:pPr>
            <w:r/>
            <w:r>
              <w:rPr>
                <w:rFonts w:ascii="Calibri" w:hAnsi="Calibri"/>
                <w:b/>
                <w:color w:val="FFFFFF"/>
                <w:sz w:val="18"/>
              </w:rPr>
              <w:t>Required Changes</w:t>
            </w:r>
          </w:p>
        </w:tc>
        <w:tc>
          <w:tcPr>
            <w:tcW w:type="dxa" w:w="2268"/>
            <w:shd w:fill="1A365F"/>
            <w:vAlign w:val="center"/>
          </w:tcPr>
          <w:p>
            <w:pPr>
              <w:jc w:val="left"/>
            </w:pPr>
            <w:r/>
            <w:r>
              <w:rPr>
                <w:rFonts w:ascii="Calibri" w:hAnsi="Calibri"/>
                <w:b/>
                <w:color w:val="FFFFFF"/>
                <w:sz w:val="18"/>
              </w:rPr>
              <w:t>Priority</w:t>
            </w:r>
          </w:p>
        </w:tc>
        <w:tc>
          <w:tcPr>
            <w:tcW w:type="dxa" w:w="2268"/>
            <w:shd w:fill="1A365F"/>
            <w:vAlign w:val="center"/>
          </w:tcPr>
          <w:p>
            <w:pPr>
              <w:jc w:val="left"/>
            </w:pPr>
            <w:r/>
            <w:r>
              <w:rPr>
                <w:rFonts w:ascii="Calibri" w:hAnsi="Calibri"/>
                <w:b/>
                <w:color w:val="FFFFFF"/>
                <w:sz w:val="18"/>
              </w:rPr>
              <w:t>Key Finding</w:t>
            </w:r>
          </w:p>
        </w:tc>
      </w:tr>
      <w:tr>
        <w:tc>
          <w:tcPr>
            <w:tcW w:type="dxa" w:w="2268"/>
            <w:vAlign w:val="center"/>
          </w:tcPr>
          <w:p>
            <w:pPr>
              <w:jc w:val="left"/>
            </w:pPr>
            <w:r/>
            <w:r>
              <w:rPr>
                <w:rFonts w:ascii="Calibri" w:hAnsi="Calibri"/>
                <w:color w:val="2D2D2D"/>
                <w:sz w:val="18"/>
              </w:rPr>
              <w:t>MTQ.sol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Pre-mint RR assertion; institutional auth hooks</w:t>
            </w:r>
          </w:p>
        </w:tc>
      </w:tr>
      <w:tr>
        <w:tc>
          <w:tcPr>
            <w:tcW w:type="dxa" w:w="2268"/>
            <w:shd w:fill="F0F0F0"/>
            <w:vAlign w:val="center"/>
          </w:tcPr>
          <w:p>
            <w:pPr>
              <w:jc w:val="left"/>
            </w:pPr>
            <w:r/>
            <w:r>
              <w:rPr>
                <w:rFonts w:ascii="Calibri" w:hAnsi="Calibri"/>
                <w:color w:val="2D2D2D"/>
                <w:sz w:val="18"/>
              </w:rPr>
              <w:t>Mint.sol</w:t>
            </w:r>
          </w:p>
        </w:tc>
        <w:tc>
          <w:tcPr>
            <w:tcW w:type="dxa" w:w="2268"/>
            <w:shd w:fill="F0F0F0"/>
            <w:vAlign w:val="center"/>
          </w:tcPr>
          <w:p>
            <w:pPr>
              <w:jc w:val="left"/>
            </w:pPr>
            <w:r/>
            <w:r>
              <w:rPr>
                <w:rFonts w:ascii="Calibri" w:hAnsi="Calibri"/>
                <w:color w:val="2D2D2D"/>
                <w:sz w:val="18"/>
              </w:rPr>
              <w:t>8</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perimeter NOT enforced on-chain</w:t>
            </w:r>
          </w:p>
        </w:tc>
      </w:tr>
      <w:tr>
        <w:tc>
          <w:tcPr>
            <w:tcW w:type="dxa" w:w="2268"/>
            <w:vAlign w:val="center"/>
          </w:tcPr>
          <w:p>
            <w:pPr>
              <w:jc w:val="left"/>
            </w:pPr>
            <w:r/>
            <w:r>
              <w:rPr>
                <w:rFonts w:ascii="Calibri" w:hAnsi="Calibri"/>
                <w:color w:val="2D2D2D"/>
                <w:sz w:val="18"/>
              </w:rPr>
              <w:t>Redeem.sol</w:t>
            </w:r>
          </w:p>
        </w:tc>
        <w:tc>
          <w:tcPr>
            <w:tcW w:type="dxa" w:w="2268"/>
            <w:vAlign w:val="center"/>
          </w:tcPr>
          <w:p>
            <w:pPr>
              <w:jc w:val="left"/>
            </w:pPr>
            <w:r/>
            <w:r>
              <w:rPr>
                <w:rFonts w:ascii="Calibri" w:hAnsi="Calibri"/>
                <w:color w:val="2D2D2D"/>
                <w:sz w:val="18"/>
              </w:rPr>
              <w:t>5</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Invariant 5 vs §14 conflict; jurisdiction gate</w:t>
            </w:r>
          </w:p>
        </w:tc>
      </w:tr>
      <w:tr>
        <w:tc>
          <w:tcPr>
            <w:tcW w:type="dxa" w:w="2268"/>
            <w:shd w:fill="F0F0F0"/>
            <w:vAlign w:val="center"/>
          </w:tcPr>
          <w:p>
            <w:pPr>
              <w:jc w:val="left"/>
            </w:pPr>
            <w:r/>
            <w:r>
              <w:rPr>
                <w:rFonts w:ascii="Calibri" w:hAnsi="Calibri"/>
                <w:color w:val="2D2D2D"/>
                <w:sz w:val="18"/>
              </w:rPr>
              <w:t>Reserve.sol</w:t>
            </w:r>
          </w:p>
        </w:tc>
        <w:tc>
          <w:tcPr>
            <w:tcW w:type="dxa" w:w="2268"/>
            <w:shd w:fill="F0F0F0"/>
            <w:vAlign w:val="center"/>
          </w:tcPr>
          <w:p>
            <w:pPr>
              <w:jc w:val="left"/>
            </w:pPr>
            <w:r/>
            <w:r>
              <w:rPr>
                <w:rFonts w:ascii="Calibri" w:hAnsi="Calibri"/>
                <w:color w:val="2D2D2D"/>
                <w:sz w:val="18"/>
              </w:rPr>
              <w:t>5</w:t>
            </w:r>
          </w:p>
        </w:tc>
        <w:tc>
          <w:tcPr>
            <w:tcW w:type="dxa" w:w="2268"/>
            <w:shd w:fill="F0F0F0"/>
            <w:vAlign w:val="center"/>
          </w:tcPr>
          <w:p>
            <w:pPr>
              <w:jc w:val="left"/>
            </w:pPr>
            <w:r/>
            <w:r>
              <w:rPr>
                <w:rFonts w:ascii="Calibri" w:hAnsi="Calibri"/>
                <w:color w:val="2D2D2D"/>
                <w:sz w:val="18"/>
              </w:rPr>
              <w:t>HIGH</w:t>
            </w:r>
          </w:p>
        </w:tc>
        <w:tc>
          <w:tcPr>
            <w:tcW w:type="dxa" w:w="2268"/>
            <w:shd w:fill="F0F0F0"/>
            <w:vAlign w:val="center"/>
          </w:tcPr>
          <w:p>
            <w:pPr>
              <w:jc w:val="left"/>
            </w:pPr>
            <w:r/>
            <w:r>
              <w:rPr>
                <w:rFonts w:ascii="Calibri" w:hAnsi="Calibri"/>
                <w:color w:val="2D2D2D"/>
                <w:sz w:val="18"/>
              </w:rPr>
              <w:t>Legal segregation recording; jurisdiction tracking</w:t>
            </w:r>
          </w:p>
        </w:tc>
      </w:tr>
      <w:tr>
        <w:tc>
          <w:tcPr>
            <w:tcW w:type="dxa" w:w="2268"/>
            <w:vAlign w:val="center"/>
          </w:tcPr>
          <w:p>
            <w:pPr>
              <w:jc w:val="left"/>
            </w:pPr>
            <w:r/>
            <w:r>
              <w:rPr>
                <w:rFonts w:ascii="Calibri" w:hAnsi="Calibri"/>
                <w:color w:val="2D2D2D"/>
                <w:sz w:val="18"/>
              </w:rPr>
              <w:t>Governance.sol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CRITICAL</w:t>
            </w:r>
          </w:p>
        </w:tc>
        <w:tc>
          <w:tcPr>
            <w:tcW w:type="dxa" w:w="2268"/>
            <w:vAlign w:val="center"/>
          </w:tcPr>
          <w:p>
            <w:pPr>
              <w:jc w:val="left"/>
            </w:pPr>
            <w:r/>
            <w:r>
              <w:rPr>
                <w:rFonts w:ascii="Calibri" w:hAnsi="Calibri"/>
                <w:color w:val="2D2D2D"/>
                <w:sz w:val="18"/>
              </w:rPr>
              <w:t>4-arg mint selector NOT in forbidden list</w:t>
            </w:r>
          </w:p>
        </w:tc>
      </w:tr>
      <w:tr>
        <w:tc>
          <w:tcPr>
            <w:tcW w:type="dxa" w:w="2268"/>
            <w:shd w:fill="F0F0F0"/>
            <w:vAlign w:val="center"/>
          </w:tcPr>
          <w:p>
            <w:pPr>
              <w:jc w:val="left"/>
            </w:pPr>
            <w:r/>
            <w:r>
              <w:rPr>
                <w:rFonts w:ascii="Calibri" w:hAnsi="Calibri"/>
                <w:color w:val="2D2D2D"/>
                <w:sz w:val="18"/>
              </w:rPr>
              <w:t>Algorithm.sol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Institutional gate needed</w:t>
            </w:r>
          </w:p>
        </w:tc>
      </w:tr>
      <w:tr>
        <w:tc>
          <w:tcPr>
            <w:tcW w:type="dxa" w:w="2268"/>
            <w:vAlign w:val="center"/>
          </w:tcPr>
          <w:p>
            <w:pPr>
              <w:jc w:val="left"/>
            </w:pPr>
            <w:r/>
            <w:r>
              <w:rPr>
                <w:rFonts w:ascii="Calibri" w:hAnsi="Calibri"/>
                <w:color w:val="2D2D2D"/>
                <w:sz w:val="18"/>
              </w:rPr>
              <w:t>Oracle.sol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HIGH</w:t>
            </w:r>
          </w:p>
        </w:tc>
        <w:tc>
          <w:tcPr>
            <w:tcW w:type="dxa" w:w="2268"/>
            <w:vAlign w:val="center"/>
          </w:tcPr>
          <w:p>
            <w:pPr>
              <w:jc w:val="left"/>
            </w:pPr>
            <w:r/>
            <w:r>
              <w:rPr>
                <w:rFonts w:ascii="Calibri" w:hAnsi="Calibri"/>
                <w:color w:val="2D2D2D"/>
                <w:sz w:val="18"/>
              </w:rPr>
              <w:t>Multi-source consensus (§21 separated architecture)</w:t>
            </w:r>
          </w:p>
        </w:tc>
      </w:tr>
      <w:tr>
        <w:tc>
          <w:tcPr>
            <w:tcW w:type="dxa" w:w="2268"/>
            <w:shd w:fill="F0F0F0"/>
            <w:vAlign w:val="center"/>
          </w:tcPr>
          <w:p>
            <w:pPr>
              <w:jc w:val="left"/>
            </w:pPr>
            <w:r/>
            <w:r>
              <w:rPr>
                <w:rFonts w:ascii="Calibri" w:hAnsi="Calibri"/>
                <w:color w:val="2D2D2D"/>
                <w:sz w:val="18"/>
              </w:rPr>
              <w:t>Safe.sol</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CRITICAL</w:t>
            </w:r>
          </w:p>
        </w:tc>
        <w:tc>
          <w:tcPr>
            <w:tcW w:type="dxa" w:w="2268"/>
            <w:shd w:fill="F0F0F0"/>
            <w:vAlign w:val="center"/>
          </w:tcPr>
          <w:p>
            <w:pPr>
              <w:jc w:val="left"/>
            </w:pPr>
            <w:r/>
            <w:r>
              <w:rPr>
                <w:rFonts w:ascii="Calibri" w:hAnsi="Calibri"/>
                <w:color w:val="2D2D2D"/>
                <w:sz w:val="18"/>
              </w:rPr>
              <w:t>1-of-1 deployer → 3-of-5 multisig NEVER EXECUTED</w:t>
            </w:r>
          </w:p>
        </w:tc>
      </w:tr>
      <w:tr>
        <w:tc>
          <w:tcPr>
            <w:tcW w:type="dxa" w:w="2268"/>
            <w:vAlign w:val="center"/>
          </w:tcPr>
          <w:p>
            <w:pPr>
              <w:jc w:val="left"/>
            </w:pPr>
            <w:r/>
            <w:r>
              <w:rPr>
                <w:rFonts w:ascii="Calibri" w:hAnsi="Calibri"/>
                <w:color w:val="2D2D2D"/>
                <w:sz w:val="18"/>
              </w:rPr>
              <w:t>Takaful.sol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MEDIUM</w:t>
            </w:r>
          </w:p>
        </w:tc>
        <w:tc>
          <w:tcPr>
            <w:tcW w:type="dxa" w:w="2268"/>
            <w:vAlign w:val="center"/>
          </w:tcPr>
          <w:p>
            <w:pPr>
              <w:jc w:val="left"/>
            </w:pPr>
            <w:r/>
            <w:r>
              <w:rPr>
                <w:rFonts w:ascii="Calibri" w:hAnsi="Calibri"/>
                <w:color w:val="2D2D2D"/>
                <w:sz w:val="18"/>
              </w:rPr>
              <w:t>Institutional framework scope update</w:t>
            </w:r>
          </w:p>
        </w:tc>
      </w:tr>
    </w:tbl>
    <w:p/>
    <w:p>
      <w:pPr>
        <w:pStyle w:val="Heading3"/>
      </w:pPr>
      <w:r>
        <w:t>§19.2 MTQ.sol Requirements</w:t>
      </w:r>
    </w:p>
    <w:p>
      <w:r>
        <w:t>Must:</w:t>
      </w:r>
    </w:p>
    <w:p>
      <w:pPr>
        <w:pStyle w:val="ListBullet"/>
        <w:ind w:left="425"/>
      </w:pPr>
      <w:r>
        <w:t>✅ Remain settlement token/instrument</w:t>
      </w:r>
    </w:p>
    <w:p>
      <w:pPr>
        <w:pStyle w:val="ListBullet"/>
        <w:ind w:left="425"/>
      </w:pPr>
      <w:r>
        <w:t>✅ Reject unauthorized mint callers</w:t>
      </w:r>
    </w:p>
    <w:p>
      <w:pPr>
        <w:pStyle w:val="ListBullet"/>
        <w:ind w:left="425"/>
      </w:pPr>
      <w:r>
        <w:t>✅ Support controlled transfer</w:t>
      </w:r>
    </w:p>
    <w:p>
      <w:pPr>
        <w:pStyle w:val="ListBullet"/>
        <w:ind w:left="425"/>
      </w:pPr>
      <w:r>
        <w:t>✅ Support emergency pause</w:t>
      </w:r>
    </w:p>
    <w:p>
      <w:pPr>
        <w:pStyle w:val="ListBullet"/>
        <w:ind w:left="425"/>
      </w:pPr>
      <w:r>
        <w:t>✅ Preserve institutional authorization hooks where legally required</w:t>
      </w:r>
    </w:p>
    <w:p>
      <w:pPr>
        <w:pStyle w:val="ListBullet"/>
        <w:ind w:left="425"/>
      </w:pPr>
      <w:r>
        <w:t>✅ Maintain complete event logging</w:t>
      </w:r>
    </w:p>
    <w:p>
      <w:pPr>
        <w:pStyle w:val="Heading3"/>
      </w:pPr>
      <w:r>
        <w:t>§19.3 Mint.sol Requirements</w:t>
      </w:r>
    </w:p>
    <w:p>
      <w:r>
        <w:t>Must:</w:t>
      </w:r>
    </w:p>
    <w:p>
      <w:pPr>
        <w:pStyle w:val="ListBullet"/>
        <w:ind w:left="425"/>
      </w:pPr>
      <w:r>
        <w:t>✅ Only accept authorized institutional issuance requests</w:t>
      </w:r>
    </w:p>
    <w:p>
      <w:pPr>
        <w:pStyle w:val="ListBullet"/>
        <w:ind w:left="425"/>
      </w:pPr>
      <w:r>
        <w:t>✅ Verify institution authorization</w:t>
      </w:r>
    </w:p>
    <w:p>
      <w:pPr>
        <w:pStyle w:val="ListBullet"/>
        <w:ind w:left="425"/>
      </w:pPr>
      <w:r>
        <w:t>✅ Verify settlement/reserve proof</w:t>
      </w:r>
    </w:p>
    <w:p>
      <w:pPr>
        <w:pStyle w:val="ListBullet"/>
        <w:ind w:left="425"/>
      </w:pPr>
      <w:r>
        <w:t>✅ Enforce RR</w:t>
      </w:r>
    </w:p>
    <w:p>
      <w:pPr>
        <w:pStyle w:val="ListBullet"/>
        <w:ind w:left="425"/>
      </w:pPr>
      <w:r>
        <w:t>✅ Enforce state-machine mint limits</w:t>
      </w:r>
    </w:p>
    <w:p>
      <w:pPr>
        <w:pStyle w:val="ListBullet"/>
        <w:ind w:left="425"/>
      </w:pPr>
      <w:r>
        <w:t>✅ Enforce jurisdiction rules</w:t>
      </w:r>
    </w:p>
    <w:p>
      <w:pPr>
        <w:pStyle w:val="ListBullet"/>
        <w:ind w:left="425"/>
      </w:pPr>
      <w:r>
        <w:t>✅ Enforce sanctions/compliance gates</w:t>
      </w:r>
    </w:p>
    <w:p>
      <w:pPr>
        <w:pStyle w:val="ListBullet"/>
        <w:ind w:left="425"/>
      </w:pPr>
      <w:r>
        <w:t>✅ Enforce idempotent CTID</w:t>
      </w:r>
    </w:p>
    <w:p>
      <w:pPr>
        <w:pStyle w:val="ListBullet"/>
        <w:ind w:left="425"/>
      </w:pPr>
      <w:r>
        <w:t>✅ Prevent discretionary issuance</w:t>
      </w:r>
    </w:p>
    <w:p>
      <w:pPr>
        <w:pStyle w:val="Heading3"/>
      </w:pPr>
      <w:r>
        <w:t>§19.4 Redeem.sol Requirements</w:t>
      </w:r>
    </w:p>
    <w:p>
      <w:r>
        <w:t>Must:</w:t>
      </w:r>
    </w:p>
    <w:p>
      <w:pPr>
        <w:pStyle w:val="ListBullet"/>
        <w:ind w:left="425"/>
      </w:pPr>
      <w:r>
        <w:t>✅ Validate institution</w:t>
      </w:r>
    </w:p>
    <w:p>
      <w:pPr>
        <w:pStyle w:val="ListBullet"/>
        <w:ind w:left="425"/>
      </w:pPr>
      <w:r>
        <w:t>✅ Validate MTQ burn</w:t>
      </w:r>
    </w:p>
    <w:p>
      <w:pPr>
        <w:pStyle w:val="ListBullet"/>
        <w:ind w:left="425"/>
      </w:pPr>
      <w:r>
        <w:t>✅ Enforce jurisdictional redemption permissions</w:t>
      </w:r>
    </w:p>
    <w:p>
      <w:pPr>
        <w:pStyle w:val="ListBullet"/>
        <w:ind w:left="425"/>
      </w:pPr>
      <w:r>
        <w:t>✅ Verify reserves</w:t>
      </w:r>
    </w:p>
    <w:p>
      <w:pPr>
        <w:pStyle w:val="ListBullet"/>
        <w:ind w:left="425"/>
      </w:pPr>
      <w:r>
        <w:t>✅ Enforce RR/stress rules</w:t>
      </w:r>
    </w:p>
    <w:p>
      <w:pPr>
        <w:pStyle w:val="ListBullet"/>
        <w:ind w:left="425"/>
      </w:pPr>
      <w:r>
        <w:t>✅ Execute atomic burn/release</w:t>
      </w:r>
    </w:p>
    <w:p>
      <w:pPr>
        <w:pStyle w:val="Heading3"/>
      </w:pPr>
      <w:r>
        <w:t>§19.5 Reserve.sol Requirements</w:t>
      </w:r>
    </w:p>
    <w:p>
      <w:r>
        <w:t>Must:</w:t>
      </w:r>
    </w:p>
    <w:p>
      <w:pPr>
        <w:pStyle w:val="ListBullet"/>
        <w:ind w:left="425"/>
      </w:pPr>
      <w:r>
        <w:t>✅ Maintain legal segregation</w:t>
      </w:r>
    </w:p>
    <w:p>
      <w:pPr>
        <w:pStyle w:val="ListBullet"/>
        <w:ind w:left="425"/>
      </w:pPr>
      <w:r>
        <w:t>✅ Record custodian</w:t>
      </w:r>
    </w:p>
    <w:p>
      <w:pPr>
        <w:pStyle w:val="ListBullet"/>
        <w:ind w:left="425"/>
      </w:pPr>
      <w:r>
        <w:t>✅ Record jurisdiction</w:t>
      </w:r>
    </w:p>
    <w:p>
      <w:pPr>
        <w:pStyle w:val="ListBullet"/>
        <w:ind w:left="425"/>
      </w:pPr>
      <w:r>
        <w:t>✅ Maintain proof references</w:t>
      </w:r>
    </w:p>
    <w:p>
      <w:pPr>
        <w:pStyle w:val="ListBullet"/>
        <w:ind w:left="425"/>
      </w:pPr>
      <w:r>
        <w:t>✅ Prevent unauthorized reserve use</w:t>
      </w:r>
    </w:p>
    <w:p>
      <w:pPr>
        <w:pStyle w:val="Heading3"/>
      </w:pPr>
      <w:r>
        <w:t>§19.6 Governance.sol Requirements</w:t>
      </w:r>
    </w:p>
    <w:p>
      <w:r>
        <w:rPr>
          <w:b/>
        </w:rPr>
        <w:t>Must NOT</w:t>
      </w:r>
      <w:r>
        <w:t xml:space="preserve"> be able to arbitrarily mint. Governance may govern </w:t>
      </w:r>
      <w:r>
        <w:rPr>
          <w:b/>
        </w:rPr>
        <w:t>rules</w:t>
      </w:r>
      <w:r>
        <w:t>, not bypass constitutional monetary issuance requirements.</w:t>
      </w:r>
    </w:p>
    <w:p>
      <w:r>
        <w:rPr>
          <w:b/>
        </w:rPr>
        <w:t>Critical Finding:</w:t>
      </w:r>
      <w:r>
        <w:t xml:space="preserve"> Governance.sol currently blocks only </w:t>
      </w:r>
      <w:r>
        <w:rPr>
          <w:rFonts w:ascii="Consolas" w:hAnsi="Consolas"/>
          <w:color w:val="6B6B6B"/>
          <w:sz w:val="19"/>
        </w:rPr>
        <w:t>mint(uint256)</w:t>
      </w:r>
      <w:r>
        <w:t xml:space="preserve"> (1-arg). The actual MTQ signature </w:t>
      </w:r>
      <w:r>
        <w:rPr>
          <w:rFonts w:ascii="Consolas" w:hAnsi="Consolas"/>
          <w:color w:val="6B6B6B"/>
          <w:sz w:val="19"/>
        </w:rPr>
        <w:t>mint(address,uint256,uint256,bytes32)</w:t>
      </w:r>
      <w:r>
        <w:t xml:space="preserve"> (4-arg) is </w:t>
      </w:r>
      <w:r>
        <w:rPr>
          <w:b/>
        </w:rPr>
        <w:t>NOT</w:t>
      </w:r>
      <w:r>
        <w:t xml:space="preserve"> in the forbidden-selector list. This is a </w:t>
      </w:r>
      <w:r>
        <w:rPr>
          <w:b/>
        </w:rPr>
        <w:t>1-line fix</w:t>
      </w:r>
      <w:r>
        <w:t xml:space="preserve"> that must be deployed before mainnet.</w:t>
      </w:r>
    </w:p>
    <w:p>
      <w:pPr>
        <w:pStyle w:val="Heading3"/>
      </w:pPr>
      <w:r>
        <w:t>§19.7 Safe.sol (Multi-Sig)</w:t>
      </w:r>
    </w:p>
    <w:p>
      <w:r>
        <w:rPr>
          <w:b/>
        </w:rPr>
        <w:t>Critical Finding:</w:t>
      </w:r>
      <w:r>
        <w:t xml:space="preserve"> Every contract's constructor grants every role to the deployer EOA. The role transfer to the Safe Multi-Sig was </w:t>
      </w:r>
      <w:r>
        <w:rPr>
          <w:b/>
        </w:rPr>
        <w:t>NEVER EXECUTED</w:t>
      </w:r>
      <w:r>
        <w:t xml:space="preserve">. Current state = </w:t>
      </w:r>
      <w:r>
        <w:rPr>
          <w:b/>
        </w:rPr>
        <w:t>1-of-1 single-key control</w:t>
      </w:r>
      <w:r>
        <w:t>.</w:t>
      </w:r>
    </w:p>
    <w:p>
      <w:r>
        <w:rPr>
          <w:b/>
        </w:rPr>
        <w:t>Required:</w:t>
      </w:r>
      <w:r>
        <w:t xml:space="preserve"> Transfer all roles to a 3-of-5 Safe Multi-Sig before mainnet.</w:t>
      </w:r>
    </w:p>
    <w:p>
      <w:r>
        <w:rPr>
          <w:b/>
        </w:rPr>
        <w:t>Full remediation matrix:</w:t>
      </w:r>
      <w:r>
        <w:t xml:space="preserve"> See Appendix F.</w:t>
      </w:r>
    </w:p>
    <w:p>
      <w:pPr>
        <w:pBdr>
          <w:bottom w:val="single" w:sz="12" w:space="1" w:color="C59B1E"/>
        </w:pBdr>
      </w:pPr>
    </w:p>
    <w:p>
      <w:pPr>
        <w:pStyle w:val="Heading2"/>
      </w:pPr>
      <w:r>
        <w:t>§20 — INSTITUTIONAL AUTHORIZATION REGISTRY</w:t>
      </w:r>
    </w:p>
    <w:p>
      <w:pPr>
        <w:pStyle w:val="Heading3"/>
      </w:pPr>
      <w:r>
        <w:t>§20.1 Registry Schema</w:t>
      </w:r>
    </w:p>
    <w:p>
      <w:pPr>
        <w:ind w:left="283"/>
        <w:shd w:fill="F5F5F5"/>
      </w:pPr>
      <w:r>
        <w:rPr>
          <w:rFonts w:ascii="Consolas" w:hAnsi="Consolas"/>
          <w:color w:val="6B6B6B"/>
          <w:sz w:val="18"/>
        </w:rPr>
        <w:t>interface InstitutionRecord {</w:t>
        <w:br/>
        <w:t xml:space="preserve">  institutionId: string;              // INST-001</w:t>
        <w:br/>
        <w:t xml:space="preserve">  legalName: string;                  // "Test Bank A (US)"</w:t>
        <w:br/>
        <w:t xml:space="preserve">  jurisdiction: string;               // "US"</w:t>
        <w:br/>
        <w:t xml:space="preserve">  regulator: string;                  // "OCC"</w:t>
        <w:br/>
        <w:t xml:space="preserve">  licenseReference: string;           // "OCC-TEST-001"</w:t>
        <w:br/>
        <w:t xml:space="preserve">  participantClass: "A" | "B" | "C";</w:t>
        <w:br/>
        <w:t xml:space="preserve">  permittedMTQFunctions: MTQFunction[];</w:t>
        <w:br/>
        <w:t xml:space="preserve">  permittedCurrencies: string[];</w:t>
        <w:br/>
        <w:t xml:space="preserve">  permittedCorridors: string[];</w:t>
        <w:br/>
        <w:t xml:space="preserve">  maxTransactionSize: number;</w:t>
        <w:br/>
        <w:t xml:space="preserve">  permittedIssuanceLimit: number;</w:t>
        <w:br/>
        <w:t xml:space="preserve">  permittedRedemptionLimit: number;</w:t>
        <w:br/>
        <w:t xml:space="preserve">  operationalStatus: "ACTIVE" | "SUSPENDED" | "REVOKED" | "PENDING";</w:t>
        <w:br/>
        <w:t xml:space="preserve">  sanctionsStatus: "CLEAR" | "FLAGGED" | "BLOCKED";</w:t>
        <w:br/>
        <w:t xml:space="preserve">  expirationDate: string;</w:t>
        <w:br/>
        <w:t xml:space="preserve">  authorizationDate: string;</w:t>
        <w:br/>
        <w:t>}</w:t>
      </w:r>
    </w:p>
    <w:p>
      <w:pPr>
        <w:pStyle w:val="Heading3"/>
      </w:pPr>
      <w:r>
        <w:t>§20.2 MTQ Functions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Function</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`SETTLE`</w:t>
            </w:r>
          </w:p>
        </w:tc>
        <w:tc>
          <w:tcPr>
            <w:tcW w:type="dxa" w:w="4536"/>
            <w:vAlign w:val="center"/>
          </w:tcPr>
          <w:p>
            <w:pPr>
              <w:jc w:val="left"/>
            </w:pPr>
            <w:r/>
            <w:r>
              <w:rPr>
                <w:rFonts w:ascii="Calibri" w:hAnsi="Calibri"/>
                <w:color w:val="2D2D2D"/>
                <w:sz w:val="18"/>
              </w:rPr>
              <w:t>Execute MTQ settlement</w:t>
            </w:r>
          </w:p>
        </w:tc>
      </w:tr>
      <w:tr>
        <w:tc>
          <w:tcPr>
            <w:tcW w:type="dxa" w:w="4536"/>
            <w:shd w:fill="F0F0F0"/>
            <w:vAlign w:val="center"/>
          </w:tcPr>
          <w:p>
            <w:pPr>
              <w:jc w:val="left"/>
            </w:pPr>
            <w:r/>
            <w:r>
              <w:rPr>
                <w:rFonts w:ascii="Calibri" w:hAnsi="Calibri"/>
                <w:color w:val="2D2D2D"/>
                <w:sz w:val="18"/>
              </w:rPr>
              <w:t>`ACQUIRE`</w:t>
            </w:r>
          </w:p>
        </w:tc>
        <w:tc>
          <w:tcPr>
            <w:tcW w:type="dxa" w:w="4536"/>
            <w:shd w:fill="F0F0F0"/>
            <w:vAlign w:val="center"/>
          </w:tcPr>
          <w:p>
            <w:pPr>
              <w:jc w:val="left"/>
            </w:pPr>
            <w:r/>
            <w:r>
              <w:rPr>
                <w:rFonts w:ascii="Calibri" w:hAnsi="Calibri"/>
                <w:color w:val="2D2D2D"/>
                <w:sz w:val="18"/>
              </w:rPr>
              <w:t>Acquire MTQ through issuance</w:t>
            </w:r>
          </w:p>
        </w:tc>
      </w:tr>
      <w:tr>
        <w:tc>
          <w:tcPr>
            <w:tcW w:type="dxa" w:w="4536"/>
            <w:vAlign w:val="center"/>
          </w:tcPr>
          <w:p>
            <w:pPr>
              <w:jc w:val="left"/>
            </w:pPr>
            <w:r/>
            <w:r>
              <w:rPr>
                <w:rFonts w:ascii="Calibri" w:hAnsi="Calibri"/>
                <w:color w:val="2D2D2D"/>
                <w:sz w:val="18"/>
              </w:rPr>
              <w:t>`REDEEM`</w:t>
            </w:r>
          </w:p>
        </w:tc>
        <w:tc>
          <w:tcPr>
            <w:tcW w:type="dxa" w:w="4536"/>
            <w:vAlign w:val="center"/>
          </w:tcPr>
          <w:p>
            <w:pPr>
              <w:jc w:val="left"/>
            </w:pPr>
            <w:r/>
            <w:r>
              <w:rPr>
                <w:rFonts w:ascii="Calibri" w:hAnsi="Calibri"/>
                <w:color w:val="2D2D2D"/>
                <w:sz w:val="18"/>
              </w:rPr>
              <w:t>Redeem MTQ for reserve</w:t>
            </w:r>
          </w:p>
        </w:tc>
      </w:tr>
      <w:tr>
        <w:tc>
          <w:tcPr>
            <w:tcW w:type="dxa" w:w="4536"/>
            <w:shd w:fill="F0F0F0"/>
            <w:vAlign w:val="center"/>
          </w:tcPr>
          <w:p>
            <w:pPr>
              <w:jc w:val="left"/>
            </w:pPr>
            <w:r/>
            <w:r>
              <w:rPr>
                <w:rFonts w:ascii="Calibri" w:hAnsi="Calibri"/>
                <w:color w:val="2D2D2D"/>
                <w:sz w:val="18"/>
              </w:rPr>
              <w:t>`ROUTE`</w:t>
            </w:r>
          </w:p>
        </w:tc>
        <w:tc>
          <w:tcPr>
            <w:tcW w:type="dxa" w:w="4536"/>
            <w:shd w:fill="F0F0F0"/>
            <w:vAlign w:val="center"/>
          </w:tcPr>
          <w:p>
            <w:pPr>
              <w:jc w:val="left"/>
            </w:pPr>
            <w:r/>
            <w:r>
              <w:rPr>
                <w:rFonts w:ascii="Calibri" w:hAnsi="Calibri"/>
                <w:color w:val="2D2D2D"/>
                <w:sz w:val="18"/>
              </w:rPr>
              <w:t>Route settlement through corridors</w:t>
            </w:r>
          </w:p>
        </w:tc>
      </w:tr>
      <w:tr>
        <w:tc>
          <w:tcPr>
            <w:tcW w:type="dxa" w:w="4536"/>
            <w:vAlign w:val="center"/>
          </w:tcPr>
          <w:p>
            <w:pPr>
              <w:jc w:val="left"/>
            </w:pPr>
            <w:r/>
            <w:r>
              <w:rPr>
                <w:rFonts w:ascii="Calibri" w:hAnsi="Calibri"/>
                <w:color w:val="2D2D2D"/>
                <w:sz w:val="18"/>
              </w:rPr>
              <w:t>`OBSERVE`</w:t>
            </w:r>
          </w:p>
        </w:tc>
        <w:tc>
          <w:tcPr>
            <w:tcW w:type="dxa" w:w="4536"/>
            <w:vAlign w:val="center"/>
          </w:tcPr>
          <w:p>
            <w:pPr>
              <w:jc w:val="left"/>
            </w:pPr>
            <w:r/>
            <w:r>
              <w:rPr>
                <w:rFonts w:ascii="Calibri" w:hAnsi="Calibri"/>
                <w:color w:val="2D2D2D"/>
                <w:sz w:val="18"/>
              </w:rPr>
              <w:t>Read-only observation access</w:t>
            </w:r>
          </w:p>
        </w:tc>
      </w:tr>
      <w:tr>
        <w:tc>
          <w:tcPr>
            <w:tcW w:type="dxa" w:w="4536"/>
            <w:shd w:fill="F0F0F0"/>
            <w:vAlign w:val="center"/>
          </w:tcPr>
          <w:p>
            <w:pPr>
              <w:jc w:val="left"/>
            </w:pPr>
            <w:r/>
            <w:r>
              <w:rPr>
                <w:rFonts w:ascii="Calibri" w:hAnsi="Calibri"/>
                <w:color w:val="2D2D2D"/>
                <w:sz w:val="18"/>
              </w:rPr>
              <w:t>`ISSUE`</w:t>
            </w:r>
          </w:p>
        </w:tc>
        <w:tc>
          <w:tcPr>
            <w:tcW w:type="dxa" w:w="4536"/>
            <w:shd w:fill="F0F0F0"/>
            <w:vAlign w:val="center"/>
          </w:tcPr>
          <w:p>
            <w:pPr>
              <w:jc w:val="left"/>
            </w:pPr>
            <w:r/>
            <w:r>
              <w:rPr>
                <w:rFonts w:ascii="Calibri" w:hAnsi="Calibri"/>
                <w:color w:val="2D2D2D"/>
                <w:sz w:val="18"/>
              </w:rPr>
              <w:t>Request MTQ issuance</w:t>
            </w:r>
          </w:p>
        </w:tc>
      </w:tr>
    </w:tbl>
    <w:p/>
    <w:p>
      <w:pPr>
        <w:pStyle w:val="Heading3"/>
      </w:pPr>
      <w:r>
        <w:t>§20.3 Authorization Check Logic</w:t>
      </w:r>
    </w:p>
    <w:p>
      <w:pPr>
        <w:ind w:left="283"/>
        <w:shd w:fill="F5F5F5"/>
      </w:pPr>
      <w:r>
        <w:rPr>
          <w:rFonts w:ascii="Consolas" w:hAnsi="Consolas"/>
          <w:color w:val="6B6B6B"/>
          <w:sz w:val="18"/>
        </w:rPr>
        <w:t>IF institution not in registry → REJECT</w:t>
        <w:br/>
        <w:t>IF operationalStatus ≠ ACTIVE → REJECT</w:t>
        <w:br/>
        <w:t>IF sanctionsStatus = BLOCKED → REJECT</w:t>
        <w:br/>
        <w:t>IF authorization expired → REJECT</w:t>
        <w:br/>
        <w:t>IF function not permitted → REJECT</w:t>
        <w:br/>
        <w:t>IF amount &gt; maxTransactionSize → REJECT</w:t>
        <w:br/>
        <w:t>IF currency not permitted → REJECT</w:t>
        <w:br/>
        <w:t>IF corridor not permitted → REJECT</w:t>
        <w:br/>
        <w:t>IF jurisdiction PROHIBITED → REJECT (geo-fence)</w:t>
        <w:br/>
        <w:t>IF jurisdiction UNKNOWN → REJECT (conservative block)</w:t>
        <w:br/>
        <w:t>ELSE → AUTHORIZE</w:t>
      </w:r>
    </w:p>
    <w:p>
      <w:pPr>
        <w:pStyle w:val="Heading3"/>
      </w:pPr>
      <w:r>
        <w:t>§20.4 Testnet Institution Registry (Current)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Institution ID</w:t>
            </w:r>
          </w:p>
        </w:tc>
        <w:tc>
          <w:tcPr>
            <w:tcW w:type="dxa" w:w="1512"/>
            <w:shd w:fill="1A365F"/>
            <w:vAlign w:val="center"/>
          </w:tcPr>
          <w:p>
            <w:pPr>
              <w:jc w:val="left"/>
            </w:pPr>
            <w:r/>
            <w:r>
              <w:rPr>
                <w:rFonts w:ascii="Calibri" w:hAnsi="Calibri"/>
                <w:b/>
                <w:color w:val="FFFFFF"/>
                <w:sz w:val="18"/>
              </w:rPr>
              <w:t>Name</w:t>
            </w:r>
          </w:p>
        </w:tc>
        <w:tc>
          <w:tcPr>
            <w:tcW w:type="dxa" w:w="1512"/>
            <w:shd w:fill="1A365F"/>
            <w:vAlign w:val="center"/>
          </w:tcPr>
          <w:p>
            <w:pPr>
              <w:jc w:val="left"/>
            </w:pPr>
            <w:r/>
            <w:r>
              <w:rPr>
                <w:rFonts w:ascii="Calibri" w:hAnsi="Calibri"/>
                <w:b/>
                <w:color w:val="FFFFFF"/>
                <w:sz w:val="18"/>
              </w:rPr>
              <w:t>Jurisdiction</w:t>
            </w:r>
          </w:p>
        </w:tc>
        <w:tc>
          <w:tcPr>
            <w:tcW w:type="dxa" w:w="1512"/>
            <w:shd w:fill="1A365F"/>
            <w:vAlign w:val="center"/>
          </w:tcPr>
          <w:p>
            <w:pPr>
              <w:jc w:val="left"/>
            </w:pPr>
            <w:r/>
            <w:r>
              <w:rPr>
                <w:rFonts w:ascii="Calibri" w:hAnsi="Calibri"/>
                <w:b/>
                <w:color w:val="FFFFFF"/>
                <w:sz w:val="18"/>
              </w:rPr>
              <w:t>Regulator</w:t>
            </w:r>
          </w:p>
        </w:tc>
        <w:tc>
          <w:tcPr>
            <w:tcW w:type="dxa" w:w="1512"/>
            <w:shd w:fill="1A365F"/>
            <w:vAlign w:val="center"/>
          </w:tcPr>
          <w:p>
            <w:pPr>
              <w:jc w:val="left"/>
            </w:pPr>
            <w:r/>
            <w:r>
              <w:rPr>
                <w:rFonts w:ascii="Calibri" w:hAnsi="Calibri"/>
                <w:b/>
                <w:color w:val="FFFFFF"/>
                <w:sz w:val="18"/>
              </w:rPr>
              <w:t>Class</w:t>
            </w:r>
          </w:p>
        </w:tc>
        <w:tc>
          <w:tcPr>
            <w:tcW w:type="dxa" w:w="1512"/>
            <w:shd w:fill="1A365F"/>
            <w:vAlign w:val="center"/>
          </w:tcPr>
          <w:p>
            <w:pPr>
              <w:jc w:val="left"/>
            </w:pPr>
            <w:r/>
            <w:r>
              <w:rPr>
                <w:rFonts w:ascii="Calibri" w:hAnsi="Calibri"/>
                <w:b/>
                <w:color w:val="FFFFFF"/>
                <w:sz w:val="18"/>
              </w:rPr>
              <w:t>Status</w:t>
            </w:r>
          </w:p>
        </w:tc>
      </w:tr>
      <w:tr>
        <w:tc>
          <w:tcPr>
            <w:tcW w:type="dxa" w:w="1512"/>
            <w:vAlign w:val="center"/>
          </w:tcPr>
          <w:p>
            <w:pPr>
              <w:jc w:val="left"/>
            </w:pPr>
            <w:r/>
            <w:r>
              <w:rPr>
                <w:rFonts w:ascii="Calibri" w:hAnsi="Calibri"/>
                <w:color w:val="2D2D2D"/>
                <w:sz w:val="18"/>
              </w:rPr>
              <w:t>INST-001</w:t>
            </w:r>
          </w:p>
        </w:tc>
        <w:tc>
          <w:tcPr>
            <w:tcW w:type="dxa" w:w="1512"/>
            <w:vAlign w:val="center"/>
          </w:tcPr>
          <w:p>
            <w:pPr>
              <w:jc w:val="left"/>
            </w:pPr>
            <w:r/>
            <w:r>
              <w:rPr>
                <w:rFonts w:ascii="Calibri" w:hAnsi="Calibri"/>
                <w:color w:val="2D2D2D"/>
                <w:sz w:val="18"/>
              </w:rPr>
              <w:t>Test Bank A (US)</w:t>
            </w:r>
          </w:p>
        </w:tc>
        <w:tc>
          <w:tcPr>
            <w:tcW w:type="dxa" w:w="1512"/>
            <w:vAlign w:val="center"/>
          </w:tcPr>
          <w:p>
            <w:pPr>
              <w:jc w:val="left"/>
            </w:pPr>
            <w:r/>
            <w:r>
              <w:rPr>
                <w:rFonts w:ascii="Calibri" w:hAnsi="Calibri"/>
                <w:color w:val="2D2D2D"/>
                <w:sz w:val="18"/>
              </w:rPr>
              <w:t>US</w:t>
            </w:r>
          </w:p>
        </w:tc>
        <w:tc>
          <w:tcPr>
            <w:tcW w:type="dxa" w:w="1512"/>
            <w:vAlign w:val="center"/>
          </w:tcPr>
          <w:p>
            <w:pPr>
              <w:jc w:val="left"/>
            </w:pPr>
            <w:r/>
            <w:r>
              <w:rPr>
                <w:rFonts w:ascii="Calibri" w:hAnsi="Calibri"/>
                <w:color w:val="2D2D2D"/>
                <w:sz w:val="18"/>
              </w:rPr>
              <w:t>OCC</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INST-002</w:t>
            </w:r>
          </w:p>
        </w:tc>
        <w:tc>
          <w:tcPr>
            <w:tcW w:type="dxa" w:w="1512"/>
            <w:shd w:fill="F0F0F0"/>
            <w:vAlign w:val="center"/>
          </w:tcPr>
          <w:p>
            <w:pPr>
              <w:jc w:val="left"/>
            </w:pPr>
            <w:r/>
            <w:r>
              <w:rPr>
                <w:rFonts w:ascii="Calibri" w:hAnsi="Calibri"/>
                <w:color w:val="2D2D2D"/>
                <w:sz w:val="18"/>
              </w:rPr>
              <w:t>Test Bank B (EU)</w:t>
            </w:r>
          </w:p>
        </w:tc>
        <w:tc>
          <w:tcPr>
            <w:tcW w:type="dxa" w:w="1512"/>
            <w:shd w:fill="F0F0F0"/>
            <w:vAlign w:val="center"/>
          </w:tcPr>
          <w:p>
            <w:pPr>
              <w:jc w:val="left"/>
            </w:pPr>
            <w:r/>
            <w:r>
              <w:rPr>
                <w:rFonts w:ascii="Calibri" w:hAnsi="Calibri"/>
                <w:color w:val="2D2D2D"/>
                <w:sz w:val="18"/>
              </w:rPr>
              <w:t>EU</w:t>
            </w:r>
          </w:p>
        </w:tc>
        <w:tc>
          <w:tcPr>
            <w:tcW w:type="dxa" w:w="1512"/>
            <w:shd w:fill="F0F0F0"/>
            <w:vAlign w:val="center"/>
          </w:tcPr>
          <w:p>
            <w:pPr>
              <w:jc w:val="left"/>
            </w:pPr>
            <w:r/>
            <w:r>
              <w:rPr>
                <w:rFonts w:ascii="Calibri" w:hAnsi="Calibri"/>
                <w:color w:val="2D2D2D"/>
                <w:sz w:val="18"/>
              </w:rPr>
              <w:t>ECB</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r>
        <w:tc>
          <w:tcPr>
            <w:tcW w:type="dxa" w:w="1512"/>
            <w:vAlign w:val="center"/>
          </w:tcPr>
          <w:p>
            <w:pPr>
              <w:jc w:val="left"/>
            </w:pPr>
            <w:r/>
            <w:r>
              <w:rPr>
                <w:rFonts w:ascii="Calibri" w:hAnsi="Calibri"/>
                <w:color w:val="2D2D2D"/>
                <w:sz w:val="18"/>
              </w:rPr>
              <w:t>INST-003</w:t>
            </w:r>
          </w:p>
        </w:tc>
        <w:tc>
          <w:tcPr>
            <w:tcW w:type="dxa" w:w="1512"/>
            <w:vAlign w:val="center"/>
          </w:tcPr>
          <w:p>
            <w:pPr>
              <w:jc w:val="left"/>
            </w:pPr>
            <w:r/>
            <w:r>
              <w:rPr>
                <w:rFonts w:ascii="Calibri" w:hAnsi="Calibri"/>
                <w:color w:val="2D2D2D"/>
                <w:sz w:val="18"/>
              </w:rPr>
              <w:t>Test Bank C (JP)</w:t>
            </w:r>
          </w:p>
        </w:tc>
        <w:tc>
          <w:tcPr>
            <w:tcW w:type="dxa" w:w="1512"/>
            <w:vAlign w:val="center"/>
          </w:tcPr>
          <w:p>
            <w:pPr>
              <w:jc w:val="left"/>
            </w:pPr>
            <w:r/>
            <w:r>
              <w:rPr>
                <w:rFonts w:ascii="Calibri" w:hAnsi="Calibri"/>
                <w:color w:val="2D2D2D"/>
                <w:sz w:val="18"/>
              </w:rPr>
              <w:t>JP</w:t>
            </w:r>
          </w:p>
        </w:tc>
        <w:tc>
          <w:tcPr>
            <w:tcW w:type="dxa" w:w="1512"/>
            <w:vAlign w:val="center"/>
          </w:tcPr>
          <w:p>
            <w:pPr>
              <w:jc w:val="left"/>
            </w:pPr>
            <w:r/>
            <w:r>
              <w:rPr>
                <w:rFonts w:ascii="Calibri" w:hAnsi="Calibri"/>
                <w:color w:val="2D2D2D"/>
                <w:sz w:val="18"/>
              </w:rPr>
              <w:t>FSA</w:t>
            </w:r>
          </w:p>
        </w:tc>
        <w:tc>
          <w:tcPr>
            <w:tcW w:type="dxa" w:w="1512"/>
            <w:vAlign w:val="center"/>
          </w:tcPr>
          <w:p>
            <w:pPr>
              <w:jc w:val="left"/>
            </w:pPr>
            <w:r/>
            <w:r>
              <w:rPr>
                <w:rFonts w:ascii="Calibri" w:hAnsi="Calibri"/>
                <w:color w:val="2D2D2D"/>
                <w:sz w:val="18"/>
              </w:rPr>
              <w:t>B</w:t>
            </w:r>
          </w:p>
        </w:tc>
        <w:tc>
          <w:tcPr>
            <w:tcW w:type="dxa" w:w="1512"/>
            <w:vAlign w:val="center"/>
          </w:tcPr>
          <w:p>
            <w:pPr>
              <w:jc w:val="left"/>
            </w:pPr>
            <w:r/>
            <w:r>
              <w:rPr>
                <w:rFonts w:ascii="Calibri" w:hAnsi="Calibri"/>
                <w:color w:val="2D2D2D"/>
                <w:sz w:val="18"/>
              </w:rPr>
              <w:t>ACTIVE</w:t>
            </w:r>
          </w:p>
        </w:tc>
      </w:tr>
      <w:tr>
        <w:tc>
          <w:tcPr>
            <w:tcW w:type="dxa" w:w="1512"/>
            <w:shd w:fill="F0F0F0"/>
            <w:vAlign w:val="center"/>
          </w:tcPr>
          <w:p>
            <w:pPr>
              <w:jc w:val="left"/>
            </w:pPr>
            <w:r/>
            <w:r>
              <w:rPr>
                <w:rFonts w:ascii="Calibri" w:hAnsi="Calibri"/>
                <w:color w:val="2D2D2D"/>
                <w:sz w:val="18"/>
              </w:rPr>
              <w:t>INST-004</w:t>
            </w:r>
          </w:p>
        </w:tc>
        <w:tc>
          <w:tcPr>
            <w:tcW w:type="dxa" w:w="1512"/>
            <w:shd w:fill="F0F0F0"/>
            <w:vAlign w:val="center"/>
          </w:tcPr>
          <w:p>
            <w:pPr>
              <w:jc w:val="left"/>
            </w:pPr>
            <w:r/>
            <w:r>
              <w:rPr>
                <w:rFonts w:ascii="Calibri" w:hAnsi="Calibri"/>
                <w:color w:val="2D2D2D"/>
                <w:sz w:val="18"/>
              </w:rPr>
              <w:t>Test Bank D (AE)</w:t>
            </w:r>
          </w:p>
        </w:tc>
        <w:tc>
          <w:tcPr>
            <w:tcW w:type="dxa" w:w="1512"/>
            <w:shd w:fill="F0F0F0"/>
            <w:vAlign w:val="center"/>
          </w:tcPr>
          <w:p>
            <w:pPr>
              <w:jc w:val="left"/>
            </w:pPr>
            <w:r/>
            <w:r>
              <w:rPr>
                <w:rFonts w:ascii="Calibri" w:hAnsi="Calibri"/>
                <w:color w:val="2D2D2D"/>
                <w:sz w:val="18"/>
              </w:rPr>
              <w:t>AE</w:t>
            </w:r>
          </w:p>
        </w:tc>
        <w:tc>
          <w:tcPr>
            <w:tcW w:type="dxa" w:w="1512"/>
            <w:shd w:fill="F0F0F0"/>
            <w:vAlign w:val="center"/>
          </w:tcPr>
          <w:p>
            <w:pPr>
              <w:jc w:val="left"/>
            </w:pPr>
            <w:r/>
            <w:r>
              <w:rPr>
                <w:rFonts w:ascii="Calibri" w:hAnsi="Calibri"/>
                <w:color w:val="2D2D2D"/>
                <w:sz w:val="18"/>
              </w:rPr>
              <w:t>CBUAE</w:t>
            </w:r>
          </w:p>
        </w:tc>
        <w:tc>
          <w:tcPr>
            <w:tcW w:type="dxa" w:w="1512"/>
            <w:shd w:fill="F0F0F0"/>
            <w:vAlign w:val="center"/>
          </w:tcPr>
          <w:p>
            <w:pPr>
              <w:jc w:val="left"/>
            </w:pPr>
            <w:r/>
            <w:r>
              <w:rPr>
                <w:rFonts w:ascii="Calibri" w:hAnsi="Calibri"/>
                <w:color w:val="2D2D2D"/>
                <w:sz w:val="18"/>
              </w:rPr>
              <w:t>B</w:t>
            </w:r>
          </w:p>
        </w:tc>
        <w:tc>
          <w:tcPr>
            <w:tcW w:type="dxa" w:w="1512"/>
            <w:shd w:fill="F0F0F0"/>
            <w:vAlign w:val="center"/>
          </w:tcPr>
          <w:p>
            <w:pPr>
              <w:jc w:val="left"/>
            </w:pPr>
            <w:r/>
            <w:r>
              <w:rPr>
                <w:rFonts w:ascii="Calibri" w:hAnsi="Calibri"/>
                <w:color w:val="2D2D2D"/>
                <w:sz w:val="18"/>
              </w:rPr>
              <w:t>ACTIVE</w:t>
            </w:r>
          </w:p>
        </w:tc>
      </w:tr>
    </w:tbl>
    <w:p/>
    <w:p>
      <w:pPr>
        <w:pStyle w:val="Heading3"/>
      </w:pPr>
      <w:r>
        <w:t>§20.5 Institutional Limits (Stress-State-Indexed)</w:t>
      </w:r>
    </w:p>
    <w:p>
      <w:r>
        <w:t>Limits automatically tighten based on the reserve stress state: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Stress State</w:t>
            </w:r>
          </w:p>
        </w:tc>
        <w:tc>
          <w:tcPr>
            <w:tcW w:type="dxa" w:w="1814"/>
            <w:shd w:fill="1A365F"/>
            <w:vAlign w:val="center"/>
          </w:tcPr>
          <w:p>
            <w:pPr>
              <w:jc w:val="left"/>
            </w:pPr>
            <w:r/>
            <w:r>
              <w:rPr>
                <w:rFonts w:ascii="Calibri" w:hAnsi="Calibri"/>
                <w:b/>
                <w:color w:val="FFFFFF"/>
                <w:sz w:val="18"/>
              </w:rPr>
              <w:t>Max Transaction</w:t>
            </w:r>
          </w:p>
        </w:tc>
        <w:tc>
          <w:tcPr>
            <w:tcW w:type="dxa" w:w="1814"/>
            <w:shd w:fill="1A365F"/>
            <w:vAlign w:val="center"/>
          </w:tcPr>
          <w:p>
            <w:pPr>
              <w:jc w:val="left"/>
            </w:pPr>
            <w:r/>
            <w:r>
              <w:rPr>
                <w:rFonts w:ascii="Calibri" w:hAnsi="Calibri"/>
                <w:b/>
                <w:color w:val="FFFFFF"/>
                <w:sz w:val="18"/>
              </w:rPr>
              <w:t>Intraday Exposure</w:t>
            </w:r>
          </w:p>
        </w:tc>
        <w:tc>
          <w:tcPr>
            <w:tcW w:type="dxa" w:w="1814"/>
            <w:shd w:fill="1A365F"/>
            <w:vAlign w:val="center"/>
          </w:tcPr>
          <w:p>
            <w:pPr>
              <w:jc w:val="left"/>
            </w:pPr>
            <w:r/>
            <w:r>
              <w:rPr>
                <w:rFonts w:ascii="Calibri" w:hAnsi="Calibri"/>
                <w:b/>
                <w:color w:val="FFFFFF"/>
                <w:sz w:val="18"/>
              </w:rPr>
              <w:t>Issuance Limit</w:t>
            </w:r>
          </w:p>
        </w:tc>
        <w:tc>
          <w:tcPr>
            <w:tcW w:type="dxa" w:w="1814"/>
            <w:shd w:fill="1A365F"/>
            <w:vAlign w:val="center"/>
          </w:tcPr>
          <w:p>
            <w:pPr>
              <w:jc w:val="left"/>
            </w:pPr>
            <w:r/>
            <w:r>
              <w:rPr>
                <w:rFonts w:ascii="Calibri" w:hAnsi="Calibri"/>
                <w:b/>
                <w:color w:val="FFFFFF"/>
                <w:sz w:val="18"/>
              </w:rPr>
              <w:t>Redemption Limit</w:t>
            </w:r>
          </w:p>
        </w:tc>
      </w:tr>
      <w:tr>
        <w:tc>
          <w:tcPr>
            <w:tcW w:type="dxa" w:w="1814"/>
            <w:vAlign w:val="center"/>
          </w:tcPr>
          <w:p>
            <w:pPr>
              <w:jc w:val="left"/>
            </w:pPr>
            <w:r/>
            <w:r>
              <w:rPr>
                <w:rFonts w:ascii="Calibri" w:hAnsi="Calibri"/>
                <w:color w:val="2D2D2D"/>
                <w:sz w:val="18"/>
              </w:rPr>
              <w:t>NORMAL</w:t>
            </w:r>
          </w:p>
        </w:tc>
        <w:tc>
          <w:tcPr>
            <w:tcW w:type="dxa" w:w="1814"/>
            <w:vAlign w:val="center"/>
          </w:tcPr>
          <w:p>
            <w:pPr>
              <w:jc w:val="left"/>
            </w:pPr>
            <w:r/>
            <w:r>
              <w:rPr>
                <w:rFonts w:ascii="Calibri" w:hAnsi="Calibri"/>
                <w:color w:val="2D2D2D"/>
                <w:sz w:val="18"/>
              </w:rPr>
              <w:t>100%</w:t>
            </w:r>
          </w:p>
        </w:tc>
        <w:tc>
          <w:tcPr>
            <w:tcW w:type="dxa" w:w="1814"/>
            <w:vAlign w:val="center"/>
          </w:tcPr>
          <w:p>
            <w:pPr>
              <w:jc w:val="left"/>
            </w:pPr>
            <w:r/>
            <w:r>
              <w:rPr>
                <w:rFonts w:ascii="Calibri" w:hAnsi="Calibri"/>
                <w:color w:val="2D2D2D"/>
                <w:sz w:val="18"/>
              </w:rPr>
              <w:t>100%</w:t>
            </w:r>
          </w:p>
        </w:tc>
        <w:tc>
          <w:tcPr>
            <w:tcW w:type="dxa" w:w="1814"/>
            <w:vAlign w:val="center"/>
          </w:tcPr>
          <w:p>
            <w:pPr>
              <w:jc w:val="left"/>
            </w:pPr>
            <w:r/>
            <w:r>
              <w:rPr>
                <w:rFonts w:ascii="Calibri" w:hAnsi="Calibri"/>
                <w:color w:val="2D2D2D"/>
                <w:sz w:val="18"/>
              </w:rPr>
              <w:t>100%</w:t>
            </w:r>
          </w:p>
        </w:tc>
        <w:tc>
          <w:tcPr>
            <w:tcW w:type="dxa" w:w="1814"/>
            <w:vAlign w:val="center"/>
          </w:tcPr>
          <w:p>
            <w:pPr>
              <w:jc w:val="left"/>
            </w:pPr>
            <w:r/>
            <w:r>
              <w:rPr>
                <w:rFonts w:ascii="Calibri" w:hAnsi="Calibri"/>
                <w:color w:val="2D2D2D"/>
                <w:sz w:val="18"/>
              </w:rPr>
              <w:t>100%</w:t>
            </w:r>
          </w:p>
        </w:tc>
      </w:tr>
      <w:tr>
        <w:tc>
          <w:tcPr>
            <w:tcW w:type="dxa" w:w="1814"/>
            <w:shd w:fill="F0F0F0"/>
            <w:vAlign w:val="center"/>
          </w:tcPr>
          <w:p>
            <w:pPr>
              <w:jc w:val="left"/>
            </w:pPr>
            <w:r/>
            <w:r>
              <w:rPr>
                <w:rFonts w:ascii="Calibri" w:hAnsi="Calibri"/>
                <w:color w:val="2D2D2D"/>
                <w:sz w:val="18"/>
              </w:rPr>
              <w:t>CAUTION</w:t>
            </w:r>
          </w:p>
        </w:tc>
        <w:tc>
          <w:tcPr>
            <w:tcW w:type="dxa" w:w="1814"/>
            <w:shd w:fill="F0F0F0"/>
            <w:vAlign w:val="center"/>
          </w:tcPr>
          <w:p>
            <w:pPr>
              <w:jc w:val="left"/>
            </w:pPr>
            <w:r/>
            <w:r>
              <w:rPr>
                <w:rFonts w:ascii="Calibri" w:hAnsi="Calibri"/>
                <w:color w:val="2D2D2D"/>
                <w:sz w:val="18"/>
              </w:rPr>
              <w:t>80%</w:t>
            </w:r>
          </w:p>
        </w:tc>
        <w:tc>
          <w:tcPr>
            <w:tcW w:type="dxa" w:w="1814"/>
            <w:shd w:fill="F0F0F0"/>
            <w:vAlign w:val="center"/>
          </w:tcPr>
          <w:p>
            <w:pPr>
              <w:jc w:val="left"/>
            </w:pPr>
            <w:r/>
            <w:r>
              <w:rPr>
                <w:rFonts w:ascii="Calibri" w:hAnsi="Calibri"/>
                <w:color w:val="2D2D2D"/>
                <w:sz w:val="18"/>
              </w:rPr>
              <w:t>80%</w:t>
            </w:r>
          </w:p>
        </w:tc>
        <w:tc>
          <w:tcPr>
            <w:tcW w:type="dxa" w:w="1814"/>
            <w:shd w:fill="F0F0F0"/>
            <w:vAlign w:val="center"/>
          </w:tcPr>
          <w:p>
            <w:pPr>
              <w:jc w:val="left"/>
            </w:pPr>
            <w:r/>
            <w:r>
              <w:rPr>
                <w:rFonts w:ascii="Calibri" w:hAnsi="Calibri"/>
                <w:color w:val="2D2D2D"/>
                <w:sz w:val="18"/>
              </w:rPr>
              <w:t>80%</w:t>
            </w:r>
          </w:p>
        </w:tc>
        <w:tc>
          <w:tcPr>
            <w:tcW w:type="dxa" w:w="1814"/>
            <w:shd w:fill="F0F0F0"/>
            <w:vAlign w:val="center"/>
          </w:tcPr>
          <w:p>
            <w:pPr>
              <w:jc w:val="left"/>
            </w:pPr>
            <w:r/>
            <w:r>
              <w:rPr>
                <w:rFonts w:ascii="Calibri" w:hAnsi="Calibri"/>
                <w:color w:val="2D2D2D"/>
                <w:sz w:val="18"/>
              </w:rPr>
              <w:t>80%</w:t>
            </w:r>
          </w:p>
        </w:tc>
      </w:tr>
      <w:tr>
        <w:tc>
          <w:tcPr>
            <w:tcW w:type="dxa" w:w="1814"/>
            <w:vAlign w:val="center"/>
          </w:tcPr>
          <w:p>
            <w:pPr>
              <w:jc w:val="left"/>
            </w:pPr>
            <w:r/>
            <w:r>
              <w:rPr>
                <w:rFonts w:ascii="Calibri" w:hAnsi="Calibri"/>
                <w:color w:val="2D2D2D"/>
                <w:sz w:val="18"/>
              </w:rPr>
              <w:t>DEFENSIVE</w:t>
            </w:r>
          </w:p>
        </w:tc>
        <w:tc>
          <w:tcPr>
            <w:tcW w:type="dxa" w:w="1814"/>
            <w:vAlign w:val="center"/>
          </w:tcPr>
          <w:p>
            <w:pPr>
              <w:jc w:val="left"/>
            </w:pPr>
            <w:r/>
            <w:r>
              <w:rPr>
                <w:rFonts w:ascii="Calibri" w:hAnsi="Calibri"/>
                <w:color w:val="2D2D2D"/>
                <w:sz w:val="18"/>
              </w:rPr>
              <w:t>60%</w:t>
            </w:r>
          </w:p>
        </w:tc>
        <w:tc>
          <w:tcPr>
            <w:tcW w:type="dxa" w:w="1814"/>
            <w:vAlign w:val="center"/>
          </w:tcPr>
          <w:p>
            <w:pPr>
              <w:jc w:val="left"/>
            </w:pPr>
            <w:r/>
            <w:r>
              <w:rPr>
                <w:rFonts w:ascii="Calibri" w:hAnsi="Calibri"/>
                <w:color w:val="2D2D2D"/>
                <w:sz w:val="18"/>
              </w:rPr>
              <w:t>60%</w:t>
            </w:r>
          </w:p>
        </w:tc>
        <w:tc>
          <w:tcPr>
            <w:tcW w:type="dxa" w:w="1814"/>
            <w:vAlign w:val="center"/>
          </w:tcPr>
          <w:p>
            <w:pPr>
              <w:jc w:val="left"/>
            </w:pPr>
            <w:r/>
            <w:r>
              <w:rPr>
                <w:rFonts w:ascii="Calibri" w:hAnsi="Calibri"/>
                <w:color w:val="2D2D2D"/>
                <w:sz w:val="18"/>
              </w:rPr>
              <w:t>60%</w:t>
            </w:r>
          </w:p>
        </w:tc>
        <w:tc>
          <w:tcPr>
            <w:tcW w:type="dxa" w:w="1814"/>
            <w:vAlign w:val="center"/>
          </w:tcPr>
          <w:p>
            <w:pPr>
              <w:jc w:val="left"/>
            </w:pPr>
            <w:r/>
            <w:r>
              <w:rPr>
                <w:rFonts w:ascii="Calibri" w:hAnsi="Calibri"/>
                <w:color w:val="2D2D2D"/>
                <w:sz w:val="18"/>
              </w:rPr>
              <w:t>60%</w:t>
            </w:r>
          </w:p>
        </w:tc>
      </w:tr>
      <w:tr>
        <w:tc>
          <w:tcPr>
            <w:tcW w:type="dxa" w:w="1814"/>
            <w:shd w:fill="F0F0F0"/>
            <w:vAlign w:val="center"/>
          </w:tcPr>
          <w:p>
            <w:pPr>
              <w:jc w:val="left"/>
            </w:pPr>
            <w:r/>
            <w:r>
              <w:rPr>
                <w:rFonts w:ascii="Calibri" w:hAnsi="Calibri"/>
                <w:color w:val="2D2D2D"/>
                <w:sz w:val="18"/>
              </w:rPr>
              <w:t>STRESS</w:t>
            </w:r>
          </w:p>
        </w:tc>
        <w:tc>
          <w:tcPr>
            <w:tcW w:type="dxa" w:w="1814"/>
            <w:shd w:fill="F0F0F0"/>
            <w:vAlign w:val="center"/>
          </w:tcPr>
          <w:p>
            <w:pPr>
              <w:jc w:val="left"/>
            </w:pPr>
            <w:r/>
            <w:r>
              <w:rPr>
                <w:rFonts w:ascii="Calibri" w:hAnsi="Calibri"/>
                <w:color w:val="2D2D2D"/>
                <w:sz w:val="18"/>
              </w:rPr>
              <w:t>40%</w:t>
            </w:r>
          </w:p>
        </w:tc>
        <w:tc>
          <w:tcPr>
            <w:tcW w:type="dxa" w:w="1814"/>
            <w:shd w:fill="F0F0F0"/>
            <w:vAlign w:val="center"/>
          </w:tcPr>
          <w:p>
            <w:pPr>
              <w:jc w:val="left"/>
            </w:pPr>
            <w:r/>
            <w:r>
              <w:rPr>
                <w:rFonts w:ascii="Calibri" w:hAnsi="Calibri"/>
                <w:color w:val="2D2D2D"/>
                <w:sz w:val="18"/>
              </w:rPr>
              <w:t>40%</w:t>
            </w:r>
          </w:p>
        </w:tc>
        <w:tc>
          <w:tcPr>
            <w:tcW w:type="dxa" w:w="1814"/>
            <w:shd w:fill="F0F0F0"/>
            <w:vAlign w:val="center"/>
          </w:tcPr>
          <w:p>
            <w:pPr>
              <w:jc w:val="left"/>
            </w:pPr>
            <w:r/>
            <w:r>
              <w:rPr>
                <w:rFonts w:ascii="Calibri" w:hAnsi="Calibri"/>
                <w:color w:val="2D2D2D"/>
                <w:sz w:val="18"/>
              </w:rPr>
              <w:t>40%</w:t>
            </w:r>
          </w:p>
        </w:tc>
        <w:tc>
          <w:tcPr>
            <w:tcW w:type="dxa" w:w="1814"/>
            <w:shd w:fill="F0F0F0"/>
            <w:vAlign w:val="center"/>
          </w:tcPr>
          <w:p>
            <w:pPr>
              <w:jc w:val="left"/>
            </w:pPr>
            <w:r/>
            <w:r>
              <w:rPr>
                <w:rFonts w:ascii="Calibri" w:hAnsi="Calibri"/>
                <w:color w:val="2D2D2D"/>
                <w:sz w:val="18"/>
              </w:rPr>
              <w:t>40%</w:t>
            </w:r>
          </w:p>
        </w:tc>
      </w:tr>
      <w:tr>
        <w:tc>
          <w:tcPr>
            <w:tcW w:type="dxa" w:w="1814"/>
            <w:vAlign w:val="center"/>
          </w:tcPr>
          <w:p>
            <w:pPr>
              <w:jc w:val="left"/>
            </w:pPr>
            <w:r/>
            <w:r>
              <w:rPr>
                <w:rFonts w:ascii="Calibri" w:hAnsi="Calibri"/>
                <w:color w:val="2D2D2D"/>
                <w:sz w:val="18"/>
              </w:rPr>
              <w:t>EMERGENCY</w:t>
            </w:r>
          </w:p>
        </w:tc>
        <w:tc>
          <w:tcPr>
            <w:tcW w:type="dxa" w:w="1814"/>
            <w:vAlign w:val="center"/>
          </w:tcPr>
          <w:p>
            <w:pPr>
              <w:jc w:val="left"/>
            </w:pPr>
            <w:r/>
            <w:r>
              <w:rPr>
                <w:rFonts w:ascii="Calibri" w:hAnsi="Calibri"/>
                <w:color w:val="2D2D2D"/>
                <w:sz w:val="18"/>
              </w:rPr>
              <w:t>10%</w:t>
            </w:r>
          </w:p>
        </w:tc>
        <w:tc>
          <w:tcPr>
            <w:tcW w:type="dxa" w:w="1814"/>
            <w:vAlign w:val="center"/>
          </w:tcPr>
          <w:p>
            <w:pPr>
              <w:jc w:val="left"/>
            </w:pPr>
            <w:r/>
            <w:r>
              <w:rPr>
                <w:rFonts w:ascii="Calibri" w:hAnsi="Calibri"/>
                <w:color w:val="2D2D2D"/>
                <w:sz w:val="18"/>
              </w:rPr>
              <w:t>10%</w:t>
            </w:r>
          </w:p>
        </w:tc>
        <w:tc>
          <w:tcPr>
            <w:tcW w:type="dxa" w:w="1814"/>
            <w:vAlign w:val="center"/>
          </w:tcPr>
          <w:p>
            <w:pPr>
              <w:jc w:val="left"/>
            </w:pPr>
            <w:r/>
            <w:r>
              <w:rPr>
                <w:rFonts w:ascii="Calibri" w:hAnsi="Calibri"/>
                <w:color w:val="2D2D2D"/>
                <w:sz w:val="18"/>
              </w:rPr>
              <w:t>10%</w:t>
            </w:r>
          </w:p>
        </w:tc>
        <w:tc>
          <w:tcPr>
            <w:tcW w:type="dxa" w:w="1814"/>
            <w:vAlign w:val="center"/>
          </w:tcPr>
          <w:p>
            <w:pPr>
              <w:jc w:val="left"/>
            </w:pPr>
            <w:r/>
            <w:r>
              <w:rPr>
                <w:rFonts w:ascii="Calibri" w:hAnsi="Calibri"/>
                <w:color w:val="2D2D2D"/>
                <w:sz w:val="18"/>
              </w:rPr>
              <w:t>10%</w:t>
            </w:r>
          </w:p>
        </w:tc>
      </w:tr>
      <w:tr>
        <w:tc>
          <w:tcPr>
            <w:tcW w:type="dxa" w:w="1814"/>
            <w:shd w:fill="F0F0F0"/>
            <w:vAlign w:val="center"/>
          </w:tcPr>
          <w:p>
            <w:pPr>
              <w:jc w:val="left"/>
            </w:pPr>
            <w:r/>
            <w:r>
              <w:rPr>
                <w:rFonts w:ascii="Calibri" w:hAnsi="Calibri"/>
                <w:color w:val="2D2D2D"/>
                <w:sz w:val="18"/>
              </w:rPr>
              <w:t>RECOVERY</w:t>
            </w:r>
          </w:p>
        </w:tc>
        <w:tc>
          <w:tcPr>
            <w:tcW w:type="dxa" w:w="1814"/>
            <w:shd w:fill="F0F0F0"/>
            <w:vAlign w:val="center"/>
          </w:tcPr>
          <w:p>
            <w:pPr>
              <w:jc w:val="left"/>
            </w:pPr>
            <w:r/>
            <w:r>
              <w:rPr>
                <w:rFonts w:ascii="Calibri" w:hAnsi="Calibri"/>
                <w:color w:val="2D2D2D"/>
                <w:sz w:val="18"/>
              </w:rPr>
              <w:t>70%</w:t>
            </w:r>
          </w:p>
        </w:tc>
        <w:tc>
          <w:tcPr>
            <w:tcW w:type="dxa" w:w="1814"/>
            <w:shd w:fill="F0F0F0"/>
            <w:vAlign w:val="center"/>
          </w:tcPr>
          <w:p>
            <w:pPr>
              <w:jc w:val="left"/>
            </w:pPr>
            <w:r/>
            <w:r>
              <w:rPr>
                <w:rFonts w:ascii="Calibri" w:hAnsi="Calibri"/>
                <w:color w:val="2D2D2D"/>
                <w:sz w:val="18"/>
              </w:rPr>
              <w:t>70%</w:t>
            </w:r>
          </w:p>
        </w:tc>
        <w:tc>
          <w:tcPr>
            <w:tcW w:type="dxa" w:w="1814"/>
            <w:shd w:fill="F0F0F0"/>
            <w:vAlign w:val="center"/>
          </w:tcPr>
          <w:p>
            <w:pPr>
              <w:jc w:val="left"/>
            </w:pPr>
            <w:r/>
            <w:r>
              <w:rPr>
                <w:rFonts w:ascii="Calibri" w:hAnsi="Calibri"/>
                <w:color w:val="2D2D2D"/>
                <w:sz w:val="18"/>
              </w:rPr>
              <w:t>70%</w:t>
            </w:r>
          </w:p>
        </w:tc>
        <w:tc>
          <w:tcPr>
            <w:tcW w:type="dxa" w:w="1814"/>
            <w:shd w:fill="F0F0F0"/>
            <w:vAlign w:val="center"/>
          </w:tcPr>
          <w:p>
            <w:pPr>
              <w:jc w:val="left"/>
            </w:pPr>
            <w:r/>
            <w:r>
              <w:rPr>
                <w:rFonts w:ascii="Calibri" w:hAnsi="Calibri"/>
                <w:color w:val="2D2D2D"/>
                <w:sz w:val="18"/>
              </w:rPr>
              <w:t>70%</w:t>
            </w:r>
          </w:p>
        </w:tc>
      </w:tr>
    </w:tbl>
    <w:p/>
    <w:p>
      <w:r>
        <w:rPr>
          <w:b/>
        </w:rPr>
        <w:t>Implementation Reference:</w:t>
      </w:r>
      <w:r>
        <w:t xml:space="preserve"> </w:t>
      </w:r>
      <w:r>
        <w:rPr>
          <w:rFonts w:ascii="Consolas" w:hAnsi="Consolas"/>
          <w:color w:val="6B6B6B"/>
          <w:sz w:val="19"/>
        </w:rPr>
        <w:t>src/lib/institutional-authorization.ts</w:t>
      </w:r>
      <w:r>
        <w:t xml:space="preserve"> → </w:t>
      </w:r>
      <w:r>
        <w:rPr>
          <w:rFonts w:ascii="Consolas" w:hAnsi="Consolas"/>
          <w:color w:val="6B6B6B"/>
          <w:sz w:val="19"/>
        </w:rPr>
        <w:t>INSTITUTION_REGISTRY</w:t>
      </w:r>
      <w:r>
        <w:t xml:space="preserve">, </w:t>
      </w:r>
      <w:r>
        <w:rPr>
          <w:rFonts w:ascii="Consolas" w:hAnsi="Consolas"/>
          <w:color w:val="6B6B6B"/>
          <w:sz w:val="19"/>
        </w:rPr>
        <w:t>checkInstitutionAuthorization()</w:t>
      </w:r>
      <w:r>
        <w:t xml:space="preserve">, </w:t>
      </w:r>
      <w:r>
        <w:rPr>
          <w:rFonts w:ascii="Consolas" w:hAnsi="Consolas"/>
          <w:color w:val="6B6B6B"/>
          <w:sz w:val="19"/>
        </w:rPr>
        <w:t>getInstitutionalLimits()</w:t>
      </w:r>
    </w:p>
    <w:p>
      <w:pPr>
        <w:pBdr>
          <w:bottom w:val="single" w:sz="12" w:space="1" w:color="C59B1E"/>
        </w:pBdr>
      </w:pPr>
    </w:p>
    <w:p>
      <w:r>
        <w:br w:type="page"/>
      </w:r>
    </w:p>
    <w:p>
      <w:pPr>
        <w:jc w:val="center"/>
      </w:pPr>
      <w:r>
        <w:rPr>
          <w:b/>
          <w:color w:val="1A365F"/>
          <w:sz w:val="44"/>
        </w:rPr>
        <w:t>PART III — SETTLEMENT, PRIVACY &amp; COMPLIANCE</w:t>
      </w:r>
    </w:p>
    <w:p>
      <w:pPr>
        <w:pBdr>
          <w:bottom w:val="single" w:sz="18" w:space="1" w:color="1A365F"/>
        </w:pBdr>
      </w:pPr>
    </w:p>
    <w:p>
      <w:pPr>
        <w:pStyle w:val="Heading2"/>
      </w:pPr>
      <w:r>
        <w:t>§21 — INSTITUTIONAL PROOF-OF-LIABILITIES</w:t>
      </w:r>
    </w:p>
    <w:p>
      <w:pPr>
        <w:pStyle w:val="Heading3"/>
      </w:pPr>
      <w:r>
        <w:t>§21.1 Concept</w:t>
      </w:r>
    </w:p>
    <w:p>
      <w:r>
        <w:t xml:space="preserve">Add to the existing proof-of-reserves a new </w:t>
      </w:r>
      <w:r>
        <w:rPr>
          <w:b/>
        </w:rPr>
        <w:t>Institutional Proof of MTQ Liabilities / Positions</w:t>
      </w:r>
      <w:r>
        <w:t>.</w:t>
      </w:r>
    </w:p>
    <w:p>
      <w:r>
        <w:t>MITHQAL should be able to reconcile:</w:t>
      </w:r>
    </w:p>
    <w:p>
      <w:pPr>
        <w:ind w:left="283"/>
        <w:shd w:fill="F5F5F5"/>
      </w:pPr>
      <w:r>
        <w:rPr>
          <w:rFonts w:ascii="Consolas" w:hAnsi="Consolas"/>
          <w:color w:val="6B6B6B"/>
          <w:sz w:val="18"/>
        </w:rPr>
        <w:t>Reserve assets</w:t>
        <w:br/>
        <w:t xml:space="preserve">    vs.</w:t>
        <w:br/>
        <w:t>Total MTQ outstanding</w:t>
        <w:br/>
        <w:t xml:space="preserve">    vs.</w:t>
        <w:br/>
        <w:t>Institutional MTQ positions</w:t>
        <w:br/>
        <w:t xml:space="preserve">    vs.</w:t>
        <w:br/>
        <w:t>Bank-level MTQ positions</w:t>
        <w:br/>
        <w:t xml:space="preserve">    vs.</w:t>
        <w:br/>
        <w:t>Corporate sub-positions</w:t>
      </w:r>
    </w:p>
    <w:p>
      <w:pPr>
        <w:pStyle w:val="Heading3"/>
      </w:pPr>
      <w:r>
        <w:t>§21.2 Example</w:t>
      </w:r>
    </w:p>
    <w:p>
      <w:pPr>
        <w:ind w:left="283"/>
        <w:shd w:fill="F5F5F5"/>
      </w:pPr>
      <w:r>
        <w:rPr>
          <w:rFonts w:ascii="Consolas" w:hAnsi="Consolas"/>
          <w:color w:val="6B6B6B"/>
          <w:sz w:val="18"/>
        </w:rPr>
        <w:t>Reserve Value                  $1.25B</w:t>
        <w:br/>
        <w:t>Outstanding MTQ                $1.00B</w:t>
        <w:br/>
        <w:t>RR                             125%</w:t>
        <w:br/>
        <w:br/>
        <w:t>Bank A                         $250M MTQ</w:t>
        <w:br/>
        <w:t>Bank B                         $400M MTQ</w:t>
        <w:br/>
        <w:t>Bank C                         $200M MTQ</w:t>
        <w:br/>
        <w:t>Other Approved Banks           $150M MTQ</w:t>
        <w:br/>
        <w:t>─────────────────────────────────────────</w:t>
        <w:br/>
        <w:t>Total                          $1.00B MTQ ✅ reconciled</w:t>
      </w:r>
    </w:p>
    <w:p>
      <w:pPr>
        <w:pStyle w:val="Heading3"/>
      </w:pPr>
      <w:r>
        <w:t>§21.3 Proof Schema</w:t>
      </w:r>
    </w:p>
    <w:p>
      <w:pPr>
        <w:ind w:left="283"/>
        <w:shd w:fill="F5F5F5"/>
      </w:pPr>
      <w:r>
        <w:rPr>
          <w:rFonts w:ascii="Consolas" w:hAnsi="Consolas"/>
          <w:color w:val="6B6B6B"/>
          <w:sz w:val="18"/>
        </w:rPr>
        <w:t>interface InstitutionalProofOfLiabilities {</w:t>
        <w:br/>
        <w:t xml:space="preserve">  timestamp: string;</w:t>
        <w:br/>
        <w:t xml:space="preserve">  reserveValueUsd: number;</w:t>
        <w:br/>
        <w:t xml:space="preserve">  totalOutstandingMtq: number;</w:t>
        <w:br/>
        <w:t xml:space="preserve">  mtqToUsdRate: number;              // PAR = 1.00</w:t>
        <w:br/>
        <w:t xml:space="preserve">  totalMtqLiabilityUsd: number;</w:t>
        <w:br/>
        <w:t xml:space="preserve">  reserveRatio: number;</w:t>
        <w:br/>
        <w:t xml:space="preserve">  institutionalPositions: InstitutionalPosition[];</w:t>
        <w:br/>
        <w:t xml:space="preserve">  bankLevelPositions: BankLevelPosition[];</w:t>
        <w:br/>
        <w:t xml:space="preserve">  reconciliation: ReconciliationResult;</w:t>
        <w:br/>
        <w:t xml:space="preserve">  proofHash: string;</w:t>
        <w:br/>
        <w:t>}</w:t>
      </w:r>
    </w:p>
    <w:p>
      <w:pPr>
        <w:pStyle w:val="Heading3"/>
      </w:pPr>
      <w:r>
        <w:t>§21.4 Institutional Position</w:t>
      </w:r>
    </w:p>
    <w:p>
      <w:pPr>
        <w:ind w:left="283"/>
        <w:shd w:fill="F5F5F5"/>
      </w:pPr>
      <w:r>
        <w:rPr>
          <w:rFonts w:ascii="Consolas" w:hAnsi="Consolas"/>
          <w:color w:val="6B6B6B"/>
          <w:sz w:val="18"/>
        </w:rPr>
        <w:t>interface InstitutionalPosition {</w:t>
        <w:br/>
        <w:t xml:space="preserve">  institutionId: string;</w:t>
        <w:br/>
        <w:t xml:space="preserve">  institutionName: string;</w:t>
        <w:br/>
        <w:t xml:space="preserve">  mtqBalance: number;</w:t>
        <w:br/>
        <w:t xml:space="preserve">  shareOfTotal: number;              // percentage</w:t>
        <w:br/>
        <w:t>}</w:t>
      </w:r>
    </w:p>
    <w:p>
      <w:pPr>
        <w:pStyle w:val="Heading3"/>
      </w:pPr>
      <w:r>
        <w:t>§21.5 Bank-Level Position</w:t>
      </w:r>
    </w:p>
    <w:p>
      <w:pPr>
        <w:ind w:left="283"/>
        <w:shd w:fill="F5F5F5"/>
      </w:pPr>
      <w:r>
        <w:rPr>
          <w:rFonts w:ascii="Consolas" w:hAnsi="Consolas"/>
          <w:color w:val="6B6B6B"/>
          <w:sz w:val="18"/>
        </w:rPr>
        <w:t>interface BankLevelPosition {</w:t>
        <w:br/>
        <w:t xml:space="preserve">  bankInstitutionId: string;</w:t>
        <w:br/>
        <w:t xml:space="preserve">  bankName: string;</w:t>
        <w:br/>
        <w:t xml:space="preserve">  totalMtq: number;</w:t>
        <w:br/>
        <w:t xml:space="preserve">  corporateSubpositions: number;     // count of corporate subaccounts</w:t>
        <w:br/>
        <w:t xml:space="preserve">  attestedTotal: number;             // signed bank attestation</w:t>
        <w:br/>
        <w:t xml:space="preserve">  reconciliationMatch: boolean;</w:t>
        <w:br/>
        <w:t>}</w:t>
      </w:r>
    </w:p>
    <w:p>
      <w:pPr>
        <w:pStyle w:val="Heading3"/>
      </w:pPr>
      <w:r>
        <w:t>§21.6 Purpose</w:t>
      </w:r>
    </w:p>
    <w:p>
      <w:r>
        <w:t>This proof is extremely useful for:</w:t>
      </w:r>
    </w:p>
    <w:p>
      <w:pPr>
        <w:pStyle w:val="ListBullet"/>
        <w:ind w:left="425"/>
      </w:pPr>
      <w:r>
        <w:t>Reserve and rebalancing engine (§35 optimizer)</w:t>
      </w:r>
    </w:p>
    <w:p>
      <w:pPr>
        <w:pStyle w:val="ListBullet"/>
        <w:ind w:left="425"/>
      </w:pPr>
      <w:r>
        <w:t>Regulatory reporting</w:t>
      </w:r>
    </w:p>
    <w:p>
      <w:pPr>
        <w:pStyle w:val="ListBullet"/>
        <w:ind w:left="425"/>
      </w:pPr>
      <w:r>
        <w:t>Independent audit</w:t>
      </w:r>
    </w:p>
    <w:p>
      <w:pPr>
        <w:pStyle w:val="ListBullet"/>
        <w:ind w:left="425"/>
      </w:pPr>
      <w:r>
        <w:t>Proof-of-solvency verification</w:t>
      </w:r>
    </w:p>
    <w:p>
      <w:pPr>
        <w:pStyle w:val="ListBullet"/>
        <w:ind w:left="425"/>
      </w:pPr>
      <w:r>
        <w:t>Systemic risk monitoring</w:t>
      </w:r>
    </w:p>
    <w:p>
      <w:r>
        <w:rPr>
          <w:b/>
        </w:rPr>
        <w:t>Implementation Reference:</w:t>
      </w:r>
      <w:r>
        <w:t xml:space="preserve"> </w:t>
      </w:r>
      <w:r>
        <w:rPr>
          <w:rFonts w:ascii="Consolas" w:hAnsi="Consolas"/>
          <w:color w:val="6B6B6B"/>
          <w:sz w:val="19"/>
        </w:rPr>
        <w:t>src/lib/proof-of-liabilities.ts</w:t>
      </w:r>
      <w:r>
        <w:t xml:space="preserve"> → </w:t>
      </w:r>
      <w:r>
        <w:rPr>
          <w:rFonts w:ascii="Consolas" w:hAnsi="Consolas"/>
          <w:color w:val="6B6B6B"/>
          <w:sz w:val="19"/>
        </w:rPr>
        <w:t>generateProofOfLiabilities()</w:t>
      </w:r>
    </w:p>
    <w:p>
      <w:pPr>
        <w:pBdr>
          <w:bottom w:val="single" w:sz="12" w:space="1" w:color="C59B1E"/>
        </w:pBdr>
      </w:pPr>
    </w:p>
    <w:p>
      <w:pPr>
        <w:pStyle w:val="Heading2"/>
      </w:pPr>
      <w:r>
        <w:t>§22 — THREE-WAY RECONCILIATION</w:t>
      </w:r>
    </w:p>
    <w:p>
      <w:pPr>
        <w:pStyle w:val="Heading3"/>
      </w:pPr>
      <w:r>
        <w:t>§22.1 Architecture</w:t>
      </w:r>
    </w:p>
    <w:p>
      <w:r>
        <w:rPr>
          <w:b/>
        </w:rPr>
        <w:t>DO NOT</w:t>
      </w:r>
      <w:r>
        <w:t xml:space="preserve"> rely only on bank-reported balances. Use three-way reconciliation: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Source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A. Canonical MITHQAL ledger</w:t>
            </w:r>
          </w:p>
        </w:tc>
        <w:tc>
          <w:tcPr>
            <w:tcW w:type="dxa" w:w="4536"/>
            <w:vAlign w:val="center"/>
          </w:tcPr>
          <w:p>
            <w:pPr>
              <w:jc w:val="left"/>
            </w:pPr>
            <w:r/>
            <w:r>
              <w:rPr>
                <w:rFonts w:ascii="Calibri" w:hAnsi="Calibri"/>
                <w:color w:val="2D2D2D"/>
                <w:sz w:val="18"/>
              </w:rPr>
              <w:t>What MTQ actually exists (on-chain)</w:t>
            </w:r>
          </w:p>
        </w:tc>
      </w:tr>
      <w:tr>
        <w:tc>
          <w:tcPr>
            <w:tcW w:type="dxa" w:w="4536"/>
            <w:shd w:fill="F0F0F0"/>
            <w:vAlign w:val="center"/>
          </w:tcPr>
          <w:p>
            <w:pPr>
              <w:jc w:val="left"/>
            </w:pPr>
            <w:r/>
            <w:r>
              <w:rPr>
                <w:rFonts w:ascii="Calibri" w:hAnsi="Calibri"/>
                <w:color w:val="2D2D2D"/>
                <w:sz w:val="18"/>
              </w:rPr>
              <w:t>B. Bank institutional subledger</w:t>
            </w:r>
          </w:p>
        </w:tc>
        <w:tc>
          <w:tcPr>
            <w:tcW w:type="dxa" w:w="4536"/>
            <w:shd w:fill="F0F0F0"/>
            <w:vAlign w:val="center"/>
          </w:tcPr>
          <w:p>
            <w:pPr>
              <w:jc w:val="left"/>
            </w:pPr>
            <w:r/>
            <w:r>
              <w:rPr>
                <w:rFonts w:ascii="Calibri" w:hAnsi="Calibri"/>
                <w:color w:val="2D2D2D"/>
                <w:sz w:val="18"/>
              </w:rPr>
              <w:t>What the bank attributes to its corporate customers</w:t>
            </w:r>
          </w:p>
        </w:tc>
      </w:tr>
      <w:tr>
        <w:tc>
          <w:tcPr>
            <w:tcW w:type="dxa" w:w="4536"/>
            <w:vAlign w:val="center"/>
          </w:tcPr>
          <w:p>
            <w:pPr>
              <w:jc w:val="left"/>
            </w:pPr>
            <w:r/>
            <w:r>
              <w:rPr>
                <w:rFonts w:ascii="Calibri" w:hAnsi="Calibri"/>
                <w:color w:val="2D2D2D"/>
                <w:sz w:val="18"/>
              </w:rPr>
              <w:t>C. Cryptographically signed bank attestation</w:t>
            </w:r>
          </w:p>
        </w:tc>
        <w:tc>
          <w:tcPr>
            <w:tcW w:type="dxa" w:w="4536"/>
            <w:vAlign w:val="center"/>
          </w:tcPr>
          <w:p>
            <w:pPr>
              <w:jc w:val="left"/>
            </w:pPr>
            <w:r/>
            <w:r>
              <w:rPr>
                <w:rFonts w:ascii="Calibri" w:hAnsi="Calibri"/>
                <w:color w:val="2D2D2D"/>
                <w:sz w:val="18"/>
              </w:rPr>
              <w:t>What the bank certifies</w:t>
            </w:r>
          </w:p>
        </w:tc>
      </w:tr>
    </w:tbl>
    <w:p/>
    <w:p>
      <w:pPr>
        <w:pStyle w:val="Heading3"/>
      </w:pPr>
      <w:r>
        <w:t>§22.2 Reconciliation Rule</w:t>
      </w:r>
    </w:p>
    <w:p>
      <w:pPr>
        <w:ind w:left="283"/>
        <w:shd w:fill="F5F5F5"/>
      </w:pPr>
      <w:r>
        <w:rPr>
          <w:rFonts w:ascii="Consolas" w:hAnsi="Consolas"/>
          <w:color w:val="6B6B6B"/>
          <w:sz w:val="18"/>
        </w:rPr>
        <w:t>Reconcile: MITHQAL ledger = bank institutional position = bank attestation</w:t>
        <w:br/>
        <w:br/>
        <w:t>IF mismatch:</w:t>
        <w:br/>
        <w:t xml:space="preserve">  → reconciliation failure</w:t>
        <w:br/>
        <w:t xml:space="preserve">  → escalation</w:t>
        <w:br/>
        <w:t xml:space="preserve">  → restrictions where appropriate</w:t>
      </w:r>
    </w:p>
    <w:p>
      <w:pPr>
        <w:pStyle w:val="Heading3"/>
      </w:pPr>
      <w:r>
        <w:t>§22.3 Reconciliation Result Schema</w:t>
      </w:r>
    </w:p>
    <w:p>
      <w:pPr>
        <w:ind w:left="283"/>
        <w:shd w:fill="F5F5F5"/>
      </w:pPr>
      <w:r>
        <w:rPr>
          <w:rFonts w:ascii="Consolas" w:hAnsi="Consolas"/>
          <w:color w:val="6B6B6B"/>
          <w:sz w:val="18"/>
        </w:rPr>
        <w:t>interface ReconciliationResult {</w:t>
        <w:br/>
        <w:t xml:space="preserve">  timestamp: string;</w:t>
        <w:br/>
        <w:t xml:space="preserve">  canonicalLedgerBalance: number;    // A</w:t>
        <w:br/>
        <w:t xml:space="preserve">  bankSubledgerBalance: number;      // B</w:t>
        <w:br/>
        <w:t xml:space="preserve">  bankAttestationBalance: number;    // C</w:t>
        <w:br/>
        <w:t xml:space="preserve">  threeWayMatch: boolean;</w:t>
        <w:br/>
        <w:t xml:space="preserve">  discrepancies: string[];</w:t>
        <w:br/>
        <w:t xml:space="preserve">  action: "RECONCILED" | "MISMATCH" | "ESCALATION_REQUIRED";</w:t>
        <w:br/>
        <w:t>}</w:t>
      </w:r>
    </w:p>
    <w:p>
      <w:pPr>
        <w:pStyle w:val="Heading3"/>
      </w:pPr>
      <w:r>
        <w:t>§22.4 Action Logic</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Condition</w:t>
            </w:r>
          </w:p>
        </w:tc>
        <w:tc>
          <w:tcPr>
            <w:tcW w:type="dxa" w:w="4536"/>
            <w:shd w:fill="1A365F"/>
            <w:vAlign w:val="center"/>
          </w:tcPr>
          <w:p>
            <w:pPr>
              <w:jc w:val="left"/>
            </w:pPr>
            <w:r/>
            <w:r>
              <w:rPr>
                <w:rFonts w:ascii="Calibri" w:hAnsi="Calibri"/>
                <w:b/>
                <w:color w:val="FFFFFF"/>
                <w:sz w:val="18"/>
              </w:rPr>
              <w:t>Action</w:t>
            </w:r>
          </w:p>
        </w:tc>
      </w:tr>
      <w:tr>
        <w:tc>
          <w:tcPr>
            <w:tcW w:type="dxa" w:w="4536"/>
            <w:vAlign w:val="center"/>
          </w:tcPr>
          <w:p>
            <w:pPr>
              <w:jc w:val="left"/>
            </w:pPr>
            <w:r/>
            <w:r>
              <w:rPr>
                <w:rFonts w:ascii="Calibri" w:hAnsi="Calibri"/>
                <w:color w:val="2D2D2D"/>
                <w:sz w:val="18"/>
              </w:rPr>
              <w:t>A = B = C</w:t>
            </w:r>
          </w:p>
        </w:tc>
        <w:tc>
          <w:tcPr>
            <w:tcW w:type="dxa" w:w="4536"/>
            <w:vAlign w:val="center"/>
          </w:tcPr>
          <w:p>
            <w:pPr>
              <w:jc w:val="left"/>
            </w:pPr>
            <w:r/>
            <w:r>
              <w:rPr>
                <w:rFonts w:ascii="Calibri" w:hAnsi="Calibri"/>
                <w:color w:val="2D2D2D"/>
                <w:sz w:val="18"/>
              </w:rPr>
              <w:t>RECONCILED ✅</w:t>
            </w:r>
          </w:p>
        </w:tc>
      </w:tr>
      <w:tr>
        <w:tc>
          <w:tcPr>
            <w:tcW w:type="dxa" w:w="4536"/>
            <w:shd w:fill="F0F0F0"/>
            <w:vAlign w:val="center"/>
          </w:tcPr>
          <w:p>
            <w:pPr>
              <w:jc w:val="left"/>
            </w:pPr>
            <w:r/>
            <w:r>
              <w:rPr>
                <w:rFonts w:ascii="Calibri" w:hAnsi="Calibri"/>
                <w:color w:val="2D2D2D"/>
                <w:sz w:val="18"/>
              </w:rPr>
              <w:t>1 mismatch</w:t>
            </w:r>
          </w:p>
        </w:tc>
        <w:tc>
          <w:tcPr>
            <w:tcW w:type="dxa" w:w="4536"/>
            <w:shd w:fill="F0F0F0"/>
            <w:vAlign w:val="center"/>
          </w:tcPr>
          <w:p>
            <w:pPr>
              <w:jc w:val="left"/>
            </w:pPr>
            <w:r/>
            <w:r>
              <w:rPr>
                <w:rFonts w:ascii="Calibri" w:hAnsi="Calibri"/>
                <w:color w:val="2D2D2D"/>
                <w:sz w:val="18"/>
              </w:rPr>
              <w:t>MISMATCH ⚠️ (investigate)</w:t>
            </w:r>
          </w:p>
        </w:tc>
      </w:tr>
      <w:tr>
        <w:tc>
          <w:tcPr>
            <w:tcW w:type="dxa" w:w="4536"/>
            <w:vAlign w:val="center"/>
          </w:tcPr>
          <w:p>
            <w:pPr>
              <w:jc w:val="left"/>
            </w:pPr>
            <w:r/>
            <w:r>
              <w:rPr>
                <w:rFonts w:ascii="Calibri" w:hAnsi="Calibri"/>
                <w:color w:val="2D2D2D"/>
                <w:sz w:val="18"/>
              </w:rPr>
              <w:t>2+ mismatches</w:t>
            </w:r>
          </w:p>
        </w:tc>
        <w:tc>
          <w:tcPr>
            <w:tcW w:type="dxa" w:w="4536"/>
            <w:vAlign w:val="center"/>
          </w:tcPr>
          <w:p>
            <w:pPr>
              <w:jc w:val="left"/>
            </w:pPr>
            <w:r/>
            <w:r>
              <w:rPr>
                <w:rFonts w:ascii="Calibri" w:hAnsi="Calibri"/>
                <w:color w:val="2D2D2D"/>
                <w:sz w:val="18"/>
              </w:rPr>
              <w:t>ESCALATION_REQUIRED 🚨 (restrict)</w:t>
            </w:r>
          </w:p>
        </w:tc>
      </w:tr>
    </w:tbl>
    <w:p/>
    <w:p>
      <w:pPr>
        <w:pStyle w:val="Heading3"/>
      </w:pPr>
      <w:r>
        <w:t>§22.5 Why Three-Way?</w:t>
      </w:r>
    </w:p>
    <w:p>
      <w:r>
        <w:t xml:space="preserve">This is </w:t>
      </w:r>
      <w:r>
        <w:rPr>
          <w:b/>
        </w:rPr>
        <w:t>much stronger</w:t>
      </w:r>
      <w:r>
        <w:t xml:space="preserve"> than trusting bank reports alone. If:</w:t>
      </w:r>
    </w:p>
    <w:p>
      <w:pPr>
        <w:pStyle w:val="ListBullet"/>
        <w:ind w:left="425"/>
      </w:pPr>
      <w:r>
        <w:t>Bank subledger ≠ attestation → bank internal error</w:t>
      </w:r>
    </w:p>
    <w:p>
      <w:pPr>
        <w:pStyle w:val="ListBullet"/>
        <w:ind w:left="425"/>
      </w:pPr>
      <w:r>
        <w:t>Canonical ledger ≠ bank subledger → settlement discrepancy</w:t>
      </w:r>
    </w:p>
    <w:p>
      <w:pPr>
        <w:pStyle w:val="ListBullet"/>
        <w:ind w:left="425"/>
      </w:pPr>
      <w:r>
        <w:t>Canonical ledger ≠ attestation → attestation failure</w:t>
      </w:r>
    </w:p>
    <w:p>
      <w:r>
        <w:t>Each mismatch type triggers a different investigation path.</w:t>
      </w:r>
    </w:p>
    <w:p>
      <w:r>
        <w:rPr>
          <w:b/>
        </w:rPr>
        <w:t>Implementation Reference:</w:t>
      </w:r>
      <w:r>
        <w:t xml:space="preserve"> </w:t>
      </w:r>
      <w:r>
        <w:rPr>
          <w:rFonts w:ascii="Consolas" w:hAnsi="Consolas"/>
          <w:color w:val="6B6B6B"/>
          <w:sz w:val="19"/>
        </w:rPr>
        <w:t>src/lib/corporate-settlement-account.ts</w:t>
      </w:r>
      <w:r>
        <w:t xml:space="preserve"> → </w:t>
      </w:r>
      <w:r>
        <w:rPr>
          <w:rFonts w:ascii="Consolas" w:hAnsi="Consolas"/>
          <w:color w:val="6B6B6B"/>
          <w:sz w:val="19"/>
        </w:rPr>
        <w:t>reconcileThreeWay()</w:t>
      </w:r>
    </w:p>
    <w:p>
      <w:pPr>
        <w:pBdr>
          <w:bottom w:val="single" w:sz="12" w:space="1" w:color="C59B1E"/>
        </w:pBdr>
      </w:pPr>
    </w:p>
    <w:p>
      <w:pPr>
        <w:pStyle w:val="Heading2"/>
      </w:pPr>
      <w:r>
        <w:t>§23 — SETTLEMENT PERMISSION ENGINE (12-Check Gate)</w:t>
      </w:r>
    </w:p>
    <w:p>
      <w:pPr>
        <w:pStyle w:val="Heading3"/>
      </w:pPr>
      <w:r>
        <w:t>§23.1 Architecture</w:t>
      </w:r>
    </w:p>
    <w:p>
      <w:r>
        <w:t xml:space="preserve">Every transaction must pass </w:t>
      </w:r>
      <w:r>
        <w:rPr>
          <w:b/>
        </w:rPr>
        <w:t>ALL 12 checks</w:t>
      </w:r>
      <w:r>
        <w:t xml:space="preserve">. Any failure = </w:t>
      </w:r>
      <w:r>
        <w:rPr>
          <w:b/>
        </w:rPr>
        <w:t>BLOCK</w:t>
      </w:r>
      <w:r>
        <w:t>. No partial settlement.</w:t>
      </w:r>
    </w:p>
    <w:p>
      <w:pPr>
        <w:pStyle w:val="Heading3"/>
      </w:pPr>
      <w:r>
        <w:t>§23.2 The 12 Checks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Check</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Institution A authorized</w:t>
            </w:r>
          </w:p>
        </w:tc>
        <w:tc>
          <w:tcPr>
            <w:tcW w:type="dxa" w:w="3024"/>
            <w:vAlign w:val="center"/>
          </w:tcPr>
          <w:p>
            <w:pPr>
              <w:jc w:val="left"/>
            </w:pPr>
            <w:r/>
            <w:r>
              <w:rPr>
                <w:rFonts w:ascii="Calibri" w:hAnsi="Calibri"/>
                <w:color w:val="2D2D2D"/>
                <w:sz w:val="18"/>
              </w:rPr>
              <w:t>Sender institution is ACTIVE, CLEAR, valid</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Institution B authorized</w:t>
            </w:r>
          </w:p>
        </w:tc>
        <w:tc>
          <w:tcPr>
            <w:tcW w:type="dxa" w:w="3024"/>
            <w:shd w:fill="F0F0F0"/>
            <w:vAlign w:val="center"/>
          </w:tcPr>
          <w:p>
            <w:pPr>
              <w:jc w:val="left"/>
            </w:pPr>
            <w:r/>
            <w:r>
              <w:rPr>
                <w:rFonts w:ascii="Calibri" w:hAnsi="Calibri"/>
                <w:color w:val="2D2D2D"/>
                <w:sz w:val="18"/>
              </w:rPr>
              <w:t>Receiver institution is ACTIVE, CLEAR, valid</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Corridor allowed</w:t>
            </w:r>
          </w:p>
        </w:tc>
        <w:tc>
          <w:tcPr>
            <w:tcW w:type="dxa" w:w="3024"/>
            <w:vAlign w:val="center"/>
          </w:tcPr>
          <w:p>
            <w:pPr>
              <w:jc w:val="left"/>
            </w:pPr>
            <w:r/>
            <w:r>
              <w:rPr>
                <w:rFonts w:ascii="Calibri" w:hAnsi="Calibri"/>
                <w:color w:val="2D2D2D"/>
                <w:sz w:val="18"/>
              </w:rPr>
              <w:t>Both institutions permitted for this corridor</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Jurisdiction allowed</w:t>
            </w:r>
          </w:p>
        </w:tc>
        <w:tc>
          <w:tcPr>
            <w:tcW w:type="dxa" w:w="3024"/>
            <w:shd w:fill="F0F0F0"/>
            <w:vAlign w:val="center"/>
          </w:tcPr>
          <w:p>
            <w:pPr>
              <w:jc w:val="left"/>
            </w:pPr>
            <w:r/>
            <w:r>
              <w:rPr>
                <w:rFonts w:ascii="Calibri" w:hAnsi="Calibri"/>
                <w:color w:val="2D2D2D"/>
                <w:sz w:val="18"/>
              </w:rPr>
              <w:t>Neither jurisdiction geo-fenced</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Currency pair allowed</w:t>
            </w:r>
          </w:p>
        </w:tc>
        <w:tc>
          <w:tcPr>
            <w:tcW w:type="dxa" w:w="3024"/>
            <w:vAlign w:val="center"/>
          </w:tcPr>
          <w:p>
            <w:pPr>
              <w:jc w:val="left"/>
            </w:pPr>
            <w:r/>
            <w:r>
              <w:rPr>
                <w:rFonts w:ascii="Calibri" w:hAnsi="Calibri"/>
                <w:color w:val="2D2D2D"/>
                <w:sz w:val="18"/>
              </w:rPr>
              <w:t>Both institutions permitted for this currency</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Customer authorization attested</w:t>
            </w:r>
          </w:p>
        </w:tc>
        <w:tc>
          <w:tcPr>
            <w:tcW w:type="dxa" w:w="3024"/>
            <w:shd w:fill="F0F0F0"/>
            <w:vAlign w:val="center"/>
          </w:tcPr>
          <w:p>
            <w:pPr>
              <w:jc w:val="left"/>
            </w:pPr>
            <w:r/>
            <w:r>
              <w:rPr>
                <w:rFonts w:ascii="Calibri" w:hAnsi="Calibri"/>
                <w:color w:val="2D2D2D"/>
                <w:sz w:val="18"/>
              </w:rPr>
              <w:t>Bank cryptographically attests customer authorization</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AML/KYC status valid</w:t>
            </w:r>
          </w:p>
        </w:tc>
        <w:tc>
          <w:tcPr>
            <w:tcW w:type="dxa" w:w="3024"/>
            <w:vAlign w:val="center"/>
          </w:tcPr>
          <w:p>
            <w:pPr>
              <w:jc w:val="left"/>
            </w:pPr>
            <w:r/>
            <w:r>
              <w:rPr>
                <w:rFonts w:ascii="Calibri" w:hAnsi="Calibri"/>
                <w:color w:val="2D2D2D"/>
                <w:sz w:val="18"/>
              </w:rPr>
              <w:t>Bank KYC/AML status: VALID (institutional attestation)</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Sanctions clear</w:t>
            </w:r>
          </w:p>
        </w:tc>
        <w:tc>
          <w:tcPr>
            <w:tcW w:type="dxa" w:w="3024"/>
            <w:shd w:fill="F0F0F0"/>
            <w:vAlign w:val="center"/>
          </w:tcPr>
          <w:p>
            <w:pPr>
              <w:jc w:val="left"/>
            </w:pPr>
            <w:r/>
            <w:r>
              <w:rPr>
                <w:rFonts w:ascii="Calibri" w:hAnsi="Calibri"/>
                <w:color w:val="2D2D2D"/>
                <w:sz w:val="18"/>
              </w:rPr>
              <w:t>Both institutions sanctions = CLEAR</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Transaction within limit</w:t>
            </w:r>
          </w:p>
        </w:tc>
        <w:tc>
          <w:tcPr>
            <w:tcW w:type="dxa" w:w="3024"/>
            <w:vAlign w:val="center"/>
          </w:tcPr>
          <w:p>
            <w:pPr>
              <w:jc w:val="left"/>
            </w:pPr>
            <w:r/>
            <w:r>
              <w:rPr>
                <w:rFonts w:ascii="Calibri" w:hAnsi="Calibri"/>
                <w:color w:val="2D2D2D"/>
                <w:sz w:val="18"/>
              </w:rPr>
              <w:t>Amount ≤ maxTransactionSize for both</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Reserve/liquidity state allows</w:t>
            </w:r>
          </w:p>
        </w:tc>
        <w:tc>
          <w:tcPr>
            <w:tcW w:type="dxa" w:w="3024"/>
            <w:shd w:fill="F0F0F0"/>
            <w:vAlign w:val="center"/>
          </w:tcPr>
          <w:p>
            <w:pPr>
              <w:jc w:val="left"/>
            </w:pPr>
            <w:r/>
            <w:r>
              <w:rPr>
                <w:rFonts w:ascii="Calibri" w:hAnsi="Calibri"/>
                <w:color w:val="2D2D2D"/>
                <w:sz w:val="18"/>
              </w:rPr>
              <w:t>RR ≥ 100% (constitutional floor)</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Network healthy</w:t>
            </w:r>
          </w:p>
        </w:tc>
        <w:tc>
          <w:tcPr>
            <w:tcW w:type="dxa" w:w="3024"/>
            <w:vAlign w:val="center"/>
          </w:tcPr>
          <w:p>
            <w:pPr>
              <w:jc w:val="left"/>
            </w:pPr>
            <w:r/>
            <w:r>
              <w:rPr>
                <w:rFonts w:ascii="Calibri" w:hAnsi="Calibri"/>
                <w:color w:val="2D2D2D"/>
                <w:sz w:val="18"/>
              </w:rPr>
              <w:t>Network operational (not degraded)</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Policy version valid</w:t>
            </w:r>
          </w:p>
        </w:tc>
        <w:tc>
          <w:tcPr>
            <w:tcW w:type="dxa" w:w="3024"/>
            <w:shd w:fill="F0F0F0"/>
            <w:vAlign w:val="center"/>
          </w:tcPr>
          <w:p>
            <w:pPr>
              <w:jc w:val="left"/>
            </w:pPr>
            <w:r/>
            <w:r>
              <w:rPr>
                <w:rFonts w:ascii="Calibri" w:hAnsi="Calibri"/>
                <w:color w:val="2D2D2D"/>
                <w:sz w:val="18"/>
              </w:rPr>
              <w:t>Current policy version active</w:t>
            </w:r>
          </w:p>
        </w:tc>
      </w:tr>
    </w:tbl>
    <w:p/>
    <w:p>
      <w:pPr>
        <w:pStyle w:val="Heading3"/>
      </w:pPr>
      <w:r>
        <w:t>§23.3 Check Result Schema</w:t>
      </w:r>
    </w:p>
    <w:p>
      <w:pPr>
        <w:ind w:left="283"/>
        <w:shd w:fill="F5F5F5"/>
      </w:pPr>
      <w:r>
        <w:rPr>
          <w:rFonts w:ascii="Consolas" w:hAnsi="Consolas"/>
          <w:color w:val="6B6B6B"/>
          <w:sz w:val="18"/>
        </w:rPr>
        <w:t>interface PermissionCheckResult {</w:t>
        <w:br/>
        <w:t xml:space="preserve">  checkName: string;</w:t>
        <w:br/>
        <w:t xml:space="preserve">  passed: boolean;</w:t>
        <w:br/>
        <w:t xml:space="preserve">  detail: string;</w:t>
        <w:br/>
        <w:t>}</w:t>
        <w:br/>
        <w:br/>
        <w:t>interface SettlementPermissionCheck {</w:t>
        <w:br/>
        <w:t xml:space="preserve">  checkId: string;</w:t>
        <w:br/>
        <w:t xml:space="preserve">  institutionA: string;</w:t>
        <w:br/>
        <w:t xml:space="preserve">  institutionB: string;</w:t>
        <w:br/>
        <w:t xml:space="preserve">  corridor: string;</w:t>
        <w:br/>
        <w:t xml:space="preserve">  currency: string;</w:t>
        <w:br/>
        <w:t xml:space="preserve">  amount: number;</w:t>
        <w:br/>
        <w:t xml:space="preserve">  checks: PermissionCheckResult[];</w:t>
        <w:br/>
        <w:t xml:space="preserve">  overallAuthorized: boolean;</w:t>
        <w:br/>
        <w:t xml:space="preserve">  reason: string;</w:t>
        <w:br/>
        <w:t>}</w:t>
      </w:r>
    </w:p>
    <w:p>
      <w:pPr>
        <w:pStyle w:val="Heading3"/>
      </w:pPr>
      <w:r>
        <w:t>§23.4 Authorization Logic</w:t>
      </w:r>
    </w:p>
    <w:p>
      <w:pPr>
        <w:ind w:left="283"/>
        <w:shd w:fill="F5F5F5"/>
      </w:pPr>
      <w:r>
        <w:rPr>
          <w:rFonts w:ascii="Consolas" w:hAnsi="Consolas"/>
          <w:color w:val="6B6B6B"/>
          <w:sz w:val="18"/>
        </w:rPr>
        <w:t>failedChecks = checks.filter(c =&gt; !c.passed)</w:t>
        <w:br/>
        <w:t>overallAuthorized = (failedChecks.length === 0)</w:t>
        <w:br/>
        <w:br/>
        <w:t>IF overallAuthorized:</w:t>
        <w:br/>
        <w:t xml:space="preserve">  reason = "All 12 checks passed — settlement authorized"</w:t>
        <w:br/>
        <w:t>ELSE:</w:t>
        <w:br/>
        <w:t xml:space="preserve">  reason = `${failedChecks.length} check(s) failed: ${failedChecks.map(c =&gt; c.checkName).join("; ")}`</w:t>
      </w:r>
    </w:p>
    <w:p>
      <w:pPr>
        <w:pStyle w:val="Heading3"/>
      </w:pPr>
      <w:r>
        <w:t>§23.5 No Partial Settlement</w:t>
      </w:r>
    </w:p>
    <w:p>
      <w:r>
        <w:t xml:space="preserve">If any check fails, the </w:t>
      </w:r>
      <w:r>
        <w:rPr>
          <w:b/>
        </w:rPr>
        <w:t>entire</w:t>
      </w:r>
      <w:r>
        <w:t xml:space="preserve"> transaction is blocked. There is no "partial" authorization. This ensures:</w:t>
      </w:r>
    </w:p>
    <w:p>
      <w:pPr>
        <w:pStyle w:val="ListBullet"/>
        <w:ind w:left="425"/>
      </w:pPr>
      <w:r>
        <w:t>Compliance integrity</w:t>
      </w:r>
    </w:p>
    <w:p>
      <w:pPr>
        <w:pStyle w:val="ListBullet"/>
        <w:ind w:left="425"/>
      </w:pPr>
      <w:r>
        <w:t>No workaround for failed checks</w:t>
      </w:r>
    </w:p>
    <w:p>
      <w:pPr>
        <w:pStyle w:val="ListBullet"/>
        <w:ind w:left="425"/>
      </w:pPr>
      <w:r>
        <w:t>Clear audit trail</w:t>
      </w:r>
    </w:p>
    <w:p>
      <w:r>
        <w:rPr>
          <w:b/>
        </w:rPr>
        <w:t>Implementation Reference:</w:t>
      </w:r>
      <w:r>
        <w:t xml:space="preserve"> </w:t>
      </w:r>
      <w:r>
        <w:rPr>
          <w:rFonts w:ascii="Consolas" w:hAnsi="Consolas"/>
          <w:color w:val="6B6B6B"/>
          <w:sz w:val="19"/>
        </w:rPr>
        <w:t>src/lib/proof-of-liabilities.ts</w:t>
      </w:r>
      <w:r>
        <w:t xml:space="preserve"> → </w:t>
      </w:r>
      <w:r>
        <w:rPr>
          <w:rFonts w:ascii="Consolas" w:hAnsi="Consolas"/>
          <w:color w:val="6B6B6B"/>
          <w:sz w:val="19"/>
        </w:rPr>
        <w:t>checkSettlementPermissions()</w:t>
      </w:r>
    </w:p>
    <w:p>
      <w:pPr>
        <w:pBdr>
          <w:bottom w:val="single" w:sz="12" w:space="1" w:color="C59B1E"/>
        </w:pBdr>
      </w:pPr>
    </w:p>
    <w:p>
      <w:pPr>
        <w:pStyle w:val="Heading2"/>
      </w:pPr>
      <w:r>
        <w:t>§24 — PRIVACY ARCHITECTURE (3-Layer)</w:t>
      </w:r>
    </w:p>
    <w:p>
      <w:pPr>
        <w:pStyle w:val="Heading3"/>
      </w:pPr>
      <w:r>
        <w:t>§24.1 Canonical Principle</w:t>
      </w:r>
    </w:p>
    <w:p>
      <w:pPr>
        <w:spacing w:before="120" w:after="120"/>
        <w:ind w:left="567" w:right="567"/>
        <w:pBdr>
          <w:left w:val="single" w:sz="24" w:space="8" w:color="C59B1E"/>
        </w:pBdr>
        <w:shd w:fill="FFFBF0"/>
      </w:pPr>
      <w:r>
        <w:rPr>
          <w:b/>
          <w:i/>
          <w:color w:val="1A365F"/>
          <w:sz w:val="22"/>
        </w:rPr>
        <w:t>**Privacy by default. Traceability by authorization. Disclosure by law.**</w:t>
      </w:r>
    </w:p>
    <w:p>
      <w:pPr>
        <w:pStyle w:val="Heading3"/>
      </w:pPr>
      <w:r>
        <w:t>§24.2 Three Layers</w:t>
      </w:r>
    </w:p>
    <w:p>
      <w:pPr>
        <w:pStyle w:val="Heading4"/>
      </w:pPr>
      <w:r>
        <w:t>Layer 1 — Bank Identity Vault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**Holder**</w:t>
            </w:r>
          </w:p>
        </w:tc>
        <w:tc>
          <w:tcPr>
            <w:tcW w:type="dxa" w:w="4536"/>
            <w:vAlign w:val="center"/>
          </w:tcPr>
          <w:p>
            <w:pPr>
              <w:jc w:val="left"/>
            </w:pPr>
            <w:r/>
            <w:r>
              <w:rPr>
                <w:rFonts w:ascii="Calibri" w:hAnsi="Calibri"/>
                <w:color w:val="2D2D2D"/>
                <w:sz w:val="18"/>
              </w:rPr>
              <w:t>The regulated bank</w:t>
            </w:r>
          </w:p>
        </w:tc>
      </w:tr>
      <w:tr>
        <w:tc>
          <w:tcPr>
            <w:tcW w:type="dxa" w:w="4536"/>
            <w:shd w:fill="F0F0F0"/>
            <w:vAlign w:val="center"/>
          </w:tcPr>
          <w:p>
            <w:pPr>
              <w:jc w:val="left"/>
            </w:pPr>
            <w:r/>
            <w:r>
              <w:rPr>
                <w:rFonts w:ascii="Calibri" w:hAnsi="Calibri"/>
                <w:color w:val="2D2D2D"/>
                <w:sz w:val="18"/>
              </w:rPr>
              <w:t>**Contains**</w:t>
            </w:r>
          </w:p>
        </w:tc>
        <w:tc>
          <w:tcPr>
            <w:tcW w:type="dxa" w:w="4536"/>
            <w:shd w:fill="F0F0F0"/>
            <w:vAlign w:val="center"/>
          </w:tcPr>
          <w:p>
            <w:pPr>
              <w:jc w:val="left"/>
            </w:pPr>
            <w:r/>
            <w:r>
              <w:rPr>
                <w:rFonts w:ascii="Calibri" w:hAnsi="Calibri"/>
                <w:color w:val="2D2D2D"/>
                <w:sz w:val="18"/>
              </w:rPr>
              <w:t>Legal customer identity, UBO, account details, KYC/KYB documentation, risk information, transaction history (customer-level)</w:t>
            </w:r>
          </w:p>
        </w:tc>
      </w:tr>
      <w:tr>
        <w:tc>
          <w:tcPr>
            <w:tcW w:type="dxa" w:w="4536"/>
            <w:vAlign w:val="center"/>
          </w:tcPr>
          <w:p>
            <w:pPr>
              <w:jc w:val="left"/>
            </w:pPr>
            <w:r/>
            <w:r>
              <w:rPr>
                <w:rFonts w:ascii="Calibri" w:hAnsi="Calibri"/>
                <w:color w:val="2D2D2D"/>
                <w:sz w:val="18"/>
              </w:rPr>
              <w:t>**MITHQAL Access**</w:t>
            </w:r>
          </w:p>
        </w:tc>
        <w:tc>
          <w:tcPr>
            <w:tcW w:type="dxa" w:w="4536"/>
            <w:vAlign w:val="center"/>
          </w:tcPr>
          <w:p>
            <w:pPr>
              <w:jc w:val="left"/>
            </w:pPr>
            <w:r/>
            <w:r>
              <w:rPr>
                <w:rFonts w:ascii="Calibri" w:hAnsi="Calibri"/>
                <w:color w:val="2D2D2D"/>
                <w:sz w:val="18"/>
              </w:rPr>
              <w:t>NONE by default — bank retains customer identity</w:t>
            </w:r>
          </w:p>
        </w:tc>
      </w:tr>
    </w:tbl>
    <w:p/>
    <w:p>
      <w:pPr>
        <w:pStyle w:val="Heading4"/>
      </w:pPr>
      <w:r>
        <w:t>Layer 2 — MITHQAL Institutional Settlement Identity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**Holder**</w:t>
            </w:r>
          </w:p>
        </w:tc>
        <w:tc>
          <w:tcPr>
            <w:tcW w:type="dxa" w:w="4536"/>
            <w:vAlign w:val="center"/>
          </w:tcPr>
          <w:p>
            <w:pPr>
              <w:jc w:val="left"/>
            </w:pPr>
            <w:r/>
            <w:r>
              <w:rPr>
                <w:rFonts w:ascii="Calibri" w:hAnsi="Calibri"/>
                <w:color w:val="2D2D2D"/>
                <w:sz w:val="18"/>
              </w:rPr>
              <w:t>MITHQAL</w:t>
            </w:r>
          </w:p>
        </w:tc>
      </w:tr>
      <w:tr>
        <w:tc>
          <w:tcPr>
            <w:tcW w:type="dxa" w:w="4536"/>
            <w:shd w:fill="F0F0F0"/>
            <w:vAlign w:val="center"/>
          </w:tcPr>
          <w:p>
            <w:pPr>
              <w:jc w:val="left"/>
            </w:pPr>
            <w:r/>
            <w:r>
              <w:rPr>
                <w:rFonts w:ascii="Calibri" w:hAnsi="Calibri"/>
                <w:color w:val="2D2D2D"/>
                <w:sz w:val="18"/>
              </w:rPr>
              <w:t>**Contains**</w:t>
            </w:r>
          </w:p>
        </w:tc>
        <w:tc>
          <w:tcPr>
            <w:tcW w:type="dxa" w:w="4536"/>
            <w:shd w:fill="F0F0F0"/>
            <w:vAlign w:val="center"/>
          </w:tcPr>
          <w:p>
            <w:pPr>
              <w:jc w:val="left"/>
            </w:pPr>
            <w:r/>
            <w:r>
              <w:rPr>
                <w:rFonts w:ascii="Calibri" w:hAnsi="Calibri"/>
                <w:color w:val="2D2D2D"/>
                <w:sz w:val="18"/>
              </w:rPr>
              <w:t>Bank ID (institutional), corporate reference (pseudonymous), KYC/AML status (attested), sanctions status, jurisdiction, transaction class, authorization state, relevant limits</w:t>
            </w:r>
          </w:p>
        </w:tc>
      </w:tr>
      <w:tr>
        <w:tc>
          <w:tcPr>
            <w:tcW w:type="dxa" w:w="4536"/>
            <w:vAlign w:val="center"/>
          </w:tcPr>
          <w:p>
            <w:pPr>
              <w:jc w:val="left"/>
            </w:pPr>
            <w:r/>
            <w:r>
              <w:rPr>
                <w:rFonts w:ascii="Calibri" w:hAnsi="Calibri"/>
                <w:color w:val="2D2D2D"/>
                <w:sz w:val="18"/>
              </w:rPr>
              <w:t>**MITHQAL Access**</w:t>
            </w:r>
          </w:p>
        </w:tc>
        <w:tc>
          <w:tcPr>
            <w:tcW w:type="dxa" w:w="4536"/>
            <w:vAlign w:val="center"/>
          </w:tcPr>
          <w:p>
            <w:pPr>
              <w:jc w:val="left"/>
            </w:pPr>
            <w:r/>
            <w:r>
              <w:rPr>
                <w:rFonts w:ascii="Calibri" w:hAnsi="Calibri"/>
                <w:color w:val="2D2D2D"/>
                <w:sz w:val="18"/>
              </w:rPr>
              <w:t>FULL — institutional settlement data</w:t>
            </w:r>
          </w:p>
        </w:tc>
      </w:tr>
    </w:tbl>
    <w:p/>
    <w:p>
      <w:pPr>
        <w:pStyle w:val="Heading4"/>
      </w:pPr>
      <w:r>
        <w:t>Layer 3 — Authorized Disclosure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**Holder**</w:t>
            </w:r>
          </w:p>
        </w:tc>
        <w:tc>
          <w:tcPr>
            <w:tcW w:type="dxa" w:w="4536"/>
            <w:vAlign w:val="center"/>
          </w:tcPr>
          <w:p>
            <w:pPr>
              <w:jc w:val="left"/>
            </w:pPr>
            <w:r/>
            <w:r>
              <w:rPr>
                <w:rFonts w:ascii="Calibri" w:hAnsi="Calibri"/>
                <w:color w:val="2D2D2D"/>
                <w:sz w:val="18"/>
              </w:rPr>
              <w:t>Regulator / Central Bank (with legal authority)</w:t>
            </w:r>
          </w:p>
        </w:tc>
      </w:tr>
      <w:tr>
        <w:tc>
          <w:tcPr>
            <w:tcW w:type="dxa" w:w="4536"/>
            <w:shd w:fill="F0F0F0"/>
            <w:vAlign w:val="center"/>
          </w:tcPr>
          <w:p>
            <w:pPr>
              <w:jc w:val="left"/>
            </w:pPr>
            <w:r/>
            <w:r>
              <w:rPr>
                <w:rFonts w:ascii="Calibri" w:hAnsi="Calibri"/>
                <w:color w:val="2D2D2D"/>
                <w:sz w:val="18"/>
              </w:rPr>
              <w:t>**Contains**</w:t>
            </w:r>
          </w:p>
        </w:tc>
        <w:tc>
          <w:tcPr>
            <w:tcW w:type="dxa" w:w="4536"/>
            <w:shd w:fill="F0F0F0"/>
            <w:vAlign w:val="center"/>
          </w:tcPr>
          <w:p>
            <w:pPr>
              <w:jc w:val="left"/>
            </w:pPr>
            <w:r/>
            <w:r>
              <w:rPr>
                <w:rFonts w:ascii="Calibri" w:hAnsi="Calibri"/>
                <w:color w:val="2D2D2D"/>
                <w:sz w:val="18"/>
              </w:rPr>
              <w:t>Underlying customer identity (where law permits), full transaction details, account-level data</w:t>
            </w:r>
          </w:p>
        </w:tc>
      </w:tr>
      <w:tr>
        <w:tc>
          <w:tcPr>
            <w:tcW w:type="dxa" w:w="4536"/>
            <w:vAlign w:val="center"/>
          </w:tcPr>
          <w:p>
            <w:pPr>
              <w:jc w:val="left"/>
            </w:pPr>
            <w:r/>
            <w:r>
              <w:rPr>
                <w:rFonts w:ascii="Calibri" w:hAnsi="Calibri"/>
                <w:color w:val="2D2D2D"/>
                <w:sz w:val="18"/>
              </w:rPr>
              <w:t>**MITHQAL Access**</w:t>
            </w:r>
          </w:p>
        </w:tc>
        <w:tc>
          <w:tcPr>
            <w:tcW w:type="dxa" w:w="4536"/>
            <w:vAlign w:val="center"/>
          </w:tcPr>
          <w:p>
            <w:pPr>
              <w:jc w:val="left"/>
            </w:pPr>
            <w:r/>
            <w:r>
              <w:rPr>
                <w:rFonts w:ascii="Calibri" w:hAnsi="Calibri"/>
                <w:color w:val="2D2D2D"/>
                <w:sz w:val="18"/>
              </w:rPr>
              <w:t>DISCLOSURE BY LAW — only where local law requires or permits</w:t>
            </w:r>
          </w:p>
        </w:tc>
      </w:tr>
      <w:tr>
        <w:tc>
          <w:tcPr>
            <w:tcW w:type="dxa" w:w="4536"/>
            <w:shd w:fill="F0F0F0"/>
            <w:vAlign w:val="center"/>
          </w:tcPr>
          <w:p>
            <w:pPr>
              <w:jc w:val="left"/>
            </w:pPr>
            <w:r/>
            <w:r>
              <w:rPr>
                <w:rFonts w:ascii="Calibri" w:hAnsi="Calibri"/>
                <w:color w:val="2D2D2D"/>
                <w:sz w:val="18"/>
              </w:rPr>
              <w:t>**Flow**</w:t>
            </w:r>
          </w:p>
        </w:tc>
        <w:tc>
          <w:tcPr>
            <w:tcW w:type="dxa" w:w="4536"/>
            <w:shd w:fill="F0F0F0"/>
            <w:vAlign w:val="center"/>
          </w:tcPr>
          <w:p>
            <w:pPr>
              <w:jc w:val="left"/>
            </w:pPr>
            <w:r/>
            <w:r>
              <w:rPr>
                <w:rFonts w:ascii="Calibri" w:hAnsi="Calibri"/>
                <w:color w:val="2D2D2D"/>
                <w:sz w:val="18"/>
              </w:rPr>
              <w:t>regulator → authorized mechanism → bank → underlying customer data, or direct MITHQAL disclosure where local law requires</w:t>
            </w:r>
          </w:p>
        </w:tc>
      </w:tr>
    </w:tbl>
    <w:p/>
    <w:p>
      <w:pPr>
        <w:pStyle w:val="Heading3"/>
      </w:pPr>
      <w:r>
        <w:t>§24.3 What MITHQAL Sees vs Doesn't See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Data</w:t>
            </w:r>
          </w:p>
        </w:tc>
        <w:tc>
          <w:tcPr>
            <w:tcW w:type="dxa" w:w="3024"/>
            <w:shd w:fill="1A365F"/>
            <w:vAlign w:val="center"/>
          </w:tcPr>
          <w:p>
            <w:pPr>
              <w:jc w:val="left"/>
            </w:pPr>
            <w:r/>
            <w:r>
              <w:rPr>
                <w:rFonts w:ascii="Calibri" w:hAnsi="Calibri"/>
                <w:b/>
                <w:color w:val="FFFFFF"/>
                <w:sz w:val="18"/>
              </w:rPr>
              <w:t>MITHQAL Sees</w:t>
            </w:r>
          </w:p>
        </w:tc>
        <w:tc>
          <w:tcPr>
            <w:tcW w:type="dxa" w:w="3024"/>
            <w:shd w:fill="1A365F"/>
            <w:vAlign w:val="center"/>
          </w:tcPr>
          <w:p>
            <w:pPr>
              <w:jc w:val="left"/>
            </w:pPr>
            <w:r/>
            <w:r>
              <w:rPr>
                <w:rFonts w:ascii="Calibri" w:hAnsi="Calibri"/>
                <w:b/>
                <w:color w:val="FFFFFF"/>
                <w:sz w:val="18"/>
              </w:rPr>
              <w:t>Bank Retains</w:t>
            </w:r>
          </w:p>
        </w:tc>
      </w:tr>
      <w:tr>
        <w:tc>
          <w:tcPr>
            <w:tcW w:type="dxa" w:w="3024"/>
            <w:vAlign w:val="center"/>
          </w:tcPr>
          <w:p>
            <w:pPr>
              <w:jc w:val="left"/>
            </w:pPr>
            <w:r/>
            <w:r>
              <w:rPr>
                <w:rFonts w:ascii="Calibri" w:hAnsi="Calibri"/>
                <w:color w:val="2D2D2D"/>
                <w:sz w:val="18"/>
              </w:rPr>
              <w:t>Bank ID</w:t>
            </w:r>
          </w:p>
        </w:tc>
        <w:tc>
          <w:tcPr>
            <w:tcW w:type="dxa" w:w="3024"/>
            <w:vAlign w:val="center"/>
          </w:tcPr>
          <w:p>
            <w:pPr>
              <w:jc w:val="left"/>
            </w:pPr>
            <w:r/>
            <w:r>
              <w:rPr>
                <w:rFonts w:ascii="Calibri" w:hAnsi="Calibri"/>
                <w:color w:val="2D2D2D"/>
                <w:sz w:val="18"/>
              </w:rPr>
              <w: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Corporate reference (pseudonymous)</w:t>
            </w:r>
          </w:p>
        </w:tc>
        <w:tc>
          <w:tcPr>
            <w:tcW w:type="dxa" w:w="3024"/>
            <w:shd w:fill="F0F0F0"/>
            <w:vAlign w:val="center"/>
          </w:tcPr>
          <w:p>
            <w:pPr>
              <w:jc w:val="left"/>
            </w:pPr>
            <w:r/>
            <w:r>
              <w:rPr>
                <w:rFonts w:ascii="Calibri" w:hAnsi="Calibri"/>
                <w:color w:val="2D2D2D"/>
                <w:sz w:val="18"/>
              </w:rPr>
              <w:t>✅</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KYC/AML status (attested)</w:t>
            </w:r>
          </w:p>
        </w:tc>
        <w:tc>
          <w:tcPr>
            <w:tcW w:type="dxa" w:w="3024"/>
            <w:vAlign w:val="center"/>
          </w:tcPr>
          <w:p>
            <w:pPr>
              <w:jc w:val="left"/>
            </w:pPr>
            <w:r/>
            <w:r>
              <w:rPr>
                <w:rFonts w:ascii="Calibri" w:hAnsi="Calibri"/>
                <w:color w:val="2D2D2D"/>
                <w:sz w:val="18"/>
              </w:rPr>
              <w: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Sanctions status</w:t>
            </w:r>
          </w:p>
        </w:tc>
        <w:tc>
          <w:tcPr>
            <w:tcW w:type="dxa" w:w="3024"/>
            <w:shd w:fill="F0F0F0"/>
            <w:vAlign w:val="center"/>
          </w:tcPr>
          <w:p>
            <w:pPr>
              <w:jc w:val="left"/>
            </w:pPr>
            <w:r/>
            <w:r>
              <w:rPr>
                <w:rFonts w:ascii="Calibri" w:hAnsi="Calibri"/>
                <w:color w:val="2D2D2D"/>
                <w:sz w:val="18"/>
              </w:rPr>
              <w:t>✅</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Jurisdiction</w:t>
            </w:r>
          </w:p>
        </w:tc>
        <w:tc>
          <w:tcPr>
            <w:tcW w:type="dxa" w:w="3024"/>
            <w:vAlign w:val="center"/>
          </w:tcPr>
          <w:p>
            <w:pPr>
              <w:jc w:val="left"/>
            </w:pPr>
            <w:r/>
            <w:r>
              <w:rPr>
                <w:rFonts w:ascii="Calibri" w:hAnsi="Calibri"/>
                <w:color w:val="2D2D2D"/>
                <w:sz w:val="18"/>
              </w:rPr>
              <w: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Transaction class</w:t>
            </w:r>
          </w:p>
        </w:tc>
        <w:tc>
          <w:tcPr>
            <w:tcW w:type="dxa" w:w="3024"/>
            <w:shd w:fill="F0F0F0"/>
            <w:vAlign w:val="center"/>
          </w:tcPr>
          <w:p>
            <w:pPr>
              <w:jc w:val="left"/>
            </w:pPr>
            <w:r/>
            <w:r>
              <w:rPr>
                <w:rFonts w:ascii="Calibri" w:hAnsi="Calibri"/>
                <w:color w:val="2D2D2D"/>
                <w:sz w:val="18"/>
              </w:rPr>
              <w:t>✅</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Authorization state</w:t>
            </w:r>
          </w:p>
        </w:tc>
        <w:tc>
          <w:tcPr>
            <w:tcW w:type="dxa" w:w="3024"/>
            <w:vAlign w:val="center"/>
          </w:tcPr>
          <w:p>
            <w:pPr>
              <w:jc w:val="left"/>
            </w:pPr>
            <w:r/>
            <w:r>
              <w:rPr>
                <w:rFonts w:ascii="Calibri" w:hAnsi="Calibri"/>
                <w:color w:val="2D2D2D"/>
                <w:sz w:val="18"/>
              </w:rPr>
              <w: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Legal customer identity</w:t>
            </w:r>
          </w:p>
        </w:tc>
        <w:tc>
          <w:tcPr>
            <w:tcW w:type="dxa" w:w="3024"/>
            <w:shd w:fill="F0F0F0"/>
            <w:vAlign w:val="center"/>
          </w:tcPr>
          <w:p>
            <w:pPr>
              <w:jc w:val="left"/>
            </w:pPr>
            <w:r/>
            <w:r>
              <w:rPr>
                <w:rFonts w:ascii="Calibri" w:hAnsi="Calibri"/>
                <w:color w:val="2D2D2D"/>
                <w:sz w:val="18"/>
              </w:rPr>
              <w:t>❌</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UBO</w:t>
            </w:r>
          </w:p>
        </w:tc>
        <w:tc>
          <w:tcPr>
            <w:tcW w:type="dxa" w:w="3024"/>
            <w:vAlign w:val="center"/>
          </w:tcPr>
          <w:p>
            <w:pPr>
              <w:jc w:val="left"/>
            </w:pPr>
            <w:r/>
            <w:r>
              <w:rPr>
                <w:rFonts w:ascii="Calibri" w:hAnsi="Calibri"/>
                <w:color w:val="2D2D2D"/>
                <w:sz w:val="18"/>
              </w:rPr>
              <w: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Account details</w:t>
            </w:r>
          </w:p>
        </w:tc>
        <w:tc>
          <w:tcPr>
            <w:tcW w:type="dxa" w:w="3024"/>
            <w:shd w:fill="F0F0F0"/>
            <w:vAlign w:val="center"/>
          </w:tcPr>
          <w:p>
            <w:pPr>
              <w:jc w:val="left"/>
            </w:pPr>
            <w:r/>
            <w:r>
              <w:rPr>
                <w:rFonts w:ascii="Calibri" w:hAnsi="Calibri"/>
                <w:color w:val="2D2D2D"/>
                <w:sz w:val="18"/>
              </w:rPr>
              <w:t>❌</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KYC/KYB documentation</w:t>
            </w:r>
          </w:p>
        </w:tc>
        <w:tc>
          <w:tcPr>
            <w:tcW w:type="dxa" w:w="3024"/>
            <w:vAlign w:val="center"/>
          </w:tcPr>
          <w:p>
            <w:pPr>
              <w:jc w:val="left"/>
            </w:pPr>
            <w:r/>
            <w:r>
              <w:rPr>
                <w:rFonts w:ascii="Calibri" w:hAnsi="Calibri"/>
                <w:color w:val="2D2D2D"/>
                <w:sz w:val="18"/>
              </w:rPr>
              <w:t>❌</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Transaction history (customer-level)</w:t>
            </w:r>
          </w:p>
        </w:tc>
        <w:tc>
          <w:tcPr>
            <w:tcW w:type="dxa" w:w="3024"/>
            <w:shd w:fill="F0F0F0"/>
            <w:vAlign w:val="center"/>
          </w:tcPr>
          <w:p>
            <w:pPr>
              <w:jc w:val="left"/>
            </w:pPr>
            <w:r/>
            <w:r>
              <w:rPr>
                <w:rFonts w:ascii="Calibri" w:hAnsi="Calibri"/>
                <w:color w:val="2D2D2D"/>
                <w:sz w:val="18"/>
              </w:rPr>
              <w:t>❌</w:t>
            </w:r>
          </w:p>
        </w:tc>
        <w:tc>
          <w:tcPr>
            <w:tcW w:type="dxa" w:w="3024"/>
            <w:shd w:fill="F0F0F0"/>
            <w:vAlign w:val="center"/>
          </w:tcPr>
          <w:p>
            <w:pPr>
              <w:jc w:val="left"/>
            </w:pPr>
            <w:r/>
            <w:r>
              <w:rPr>
                <w:rFonts w:ascii="Calibri" w:hAnsi="Calibri"/>
                <w:color w:val="2D2D2D"/>
                <w:sz w:val="18"/>
              </w:rPr>
              <w:t>✅</w:t>
            </w:r>
          </w:p>
        </w:tc>
      </w:tr>
    </w:tbl>
    <w:p/>
    <w:p>
      <w:pPr>
        <w:pStyle w:val="Heading3"/>
      </w:pPr>
      <w:r>
        <w:t>§24.4 Not Absolute</w:t>
      </w:r>
    </w:p>
    <w:p>
      <w:r>
        <w:t xml:space="preserve">The architecture is </w:t>
      </w:r>
      <w:r>
        <w:rPr>
          <w:b/>
        </w:rPr>
        <w:t>not</w:t>
      </w:r>
      <w:r>
        <w:t xml:space="preserve"> "MITHQAL knows nothing about the trader." That is too absolute.</w:t>
      </w:r>
    </w:p>
    <w:p>
      <w:r>
        <w:t>The correct architecture is:</w:t>
      </w:r>
    </w:p>
    <w:p>
      <w:pPr>
        <w:spacing w:before="120" w:after="120"/>
        <w:ind w:left="567" w:right="567"/>
        <w:pBdr>
          <w:left w:val="single" w:sz="24" w:space="8" w:color="C59B1E"/>
        </w:pBdr>
        <w:shd w:fill="FFFBF0"/>
      </w:pPr>
      <w:r>
        <w:rPr>
          <w:b/>
          <w:i/>
          <w:color w:val="1A365F"/>
          <w:sz w:val="22"/>
        </w:rPr>
        <w:t>Privacy by default, traceability by authorization, disclosure by law.</w:t>
      </w:r>
    </w:p>
    <w:p>
      <w:r>
        <w:rPr>
          <w:b/>
        </w:rPr>
        <w:t>Implementation Reference:</w:t>
      </w:r>
      <w:r>
        <w:t xml:space="preserve"> </w:t>
      </w:r>
      <w:r>
        <w:rPr>
          <w:rFonts w:ascii="Consolas" w:hAnsi="Consolas"/>
          <w:color w:val="6B6B6B"/>
          <w:sz w:val="19"/>
        </w:rPr>
        <w:t>src/lib/v25-0-privacy-revenue-principles.ts</w:t>
      </w:r>
      <w:r>
        <w:t xml:space="preserve"> → </w:t>
      </w:r>
      <w:r>
        <w:rPr>
          <w:rFonts w:ascii="Consolas" w:hAnsi="Consolas"/>
          <w:color w:val="6B6B6B"/>
          <w:sz w:val="19"/>
        </w:rPr>
        <w:t>PRIVACY_ARCHITECTURE</w:t>
      </w:r>
    </w:p>
    <w:p>
      <w:pPr>
        <w:pBdr>
          <w:bottom w:val="single" w:sz="12" w:space="1" w:color="C59B1E"/>
        </w:pBdr>
      </w:pPr>
    </w:p>
    <w:p>
      <w:pPr>
        <w:pStyle w:val="Heading2"/>
      </w:pPr>
      <w:r>
        <w:t>§25 — ZERO-KNOWLEDGE ARCHITECTURE</w:t>
      </w:r>
    </w:p>
    <w:p>
      <w:pPr>
        <w:pStyle w:val="Heading3"/>
      </w:pPr>
      <w:r>
        <w:t>§25.1 Principle</w:t>
      </w:r>
    </w:p>
    <w:p>
      <w:pPr>
        <w:spacing w:before="120" w:after="120"/>
        <w:ind w:left="567" w:right="567"/>
        <w:pBdr>
          <w:left w:val="single" w:sz="24" w:space="8" w:color="C59B1E"/>
        </w:pBdr>
        <w:shd w:fill="FFFBF0"/>
      </w:pPr>
      <w:r>
        <w:rPr>
          <w:b/>
          <w:i/>
          <w:color w:val="1A365F"/>
          <w:sz w:val="22"/>
        </w:rPr>
        <w:t>**Do not make "zero knowledge" a marketing term. Implement real privacy mechanisms where appropriate.**</w:t>
      </w:r>
    </w:p>
    <w:p>
      <w:pPr>
        <w:pStyle w:val="Heading3"/>
      </w:pPr>
      <w:r>
        <w:t>§25.2 Mechanisms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Mechanism</w:t>
            </w:r>
          </w:p>
        </w:tc>
        <w:tc>
          <w:tcPr>
            <w:tcW w:type="dxa" w:w="4536"/>
            <w:shd w:fill="1A365F"/>
            <w:vAlign w:val="center"/>
          </w:tcPr>
          <w:p>
            <w:pPr>
              <w:jc w:val="left"/>
            </w:pPr>
            <w:r/>
            <w:r>
              <w:rPr>
                <w:rFonts w:ascii="Calibri" w:hAnsi="Calibri"/>
                <w:b/>
                <w:color w:val="FFFFFF"/>
                <w:sz w:val="18"/>
              </w:rPr>
              <w:t>Use Case</w:t>
            </w:r>
          </w:p>
        </w:tc>
      </w:tr>
      <w:tr>
        <w:tc>
          <w:tcPr>
            <w:tcW w:type="dxa" w:w="4536"/>
            <w:vAlign w:val="center"/>
          </w:tcPr>
          <w:p>
            <w:pPr>
              <w:jc w:val="left"/>
            </w:pPr>
            <w:r/>
            <w:r>
              <w:rPr>
                <w:rFonts w:ascii="Calibri" w:hAnsi="Calibri"/>
                <w:color w:val="2D2D2D"/>
                <w:sz w:val="18"/>
              </w:rPr>
              <w:t>Zero-knowledge proofs (zk-SNARKs)</w:t>
            </w:r>
          </w:p>
        </w:tc>
        <w:tc>
          <w:tcPr>
            <w:tcW w:type="dxa" w:w="4536"/>
            <w:vAlign w:val="center"/>
          </w:tcPr>
          <w:p>
            <w:pPr>
              <w:jc w:val="left"/>
            </w:pPr>
            <w:r/>
            <w:r>
              <w:rPr>
                <w:rFonts w:ascii="Calibri" w:hAnsi="Calibri"/>
                <w:color w:val="2D2D2D"/>
                <w:sz w:val="18"/>
              </w:rPr>
              <w:t>Prove KYC validity without revealing customer data</w:t>
            </w:r>
          </w:p>
        </w:tc>
      </w:tr>
      <w:tr>
        <w:tc>
          <w:tcPr>
            <w:tcW w:type="dxa" w:w="4536"/>
            <w:shd w:fill="F0F0F0"/>
            <w:vAlign w:val="center"/>
          </w:tcPr>
          <w:p>
            <w:pPr>
              <w:jc w:val="left"/>
            </w:pPr>
            <w:r/>
            <w:r>
              <w:rPr>
                <w:rFonts w:ascii="Calibri" w:hAnsi="Calibri"/>
                <w:color w:val="2D2D2D"/>
                <w:sz w:val="18"/>
              </w:rPr>
              <w:t>Verifiable credentials</w:t>
            </w:r>
          </w:p>
        </w:tc>
        <w:tc>
          <w:tcPr>
            <w:tcW w:type="dxa" w:w="4536"/>
            <w:shd w:fill="F0F0F0"/>
            <w:vAlign w:val="center"/>
          </w:tcPr>
          <w:p>
            <w:pPr>
              <w:jc w:val="left"/>
            </w:pPr>
            <w:r/>
            <w:r>
              <w:rPr>
                <w:rFonts w:ascii="Calibri" w:hAnsi="Calibri"/>
                <w:color w:val="2D2D2D"/>
                <w:sz w:val="18"/>
              </w:rPr>
              <w:t>Bank issues VC attesting corporate authorization</w:t>
            </w:r>
          </w:p>
        </w:tc>
      </w:tr>
      <w:tr>
        <w:tc>
          <w:tcPr>
            <w:tcW w:type="dxa" w:w="4536"/>
            <w:vAlign w:val="center"/>
          </w:tcPr>
          <w:p>
            <w:pPr>
              <w:jc w:val="left"/>
            </w:pPr>
            <w:r/>
            <w:r>
              <w:rPr>
                <w:rFonts w:ascii="Calibri" w:hAnsi="Calibri"/>
                <w:color w:val="2D2D2D"/>
                <w:sz w:val="18"/>
              </w:rPr>
              <w:t>Cryptographic attestations</w:t>
            </w:r>
          </w:p>
        </w:tc>
        <w:tc>
          <w:tcPr>
            <w:tcW w:type="dxa" w:w="4536"/>
            <w:vAlign w:val="center"/>
          </w:tcPr>
          <w:p>
            <w:pPr>
              <w:jc w:val="left"/>
            </w:pPr>
            <w:r/>
            <w:r>
              <w:rPr>
                <w:rFonts w:ascii="Calibri" w:hAnsi="Calibri"/>
                <w:color w:val="2D2D2D"/>
                <w:sz w:val="18"/>
              </w:rPr>
              <w:t>Bank signs proof of sufficient backing</w:t>
            </w:r>
          </w:p>
        </w:tc>
      </w:tr>
      <w:tr>
        <w:tc>
          <w:tcPr>
            <w:tcW w:type="dxa" w:w="4536"/>
            <w:shd w:fill="F0F0F0"/>
            <w:vAlign w:val="center"/>
          </w:tcPr>
          <w:p>
            <w:pPr>
              <w:jc w:val="left"/>
            </w:pPr>
            <w:r/>
            <w:r>
              <w:rPr>
                <w:rFonts w:ascii="Calibri" w:hAnsi="Calibri"/>
                <w:color w:val="2D2D2D"/>
                <w:sz w:val="18"/>
              </w:rPr>
              <w:t>Encrypted identifiers</w:t>
            </w:r>
          </w:p>
        </w:tc>
        <w:tc>
          <w:tcPr>
            <w:tcW w:type="dxa" w:w="4536"/>
            <w:shd w:fill="F0F0F0"/>
            <w:vAlign w:val="center"/>
          </w:tcPr>
          <w:p>
            <w:pPr>
              <w:jc w:val="left"/>
            </w:pPr>
            <w:r/>
            <w:r>
              <w:rPr>
                <w:rFonts w:ascii="Calibri" w:hAnsi="Calibri"/>
                <w:color w:val="2D2D2D"/>
                <w:sz w:val="18"/>
              </w:rPr>
              <w:t>Pseudonymous corporate references</w:t>
            </w:r>
          </w:p>
        </w:tc>
      </w:tr>
      <w:tr>
        <w:tc>
          <w:tcPr>
            <w:tcW w:type="dxa" w:w="4536"/>
            <w:vAlign w:val="center"/>
          </w:tcPr>
          <w:p>
            <w:pPr>
              <w:jc w:val="left"/>
            </w:pPr>
            <w:r/>
            <w:r>
              <w:rPr>
                <w:rFonts w:ascii="Calibri" w:hAnsi="Calibri"/>
                <w:color w:val="2D2D2D"/>
                <w:sz w:val="18"/>
              </w:rPr>
              <w:t>Selective disclosure</w:t>
            </w:r>
          </w:p>
        </w:tc>
        <w:tc>
          <w:tcPr>
            <w:tcW w:type="dxa" w:w="4536"/>
            <w:vAlign w:val="center"/>
          </w:tcPr>
          <w:p>
            <w:pPr>
              <w:jc w:val="left"/>
            </w:pPr>
            <w:r/>
            <w:r>
              <w:rPr>
                <w:rFonts w:ascii="Calibri" w:hAnsi="Calibri"/>
                <w:color w:val="2D2D2D"/>
                <w:sz w:val="18"/>
              </w:rPr>
              <w:t>Reveal only necessary fields</w:t>
            </w:r>
          </w:p>
        </w:tc>
      </w:tr>
      <w:tr>
        <w:tc>
          <w:tcPr>
            <w:tcW w:type="dxa" w:w="4536"/>
            <w:shd w:fill="F0F0F0"/>
            <w:vAlign w:val="center"/>
          </w:tcPr>
          <w:p>
            <w:pPr>
              <w:jc w:val="left"/>
            </w:pPr>
            <w:r/>
            <w:r>
              <w:rPr>
                <w:rFonts w:ascii="Calibri" w:hAnsi="Calibri"/>
                <w:color w:val="2D2D2D"/>
                <w:sz w:val="18"/>
              </w:rPr>
              <w:t>Policy-bound disclosure</w:t>
            </w:r>
          </w:p>
        </w:tc>
        <w:tc>
          <w:tcPr>
            <w:tcW w:type="dxa" w:w="4536"/>
            <w:shd w:fill="F0F0F0"/>
            <w:vAlign w:val="center"/>
          </w:tcPr>
          <w:p>
            <w:pPr>
              <w:jc w:val="left"/>
            </w:pPr>
            <w:r/>
            <w:r>
              <w:rPr>
                <w:rFonts w:ascii="Calibri" w:hAnsi="Calibri"/>
                <w:color w:val="2D2D2D"/>
                <w:sz w:val="18"/>
              </w:rPr>
              <w:t>Time-bound access grants</w:t>
            </w:r>
          </w:p>
        </w:tc>
      </w:tr>
      <w:tr>
        <w:tc>
          <w:tcPr>
            <w:tcW w:type="dxa" w:w="4536"/>
            <w:vAlign w:val="center"/>
          </w:tcPr>
          <w:p>
            <w:pPr>
              <w:jc w:val="left"/>
            </w:pPr>
            <w:r/>
            <w:r>
              <w:rPr>
                <w:rFonts w:ascii="Calibri" w:hAnsi="Calibri"/>
                <w:color w:val="2D2D2D"/>
                <w:sz w:val="18"/>
              </w:rPr>
              <w:t>Commitment structures</w:t>
            </w:r>
          </w:p>
        </w:tc>
        <w:tc>
          <w:tcPr>
            <w:tcW w:type="dxa" w:w="4536"/>
            <w:vAlign w:val="center"/>
          </w:tcPr>
          <w:p>
            <w:pPr>
              <w:jc w:val="left"/>
            </w:pPr>
            <w:r/>
            <w:r>
              <w:rPr>
                <w:rFonts w:ascii="Calibri" w:hAnsi="Calibri"/>
                <w:color w:val="2D2D2D"/>
                <w:sz w:val="18"/>
              </w:rPr>
              <w:t>Commit to values without revealing</w:t>
            </w:r>
          </w:p>
        </w:tc>
      </w:tr>
    </w:tbl>
    <w:p/>
    <w:p>
      <w:pPr>
        <w:pStyle w:val="Heading3"/>
      </w:pPr>
      <w:r>
        <w:t>§25.3 Use Case</w:t>
      </w:r>
    </w:p>
    <w:p>
      <w:r>
        <w:t>MITHQAL should be able to verify:</w:t>
      </w:r>
    </w:p>
    <w:p>
      <w:pPr>
        <w:spacing w:before="120" w:after="120"/>
        <w:ind w:left="567" w:right="567"/>
        <w:pBdr>
          <w:left w:val="single" w:sz="24" w:space="8" w:color="C59B1E"/>
        </w:pBdr>
        <w:shd w:fill="FFFBF0"/>
      </w:pPr>
      <w:r>
        <w:rPr>
          <w:b/>
          <w:i/>
          <w:color w:val="1A365F"/>
          <w:sz w:val="22"/>
        </w:rPr>
        <w:t>"This corporate is KYC-valid."</w:t>
      </w:r>
    </w:p>
    <w:p>
      <w:r>
        <w:rPr>
          <w:b/>
        </w:rPr>
        <w:t>without</w:t>
      </w:r>
      <w:r>
        <w:t xml:space="preserve"> necessarily receiving the entire customer file.</w:t>
      </w:r>
    </w:p>
    <w:p>
      <w:pPr>
        <w:pStyle w:val="Heading3"/>
      </w:pPr>
      <w:r>
        <w:t>§25.4 Legal Exception</w:t>
      </w:r>
    </w:p>
    <w:p>
      <w:r>
        <w:t xml:space="preserve">When law requires information to be available, the architecture </w:t>
      </w:r>
      <w:r>
        <w:rPr>
          <w:b/>
        </w:rPr>
        <w:t>must</w:t>
      </w:r>
      <w:r>
        <w:t xml:space="preserve"> support lawful disclosure. ZK proofs do not create immunity from legal process.</w:t>
      </w:r>
    </w:p>
    <w:p>
      <w:pPr>
        <w:pStyle w:val="Heading3"/>
      </w:pPr>
      <w:r>
        <w:t>§25.5 Bank Attestation with ZK</w:t>
      </w:r>
    </w:p>
    <w:p>
      <w:pPr>
        <w:ind w:left="283"/>
        <w:shd w:fill="F5F5F5"/>
      </w:pPr>
      <w:r>
        <w:rPr>
          <w:rFonts w:ascii="Consolas" w:hAnsi="Consolas"/>
          <w:color w:val="6B6B6B"/>
          <w:sz w:val="18"/>
        </w:rPr>
        <w:t>interface BankAttestation {</w:t>
        <w:br/>
        <w:t xml:space="preserve">  attestationId: string;</w:t>
        <w:br/>
        <w:t xml:space="preserve">  bankInstitutionId: string;</w:t>
        <w:br/>
        <w:t xml:space="preserve">  totalWalletBalance: number;</w:t>
        <w:br/>
        <w:t xml:space="preserve">  sumOfSubaccounts: number;</w:t>
        <w:br/>
        <w:t xml:space="preserve">  reconciliationMatch: boolean;</w:t>
        <w:br/>
        <w:t xml:space="preserve">  signedAt: string;</w:t>
        <w:br/>
        <w:t xml:space="preserve">  signatureHash: string;</w:t>
        <w:br/>
        <w:t xml:space="preserve">  zkProof?: string;  // ZK proof that bank holds sufficient backing</w:t>
        <w:br/>
        <w:t xml:space="preserve">                      // without revealing individual balances</w:t>
        <w:br/>
        <w:t>}</w:t>
      </w:r>
    </w:p>
    <w:p>
      <w:r>
        <w:rPr>
          <w:b/>
        </w:rPr>
        <w:t>Implementation Reference:</w:t>
      </w:r>
      <w:r>
        <w:t xml:space="preserve"> </w:t>
      </w:r>
      <w:r>
        <w:rPr>
          <w:rFonts w:ascii="Consolas" w:hAnsi="Consolas"/>
          <w:color w:val="6B6B6B"/>
          <w:sz w:val="19"/>
        </w:rPr>
        <w:t>src/lib/v25-0-privacy-revenue-principles.ts</w:t>
      </w:r>
      <w:r>
        <w:t xml:space="preserve"> → </w:t>
      </w:r>
      <w:r>
        <w:rPr>
          <w:rFonts w:ascii="Consolas" w:hAnsi="Consolas"/>
          <w:color w:val="6B6B6B"/>
          <w:sz w:val="19"/>
        </w:rPr>
        <w:t>ZK_ARCHITECTURE</w:t>
      </w:r>
    </w:p>
    <w:p>
      <w:pPr>
        <w:pBdr>
          <w:bottom w:val="single" w:sz="12" w:space="1" w:color="C59B1E"/>
        </w:pBdr>
      </w:pPr>
    </w:p>
    <w:p>
      <w:pPr>
        <w:pStyle w:val="Heading2"/>
      </w:pPr>
      <w:r>
        <w:t>§26 — SETTLEMENT FINALITY</w:t>
      </w:r>
    </w:p>
    <w:p>
      <w:pPr>
        <w:pStyle w:val="Heading3"/>
      </w:pPr>
      <w:r>
        <w:t>§26.1 Three Layers of Finality</w:t>
      </w:r>
    </w:p>
    <w:p>
      <w:r>
        <w:t>Distinguish:</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Layer</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**Technical finality**</w:t>
            </w:r>
          </w:p>
        </w:tc>
        <w:tc>
          <w:tcPr>
            <w:tcW w:type="dxa" w:w="4536"/>
            <w:vAlign w:val="center"/>
          </w:tcPr>
          <w:p>
            <w:pPr>
              <w:jc w:val="left"/>
            </w:pPr>
            <w:r/>
            <w:r>
              <w:rPr>
                <w:rFonts w:ascii="Calibri" w:hAnsi="Calibri"/>
                <w:color w:val="2D2D2D"/>
                <w:sz w:val="18"/>
              </w:rPr>
              <w:t>Cryptographic finality (blockchain confirmation)</w:t>
            </w:r>
          </w:p>
        </w:tc>
      </w:tr>
      <w:tr>
        <w:tc>
          <w:tcPr>
            <w:tcW w:type="dxa" w:w="4536"/>
            <w:shd w:fill="F0F0F0"/>
            <w:vAlign w:val="center"/>
          </w:tcPr>
          <w:p>
            <w:pPr>
              <w:jc w:val="left"/>
            </w:pPr>
            <w:r/>
            <w:r>
              <w:rPr>
                <w:rFonts w:ascii="Calibri" w:hAnsi="Calibri"/>
                <w:color w:val="2D2D2D"/>
                <w:sz w:val="18"/>
              </w:rPr>
              <w:t>**Legal finality**</w:t>
            </w:r>
          </w:p>
        </w:tc>
        <w:tc>
          <w:tcPr>
            <w:tcW w:type="dxa" w:w="4536"/>
            <w:shd w:fill="F0F0F0"/>
            <w:vAlign w:val="center"/>
          </w:tcPr>
          <w:p>
            <w:pPr>
              <w:jc w:val="left"/>
            </w:pPr>
            <w:r/>
            <w:r>
              <w:rPr>
                <w:rFonts w:ascii="Calibri" w:hAnsi="Calibri"/>
                <w:color w:val="2D2D2D"/>
                <w:sz w:val="18"/>
              </w:rPr>
              <w:t>Legal settlement finality (jurisdiction-dependent)</w:t>
            </w:r>
          </w:p>
        </w:tc>
      </w:tr>
      <w:tr>
        <w:tc>
          <w:tcPr>
            <w:tcW w:type="dxa" w:w="4536"/>
            <w:vAlign w:val="center"/>
          </w:tcPr>
          <w:p>
            <w:pPr>
              <w:jc w:val="left"/>
            </w:pPr>
            <w:r/>
            <w:r>
              <w:rPr>
                <w:rFonts w:ascii="Calibri" w:hAnsi="Calibri"/>
                <w:color w:val="2D2D2D"/>
                <w:sz w:val="18"/>
              </w:rPr>
              <w:t>**Banking finality**</w:t>
            </w:r>
          </w:p>
        </w:tc>
        <w:tc>
          <w:tcPr>
            <w:tcW w:type="dxa" w:w="4536"/>
            <w:vAlign w:val="center"/>
          </w:tcPr>
          <w:p>
            <w:pPr>
              <w:jc w:val="left"/>
            </w:pPr>
            <w:r/>
            <w:r>
              <w:rPr>
                <w:rFonts w:ascii="Calibri" w:hAnsi="Calibri"/>
                <w:color w:val="2D2D2D"/>
                <w:sz w:val="18"/>
              </w:rPr>
              <w:t>Banking-system finality (rail-dependent)</w:t>
            </w:r>
          </w:p>
        </w:tc>
      </w:tr>
    </w:tbl>
    <w:p/>
    <w:p>
      <w:pPr>
        <w:pStyle w:val="Heading3"/>
      </w:pPr>
      <w:r>
        <w:t>§26.2 Critical Rule</w:t>
      </w:r>
    </w:p>
    <w:p>
      <w:pPr>
        <w:spacing w:before="120" w:after="120"/>
        <w:ind w:left="567" w:right="567"/>
        <w:pBdr>
          <w:left w:val="single" w:sz="24" w:space="8" w:color="C59B1E"/>
        </w:pBdr>
        <w:shd w:fill="FFFBF0"/>
      </w:pPr>
      <w:r>
        <w:rPr>
          <w:b/>
          <w:i/>
          <w:color w:val="1A365F"/>
          <w:sz w:val="22"/>
        </w:rPr>
        <w:t>**No blueprint section may imply that blockchain confirmation alone automatically determines legal finality in every jurisdiction.**</w:t>
      </w:r>
    </w:p>
    <w:p>
      <w:pPr>
        <w:pStyle w:val="Heading3"/>
      </w:pPr>
      <w:r>
        <w:t>§26.3 Finality Status</w:t>
      </w:r>
    </w:p>
    <w:p>
      <w:pPr>
        <w:ind w:left="283"/>
        <w:shd w:fill="F5F5F5"/>
      </w:pPr>
      <w:r>
        <w:rPr>
          <w:rFonts w:ascii="Consolas" w:hAnsi="Consolas"/>
          <w:color w:val="6B6B6B"/>
          <w:sz w:val="18"/>
        </w:rPr>
        <w:t>type FinalityStatus =</w:t>
        <w:br/>
        <w:t xml:space="preserve">  | "PENDING"           // Settlement initiated, not yet final</w:t>
        <w:br/>
        <w:t xml:space="preserve">  | "TECHNICAL_FINAL"   // Blockchain confirmation complete</w:t>
        <w:br/>
        <w:t xml:space="preserve">  | "LEGAL_FINAL"       // Legal settlement final (jurisdiction-dependent)</w:t>
        <w:br/>
        <w:t xml:space="preserve">  | "BANKING_FINAL";    // Banking-rail finality complete</w:t>
      </w:r>
    </w:p>
    <w:p>
      <w:pPr>
        <w:pStyle w:val="Heading3"/>
      </w:pPr>
      <w:r>
        <w:t>§26.4 Settlement Record</w:t>
      </w:r>
    </w:p>
    <w:p>
      <w:r>
        <w:t xml:space="preserve">Every settlement record (§9) includes a </w:t>
      </w:r>
      <w:r>
        <w:rPr>
          <w:rFonts w:ascii="Consolas" w:hAnsi="Consolas"/>
          <w:color w:val="6B6B6B"/>
          <w:sz w:val="19"/>
        </w:rPr>
        <w:t>finalityStatus</w:t>
      </w:r>
      <w:r>
        <w:t xml:space="preserve"> field tracking which layers of finality have been achieved.</w:t>
      </w:r>
    </w:p>
    <w:p>
      <w:pPr>
        <w:pStyle w:val="Heading3"/>
      </w:pPr>
      <w:r>
        <w:t>§26.5 Atomicity</w:t>
      </w:r>
    </w:p>
    <w:p>
      <w:r>
        <w:t>Maintain:</w:t>
      </w:r>
    </w:p>
    <w:p>
      <w:pPr>
        <w:pStyle w:val="ListBullet"/>
        <w:ind w:left="425"/>
      </w:pPr>
      <w:r>
        <w:t>Cryptographic finality</w:t>
      </w:r>
    </w:p>
    <w:p>
      <w:pPr>
        <w:pStyle w:val="ListBullet"/>
        <w:ind w:left="425"/>
      </w:pPr>
      <w:r>
        <w:t>Transaction state machine</w:t>
      </w:r>
    </w:p>
    <w:p>
      <w:pPr>
        <w:pStyle w:val="ListBullet"/>
        <w:ind w:left="425"/>
      </w:pPr>
      <w:r>
        <w:t>Immutable event log</w:t>
      </w:r>
    </w:p>
    <w:p>
      <w:pPr>
        <w:pStyle w:val="ListBullet"/>
        <w:ind w:left="425"/>
      </w:pPr>
      <w:r>
        <w:t>Replay/idempotency protection</w:t>
      </w:r>
    </w:p>
    <w:p>
      <w:pPr>
        <w:pStyle w:val="ListBullet"/>
        <w:ind w:left="425"/>
      </w:pPr>
      <w:r>
        <w:t>Atomicity (mint + credit = atomic, burn + release = atomic)</w:t>
      </w:r>
    </w:p>
    <w:p>
      <w:pPr>
        <w:pStyle w:val="ListBullet"/>
        <w:ind w:left="425"/>
      </w:pPr>
      <w:r>
        <w:t>Failure recovery</w:t>
      </w:r>
    </w:p>
    <w:p>
      <w:r>
        <w:rPr>
          <w:b/>
        </w:rPr>
        <w:t>Implementation Reference:</w:t>
      </w:r>
      <w:r>
        <w:t xml:space="preserve"> </w:t>
      </w:r>
      <w:r>
        <w:rPr>
          <w:rFonts w:ascii="Consolas" w:hAnsi="Consolas"/>
          <w:color w:val="6B6B6B"/>
          <w:sz w:val="19"/>
        </w:rPr>
        <w:t>src/lib/v25-0-identity.ts</w:t>
      </w:r>
      <w:r>
        <w:t xml:space="preserve"> → </w:t>
      </w:r>
      <w:r>
        <w:rPr>
          <w:rFonts w:ascii="Consolas" w:hAnsi="Consolas"/>
          <w:color w:val="6B6B6B"/>
          <w:sz w:val="19"/>
        </w:rPr>
        <w:t>FINALITY</w:t>
      </w:r>
    </w:p>
    <w:p>
      <w:pPr>
        <w:pBdr>
          <w:bottom w:val="single" w:sz="12" w:space="1" w:color="C59B1E"/>
        </w:pBdr>
      </w:pPr>
    </w:p>
    <w:p>
      <w:pPr>
        <w:pStyle w:val="Heading2"/>
      </w:pPr>
      <w:r>
        <w:t>§27 — ARCHITECTURE DIAGRAM</w:t>
      </w:r>
    </w:p>
    <w:p>
      <w:pPr>
        <w:pStyle w:val="Heading3"/>
      </w:pPr>
      <w:r>
        <w:t>§27.1 v25.0 High-Level Architecture</w:t>
      </w:r>
    </w:p>
    <w:p>
      <w:pPr>
        <w:ind w:left="283"/>
        <w:shd w:fill="F5F5F5"/>
      </w:pPr>
      <w:r>
        <w:rPr>
          <w:rFonts w:ascii="Consolas" w:hAnsi="Consolas"/>
          <w:color w:val="6B6B6B"/>
          <w:sz w:val="18"/>
        </w:rPr>
        <w:t xml:space="preserve">                 SOVEREIGN MONETARY SYSTEM A</w:t>
        <w:br/>
        <w:t xml:space="preserve">                           │</w:t>
        <w:br/>
        <w:t xml:space="preserve">                    CENTRAL BANK / BANK</w:t>
        <w:br/>
        <w:t xml:space="preserve">                           │</w:t>
        <w:br/>
        <w:t xml:space="preserve">                 REGULATED GATEWAY</w:t>
        <w:br/>
        <w:t xml:space="preserve">                           │</w:t>
        <w:br/>
        <w:t xml:space="preserve">                           ▼</w:t>
        <w:br/>
        <w:t xml:space="preserve">              ┌─────────────────────────┐</w:t>
        <w:br/>
        <w:t xml:space="preserve">              │       MITHQAL           │</w:t>
        <w:br/>
        <w:t xml:space="preserve">              │                         │</w:t>
        <w:br/>
        <w:t xml:space="preserve">              │  Institutional Identity │</w:t>
        <w:br/>
        <w:t xml:space="preserve">              │  Authorization          │</w:t>
        <w:br/>
        <w:t xml:space="preserve">              │  Reserve Engine         │</w:t>
        <w:br/>
        <w:t xml:space="preserve">              │  Issuance Engine        │</w:t>
        <w:br/>
        <w:t xml:space="preserve">              │  MTQ Settlement         │</w:t>
        <w:br/>
        <w:t xml:space="preserve">              │  Compliance Controls    │</w:t>
        <w:br/>
        <w:t xml:space="preserve">              │  Audit / Traceability   │</w:t>
        <w:br/>
        <w:t xml:space="preserve">              │  CBDC Interoperability  │</w:t>
        <w:br/>
        <w:t xml:space="preserve">              │  Proof / Finality        │</w:t>
        <w:br/>
        <w:t xml:space="preserve">              └─────────────────────────┘</w:t>
        <w:br/>
        <w:t xml:space="preserve">                           │</w:t>
        <w:br/>
        <w:t xml:space="preserve">                          MTQ</w:t>
        <w:br/>
        <w:t xml:space="preserve">                           │</w:t>
        <w:br/>
        <w:t xml:space="preserve">                           ▼</w:t>
        <w:br/>
        <w:t xml:space="preserve">                 REGULATED GATEWAY</w:t>
        <w:br/>
        <w:t xml:space="preserve">                           │</w:t>
        <w:br/>
        <w:t xml:space="preserve">                    BANK / CENTRAL BANK</w:t>
        <w:br/>
        <w:t xml:space="preserve">                           │</w:t>
        <w:br/>
        <w:t xml:space="preserve">                           ▼</w:t>
        <w:br/>
        <w:t xml:space="preserve">                 SOVEREIGN SYSTEM B</w:t>
      </w:r>
    </w:p>
    <w:p>
      <w:pPr>
        <w:pStyle w:val="Heading3"/>
      </w:pPr>
      <w:r>
        <w:t>§27.2 Institutional Issuance Pipeline Detail</w:t>
      </w:r>
    </w:p>
    <w:p>
      <w:pPr>
        <w:ind w:left="283"/>
        <w:shd w:fill="F5F5F5"/>
      </w:pPr>
      <w:r>
        <w:rPr>
          <w:rFonts w:ascii="Consolas" w:hAnsi="Consolas"/>
          <w:color w:val="6B6B6B"/>
          <w:sz w:val="18"/>
        </w:rPr>
        <w:t>┌─────────────────────────────────────────────────────────────────┐</w:t>
        <w:br/>
        <w:t>│                  INSTITUTIONAL ISSUANCE PIPELINE                 │</w:t>
        <w:br/>
        <w:t>├─────────────────────────────────────────────────────────────────┤</w:t>
        <w:br/>
        <w:t>│                                                                  │</w:t>
        <w:br/>
        <w:t>│  Corporate Customer                                              │</w:t>
        <w:br/>
        <w:t>│       ↓                                                          │</w:t>
        <w:br/>
        <w:t>│  Corporate Bank Account                                          │</w:t>
        <w:br/>
        <w:t>│       ↓                                                          │</w:t>
        <w:br/>
        <w:t>│  Participating Bank                                              │</w:t>
        <w:br/>
        <w:t>│       ↓                                                          │</w:t>
        <w:br/>
        <w:t>│  ┌─────────────────────────────────────────┐                    │</w:t>
        <w:br/>
        <w:t>│  │  Customer KYC/KYB + AML + Funding        │                    │</w:t>
        <w:br/>
        <w:t>│  │  Verification (BANK LAYER)               │                    │</w:t>
        <w:br/>
        <w:t>│  └─────────────────────────────────────────┘                    │</w:t>
        <w:br/>
        <w:t>│       ↓                                                          │</w:t>
        <w:br/>
        <w:t>│  Institutional MTQ Issuance Request                             │</w:t>
        <w:br/>
        <w:t>│       ↓                                                          │</w:t>
        <w:br/>
        <w:t>│  ┌─────────────────────────────────────────┐                    │</w:t>
        <w:br/>
        <w:t>│  │  MITHQAL ISSUANCE ENGINE                 │                    │</w:t>
        <w:br/>
        <w:t>│  │  • Institution Authentication            │                    │</w:t>
        <w:br/>
        <w:t>│  │  • Authority Check                       │                    │</w:t>
        <w:br/>
        <w:t>│  │  • Reserve/Funding Verification          │                    │</w:t>
        <w:br/>
        <w:t>│  │  • Custody Verification                  │                    │</w:t>
        <w:br/>
        <w:t>│  │  • NAV Calculation                       │                    │</w:t>
        <w:br/>
        <w:t>│  │  • RR / Stress-RR Checks                │                    │</w:t>
        <w:br/>
        <w:t>│  │  • Proof of Reserves                     │                    │</w:t>
        <w:br/>
        <w:t>│  │  • Proof of Solvency                     │                    │</w:t>
        <w:br/>
        <w:t>│  │  • Deterministic Authorization           │                    │</w:t>
        <w:br/>
        <w:t>│  └─────────────────────────────────────────┘                    │</w:t>
        <w:br/>
        <w:t>│       ↓                                                          │</w:t>
        <w:br/>
        <w:t>│  Mint.sol → MTQ.sol                                              │</w:t>
        <w:br/>
        <w:t>│       ↓                                                          │</w:t>
        <w:br/>
        <w:t>│  Corporate Bank-Linked MTQ Settlement Account                   │</w:t>
        <w:br/>
        <w:t>│                                                                  │</w:t>
        <w:br/>
        <w:t>└─────────────────────────────────────────────────────────────────┘</w:t>
      </w:r>
    </w:p>
    <w:p>
      <w:pPr>
        <w:pStyle w:val="Heading3"/>
      </w:pPr>
      <w:r>
        <w:t>§27.3 Cross-Border Settlement Flow Detail</w:t>
      </w:r>
    </w:p>
    <w:p>
      <w:pPr>
        <w:ind w:left="283"/>
        <w:shd w:fill="F5F5F5"/>
      </w:pPr>
      <w:r>
        <w:rPr>
          <w:rFonts w:ascii="Consolas" w:hAnsi="Consolas"/>
          <w:color w:val="6B6B6B"/>
          <w:sz w:val="18"/>
        </w:rPr>
        <w:t>┌─────────────────────────────────────────────────────────────────┐</w:t>
        <w:br/>
        <w:t>│              CROSS-BORDER SETTLEMENT FLOW                        │</w:t>
        <w:br/>
        <w:t>├─────────────────────────────────────────────────────────────────┤</w:t>
        <w:br/>
        <w:t>│                                                                  │</w:t>
        <w:br/>
        <w:t>│  Japan                                          USA              │</w:t>
        <w:br/>
        <w:t>│                                                                  │</w:t>
        <w:br/>
        <w:t>│  Japanese Importer                               U.S. Exporter   │</w:t>
        <w:br/>
        <w:t>│       ↓                                               ↑          │</w:t>
        <w:br/>
        <w:t>│  Japanese Bank                                  U.S. Bank        │</w:t>
        <w:br/>
        <w:t>│       ↓                                               ↑          │</w:t>
        <w:br/>
        <w:t>│  JPY Account                                   USD Account       │</w:t>
        <w:br/>
        <w:t>│       ↓                                               ↑          │</w:t>
        <w:br/>
        <w:t>│  ┌─────────────┐                         ┌─────────────┐        │</w:t>
        <w:br/>
        <w:t>│  │ Regulated   │                         │ Regulated   │        │</w:t>
        <w:br/>
        <w:t>│  │ Gateway A   │                         │ Gateway B   │        │</w:t>
        <w:br/>
        <w:t>│  └─────────────┘                         └─────────────┘        │</w:t>
        <w:br/>
        <w:t>│       ↓                                               ↑          │</w:t>
        <w:br/>
        <w:t>│       └───────────────┐         ┌──────────────────────┘        │</w:t>
        <w:br/>
        <w:t>│                       ↓         ↑                               │</w:t>
        <w:br/>
        <w:t>│                    ┌──────────────┐                              │</w:t>
        <w:br/>
        <w:t>│                    │     MTQ      │                              │</w:t>
        <w:br/>
        <w:t>│                    │   (settled)  │                              │</w:t>
        <w:br/>
        <w:t>│                    └──────────────┘                              │</w:t>
        <w:br/>
        <w:t>│                           ↑↓                                     │</w:t>
        <w:br/>
        <w:t>│                    ┌──────────────┐                              │</w:t>
        <w:br/>
        <w:t>│                    │   MITHQAL    │                              │</w:t>
        <w:br/>
        <w:t>│                    │  Settlement  │                              │</w:t>
        <w:br/>
        <w:t>│                    │    Layer     │                              │</w:t>
        <w:br/>
        <w:t>│                    └──────────────┘                              │</w:t>
        <w:br/>
        <w:t>│                                                                  │</w:t>
        <w:br/>
        <w:t>└─────────────────────────────────────────────────────────────────┘</w:t>
      </w:r>
    </w:p>
    <w:p>
      <w:pPr>
        <w:pStyle w:val="Heading3"/>
      </w:pPr>
      <w:r>
        <w:t>§27.4 CBDC Interoperability Layer Detail</w:t>
      </w:r>
    </w:p>
    <w:p>
      <w:pPr>
        <w:ind w:left="283"/>
        <w:shd w:fill="F5F5F5"/>
      </w:pPr>
      <w:r>
        <w:rPr>
          <w:rFonts w:ascii="Consolas" w:hAnsi="Consolas"/>
          <w:color w:val="6B6B6B"/>
          <w:sz w:val="18"/>
        </w:rPr>
        <w:t>┌─────────────────────────────────────────────────────────────────┐</w:t>
        <w:br/>
        <w:t>│              CBDC INTEROPERABILITY LAYER                          │</w:t>
        <w:br/>
        <w:t>├─────────────────────────────────────────────────────────────────┤</w:t>
        <w:br/>
        <w:t>│                                                                  │</w:t>
        <w:br/>
        <w:t>│  ┌──────────┐                              ┌──────────┐         │</w:t>
        <w:br/>
        <w:t>│  │ Wholesale│                              │ Wholesale│         │</w:t>
        <w:br/>
        <w:t>│  │  CBDC A  │                              │  CBDC B  │         │</w:t>
        <w:br/>
        <w:t>│  └──────────┘                              └──────────┘         │</w:t>
        <w:br/>
        <w:t>│       ↓                                         ↑                │</w:t>
        <w:br/>
        <w:t>│  ┌──────────┐                              ┌──────────┐         │</w:t>
        <w:br/>
        <w:t>│  │   Bank   │                              │   Bank   │         │</w:t>
        <w:br/>
        <w:t>│  │    A     │                              │    B     │         │</w:t>
        <w:br/>
        <w:t>│  └──────────┘                              └──────────┘         │</w:t>
        <w:br/>
        <w:t>│       ↓                                         ↑                │</w:t>
        <w:br/>
        <w:t>│       └───────────────┐         ┌──────────────────────┘        │</w:t>
        <w:br/>
        <w:t>│                       ↓         ↑                               │</w:t>
        <w:br/>
        <w:t>│                    ┌──────────────┐                              │</w:t>
        <w:br/>
        <w:t>│                    │     MTQ      │                              │</w:t>
        <w:br/>
        <w:t>│                    │   (bridge)   │                              │</w:t>
        <w:br/>
        <w:t>│                    └──────────────┘                              │</w:t>
        <w:br/>
        <w:t>│                           ↑↓                                     │</w:t>
        <w:br/>
        <w:t>│                    ┌──────────────┐                              │</w:t>
        <w:br/>
        <w:t>│                    │   MITHQAL    │                              │</w:t>
        <w:br/>
        <w:t>│                    │     CBDC     │                              │</w:t>
        <w:br/>
        <w:t>│                    │ Interop Layer│                              │</w:t>
        <w:br/>
        <w:t>│                    └──────────────┘                              │</w:t>
        <w:br/>
        <w:t>│                                                                  │</w:t>
        <w:br/>
        <w:t>│  CBDCs remain liabilities of their issuing central banks.        │</w:t>
        <w:br/>
        <w:t>│  MTQ does not become another CBDC.                               │</w:t>
        <w:br/>
        <w:t>│  MITHQAL is the neutral interoperability/settlement layer.       │</w:t>
        <w:br/>
        <w:t>│                                                                  │</w:t>
        <w:br/>
        <w:t>└─────────────────────────────────────────────────────────────────┘</w:t>
      </w:r>
    </w:p>
    <w:p>
      <w:pPr>
        <w:pBdr>
          <w:bottom w:val="single" w:sz="12" w:space="1" w:color="C59B1E"/>
        </w:pBdr>
      </w:pPr>
    </w:p>
    <w:p>
      <w:pPr>
        <w:pStyle w:val="Heading2"/>
      </w:pPr>
      <w:r>
        <w:t>§28 — CANONICAL TERMINOLOGY</w:t>
      </w:r>
    </w:p>
    <w:p>
      <w:pPr>
        <w:pStyle w:val="Heading3"/>
      </w:pPr>
      <w:r>
        <w:t>§28.1 Preferred Terminology (Closed List)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Term</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Wholesale Settlement Instrument</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Neutral Settlement Layer</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Institutional Settlement</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Participating Institution</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Authorized Institution</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Institutional Issuance</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Settlement Gateway</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Regulated Monetary System</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Central-Bank-Authorized Participant</w:t>
            </w:r>
          </w:p>
        </w:tc>
      </w:tr>
      <w:tr>
        <w:tc>
          <w:tcPr>
            <w:tcW w:type="dxa" w:w="4536"/>
            <w:shd w:fill="F0F0F0"/>
            <w:vAlign w:val="center"/>
          </w:tcPr>
          <w:p>
            <w:pPr>
              <w:jc w:val="left"/>
            </w:pPr>
            <w:r/>
            <w:r>
              <w:rPr>
                <w:rFonts w:ascii="Calibri" w:hAnsi="Calibri"/>
                <w:color w:val="2D2D2D"/>
                <w:sz w:val="18"/>
              </w:rPr>
              <w:t>10</w:t>
            </w:r>
          </w:p>
        </w:tc>
        <w:tc>
          <w:tcPr>
            <w:tcW w:type="dxa" w:w="4536"/>
            <w:shd w:fill="F0F0F0"/>
            <w:vAlign w:val="center"/>
          </w:tcPr>
          <w:p>
            <w:pPr>
              <w:jc w:val="left"/>
            </w:pPr>
            <w:r/>
            <w:r>
              <w:rPr>
                <w:rFonts w:ascii="Calibri" w:hAnsi="Calibri"/>
                <w:color w:val="2D2D2D"/>
                <w:sz w:val="18"/>
              </w:rPr>
              <w:t>Institutional Traceability</w:t>
            </w:r>
          </w:p>
        </w:tc>
      </w:tr>
      <w:tr>
        <w:tc>
          <w:tcPr>
            <w:tcW w:type="dxa" w:w="4536"/>
            <w:vAlign w:val="center"/>
          </w:tcPr>
          <w:p>
            <w:pPr>
              <w:jc w:val="left"/>
            </w:pPr>
            <w:r/>
            <w:r>
              <w:rPr>
                <w:rFonts w:ascii="Calibri" w:hAnsi="Calibri"/>
                <w:color w:val="2D2D2D"/>
                <w:sz w:val="18"/>
              </w:rPr>
              <w:t>11</w:t>
            </w:r>
          </w:p>
        </w:tc>
        <w:tc>
          <w:tcPr>
            <w:tcW w:type="dxa" w:w="4536"/>
            <w:vAlign w:val="center"/>
          </w:tcPr>
          <w:p>
            <w:pPr>
              <w:jc w:val="left"/>
            </w:pPr>
            <w:r/>
            <w:r>
              <w:rPr>
                <w:rFonts w:ascii="Calibri" w:hAnsi="Calibri"/>
                <w:color w:val="2D2D2D"/>
                <w:sz w:val="18"/>
              </w:rPr>
              <w:t>Neutral Interoperability</w:t>
            </w:r>
          </w:p>
        </w:tc>
      </w:tr>
      <w:tr>
        <w:tc>
          <w:tcPr>
            <w:tcW w:type="dxa" w:w="4536"/>
            <w:shd w:fill="F0F0F0"/>
            <w:vAlign w:val="center"/>
          </w:tcPr>
          <w:p>
            <w:pPr>
              <w:jc w:val="left"/>
            </w:pPr>
            <w:r/>
            <w:r>
              <w:rPr>
                <w:rFonts w:ascii="Calibri" w:hAnsi="Calibri"/>
                <w:color w:val="2D2D2D"/>
                <w:sz w:val="18"/>
              </w:rPr>
              <w:t>12</w:t>
            </w:r>
          </w:p>
        </w:tc>
        <w:tc>
          <w:tcPr>
            <w:tcW w:type="dxa" w:w="4536"/>
            <w:shd w:fill="F0F0F0"/>
            <w:vAlign w:val="center"/>
          </w:tcPr>
          <w:p>
            <w:pPr>
              <w:jc w:val="left"/>
            </w:pPr>
            <w:r/>
            <w:r>
              <w:rPr>
                <w:rFonts w:ascii="Calibri" w:hAnsi="Calibri"/>
                <w:color w:val="2D2D2D"/>
                <w:sz w:val="18"/>
              </w:rPr>
              <w:t>Settlement Corridor</w:t>
            </w:r>
          </w:p>
        </w:tc>
      </w:tr>
    </w:tbl>
    <w:p/>
    <w:p>
      <w:pPr>
        <w:pStyle w:val="Heading3"/>
      </w:pPr>
      <w:r>
        <w:t>§28.2 Avoid Terminology (Closed List)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Term</w:t>
            </w:r>
          </w:p>
        </w:tc>
        <w:tc>
          <w:tcPr>
            <w:tcW w:type="dxa" w:w="3024"/>
            <w:shd w:fill="1A365F"/>
            <w:vAlign w:val="center"/>
          </w:tcPr>
          <w:p>
            <w:pPr>
              <w:jc w:val="left"/>
            </w:pPr>
            <w:r/>
            <w:r>
              <w:rPr>
                <w:rFonts w:ascii="Calibri" w:hAnsi="Calibri"/>
                <w:b/>
                <w:color w:val="FFFFFF"/>
                <w:sz w:val="18"/>
              </w:rPr>
              <w:t>Reason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consumer coin</w:t>
            </w:r>
          </w:p>
        </w:tc>
        <w:tc>
          <w:tcPr>
            <w:tcW w:type="dxa" w:w="3024"/>
            <w:vAlign w:val="center"/>
          </w:tcPr>
          <w:p>
            <w:pPr>
              <w:jc w:val="left"/>
            </w:pPr>
            <w:r/>
            <w:r>
              <w:rPr>
                <w:rFonts w:ascii="Calibri" w:hAnsi="Calibri"/>
                <w:color w:val="2D2D2D"/>
                <w:sz w:val="18"/>
              </w:rPr>
              <w:t>MTQ is wholesale, not consumer</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public minting</w:t>
            </w:r>
          </w:p>
        </w:tc>
        <w:tc>
          <w:tcPr>
            <w:tcW w:type="dxa" w:w="3024"/>
            <w:shd w:fill="F0F0F0"/>
            <w:vAlign w:val="center"/>
          </w:tcPr>
          <w:p>
            <w:pPr>
              <w:jc w:val="left"/>
            </w:pPr>
            <w:r/>
            <w:r>
              <w:rPr>
                <w:rFonts w:ascii="Calibri" w:hAnsi="Calibri"/>
                <w:color w:val="2D2D2D"/>
                <w:sz w:val="18"/>
              </w:rPr>
              <w:t>No public minting — institutional only</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retail stablecoin</w:t>
            </w:r>
          </w:p>
        </w:tc>
        <w:tc>
          <w:tcPr>
            <w:tcW w:type="dxa" w:w="3024"/>
            <w:vAlign w:val="center"/>
          </w:tcPr>
          <w:p>
            <w:pPr>
              <w:jc w:val="left"/>
            </w:pPr>
            <w:r/>
            <w:r>
              <w:rPr>
                <w:rFonts w:ascii="Calibri" w:hAnsi="Calibri"/>
                <w:color w:val="2D2D2D"/>
                <w:sz w:val="18"/>
              </w:rPr>
              <w:t>MTQ is not retail</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global currency</w:t>
            </w:r>
          </w:p>
        </w:tc>
        <w:tc>
          <w:tcPr>
            <w:tcW w:type="dxa" w:w="3024"/>
            <w:shd w:fill="F0F0F0"/>
            <w:vAlign w:val="center"/>
          </w:tcPr>
          <w:p>
            <w:pPr>
              <w:jc w:val="left"/>
            </w:pPr>
            <w:r/>
            <w:r>
              <w:rPr>
                <w:rFonts w:ascii="Calibri" w:hAnsi="Calibri"/>
                <w:color w:val="2D2D2D"/>
                <w:sz w:val="18"/>
              </w:rPr>
              <w:t>MTQ is not a global currency</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replacement currency</w:t>
            </w:r>
          </w:p>
        </w:tc>
        <w:tc>
          <w:tcPr>
            <w:tcW w:type="dxa" w:w="3024"/>
            <w:vAlign w:val="center"/>
          </w:tcPr>
          <w:p>
            <w:pPr>
              <w:jc w:val="left"/>
            </w:pPr>
            <w:r/>
            <w:r>
              <w:rPr>
                <w:rFonts w:ascii="Calibri" w:hAnsi="Calibri"/>
                <w:color w:val="2D2D2D"/>
                <w:sz w:val="18"/>
              </w:rPr>
              <w:t>MTQ does not replace sovereign currency</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speculative asset</w:t>
            </w:r>
          </w:p>
        </w:tc>
        <w:tc>
          <w:tcPr>
            <w:tcW w:type="dxa" w:w="3024"/>
            <w:shd w:fill="F0F0F0"/>
            <w:vAlign w:val="center"/>
          </w:tcPr>
          <w:p>
            <w:pPr>
              <w:jc w:val="left"/>
            </w:pPr>
            <w:r/>
            <w:r>
              <w:rPr>
                <w:rFonts w:ascii="Calibri" w:hAnsi="Calibri"/>
                <w:color w:val="2D2D2D"/>
                <w:sz w:val="18"/>
              </w:rPr>
              <w:t>MTQ is not speculative</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exchange token</w:t>
            </w:r>
          </w:p>
        </w:tc>
        <w:tc>
          <w:tcPr>
            <w:tcW w:type="dxa" w:w="3024"/>
            <w:vAlign w:val="center"/>
          </w:tcPr>
          <w:p>
            <w:pPr>
              <w:jc w:val="left"/>
            </w:pPr>
            <w:r/>
            <w:r>
              <w:rPr>
                <w:rFonts w:ascii="Calibri" w:hAnsi="Calibri"/>
                <w:color w:val="2D2D2D"/>
                <w:sz w:val="18"/>
              </w:rPr>
              <w:t>MITHQAL is not an exchange</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investment token</w:t>
            </w:r>
          </w:p>
        </w:tc>
        <w:tc>
          <w:tcPr>
            <w:tcW w:type="dxa" w:w="3024"/>
            <w:shd w:fill="F0F0F0"/>
            <w:vAlign w:val="center"/>
          </w:tcPr>
          <w:p>
            <w:pPr>
              <w:jc w:val="left"/>
            </w:pPr>
            <w:r/>
            <w:r>
              <w:rPr>
                <w:rFonts w:ascii="Calibri" w:hAnsi="Calibri"/>
                <w:color w:val="2D2D2D"/>
                <w:sz w:val="18"/>
              </w:rPr>
              <w:t>MTQ is not an investment</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universal money</w:t>
            </w:r>
          </w:p>
        </w:tc>
        <w:tc>
          <w:tcPr>
            <w:tcW w:type="dxa" w:w="3024"/>
            <w:vAlign w:val="center"/>
          </w:tcPr>
          <w:p>
            <w:pPr>
              <w:jc w:val="left"/>
            </w:pPr>
            <w:r/>
            <w:r>
              <w:rPr>
                <w:rFonts w:ascii="Calibri" w:hAnsi="Calibri"/>
                <w:color w:val="2D2D2D"/>
                <w:sz w:val="18"/>
              </w:rPr>
              <w:t>MTQ is not universal money</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permissionless issuance</w:t>
            </w:r>
          </w:p>
        </w:tc>
        <w:tc>
          <w:tcPr>
            <w:tcW w:type="dxa" w:w="3024"/>
            <w:shd w:fill="F0F0F0"/>
            <w:vAlign w:val="center"/>
          </w:tcPr>
          <w:p>
            <w:pPr>
              <w:jc w:val="left"/>
            </w:pPr>
            <w:r/>
            <w:r>
              <w:rPr>
                <w:rFonts w:ascii="Calibri" w:hAnsi="Calibri"/>
                <w:color w:val="2D2D2D"/>
                <w:sz w:val="18"/>
              </w:rPr>
              <w:t>Issuance is permissioned</w:t>
            </w:r>
          </w:p>
        </w:tc>
      </w:tr>
    </w:tbl>
    <w:p/>
    <w:p>
      <w:pPr>
        <w:pStyle w:val="Heading3"/>
      </w:pPr>
      <w:r>
        <w:t>§28.3 Implementation Reference</w:t>
      </w:r>
    </w:p>
    <w:p>
      <w:r>
        <w:rPr>
          <w:b/>
        </w:rPr>
        <w:t>Module:</w:t>
      </w:r>
      <w:r>
        <w:t xml:space="preserve"> </w:t>
      </w:r>
      <w:r>
        <w:rPr>
          <w:rFonts w:ascii="Consolas" w:hAnsi="Consolas"/>
          <w:color w:val="6B6B6B"/>
          <w:sz w:val="19"/>
        </w:rPr>
        <w:t>src/lib/v25-0-identity.ts</w:t>
      </w:r>
      <w:r>
        <w:t xml:space="preserve"> → </w:t>
      </w:r>
      <w:r>
        <w:rPr>
          <w:rFonts w:ascii="Consolas" w:hAnsi="Consolas"/>
          <w:color w:val="6B6B6B"/>
          <w:sz w:val="19"/>
        </w:rPr>
        <w:t>TERMINOLOGY</w:t>
      </w:r>
    </w:p>
    <w:p>
      <w:pPr>
        <w:pStyle w:val="Heading3"/>
      </w:pPr>
      <w:r>
        <w:t>§28.4 Terminology Verification</w:t>
      </w:r>
    </w:p>
    <w:p>
      <w:r>
        <w:t xml:space="preserve">All v25.0 documentation, code, API responses, and UI text must use </w:t>
      </w:r>
      <w:r>
        <w:rPr>
          <w:b/>
        </w:rPr>
        <w:t>preferred terminology</w:t>
      </w:r>
      <w:r>
        <w:t xml:space="preserve"> and </w:t>
      </w:r>
      <w:r>
        <w:rPr>
          <w:b/>
        </w:rPr>
        <w:t>avoid</w:t>
      </w:r>
      <w:r>
        <w:t xml:space="preserve"> the prohibited terms. The semantic sweep (§48) verified 44 HISTORICAL/NON-NORMATIVE markers placed on conflicting language.</w:t>
      </w:r>
    </w:p>
    <w:p>
      <w:pPr>
        <w:pBdr>
          <w:bottom w:val="single" w:sz="12" w:space="1" w:color="C59B1E"/>
        </w:pBdr>
      </w:pPr>
    </w:p>
    <w:p>
      <w:pPr>
        <w:pStyle w:val="Heading2"/>
      </w:pPr>
      <w:r>
        <w:t>§29 — BANK REVENUE MODEL</w:t>
      </w:r>
    </w:p>
    <w:p>
      <w:pPr>
        <w:pStyle w:val="Heading3"/>
      </w:pPr>
      <w:r>
        <w:t>§29.1 Principle</w:t>
      </w:r>
    </w:p>
    <w:p>
      <w:pPr>
        <w:spacing w:before="120" w:after="120"/>
        <w:ind w:left="567" w:right="567"/>
        <w:pBdr>
          <w:left w:val="single" w:sz="24" w:space="8" w:color="C59B1E"/>
        </w:pBdr>
        <w:shd w:fill="FFFBF0"/>
      </w:pPr>
      <w:r>
        <w:rPr>
          <w:b/>
          <w:i/>
          <w:color w:val="1A365F"/>
          <w:sz w:val="22"/>
        </w:rPr>
        <w:t>**Banks must be allowed to make money. Design the commercial model around bank economics.**</w:t>
      </w:r>
    </w:p>
    <w:p>
      <w:pPr>
        <w:pStyle w:val="Heading3"/>
      </w:pPr>
      <w:r>
        <w:t>§29.2 Bank Revenue Opportunities</w:t>
      </w:r>
    </w:p>
    <w:p>
      <w:r>
        <w:t>Subject to local law, banks may earn from:</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Revenue Stream</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MTQ origination/service fee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Settlement fee</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Redemption service fee</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FX spread/service fee</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Treasury/liquidity services</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Corporate settlement account fees</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API/connectivity fees</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Reconciliation/reporting services</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Institutional wallet administration</w:t>
            </w:r>
          </w:p>
        </w:tc>
      </w:tr>
    </w:tbl>
    <w:p/>
    <w:p>
      <w:pPr>
        <w:pStyle w:val="Heading3"/>
      </w:pPr>
      <w:r>
        <w:t>§29.3 MITHQAL Revenue Opportunities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Revenue Stream</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Issuance infrastructure fee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Settlement infrastructure fee</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Redemption infrastructure fee</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Institutional connectivity</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API infrastructure</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Enterprise infrastructure</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Compliance/attestation infrastructure</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Network services</w:t>
            </w:r>
          </w:p>
        </w:tc>
      </w:tr>
    </w:tbl>
    <w:p/>
    <w:p>
      <w:pPr>
        <w:pStyle w:val="Heading3"/>
      </w:pPr>
      <w:r>
        <w:t>§29.4 Fundamental Rule</w:t>
      </w:r>
    </w:p>
    <w:p>
      <w:pPr>
        <w:spacing w:before="120" w:after="120"/>
        <w:ind w:left="567" w:right="567"/>
        <w:pBdr>
          <w:left w:val="single" w:sz="24" w:space="8" w:color="C59B1E"/>
        </w:pBdr>
        <w:shd w:fill="FFFBF0"/>
      </w:pPr>
      <w:r>
        <w:rPr>
          <w:b/>
          <w:i/>
          <w:color w:val="1A365F"/>
          <w:sz w:val="22"/>
        </w:rPr>
        <w:t>**Revenue must never influence monetary issuance.**</w:t>
      </w:r>
    </w:p>
    <w:p>
      <w:r>
        <w:t>The sequence must remain:</w:t>
      </w:r>
    </w:p>
    <w:p>
      <w:pPr>
        <w:pStyle w:val="ListNumber"/>
        <w:ind w:left="425"/>
      </w:pPr>
      <w:r>
        <w:t>Legal eligibility</w:t>
      </w:r>
    </w:p>
    <w:p>
      <w:pPr>
        <w:pStyle w:val="ListNumber"/>
        <w:ind w:left="425"/>
      </w:pPr>
      <w:r>
        <w:t>Institutional authorization</w:t>
      </w:r>
    </w:p>
    <w:p>
      <w:pPr>
        <w:pStyle w:val="ListNumber"/>
        <w:ind w:left="425"/>
      </w:pPr>
      <w:r>
        <w:t>Reserve/funding verification</w:t>
      </w:r>
    </w:p>
    <w:p>
      <w:pPr>
        <w:pStyle w:val="ListNumber"/>
        <w:ind w:left="425"/>
      </w:pPr>
      <w:r>
        <w:t>Risk checks</w:t>
      </w:r>
    </w:p>
    <w:p>
      <w:pPr>
        <w:pStyle w:val="ListNumber"/>
        <w:ind w:left="425"/>
      </w:pPr>
      <w:r>
        <w:t>Issuance</w:t>
      </w:r>
    </w:p>
    <w:p>
      <w:pPr>
        <w:pStyle w:val="ListNumber"/>
        <w:ind w:left="425"/>
      </w:pPr>
      <w:r>
        <w:t>Fee accounting</w:t>
      </w:r>
    </w:p>
    <w:p>
      <w:r>
        <w:rPr>
          <w:b/>
        </w:rPr>
        <w:t>NEVER:</w:t>
      </w:r>
      <w:r>
        <w:t xml:space="preserve"> Fee paid → MTQ issued.</w:t>
      </w:r>
    </w:p>
    <w:p>
      <w:r>
        <w:t>This protects the constitutional no-discretionary-minting principle.</w:t>
      </w:r>
    </w:p>
    <w:p>
      <w:pPr>
        <w:pStyle w:val="Heading3"/>
      </w:pPr>
      <w:r>
        <w:t>§29.5 Non-Compete Principle</w:t>
      </w:r>
    </w:p>
    <w:p>
      <w:pPr>
        <w:spacing w:before="120" w:after="120"/>
        <w:ind w:left="567" w:right="567"/>
        <w:pBdr>
          <w:left w:val="single" w:sz="24" w:space="8" w:color="C59B1E"/>
        </w:pBdr>
        <w:shd w:fill="FFFBF0"/>
      </w:pPr>
      <w:r>
        <w:rPr>
          <w:b/>
          <w:i/>
          <w:color w:val="1A365F"/>
          <w:sz w:val="22"/>
        </w:rPr>
        <w:t>**MITHQAL makes banks more useful, not less useful.**</w:t>
      </w:r>
    </w:p>
    <w:p>
      <w:r>
        <w:t>Banks retain: customers, accounts, KYC, deposits, FX, treasury, lending, corporate services.</w:t>
      </w:r>
    </w:p>
    <w:p>
      <w:r>
        <w:t>MITHQAL gives them: neutral cross-border settlement, potentially lower settlement friction, more efficient reconciliation, institutional MTQ infrastructure, cross-CBDC interoperability.</w:t>
      </w:r>
    </w:p>
    <w:p>
      <w:r>
        <w:rPr>
          <w:b/>
        </w:rPr>
        <w:t>Commercial story:</w:t>
      </w:r>
      <w:r>
        <w:t xml:space="preserve"> MITHQAL + banks (economically aligned), not MITHQAL vs banks.</w:t>
      </w:r>
    </w:p>
    <w:p>
      <w:r>
        <w:rPr>
          <w:b/>
        </w:rPr>
        <w:t>Implementation Reference:</w:t>
      </w:r>
      <w:r>
        <w:t xml:space="preserve"> </w:t>
      </w:r>
      <w:r>
        <w:rPr>
          <w:rFonts w:ascii="Consolas" w:hAnsi="Consolas"/>
          <w:color w:val="6B6B6B"/>
          <w:sz w:val="19"/>
        </w:rPr>
        <w:t>src/lib/v25-0-privacy-revenue-principles.ts</w:t>
      </w:r>
      <w:r>
        <w:t xml:space="preserve"> → </w:t>
      </w:r>
      <w:r>
        <w:rPr>
          <w:rFonts w:ascii="Consolas" w:hAnsi="Consolas"/>
          <w:color w:val="6B6B6B"/>
          <w:sz w:val="19"/>
        </w:rPr>
        <w:t>BANK_REVENUE_MODEL</w:t>
      </w:r>
      <w:r>
        <w:t xml:space="preserve">, </w:t>
      </w:r>
      <w:r>
        <w:rPr>
          <w:rFonts w:ascii="Consolas" w:hAnsi="Consolas"/>
          <w:color w:val="6B6B6B"/>
          <w:sz w:val="19"/>
        </w:rPr>
        <w:t>NON_COMPETE_PRINCIPLE</w:t>
      </w:r>
    </w:p>
    <w:p>
      <w:pPr>
        <w:pBdr>
          <w:bottom w:val="single" w:sz="12" w:space="1" w:color="C59B1E"/>
        </w:pBdr>
      </w:pPr>
    </w:p>
    <w:p>
      <w:pPr>
        <w:pStyle w:val="Heading2"/>
      </w:pPr>
      <w:r>
        <w:t>§30 — MITHQAL OPERATING COMPANY</w:t>
      </w:r>
    </w:p>
    <w:p>
      <w:pPr>
        <w:pStyle w:val="Heading3"/>
      </w:pPr>
      <w:r>
        <w:t>§30.1 Role</w:t>
      </w:r>
    </w:p>
    <w:p>
      <w:r>
        <w:t xml:space="preserve">Formally introduce an </w:t>
      </w:r>
      <w:r>
        <w:rPr>
          <w:b/>
        </w:rPr>
        <w:t>MTQ Operating / Issuance Company</w:t>
      </w:r>
      <w:r>
        <w:t xml:space="preserve"> with a </w:t>
      </w:r>
      <w:r>
        <w:rPr>
          <w:b/>
        </w:rPr>
        <w:t>narrowly defined role</w:t>
      </w:r>
      <w:r>
        <w:t>.</w:t>
      </w:r>
    </w:p>
    <w:p>
      <w:pPr>
        <w:pStyle w:val="Heading3"/>
      </w:pPr>
      <w:r>
        <w:t>§30.2 What It Operates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Function</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Issuance infrastructure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Settlement infrastructure</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MTQ protocol</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Institutional connectivity</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Reserve administration</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Proof systems</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Operational systems</w:t>
            </w:r>
          </w:p>
        </w:tc>
      </w:tr>
    </w:tbl>
    <w:p/>
    <w:p>
      <w:pPr>
        <w:pStyle w:val="Heading3"/>
      </w:pPr>
      <w:r>
        <w:t>§30.3 What It Is NOT</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Prohibited Activity</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A bank</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The customer's primary banking relationship</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An FX dealer</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An exchange</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A broker</w:t>
            </w:r>
          </w:p>
        </w:tc>
      </w:tr>
    </w:tbl>
    <w:p/>
    <w:p>
      <w:pPr>
        <w:pStyle w:val="Heading3"/>
      </w:pPr>
      <w:r>
        <w:t>§30.4 Anti-Platform Doctrine</w:t>
      </w:r>
    </w:p>
    <w:p>
      <w:r>
        <w:t>This preserves the anti-platform doctrine already present in v24.2:</w:t>
      </w:r>
    </w:p>
    <w:p>
      <w:pPr>
        <w:pStyle w:val="ListBullet"/>
        <w:ind w:left="425"/>
      </w:pPr>
      <w:r>
        <w:t>No exchange operation</w:t>
      </w:r>
    </w:p>
    <w:p>
      <w:pPr>
        <w:pStyle w:val="ListBullet"/>
        <w:ind w:left="425"/>
      </w:pPr>
      <w:r>
        <w:t>No brokerage</w:t>
      </w:r>
    </w:p>
    <w:p>
      <w:pPr>
        <w:pStyle w:val="ListBullet"/>
        <w:ind w:left="425"/>
      </w:pPr>
      <w:r>
        <w:t>No lending</w:t>
      </w:r>
    </w:p>
    <w:p>
      <w:pPr>
        <w:pStyle w:val="ListBullet"/>
        <w:ind w:left="425"/>
      </w:pPr>
      <w:r>
        <w:t>No market making</w:t>
      </w:r>
    </w:p>
    <w:p>
      <w:pPr>
        <w:pStyle w:val="ListBullet"/>
        <w:ind w:left="425"/>
      </w:pPr>
      <w:r>
        <w:t>No DeFi</w:t>
      </w:r>
    </w:p>
    <w:p>
      <w:r>
        <w:rPr>
          <w:b/>
        </w:rPr>
        <w:t>Implementation Reference:</w:t>
      </w:r>
      <w:r>
        <w:t xml:space="preserve"> </w:t>
      </w:r>
      <w:r>
        <w:rPr>
          <w:rFonts w:ascii="Consolas" w:hAnsi="Consolas"/>
          <w:color w:val="6B6B6B"/>
          <w:sz w:val="19"/>
        </w:rPr>
        <w:t>src/lib/v25-0-privacy-revenue-principles.ts</w:t>
      </w:r>
      <w:r>
        <w:t xml:space="preserve"> → </w:t>
      </w:r>
      <w:r>
        <w:rPr>
          <w:rFonts w:ascii="Consolas" w:hAnsi="Consolas"/>
          <w:color w:val="6B6B6B"/>
          <w:sz w:val="19"/>
        </w:rPr>
        <w:t>MITHQAL_OPERATING_COMPANY</w:t>
      </w:r>
    </w:p>
    <w:p>
      <w:pPr>
        <w:pBdr>
          <w:bottom w:val="single" w:sz="12" w:space="1" w:color="C59B1E"/>
        </w:pBdr>
      </w:pPr>
    </w:p>
    <w:p>
      <w:r>
        <w:br w:type="page"/>
      </w:r>
    </w:p>
    <w:p>
      <w:pPr>
        <w:jc w:val="center"/>
      </w:pPr>
      <w:r>
        <w:rPr>
          <w:b/>
          <w:color w:val="1A365F"/>
          <w:sz w:val="44"/>
        </w:rPr>
        <w:t>PART IV — RESERVE ARCHITECTURE (Preserved from v24.2.1-FINAL)</w:t>
      </w:r>
    </w:p>
    <w:p>
      <w:pPr>
        <w:pBdr>
          <w:bottom w:val="single" w:sz="18" w:space="1" w:color="1A365F"/>
        </w:pBdr>
      </w:pPr>
    </w:p>
    <w:p>
      <w:pPr>
        <w:pStyle w:val="Heading2"/>
      </w:pPr>
      <w:r>
        <w:t>§31 — RESERVE ARCHITECTURE OVERVIEW</w:t>
      </w:r>
    </w:p>
    <w:p>
      <w:pPr>
        <w:pStyle w:val="Heading3"/>
      </w:pPr>
      <w:r>
        <w:t>§31.1 Three-Pillar Structure (Preserved)</w:t>
      </w:r>
    </w:p>
    <w:p>
      <w:pPr>
        <w:ind w:left="283"/>
        <w:shd w:fill="F5F5F5"/>
      </w:pPr>
      <w:r>
        <w:rPr>
          <w:rFonts w:ascii="Consolas" w:hAnsi="Consolas"/>
          <w:color w:val="6B6B6B"/>
          <w:sz w:val="18"/>
        </w:rPr>
        <w:t>┌─────────────────────────────────────────────────┐</w:t>
        <w:br/>
        <w:t>│              TOTAL RESERVE = 100%                │</w:t>
        <w:br/>
        <w:t>├───────────────┬──────────────┬──────────────────┤</w:t>
        <w:br/>
        <w:t>│   BULLION     │     FIAT     │    DIGITAL       │</w:t>
        <w:br/>
        <w:t>│   (15-25%)    │   (70-85%)   │    (0-5%)        │</w:t>
        <w:br/>
        <w:t>│               │              │                  │</w:t>
        <w:br/>
        <w:t>│ • Gold Phys   │ • USD        │ • USDC           │</w:t>
        <w:br/>
        <w:t>│ • Gold Tok    │ • EUR        │ • USDP           │</w:t>
        <w:br/>
        <w:t>│   (PAXG)      │ • JPY        │ • EURC           │</w:t>
        <w:br/>
        <w:t>│ • Silver      │ • GBP        │ • BUIDL          │</w:t>
        <w:br/>
        <w:t>│   (0-3%)      │ • CHF, SGD   │                  │</w:t>
        <w:br/>
        <w:t>│               │ • AED, SAR   │                  │</w:t>
        <w:br/>
        <w:t>│               │ • CNY, CAD   │                  │</w:t>
        <w:br/>
        <w:t>│               │ • AUD        │                  │</w:t>
        <w:br/>
        <w:t>└───────────────┴──────────────┴──────────────────┘</w:t>
      </w:r>
    </w:p>
    <w:p>
      <w:pPr>
        <w:pStyle w:val="Heading3"/>
      </w:pPr>
      <w:r>
        <w:t>§31.2 Strategic Target Weights (Portfolio B — APPROVED CANDIDATE)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Asset</w:t>
            </w:r>
          </w:p>
        </w:tc>
        <w:tc>
          <w:tcPr>
            <w:tcW w:type="dxa" w:w="3024"/>
            <w:shd w:fill="1A365F"/>
            <w:vAlign w:val="center"/>
          </w:tcPr>
          <w:p>
            <w:pPr>
              <w:jc w:val="left"/>
            </w:pPr>
            <w:r/>
            <w:r>
              <w:rPr>
                <w:rFonts w:ascii="Calibri" w:hAnsi="Calibri"/>
                <w:b/>
                <w:color w:val="FFFFFF"/>
                <w:sz w:val="18"/>
              </w:rPr>
              <w:t>Weight</w:t>
            </w:r>
          </w:p>
        </w:tc>
        <w:tc>
          <w:tcPr>
            <w:tcW w:type="dxa" w:w="3024"/>
            <w:shd w:fill="1A365F"/>
            <w:vAlign w:val="center"/>
          </w:tcPr>
          <w:p>
            <w:pPr>
              <w:jc w:val="left"/>
            </w:pPr>
            <w:r/>
            <w:r>
              <w:rPr>
                <w:rFonts w:ascii="Calibri" w:hAnsi="Calibri"/>
                <w:b/>
                <w:color w:val="FFFFFF"/>
                <w:sz w:val="18"/>
              </w:rPr>
              <w:t>Class</w:t>
            </w:r>
          </w:p>
        </w:tc>
      </w:tr>
      <w:tr>
        <w:tc>
          <w:tcPr>
            <w:tcW w:type="dxa" w:w="3024"/>
            <w:vAlign w:val="center"/>
          </w:tcPr>
          <w:p>
            <w:pPr>
              <w:jc w:val="left"/>
            </w:pPr>
            <w:r/>
            <w:r>
              <w:rPr>
                <w:rFonts w:ascii="Calibri" w:hAnsi="Calibri"/>
                <w:color w:val="2D2D2D"/>
                <w:sz w:val="18"/>
              </w:rPr>
              <w:t>Physical Gold (allocated)</w:t>
            </w:r>
          </w:p>
        </w:tc>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Bullion</w:t>
            </w:r>
          </w:p>
        </w:tc>
      </w:tr>
      <w:tr>
        <w:tc>
          <w:tcPr>
            <w:tcW w:type="dxa" w:w="3024"/>
            <w:shd w:fill="F0F0F0"/>
            <w:vAlign w:val="center"/>
          </w:tcPr>
          <w:p>
            <w:pPr>
              <w:jc w:val="left"/>
            </w:pPr>
            <w:r/>
            <w:r>
              <w:rPr>
                <w:rFonts w:ascii="Calibri" w:hAnsi="Calibri"/>
                <w:color w:val="2D2D2D"/>
                <w:sz w:val="18"/>
              </w:rPr>
              <w:t>Tokenized Gold (PAXG)</w:t>
            </w:r>
          </w:p>
        </w:tc>
        <w:tc>
          <w:tcPr>
            <w:tcW w:type="dxa" w:w="3024"/>
            <w:shd w:fill="F0F0F0"/>
            <w:vAlign w:val="center"/>
          </w:tcPr>
          <w:p>
            <w:pPr>
              <w:jc w:val="left"/>
            </w:pPr>
            <w:r/>
            <w:r>
              <w:rPr>
                <w:rFonts w:ascii="Calibri" w:hAnsi="Calibri"/>
                <w:color w:val="2D2D2D"/>
                <w:sz w:val="18"/>
              </w:rPr>
              <w:t>5%</w:t>
            </w:r>
          </w:p>
        </w:tc>
        <w:tc>
          <w:tcPr>
            <w:tcW w:type="dxa" w:w="3024"/>
            <w:shd w:fill="F0F0F0"/>
            <w:vAlign w:val="center"/>
          </w:tcPr>
          <w:p>
            <w:pPr>
              <w:jc w:val="left"/>
            </w:pPr>
            <w:r/>
            <w:r>
              <w:rPr>
                <w:rFonts w:ascii="Calibri" w:hAnsi="Calibri"/>
                <w:color w:val="2D2D2D"/>
                <w:sz w:val="18"/>
              </w:rPr>
              <w:t>Bullion</w:t>
            </w:r>
          </w:p>
        </w:tc>
      </w:tr>
      <w:tr>
        <w:tc>
          <w:tcPr>
            <w:tcW w:type="dxa" w:w="3024"/>
            <w:vAlign w:val="center"/>
          </w:tcPr>
          <w:p>
            <w:pPr>
              <w:jc w:val="left"/>
            </w:pPr>
            <w:r/>
            <w:r>
              <w:rPr>
                <w:rFonts w:ascii="Calibri" w:hAnsi="Calibri"/>
                <w:color w:val="2D2D2D"/>
                <w:sz w:val="18"/>
              </w:rPr>
              <w:t>Silver</w:t>
            </w:r>
          </w:p>
        </w:tc>
        <w:tc>
          <w:tcPr>
            <w:tcW w:type="dxa" w:w="3024"/>
            <w:vAlign w:val="center"/>
          </w:tcPr>
          <w:p>
            <w:pPr>
              <w:jc w:val="left"/>
            </w:pPr>
            <w:r/>
            <w:r>
              <w:rPr>
                <w:rFonts w:ascii="Calibri" w:hAnsi="Calibri"/>
                <w:color w:val="2D2D2D"/>
                <w:sz w:val="18"/>
              </w:rPr>
              <w:t>0% (conditional)</w:t>
            </w:r>
          </w:p>
        </w:tc>
        <w:tc>
          <w:tcPr>
            <w:tcW w:type="dxa" w:w="3024"/>
            <w:vAlign w:val="center"/>
          </w:tcPr>
          <w:p>
            <w:pPr>
              <w:jc w:val="left"/>
            </w:pPr>
            <w:r/>
            <w:r>
              <w:rPr>
                <w:rFonts w:ascii="Calibri" w:hAnsi="Calibri"/>
                <w:color w:val="2D2D2D"/>
                <w:sz w:val="18"/>
              </w:rPr>
              <w:t>Bullion</w:t>
            </w:r>
          </w:p>
        </w:tc>
      </w:tr>
      <w:tr>
        <w:tc>
          <w:tcPr>
            <w:tcW w:type="dxa" w:w="3024"/>
            <w:shd w:fill="F0F0F0"/>
            <w:vAlign w:val="center"/>
          </w:tcPr>
          <w:p>
            <w:pPr>
              <w:jc w:val="left"/>
            </w:pPr>
            <w:r/>
            <w:r>
              <w:rPr>
                <w:rFonts w:ascii="Calibri" w:hAnsi="Calibri"/>
                <w:color w:val="2D2D2D"/>
                <w:sz w:val="18"/>
              </w:rPr>
              <w:t>Fiat (10-currency basket)</w:t>
            </w:r>
          </w:p>
        </w:tc>
        <w:tc>
          <w:tcPr>
            <w:tcW w:type="dxa" w:w="3024"/>
            <w:shd w:fill="F0F0F0"/>
            <w:vAlign w:val="center"/>
          </w:tcPr>
          <w:p>
            <w:pPr>
              <w:jc w:val="left"/>
            </w:pPr>
            <w:r/>
            <w:r>
              <w:rPr>
                <w:rFonts w:ascii="Calibri" w:hAnsi="Calibri"/>
                <w:color w:val="2D2D2D"/>
                <w:sz w:val="18"/>
              </w:rPr>
              <w:t>77.5%</w:t>
            </w:r>
          </w:p>
        </w:tc>
        <w:tc>
          <w:tcPr>
            <w:tcW w:type="dxa" w:w="3024"/>
            <w:shd w:fill="F0F0F0"/>
            <w:vAlign w:val="center"/>
          </w:tcPr>
          <w:p>
            <w:pPr>
              <w:jc w:val="left"/>
            </w:pPr>
            <w:r/>
            <w:r>
              <w:rPr>
                <w:rFonts w:ascii="Calibri" w:hAnsi="Calibri"/>
                <w:color w:val="2D2D2D"/>
                <w:sz w:val="18"/>
              </w:rPr>
              <w:t>Fiat</w:t>
            </w:r>
          </w:p>
        </w:tc>
      </w:tr>
      <w:tr>
        <w:tc>
          <w:tcPr>
            <w:tcW w:type="dxa" w:w="3024"/>
            <w:vAlign w:val="center"/>
          </w:tcPr>
          <w:p>
            <w:pPr>
              <w:jc w:val="left"/>
            </w:pPr>
            <w:r/>
            <w:r>
              <w:rPr>
                <w:rFonts w:ascii="Calibri" w:hAnsi="Calibri"/>
                <w:color w:val="2D2D2D"/>
                <w:sz w:val="18"/>
              </w:rPr>
              <w:t>Digital (stablecoins + BUIDL)</w:t>
            </w:r>
          </w:p>
        </w:tc>
        <w:tc>
          <w:tcPr>
            <w:tcW w:type="dxa" w:w="3024"/>
            <w:vAlign w:val="center"/>
          </w:tcPr>
          <w:p>
            <w:pPr>
              <w:jc w:val="left"/>
            </w:pPr>
            <w:r/>
            <w:r>
              <w:rPr>
                <w:rFonts w:ascii="Calibri" w:hAnsi="Calibri"/>
                <w:color w:val="2D2D2D"/>
                <w:sz w:val="18"/>
              </w:rPr>
              <w:t>2.5%</w:t>
            </w:r>
          </w:p>
        </w:tc>
        <w:tc>
          <w:tcPr>
            <w:tcW w:type="dxa" w:w="3024"/>
            <w:vAlign w:val="center"/>
          </w:tcPr>
          <w:p>
            <w:pPr>
              <w:jc w:val="left"/>
            </w:pPr>
            <w:r/>
            <w:r>
              <w:rPr>
                <w:rFonts w:ascii="Calibri" w:hAnsi="Calibri"/>
                <w:color w:val="2D2D2D"/>
                <w:sz w:val="18"/>
              </w:rPr>
              <w:t>Digital</w:t>
            </w:r>
          </w:p>
        </w:tc>
      </w:tr>
      <w:tr>
        <w:tc>
          <w:tcPr>
            <w:tcW w:type="dxa" w:w="3024"/>
            <w:shd w:fill="F0F0F0"/>
            <w:vAlign w:val="center"/>
          </w:tcPr>
          <w:p>
            <w:pPr>
              <w:jc w:val="left"/>
            </w:pPr>
            <w:r/>
            <w:r>
              <w:rPr>
                <w:rFonts w:ascii="Calibri" w:hAnsi="Calibri"/>
                <w:color w:val="2D2D2D"/>
                <w:sz w:val="18"/>
              </w:rPr>
              <w:t>**Total**</w:t>
            </w:r>
          </w:p>
        </w:tc>
        <w:tc>
          <w:tcPr>
            <w:tcW w:type="dxa" w:w="3024"/>
            <w:shd w:fill="F0F0F0"/>
            <w:vAlign w:val="center"/>
          </w:tcPr>
          <w:p>
            <w:pPr>
              <w:jc w:val="left"/>
            </w:pPr>
            <w:r/>
            <w:r>
              <w:rPr>
                <w:rFonts w:ascii="Calibri" w:hAnsi="Calibri"/>
                <w:color w:val="2D2D2D"/>
                <w:sz w:val="18"/>
              </w:rPr>
              <w:t>**100%**</w:t>
            </w:r>
          </w:p>
        </w:tc>
        <w:tc>
          <w:tcPr>
            <w:tcW w:type="dxa" w:w="3024"/>
            <w:shd w:fill="F0F0F0"/>
            <w:vAlign w:val="center"/>
          </w:tcPr>
          <w:p>
            <w:pPr>
              <w:jc w:val="left"/>
            </w:pPr>
            <w:r/>
            <w:r>
              <w:rPr>
                <w:rFonts w:ascii="Calibri" w:hAnsi="Calibri"/>
                <w:color w:val="2D2D2D"/>
                <w:sz w:val="18"/>
              </w:rPr>
            </w:r>
          </w:p>
        </w:tc>
      </w:tr>
    </w:tbl>
    <w:p/>
    <w:p>
      <w:pPr>
        <w:pStyle w:val="Heading3"/>
      </w:pPr>
      <w:r>
        <w:t>§31.3 Gold Total Identity</w:t>
      </w:r>
    </w:p>
    <w:p>
      <w:pPr>
        <w:ind w:left="283"/>
        <w:shd w:fill="F5F5F5"/>
      </w:pPr>
      <w:r>
        <w:rPr>
          <w:rFonts w:ascii="Consolas" w:hAnsi="Consolas"/>
          <w:color w:val="6B6B6B"/>
          <w:sz w:val="18"/>
        </w:rPr>
        <w:t>Gold_total = PhysicalAllocatedGold + TokenizedAllocatedGold</w:t>
        <w:br/>
        <w:br/>
        <w:t>Portfolio B: Gold_total = 15% + 5% = 20%</w:t>
      </w:r>
    </w:p>
    <w:p>
      <w:pPr>
        <w:pStyle w:val="Heading3"/>
      </w:pPr>
      <w:r>
        <w:t>§31.4 Constitutional Ranges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Pillar</w:t>
            </w:r>
          </w:p>
        </w:tc>
        <w:tc>
          <w:tcPr>
            <w:tcW w:type="dxa" w:w="3024"/>
            <w:shd w:fill="1A365F"/>
            <w:vAlign w:val="center"/>
          </w:tcPr>
          <w:p>
            <w:pPr>
              <w:jc w:val="left"/>
            </w:pPr>
            <w:r/>
            <w:r>
              <w:rPr>
                <w:rFonts w:ascii="Calibri" w:hAnsi="Calibri"/>
                <w:b/>
                <w:color w:val="FFFFFF"/>
                <w:sz w:val="18"/>
              </w:rPr>
              <w:t>Min</w:t>
            </w:r>
          </w:p>
        </w:tc>
        <w:tc>
          <w:tcPr>
            <w:tcW w:type="dxa" w:w="3024"/>
            <w:shd w:fill="1A365F"/>
            <w:vAlign w:val="center"/>
          </w:tcPr>
          <w:p>
            <w:pPr>
              <w:jc w:val="left"/>
            </w:pPr>
            <w:r/>
            <w:r>
              <w:rPr>
                <w:rFonts w:ascii="Calibri" w:hAnsi="Calibri"/>
                <w:b/>
                <w:color w:val="FFFFFF"/>
                <w:sz w:val="18"/>
              </w:rPr>
              <w:t>Max</w:t>
            </w:r>
          </w:p>
        </w:tc>
      </w:tr>
      <w:tr>
        <w:tc>
          <w:tcPr>
            <w:tcW w:type="dxa" w:w="3024"/>
            <w:vAlign w:val="center"/>
          </w:tcPr>
          <w:p>
            <w:pPr>
              <w:jc w:val="left"/>
            </w:pPr>
            <w:r/>
            <w:r>
              <w:rPr>
                <w:rFonts w:ascii="Calibri" w:hAnsi="Calibri"/>
                <w:color w:val="2D2D2D"/>
                <w:sz w:val="18"/>
              </w:rPr>
              <w:t>Bullion (B)</w:t>
            </w:r>
          </w:p>
        </w:tc>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25%</w:t>
            </w:r>
          </w:p>
        </w:tc>
      </w:tr>
      <w:tr>
        <w:tc>
          <w:tcPr>
            <w:tcW w:type="dxa" w:w="3024"/>
            <w:shd w:fill="F0F0F0"/>
            <w:vAlign w:val="center"/>
          </w:tcPr>
          <w:p>
            <w:pPr>
              <w:jc w:val="left"/>
            </w:pPr>
            <w:r/>
            <w:r>
              <w:rPr>
                <w:rFonts w:ascii="Calibri" w:hAnsi="Calibri"/>
                <w:color w:val="2D2D2D"/>
                <w:sz w:val="18"/>
              </w:rPr>
              <w:t>Fiat (F)</w:t>
            </w:r>
          </w:p>
        </w:tc>
        <w:tc>
          <w:tcPr>
            <w:tcW w:type="dxa" w:w="3024"/>
            <w:shd w:fill="F0F0F0"/>
            <w:vAlign w:val="center"/>
          </w:tcPr>
          <w:p>
            <w:pPr>
              <w:jc w:val="left"/>
            </w:pPr>
            <w:r/>
            <w:r>
              <w:rPr>
                <w:rFonts w:ascii="Calibri" w:hAnsi="Calibri"/>
                <w:color w:val="2D2D2D"/>
                <w:sz w:val="18"/>
              </w:rPr>
              <w:t>70%</w:t>
            </w:r>
          </w:p>
        </w:tc>
        <w:tc>
          <w:tcPr>
            <w:tcW w:type="dxa" w:w="3024"/>
            <w:shd w:fill="F0F0F0"/>
            <w:vAlign w:val="center"/>
          </w:tcPr>
          <w:p>
            <w:pPr>
              <w:jc w:val="left"/>
            </w:pPr>
            <w:r/>
            <w:r>
              <w:rPr>
                <w:rFonts w:ascii="Calibri" w:hAnsi="Calibri"/>
                <w:color w:val="2D2D2D"/>
                <w:sz w:val="18"/>
              </w:rPr>
              <w:t>85%</w:t>
            </w:r>
          </w:p>
        </w:tc>
      </w:tr>
      <w:tr>
        <w:tc>
          <w:tcPr>
            <w:tcW w:type="dxa" w:w="3024"/>
            <w:vAlign w:val="center"/>
          </w:tcPr>
          <w:p>
            <w:pPr>
              <w:jc w:val="left"/>
            </w:pPr>
            <w:r/>
            <w:r>
              <w:rPr>
                <w:rFonts w:ascii="Calibri" w:hAnsi="Calibri"/>
                <w:color w:val="2D2D2D"/>
                <w:sz w:val="18"/>
              </w:rPr>
              <w:t>Digital (D)</w:t>
            </w:r>
          </w:p>
        </w:tc>
        <w:tc>
          <w:tcPr>
            <w:tcW w:type="dxa" w:w="3024"/>
            <w:vAlign w:val="center"/>
          </w:tcPr>
          <w:p>
            <w:pPr>
              <w:jc w:val="left"/>
            </w:pPr>
            <w:r/>
            <w:r>
              <w:rPr>
                <w:rFonts w:ascii="Calibri" w:hAnsi="Calibri"/>
                <w:color w:val="2D2D2D"/>
                <w:sz w:val="18"/>
              </w:rPr>
              <w:t>0%</w:t>
            </w:r>
          </w:p>
        </w:tc>
        <w:tc>
          <w:tcPr>
            <w:tcW w:type="dxa" w:w="3024"/>
            <w:vAlign w:val="center"/>
          </w:tcPr>
          <w:p>
            <w:pPr>
              <w:jc w:val="left"/>
            </w:pPr>
            <w:r/>
            <w:r>
              <w:rPr>
                <w:rFonts w:ascii="Calibri" w:hAnsi="Calibri"/>
                <w:color w:val="2D2D2D"/>
                <w:sz w:val="18"/>
              </w:rPr>
              <w:t>5%</w:t>
            </w:r>
          </w:p>
        </w:tc>
      </w:tr>
    </w:tbl>
    <w:p/>
    <w:p>
      <w:r>
        <w:rPr>
          <w:b/>
        </w:rPr>
        <w:t>Reserve conservation:</w:t>
      </w:r>
      <w:r>
        <w:t xml:space="preserve"> B + F + D = 100%</w:t>
      </w:r>
    </w:p>
    <w:p>
      <w:pPr>
        <w:pStyle w:val="Heading3"/>
      </w:pPr>
      <w:r>
        <w:t>§31.5 Haircut Table (v24.2.1 §3.4 — Preserved)</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Asset</w:t>
            </w:r>
          </w:p>
        </w:tc>
        <w:tc>
          <w:tcPr>
            <w:tcW w:type="dxa" w:w="3024"/>
            <w:shd w:fill="1A365F"/>
            <w:vAlign w:val="center"/>
          </w:tcPr>
          <w:p>
            <w:pPr>
              <w:jc w:val="left"/>
            </w:pPr>
            <w:r/>
            <w:r>
              <w:rPr>
                <w:rFonts w:ascii="Calibri" w:hAnsi="Calibri"/>
                <w:b/>
                <w:color w:val="FFFFFF"/>
                <w:sz w:val="18"/>
              </w:rPr>
              <w:t>Haircut</w:t>
            </w:r>
          </w:p>
        </w:tc>
        <w:tc>
          <w:tcPr>
            <w:tcW w:type="dxa" w:w="3024"/>
            <w:shd w:fill="1A365F"/>
            <w:vAlign w:val="center"/>
          </w:tcPr>
          <w:p>
            <w:pPr>
              <w:jc w:val="left"/>
            </w:pPr>
            <w:r/>
            <w:r>
              <w:rPr>
                <w:rFonts w:ascii="Calibri" w:hAnsi="Calibri"/>
                <w:b/>
                <w:color w:val="FFFFFF"/>
                <w:sz w:val="18"/>
              </w:rPr>
              <w:t>Stress Coefficient</w:t>
            </w:r>
          </w:p>
        </w:tc>
      </w:tr>
      <w:tr>
        <w:tc>
          <w:tcPr>
            <w:tcW w:type="dxa" w:w="3024"/>
            <w:vAlign w:val="center"/>
          </w:tcPr>
          <w:p>
            <w:pPr>
              <w:jc w:val="left"/>
            </w:pPr>
            <w:r/>
            <w:r>
              <w:rPr>
                <w:rFonts w:ascii="Calibri" w:hAnsi="Calibri"/>
                <w:color w:val="2D2D2D"/>
                <w:sz w:val="18"/>
              </w:rPr>
              <w:t>Physical Gold</w:t>
            </w:r>
          </w:p>
        </w:tc>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0.85</w:t>
            </w:r>
          </w:p>
        </w:tc>
      </w:tr>
      <w:tr>
        <w:tc>
          <w:tcPr>
            <w:tcW w:type="dxa" w:w="3024"/>
            <w:shd w:fill="F0F0F0"/>
            <w:vAlign w:val="center"/>
          </w:tcPr>
          <w:p>
            <w:pPr>
              <w:jc w:val="left"/>
            </w:pPr>
            <w:r/>
            <w:r>
              <w:rPr>
                <w:rFonts w:ascii="Calibri" w:hAnsi="Calibri"/>
                <w:color w:val="2D2D2D"/>
                <w:sz w:val="18"/>
              </w:rPr>
              <w:t>Tokenized Gold (PAXG)</w:t>
            </w:r>
          </w:p>
        </w:tc>
        <w:tc>
          <w:tcPr>
            <w:tcW w:type="dxa" w:w="3024"/>
            <w:shd w:fill="F0F0F0"/>
            <w:vAlign w:val="center"/>
          </w:tcPr>
          <w:p>
            <w:pPr>
              <w:jc w:val="left"/>
            </w:pPr>
            <w:r/>
            <w:r>
              <w:rPr>
                <w:rFonts w:ascii="Calibri" w:hAnsi="Calibri"/>
                <w:color w:val="2D2D2D"/>
                <w:sz w:val="18"/>
              </w:rPr>
              <w:t>5.5%</w:t>
            </w:r>
          </w:p>
        </w:tc>
        <w:tc>
          <w:tcPr>
            <w:tcW w:type="dxa" w:w="3024"/>
            <w:shd w:fill="F0F0F0"/>
            <w:vAlign w:val="center"/>
          </w:tcPr>
          <w:p>
            <w:pPr>
              <w:jc w:val="left"/>
            </w:pPr>
            <w:r/>
            <w:r>
              <w:rPr>
                <w:rFonts w:ascii="Calibri" w:hAnsi="Calibri"/>
                <w:color w:val="2D2D2D"/>
                <w:sz w:val="18"/>
              </w:rPr>
              <w:t>0.83</w:t>
            </w:r>
          </w:p>
        </w:tc>
      </w:tr>
      <w:tr>
        <w:tc>
          <w:tcPr>
            <w:tcW w:type="dxa" w:w="3024"/>
            <w:vAlign w:val="center"/>
          </w:tcPr>
          <w:p>
            <w:pPr>
              <w:jc w:val="left"/>
            </w:pPr>
            <w:r/>
            <w:r>
              <w:rPr>
                <w:rFonts w:ascii="Calibri" w:hAnsi="Calibri"/>
                <w:color w:val="2D2D2D"/>
                <w:sz w:val="18"/>
              </w:rPr>
              <w:t>Silver</w:t>
            </w:r>
          </w:p>
        </w:tc>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0.80</w:t>
            </w:r>
          </w:p>
        </w:tc>
      </w:tr>
      <w:tr>
        <w:tc>
          <w:tcPr>
            <w:tcW w:type="dxa" w:w="3024"/>
            <w:shd w:fill="F0F0F0"/>
            <w:vAlign w:val="center"/>
          </w:tcPr>
          <w:p>
            <w:pPr>
              <w:jc w:val="left"/>
            </w:pPr>
            <w:r/>
            <w:r>
              <w:rPr>
                <w:rFonts w:ascii="Calibri" w:hAnsi="Calibri"/>
                <w:color w:val="2D2D2D"/>
                <w:sz w:val="18"/>
              </w:rPr>
              <w:t>USD</w:t>
            </w:r>
          </w:p>
        </w:tc>
        <w:tc>
          <w:tcPr>
            <w:tcW w:type="dxa" w:w="3024"/>
            <w:shd w:fill="F0F0F0"/>
            <w:vAlign w:val="center"/>
          </w:tcPr>
          <w:p>
            <w:pPr>
              <w:jc w:val="left"/>
            </w:pPr>
            <w:r/>
            <w:r>
              <w:rPr>
                <w:rFonts w:ascii="Calibri" w:hAnsi="Calibri"/>
                <w:color w:val="2D2D2D"/>
                <w:sz w:val="18"/>
              </w:rPr>
              <w:t>0%</w:t>
            </w:r>
          </w:p>
        </w:tc>
        <w:tc>
          <w:tcPr>
            <w:tcW w:type="dxa" w:w="3024"/>
            <w:shd w:fill="F0F0F0"/>
            <w:vAlign w:val="center"/>
          </w:tcPr>
          <w:p>
            <w:pPr>
              <w:jc w:val="left"/>
            </w:pPr>
            <w:r/>
            <w:r>
              <w:rPr>
                <w:rFonts w:ascii="Calibri" w:hAnsi="Calibri"/>
                <w:color w:val="2D2D2D"/>
                <w:sz w:val="18"/>
              </w:rPr>
              <w:t>0.95</w:t>
            </w:r>
          </w:p>
        </w:tc>
      </w:tr>
      <w:tr>
        <w:tc>
          <w:tcPr>
            <w:tcW w:type="dxa" w:w="3024"/>
            <w:vAlign w:val="center"/>
          </w:tcPr>
          <w:p>
            <w:pPr>
              <w:jc w:val="left"/>
            </w:pPr>
            <w:r/>
            <w:r>
              <w:rPr>
                <w:rFonts w:ascii="Calibri" w:hAnsi="Calibri"/>
                <w:color w:val="2D2D2D"/>
                <w:sz w:val="18"/>
              </w:rPr>
              <w:t>EUR</w:t>
            </w:r>
          </w:p>
        </w:tc>
        <w:tc>
          <w:tcPr>
            <w:tcW w:type="dxa" w:w="3024"/>
            <w:vAlign w:val="center"/>
          </w:tcPr>
          <w:p>
            <w:pPr>
              <w:jc w:val="left"/>
            </w:pPr>
            <w:r/>
            <w:r>
              <w:rPr>
                <w:rFonts w:ascii="Calibri" w:hAnsi="Calibri"/>
                <w:color w:val="2D2D2D"/>
                <w:sz w:val="18"/>
              </w:rPr>
              <w:t>2%</w:t>
            </w:r>
          </w:p>
        </w:tc>
        <w:tc>
          <w:tcPr>
            <w:tcW w:type="dxa" w:w="3024"/>
            <w:vAlign w:val="center"/>
          </w:tcPr>
          <w:p>
            <w:pPr>
              <w:jc w:val="left"/>
            </w:pPr>
            <w:r/>
            <w:r>
              <w:rPr>
                <w:rFonts w:ascii="Calibri" w:hAnsi="Calibri"/>
                <w:color w:val="2D2D2D"/>
                <w:sz w:val="18"/>
              </w:rPr>
              <w:t>0.90</w:t>
            </w:r>
          </w:p>
        </w:tc>
      </w:tr>
      <w:tr>
        <w:tc>
          <w:tcPr>
            <w:tcW w:type="dxa" w:w="3024"/>
            <w:shd w:fill="F0F0F0"/>
            <w:vAlign w:val="center"/>
          </w:tcPr>
          <w:p>
            <w:pPr>
              <w:jc w:val="left"/>
            </w:pPr>
            <w:r/>
            <w:r>
              <w:rPr>
                <w:rFonts w:ascii="Calibri" w:hAnsi="Calibri"/>
                <w:color w:val="2D2D2D"/>
                <w:sz w:val="18"/>
              </w:rPr>
              <w:t>Other FX</w:t>
            </w:r>
          </w:p>
        </w:tc>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0.90</w:t>
            </w:r>
          </w:p>
        </w:tc>
      </w:tr>
      <w:tr>
        <w:tc>
          <w:tcPr>
            <w:tcW w:type="dxa" w:w="3024"/>
            <w:vAlign w:val="center"/>
          </w:tcPr>
          <w:p>
            <w:pPr>
              <w:jc w:val="left"/>
            </w:pPr>
            <w:r/>
            <w:r>
              <w:rPr>
                <w:rFonts w:ascii="Calibri" w:hAnsi="Calibri"/>
                <w:color w:val="2D2D2D"/>
                <w:sz w:val="18"/>
              </w:rPr>
              <w:t>USDC/USDP/EURC</w:t>
            </w:r>
          </w:p>
        </w:tc>
        <w:tc>
          <w:tcPr>
            <w:tcW w:type="dxa" w:w="3024"/>
            <w:vAlign w:val="center"/>
          </w:tcPr>
          <w:p>
            <w:pPr>
              <w:jc w:val="left"/>
            </w:pPr>
            <w:r/>
            <w:r>
              <w:rPr>
                <w:rFonts w:ascii="Calibri" w:hAnsi="Calibri"/>
                <w:color w:val="2D2D2D"/>
                <w:sz w:val="18"/>
              </w:rPr>
              <w:t>2%</w:t>
            </w:r>
          </w:p>
        </w:tc>
        <w:tc>
          <w:tcPr>
            <w:tcW w:type="dxa" w:w="3024"/>
            <w:vAlign w:val="center"/>
          </w:tcPr>
          <w:p>
            <w:pPr>
              <w:jc w:val="left"/>
            </w:pPr>
            <w:r/>
            <w:r>
              <w:rPr>
                <w:rFonts w:ascii="Calibri" w:hAnsi="Calibri"/>
                <w:color w:val="2D2D2D"/>
                <w:sz w:val="18"/>
              </w:rPr>
              <w:t>0.80</w:t>
            </w:r>
          </w:p>
        </w:tc>
      </w:tr>
      <w:tr>
        <w:tc>
          <w:tcPr>
            <w:tcW w:type="dxa" w:w="3024"/>
            <w:shd w:fill="F0F0F0"/>
            <w:vAlign w:val="center"/>
          </w:tcPr>
          <w:p>
            <w:pPr>
              <w:jc w:val="left"/>
            </w:pPr>
            <w:r/>
            <w:r>
              <w:rPr>
                <w:rFonts w:ascii="Calibri" w:hAnsi="Calibri"/>
                <w:color w:val="2D2D2D"/>
                <w:sz w:val="18"/>
              </w:rPr>
              <w:t>BUIDL</w:t>
            </w:r>
          </w:p>
        </w:tc>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0.90</w:t>
            </w:r>
          </w:p>
        </w:tc>
      </w:tr>
    </w:tbl>
    <w:p/>
    <w:p>
      <w:pPr>
        <w:pStyle w:val="Heading3"/>
      </w:pPr>
      <w:r>
        <w:t>§31.6 Article X Liquidation Order (Preserved)</w:t>
      </w:r>
    </w:p>
    <w:p>
      <w:pPr>
        <w:ind w:left="283"/>
        <w:shd w:fill="F5F5F5"/>
      </w:pPr>
      <w:r>
        <w:rPr>
          <w:rFonts w:ascii="Consolas" w:hAnsi="Consolas"/>
          <w:color w:val="6B6B6B"/>
          <w:sz w:val="18"/>
        </w:rPr>
        <w:t>1. Eligible stablecoins (fastest, depeg risk if held)</w:t>
        <w:br/>
        <w:t>2. Cash (HQLA L1, 0% haircut)</w:t>
        <w:br/>
        <w:t>3. Short-duration sovereign (HQLA L2A, T+1)</w:t>
        <w:br/>
        <w:t>4. Non-USD FX (7 bps cost)</w:t>
        <w:br/>
        <w:t>5. Conditional Silver / Tokenized Conditional Metal (if held)</w:t>
        <w:br/>
        <w:t>6. Tokenized Gold (digital representation — liquidate before physical)</w:t>
        <w:br/>
        <w:t>7. Physical Gold LAST (requires Exhaustion Certificate)</w:t>
      </w:r>
    </w:p>
    <w:p>
      <w:pPr>
        <w:pBdr>
          <w:bottom w:val="single" w:sz="12" w:space="1" w:color="C59B1E"/>
        </w:pBdr>
      </w:pPr>
    </w:p>
    <w:p>
      <w:pPr>
        <w:pStyle w:val="Heading2"/>
      </w:pPr>
      <w:r>
        <w:t>§32 — CONSTITUTIONAL MATHEMATICAL INVARIANTS</w:t>
      </w:r>
    </w:p>
    <w:p>
      <w:pPr>
        <w:pStyle w:val="Heading3"/>
      </w:pPr>
      <w:r>
        <w:t>§32.1 Core Formulas (Preserved)</w:t>
      </w:r>
    </w:p>
    <w:p>
      <w:pPr>
        <w:ind w:left="283"/>
        <w:shd w:fill="F5F5F5"/>
      </w:pPr>
      <w:r>
        <w:rPr>
          <w:rFonts w:ascii="Consolas" w:hAnsi="Consolas"/>
          <w:color w:val="6B6B6B"/>
          <w:sz w:val="18"/>
        </w:rPr>
        <w:t>PAR = 1.00 USD</w:t>
        <w:br/>
        <w:t>L = S × PAR</w:t>
        <w:br/>
        <w:t>RR = R_a / L = R_a / (S × PAR)</w:t>
        <w:br/>
        <w:t>StressRR(s) = R_stress(s) / (S × PAR)</w:t>
      </w:r>
    </w:p>
    <w:p>
      <w:pPr>
        <w:pStyle w:val="Heading3"/>
      </w:pPr>
      <w:r>
        <w:t>§32.2 RR Hierarchy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Level</w:t>
            </w:r>
          </w:p>
        </w:tc>
        <w:tc>
          <w:tcPr>
            <w:tcW w:type="dxa" w:w="3024"/>
            <w:shd w:fill="1A365F"/>
            <w:vAlign w:val="center"/>
          </w:tcPr>
          <w:p>
            <w:pPr>
              <w:jc w:val="left"/>
            </w:pPr>
            <w:r/>
            <w:r>
              <w:rPr>
                <w:rFonts w:ascii="Calibri" w:hAnsi="Calibri"/>
                <w:b/>
                <w:color w:val="FFFFFF"/>
                <w:sz w:val="18"/>
              </w:rPr>
              <w:t>Value</w:t>
            </w:r>
          </w:p>
        </w:tc>
        <w:tc>
          <w:tcPr>
            <w:tcW w:type="dxa" w:w="3024"/>
            <w:shd w:fill="1A365F"/>
            <w:vAlign w:val="center"/>
          </w:tcPr>
          <w:p>
            <w:pPr>
              <w:jc w:val="left"/>
            </w:pPr>
            <w:r/>
            <w:r>
              <w:rPr>
                <w:rFonts w:ascii="Calibri" w:hAnsi="Calibri"/>
                <w:b/>
                <w:color w:val="FFFFFF"/>
                <w:sz w:val="18"/>
              </w:rPr>
              <w:t>Purpose</w:t>
            </w:r>
          </w:p>
        </w:tc>
      </w:tr>
      <w:tr>
        <w:tc>
          <w:tcPr>
            <w:tcW w:type="dxa" w:w="3024"/>
            <w:vAlign w:val="center"/>
          </w:tcPr>
          <w:p>
            <w:pPr>
              <w:jc w:val="left"/>
            </w:pPr>
            <w:r/>
            <w:r>
              <w:rPr>
                <w:rFonts w:ascii="Calibri" w:hAnsi="Calibri"/>
                <w:color w:val="2D2D2D"/>
                <w:sz w:val="18"/>
              </w:rPr>
              <w:t>RR_floor</w:t>
            </w:r>
          </w:p>
        </w:tc>
        <w:tc>
          <w:tcPr>
            <w:tcW w:type="dxa" w:w="3024"/>
            <w:vAlign w:val="center"/>
          </w:tcPr>
          <w:p>
            <w:pPr>
              <w:jc w:val="left"/>
            </w:pPr>
            <w:r/>
            <w:r>
              <w:rPr>
                <w:rFonts w:ascii="Calibri" w:hAnsi="Calibri"/>
                <w:color w:val="2D2D2D"/>
                <w:sz w:val="18"/>
              </w:rPr>
              <w:t>100%</w:t>
            </w:r>
          </w:p>
        </w:tc>
        <w:tc>
          <w:tcPr>
            <w:tcW w:type="dxa" w:w="3024"/>
            <w:vAlign w:val="center"/>
          </w:tcPr>
          <w:p>
            <w:pPr>
              <w:jc w:val="left"/>
            </w:pPr>
            <w:r/>
            <w:r>
              <w:rPr>
                <w:rFonts w:ascii="Calibri" w:hAnsi="Calibri"/>
                <w:color w:val="2D2D2D"/>
                <w:sz w:val="18"/>
              </w:rPr>
              <w:t>Hard solvency floor</w:t>
            </w:r>
          </w:p>
        </w:tc>
      </w:tr>
      <w:tr>
        <w:tc>
          <w:tcPr>
            <w:tcW w:type="dxa" w:w="3024"/>
            <w:shd w:fill="F0F0F0"/>
            <w:vAlign w:val="center"/>
          </w:tcPr>
          <w:p>
            <w:pPr>
              <w:jc w:val="left"/>
            </w:pPr>
            <w:r/>
            <w:r>
              <w:rPr>
                <w:rFonts w:ascii="Calibri" w:hAnsi="Calibri"/>
                <w:color w:val="2D2D2D"/>
                <w:sz w:val="18"/>
              </w:rPr>
              <w:t>RR_policy</w:t>
            </w:r>
          </w:p>
        </w:tc>
        <w:tc>
          <w:tcPr>
            <w:tcW w:type="dxa" w:w="3024"/>
            <w:shd w:fill="F0F0F0"/>
            <w:vAlign w:val="center"/>
          </w:tcPr>
          <w:p>
            <w:pPr>
              <w:jc w:val="left"/>
            </w:pPr>
            <w:r/>
            <w:r>
              <w:rPr>
                <w:rFonts w:ascii="Calibri" w:hAnsi="Calibri"/>
                <w:color w:val="2D2D2D"/>
                <w:sz w:val="18"/>
              </w:rPr>
              <w:t>105%</w:t>
            </w:r>
          </w:p>
        </w:tc>
        <w:tc>
          <w:tcPr>
            <w:tcW w:type="dxa" w:w="3024"/>
            <w:shd w:fill="F0F0F0"/>
            <w:vAlign w:val="center"/>
          </w:tcPr>
          <w:p>
            <w:pPr>
              <w:jc w:val="left"/>
            </w:pPr>
            <w:r/>
            <w:r>
              <w:rPr>
                <w:rFonts w:ascii="Calibri" w:hAnsi="Calibri"/>
                <w:color w:val="2D2D2D"/>
                <w:sz w:val="18"/>
              </w:rPr>
              <w:t>Operating floor</w:t>
            </w:r>
          </w:p>
        </w:tc>
      </w:tr>
      <w:tr>
        <w:tc>
          <w:tcPr>
            <w:tcW w:type="dxa" w:w="3024"/>
            <w:vAlign w:val="center"/>
          </w:tcPr>
          <w:p>
            <w:pPr>
              <w:jc w:val="left"/>
            </w:pPr>
            <w:r/>
            <w:r>
              <w:rPr>
                <w:rFonts w:ascii="Calibri" w:hAnsi="Calibri"/>
                <w:color w:val="2D2D2D"/>
                <w:sz w:val="18"/>
              </w:rPr>
              <w:t>RR_strategic</w:t>
            </w:r>
          </w:p>
        </w:tc>
        <w:tc>
          <w:tcPr>
            <w:tcW w:type="dxa" w:w="3024"/>
            <w:vAlign w:val="center"/>
          </w:tcPr>
          <w:p>
            <w:pPr>
              <w:jc w:val="left"/>
            </w:pPr>
            <w:r/>
            <w:r>
              <w:rPr>
                <w:rFonts w:ascii="Calibri" w:hAnsi="Calibri"/>
                <w:color w:val="2D2D2D"/>
                <w:sz w:val="18"/>
              </w:rPr>
              <w:t>120%</w:t>
            </w:r>
          </w:p>
        </w:tc>
        <w:tc>
          <w:tcPr>
            <w:tcW w:type="dxa" w:w="3024"/>
            <w:vAlign w:val="center"/>
          </w:tcPr>
          <w:p>
            <w:pPr>
              <w:jc w:val="left"/>
            </w:pPr>
            <w:r/>
            <w:r>
              <w:rPr>
                <w:rFonts w:ascii="Calibri" w:hAnsi="Calibri"/>
                <w:color w:val="2D2D2D"/>
                <w:sz w:val="18"/>
              </w:rPr>
              <w:t>Strategic target</w:t>
            </w:r>
          </w:p>
        </w:tc>
      </w:tr>
    </w:tbl>
    <w:p/>
    <w:p>
      <w:pPr>
        <w:pStyle w:val="Heading3"/>
      </w:pPr>
      <w:r>
        <w:t>§32.3 NAV Formula</w:t>
      </w:r>
    </w:p>
    <w:p>
      <w:pPr>
        <w:ind w:left="283"/>
        <w:shd w:fill="F5F5F5"/>
      </w:pPr>
      <w:r>
        <w:rPr>
          <w:rFonts w:ascii="Consolas" w:hAnsi="Consolas"/>
          <w:color w:val="6B6B6B"/>
          <w:sz w:val="18"/>
        </w:rPr>
        <w:t>NAV_market = R_m / S</w:t>
        <w:br/>
        <w:t>NAV_adjusted = R_a / S</w:t>
        <w:br/>
        <w:br/>
        <w:t>Where:</w:t>
        <w:br/>
        <w:t xml:space="preserve">  R_m = market value of reserves</w:t>
        <w:br/>
        <w:t xml:space="preserve">  R_a = adjusted value (after haircuts)</w:t>
        <w:br/>
        <w:t xml:space="preserve">  S = MTQ supply</w:t>
      </w:r>
    </w:p>
    <w:p>
      <w:pPr>
        <w:pStyle w:val="Heading3"/>
      </w:pPr>
      <w:r>
        <w:t>§32.4 Tokenized Gold Valuation (V_TG)</w:t>
      </w:r>
    </w:p>
    <w:p>
      <w:pPr>
        <w:ind w:left="283"/>
        <w:shd w:fill="F5F5F5"/>
      </w:pPr>
      <w:r>
        <w:rPr>
          <w:rFonts w:ascii="Consolas" w:hAnsi="Consolas"/>
          <w:color w:val="6B6B6B"/>
          <w:sz w:val="18"/>
        </w:rPr>
        <w:t>V_TG = Q_TG × P_GoldNAV × (1 - H_TG) × C_TG</w:t>
        <w:br/>
        <w:br/>
        <w:t>Where:</w:t>
        <w:br/>
        <w:t xml:space="preserve">  Q_TG = tokenized gold quantity</w:t>
        <w:br/>
        <w:t xml:space="preserve">  P_GoldNAV = validated gold NAV (Oracle A, §36)</w:t>
        <w:br/>
        <w:t xml:space="preserve">  H_TG = dynamic tokenized-gold haircut (§36.5)</w:t>
        <w:br/>
        <w:t xml:space="preserve">  C_TG = confidence factor (§36.6, attestation freshness)</w:t>
      </w:r>
    </w:p>
    <w:p>
      <w:r>
        <w:rPr>
          <w:b/>
        </w:rPr>
        <w:t>Critical:</w:t>
      </w:r>
      <w:r>
        <w:t xml:space="preserve"> Reserve uses GoldNAV (Oracle A), </w:t>
      </w:r>
      <w:r>
        <w:rPr>
          <w:b/>
        </w:rPr>
        <w:t>NOT</w:t>
      </w:r>
      <w:r>
        <w:t xml:space="preserve"> PAXG market price. Prevents market dislocation from inflating reserve.</w:t>
      </w:r>
    </w:p>
    <w:p>
      <w:pPr>
        <w:pBdr>
          <w:bottom w:val="single" w:sz="12" w:space="1" w:color="C59B1E"/>
        </w:pBdr>
      </w:pPr>
    </w:p>
    <w:p>
      <w:pPr>
        <w:pStyle w:val="Heading2"/>
      </w:pPr>
      <w:r>
        <w:t>§33 — CALM (Capital-Adaptive Liability Management)</w:t>
      </w:r>
    </w:p>
    <w:p>
      <w:pPr>
        <w:pStyle w:val="Heading3"/>
      </w:pPr>
      <w:r>
        <w:t>§33.1 Canonical Equation</w:t>
      </w:r>
    </w:p>
    <w:p>
      <w:pPr>
        <w:ind w:left="283"/>
        <w:shd w:fill="F5F5F5"/>
      </w:pPr>
      <w:r>
        <w:rPr>
          <w:rFonts w:ascii="Consolas" w:hAnsi="Consolas"/>
          <w:color w:val="6B6B6B"/>
          <w:sz w:val="18"/>
        </w:rPr>
        <w:t>S_max(t) = R_a(t) / (RR_target(t) × PAR)</w:t>
      </w:r>
    </w:p>
    <w:p>
      <w:r>
        <w:rPr>
          <w:b/>
        </w:rPr>
        <w:t>NEVER use:</w:t>
      </w:r>
      <w:r>
        <w:t xml:space="preserve"> </w:t>
      </w:r>
      <w:r>
        <w:rPr>
          <w:rFonts w:ascii="Consolas" w:hAnsi="Consolas"/>
          <w:color w:val="6B6B6B"/>
          <w:sz w:val="19"/>
        </w:rPr>
        <w:t>S_max = R_a × RR_target × PAR</w:t>
      </w:r>
      <w:r>
        <w:t xml:space="preserve"> (multiplication is wrong)</w:t>
      </w:r>
    </w:p>
    <w:p>
      <w:pPr>
        <w:pStyle w:val="Heading3"/>
      </w:pPr>
      <w:r>
        <w:t>§33.2 CALM Targets (v25.0 Corrected)</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State</w:t>
            </w:r>
          </w:p>
        </w:tc>
        <w:tc>
          <w:tcPr>
            <w:tcW w:type="dxa" w:w="3024"/>
            <w:shd w:fill="1A365F"/>
            <w:vAlign w:val="center"/>
          </w:tcPr>
          <w:p>
            <w:pPr>
              <w:jc w:val="left"/>
            </w:pPr>
            <w:r/>
            <w:r>
              <w:rPr>
                <w:rFonts w:ascii="Calibri" w:hAnsi="Calibri"/>
                <w:b/>
                <w:color w:val="FFFFFF"/>
                <w:sz w:val="18"/>
              </w:rPr>
              <w:t>RR Target</w:t>
            </w:r>
          </w:p>
        </w:tc>
        <w:tc>
          <w:tcPr>
            <w:tcW w:type="dxa" w:w="3024"/>
            <w:shd w:fill="1A365F"/>
            <w:vAlign w:val="center"/>
          </w:tcPr>
          <w:p>
            <w:pPr>
              <w:jc w:val="left"/>
            </w:pPr>
            <w:r/>
            <w:r>
              <w:rPr>
                <w:rFonts w:ascii="Calibri" w:hAnsi="Calibri"/>
                <w:b/>
                <w:color w:val="FFFFFF"/>
                <w:sz w:val="18"/>
              </w:rPr>
              <w:t>Fee (bps)</w:t>
            </w:r>
          </w:p>
        </w:tc>
      </w:tr>
      <w:tr>
        <w:tc>
          <w:tcPr>
            <w:tcW w:type="dxa" w:w="3024"/>
            <w:vAlign w:val="center"/>
          </w:tcPr>
          <w:p>
            <w:pPr>
              <w:jc w:val="left"/>
            </w:pPr>
            <w:r/>
            <w:r>
              <w:rPr>
                <w:rFonts w:ascii="Calibri" w:hAnsi="Calibri"/>
                <w:color w:val="2D2D2D"/>
                <w:sz w:val="18"/>
              </w:rPr>
              <w:t>NORMAL</w:t>
            </w:r>
          </w:p>
        </w:tc>
        <w:tc>
          <w:tcPr>
            <w:tcW w:type="dxa" w:w="3024"/>
            <w:vAlign w:val="center"/>
          </w:tcPr>
          <w:p>
            <w:pPr>
              <w:jc w:val="left"/>
            </w:pPr>
            <w:r/>
            <w:r>
              <w:rPr>
                <w:rFonts w:ascii="Calibri" w:hAnsi="Calibri"/>
                <w:color w:val="2D2D2D"/>
                <w:sz w:val="18"/>
              </w:rPr>
              <w:t>1.20</w:t>
            </w:r>
          </w:p>
        </w:tc>
        <w:tc>
          <w:tcPr>
            <w:tcW w:type="dxa" w:w="3024"/>
            <w:vAlign w:val="center"/>
          </w:tcPr>
          <w:p>
            <w:pPr>
              <w:jc w:val="left"/>
            </w:pPr>
            <w:r/>
            <w:r>
              <w:rPr>
                <w:rFonts w:ascii="Calibri" w:hAnsi="Calibri"/>
                <w:color w:val="2D2D2D"/>
                <w:sz w:val="18"/>
              </w:rPr>
              <w:t>5</w:t>
            </w:r>
          </w:p>
        </w:tc>
      </w:tr>
      <w:tr>
        <w:tc>
          <w:tcPr>
            <w:tcW w:type="dxa" w:w="3024"/>
            <w:shd w:fill="F0F0F0"/>
            <w:vAlign w:val="center"/>
          </w:tcPr>
          <w:p>
            <w:pPr>
              <w:jc w:val="left"/>
            </w:pPr>
            <w:r/>
            <w:r>
              <w:rPr>
                <w:rFonts w:ascii="Calibri" w:hAnsi="Calibri"/>
                <w:color w:val="2D2D2D"/>
                <w:sz w:val="18"/>
              </w:rPr>
              <w:t>CAUTION</w:t>
            </w:r>
          </w:p>
        </w:tc>
        <w:tc>
          <w:tcPr>
            <w:tcW w:type="dxa" w:w="3024"/>
            <w:shd w:fill="F0F0F0"/>
            <w:vAlign w:val="center"/>
          </w:tcPr>
          <w:p>
            <w:pPr>
              <w:jc w:val="left"/>
            </w:pPr>
            <w:r/>
            <w:r>
              <w:rPr>
                <w:rFonts w:ascii="Calibri" w:hAnsi="Calibri"/>
                <w:color w:val="2D2D2D"/>
                <w:sz w:val="18"/>
              </w:rPr>
              <w:t>1.22</w:t>
            </w:r>
          </w:p>
        </w:tc>
        <w:tc>
          <w:tcPr>
            <w:tcW w:type="dxa" w:w="3024"/>
            <w:shd w:fill="F0F0F0"/>
            <w:vAlign w:val="center"/>
          </w:tcPr>
          <w:p>
            <w:pPr>
              <w:jc w:val="left"/>
            </w:pPr>
            <w:r/>
            <w:r>
              <w:rPr>
                <w:rFonts w:ascii="Calibri" w:hAnsi="Calibri"/>
                <w:color w:val="2D2D2D"/>
                <w:sz w:val="18"/>
              </w:rPr>
              <w:t>15</w:t>
            </w:r>
          </w:p>
        </w:tc>
      </w:tr>
      <w:tr>
        <w:tc>
          <w:tcPr>
            <w:tcW w:type="dxa" w:w="3024"/>
            <w:vAlign w:val="center"/>
          </w:tcPr>
          <w:p>
            <w:pPr>
              <w:jc w:val="left"/>
            </w:pPr>
            <w:r/>
            <w:r>
              <w:rPr>
                <w:rFonts w:ascii="Calibri" w:hAnsi="Calibri"/>
                <w:color w:val="2D2D2D"/>
                <w:sz w:val="18"/>
              </w:rPr>
              <w:t>DEFENSIVE</w:t>
            </w:r>
          </w:p>
        </w:tc>
        <w:tc>
          <w:tcPr>
            <w:tcW w:type="dxa" w:w="3024"/>
            <w:vAlign w:val="center"/>
          </w:tcPr>
          <w:p>
            <w:pPr>
              <w:jc w:val="left"/>
            </w:pPr>
            <w:r/>
            <w:r>
              <w:rPr>
                <w:rFonts w:ascii="Calibri" w:hAnsi="Calibri"/>
                <w:color w:val="2D2D2D"/>
                <w:sz w:val="18"/>
              </w:rPr>
              <w:t>1.23</w:t>
            </w:r>
          </w:p>
        </w:tc>
        <w:tc>
          <w:tcPr>
            <w:tcW w:type="dxa" w:w="3024"/>
            <w:vAlign w:val="center"/>
          </w:tcPr>
          <w:p>
            <w:pPr>
              <w:jc w:val="left"/>
            </w:pPr>
            <w:r/>
            <w:r>
              <w:rPr>
                <w:rFonts w:ascii="Calibri" w:hAnsi="Calibri"/>
                <w:color w:val="2D2D2D"/>
                <w:sz w:val="18"/>
              </w:rPr>
              <w:t>25</w:t>
            </w:r>
          </w:p>
        </w:tc>
      </w:tr>
      <w:tr>
        <w:tc>
          <w:tcPr>
            <w:tcW w:type="dxa" w:w="3024"/>
            <w:shd w:fill="F0F0F0"/>
            <w:vAlign w:val="center"/>
          </w:tcPr>
          <w:p>
            <w:pPr>
              <w:jc w:val="left"/>
            </w:pPr>
            <w:r/>
            <w:r>
              <w:rPr>
                <w:rFonts w:ascii="Calibri" w:hAnsi="Calibri"/>
                <w:color w:val="2D2D2D"/>
                <w:sz w:val="18"/>
              </w:rPr>
              <w:t>STRESS</w:t>
            </w:r>
          </w:p>
        </w:tc>
        <w:tc>
          <w:tcPr>
            <w:tcW w:type="dxa" w:w="3024"/>
            <w:shd w:fill="F0F0F0"/>
            <w:vAlign w:val="center"/>
          </w:tcPr>
          <w:p>
            <w:pPr>
              <w:jc w:val="left"/>
            </w:pPr>
            <w:r/>
            <w:r>
              <w:rPr>
                <w:rFonts w:ascii="Calibri" w:hAnsi="Calibri"/>
                <w:color w:val="2D2D2D"/>
                <w:sz w:val="18"/>
              </w:rPr>
              <w:t>1.25</w:t>
            </w:r>
          </w:p>
        </w:tc>
        <w:tc>
          <w:tcPr>
            <w:tcW w:type="dxa" w:w="3024"/>
            <w:shd w:fill="F0F0F0"/>
            <w:vAlign w:val="center"/>
          </w:tcPr>
          <w:p>
            <w:pPr>
              <w:jc w:val="left"/>
            </w:pPr>
            <w:r/>
            <w:r>
              <w:rPr>
                <w:rFonts w:ascii="Calibri" w:hAnsi="Calibri"/>
                <w:color w:val="2D2D2D"/>
                <w:sz w:val="18"/>
              </w:rPr>
              <w:t>37</w:t>
            </w:r>
          </w:p>
        </w:tc>
      </w:tr>
      <w:tr>
        <w:tc>
          <w:tcPr>
            <w:tcW w:type="dxa" w:w="3024"/>
            <w:vAlign w:val="center"/>
          </w:tcPr>
          <w:p>
            <w:pPr>
              <w:jc w:val="left"/>
            </w:pPr>
            <w:r/>
            <w:r>
              <w:rPr>
                <w:rFonts w:ascii="Calibri" w:hAnsi="Calibri"/>
                <w:color w:val="2D2D2D"/>
                <w:sz w:val="18"/>
              </w:rPr>
              <w:t>EMERGENCY</w:t>
            </w:r>
          </w:p>
        </w:tc>
        <w:tc>
          <w:tcPr>
            <w:tcW w:type="dxa" w:w="3024"/>
            <w:vAlign w:val="center"/>
          </w:tcPr>
          <w:p>
            <w:pPr>
              <w:jc w:val="left"/>
            </w:pPr>
            <w:r/>
            <w:r>
              <w:rPr>
                <w:rFonts w:ascii="Calibri" w:hAnsi="Calibri"/>
                <w:color w:val="2D2D2D"/>
                <w:sz w:val="18"/>
              </w:rPr>
              <w:t>1.30</w:t>
            </w:r>
          </w:p>
        </w:tc>
        <w:tc>
          <w:tcPr>
            <w:tcW w:type="dxa" w:w="3024"/>
            <w:vAlign w:val="center"/>
          </w:tcPr>
          <w:p>
            <w:pPr>
              <w:jc w:val="left"/>
            </w:pPr>
            <w:r/>
            <w:r>
              <w:rPr>
                <w:rFonts w:ascii="Calibri" w:hAnsi="Calibri"/>
                <w:color w:val="2D2D2D"/>
                <w:sz w:val="18"/>
              </w:rPr>
              <w:t>0 (minting disabled)</w:t>
            </w:r>
          </w:p>
        </w:tc>
      </w:tr>
      <w:tr>
        <w:tc>
          <w:tcPr>
            <w:tcW w:type="dxa" w:w="3024"/>
            <w:shd w:fill="F0F0F0"/>
            <w:vAlign w:val="center"/>
          </w:tcPr>
          <w:p>
            <w:pPr>
              <w:jc w:val="left"/>
            </w:pPr>
            <w:r/>
            <w:r>
              <w:rPr>
                <w:rFonts w:ascii="Calibri" w:hAnsi="Calibri"/>
                <w:color w:val="2D2D2D"/>
                <w:sz w:val="18"/>
              </w:rPr>
              <w:t>RECOVERY</w:t>
            </w:r>
          </w:p>
        </w:tc>
        <w:tc>
          <w:tcPr>
            <w:tcW w:type="dxa" w:w="3024"/>
            <w:shd w:fill="F0F0F0"/>
            <w:vAlign w:val="center"/>
          </w:tcPr>
          <w:p>
            <w:pPr>
              <w:jc w:val="left"/>
            </w:pPr>
            <w:r/>
            <w:r>
              <w:rPr>
                <w:rFonts w:ascii="Calibri" w:hAnsi="Calibri"/>
                <w:color w:val="2D2D2D"/>
                <w:sz w:val="18"/>
              </w:rPr>
              <w:t>1.21</w:t>
            </w:r>
          </w:p>
        </w:tc>
        <w:tc>
          <w:tcPr>
            <w:tcW w:type="dxa" w:w="3024"/>
            <w:shd w:fill="F0F0F0"/>
            <w:vAlign w:val="center"/>
          </w:tcPr>
          <w:p>
            <w:pPr>
              <w:jc w:val="left"/>
            </w:pPr>
            <w:r/>
            <w:r>
              <w:rPr>
                <w:rFonts w:ascii="Calibri" w:hAnsi="Calibri"/>
                <w:color w:val="2D2D2D"/>
                <w:sz w:val="18"/>
              </w:rPr>
              <w:t>10</w:t>
            </w:r>
          </w:p>
        </w:tc>
      </w:tr>
    </w:tbl>
    <w:p/>
    <w:p>
      <w:pPr>
        <w:pStyle w:val="Heading3"/>
      </w:pPr>
      <w:r>
        <w:t>§33.3 Monotonic Invariant</w:t>
      </w:r>
    </w:p>
    <w:p>
      <w:pPr>
        <w:ind w:left="283"/>
        <w:shd w:fill="F5F5F5"/>
      </w:pPr>
      <w:r>
        <w:rPr>
          <w:rFonts w:ascii="Consolas" w:hAnsi="Consolas"/>
          <w:color w:val="6B6B6B"/>
          <w:sz w:val="18"/>
        </w:rPr>
        <w:t>Risk ↑ → RR_target ↑ → S_max ↓ → MintCapacity ↓</w:t>
      </w:r>
    </w:p>
    <w:p>
      <w:r>
        <w:t xml:space="preserve">CALM must </w:t>
      </w:r>
      <w:r>
        <w:rPr>
          <w:b/>
        </w:rPr>
        <w:t>never</w:t>
      </w:r>
      <w:r>
        <w:t xml:space="preserve"> permit greater issuance simply because stress rises.</w:t>
      </w:r>
    </w:p>
    <w:p>
      <w:pPr>
        <w:pStyle w:val="Heading3"/>
      </w:pPr>
      <w:r>
        <w:t>§33.4 EMERGENCY State</w:t>
      </w:r>
    </w:p>
    <w:p>
      <w:r>
        <w:t xml:space="preserve">In EMERGENCY: </w:t>
      </w:r>
      <w:r>
        <w:rPr>
          <w:b/>
        </w:rPr>
        <w:t>Minting = DISABLED</w:t>
      </w:r>
      <w:r>
        <w:t>. No exceptions.</w:t>
      </w:r>
    </w:p>
    <w:p>
      <w:pPr>
        <w:pBdr>
          <w:bottom w:val="single" w:sz="12" w:space="1" w:color="C59B1E"/>
        </w:pBdr>
      </w:pPr>
    </w:p>
    <w:p>
      <w:pPr>
        <w:pStyle w:val="Heading2"/>
      </w:pPr>
      <w:r>
        <w:t>§34 — SIX-STATE RESERVE STATE MACHINE</w:t>
      </w:r>
    </w:p>
    <w:p>
      <w:pPr>
        <w:pStyle w:val="Heading3"/>
      </w:pPr>
      <w:r>
        <w:t>§34.1 States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Trigger</w:t>
            </w:r>
          </w:p>
        </w:tc>
        <w:tc>
          <w:tcPr>
            <w:tcW w:type="dxa" w:w="2268"/>
            <w:shd w:fill="1A365F"/>
            <w:vAlign w:val="center"/>
          </w:tcPr>
          <w:p>
            <w:pPr>
              <w:jc w:val="left"/>
            </w:pPr>
            <w:r/>
            <w:r>
              <w:rPr>
                <w:rFonts w:ascii="Calibri" w:hAnsi="Calibri"/>
                <w:b/>
                <w:color w:val="FFFFFF"/>
                <w:sz w:val="18"/>
              </w:rPr>
              <w:t>Minting</w:t>
            </w:r>
          </w:p>
        </w:tc>
        <w:tc>
          <w:tcPr>
            <w:tcW w:type="dxa" w:w="2268"/>
            <w:shd w:fill="1A365F"/>
            <w:vAlign w:val="center"/>
          </w:tcPr>
          <w:p>
            <w:pPr>
              <w:jc w:val="left"/>
            </w:pPr>
            <w:r/>
            <w:r>
              <w:rPr>
                <w:rFonts w:ascii="Calibri" w:hAnsi="Calibri"/>
                <w:b/>
                <w:color w:val="FFFFFF"/>
                <w:sz w:val="18"/>
              </w:rPr>
              <w:t>Redemption</w:t>
            </w:r>
          </w:p>
        </w:tc>
      </w:tr>
      <w:tr>
        <w:tc>
          <w:tcPr>
            <w:tcW w:type="dxa" w:w="2268"/>
            <w:vAlign w:val="center"/>
          </w:tcPr>
          <w:p>
            <w:pPr>
              <w:jc w:val="left"/>
            </w:pPr>
            <w:r/>
            <w:r>
              <w:rPr>
                <w:rFonts w:ascii="Calibri" w:hAnsi="Calibri"/>
                <w:color w:val="2D2D2D"/>
                <w:sz w:val="18"/>
              </w:rPr>
              <w:t>NORMAL</w:t>
            </w:r>
          </w:p>
        </w:tc>
        <w:tc>
          <w:tcPr>
            <w:tcW w:type="dxa" w:w="2268"/>
            <w:vAlign w:val="center"/>
          </w:tcPr>
          <w:p>
            <w:pPr>
              <w:jc w:val="left"/>
            </w:pPr>
            <w:r/>
            <w:r>
              <w:rPr>
                <w:rFonts w:ascii="Calibri" w:hAnsi="Calibri"/>
                <w:color w:val="2D2D2D"/>
                <w:sz w:val="18"/>
              </w:rPr>
              <w:t>RR ≥ 120%, all healthy</w:t>
            </w:r>
          </w:p>
        </w:tc>
        <w:tc>
          <w:tcPr>
            <w:tcW w:type="dxa" w:w="2268"/>
            <w:vAlign w:val="center"/>
          </w:tcPr>
          <w:p>
            <w:pPr>
              <w:jc w:val="left"/>
            </w:pPr>
            <w:r/>
            <w:r>
              <w:rPr>
                <w:rFonts w:ascii="Calibri" w:hAnsi="Calibri"/>
                <w:color w:val="2D2D2D"/>
                <w:sz w:val="18"/>
              </w:rPr>
              <w:t>Allowed</w:t>
            </w:r>
          </w:p>
        </w:tc>
        <w:tc>
          <w:tcPr>
            <w:tcW w:type="dxa" w:w="2268"/>
            <w:vAlign w:val="center"/>
          </w:tcPr>
          <w:p>
            <w:pPr>
              <w:jc w:val="left"/>
            </w:pPr>
            <w:r/>
            <w:r>
              <w:rPr>
                <w:rFonts w:ascii="Calibri" w:hAnsi="Calibri"/>
                <w:color w:val="2D2D2D"/>
                <w:sz w:val="18"/>
              </w:rPr>
              <w:t>Allowed</w:t>
            </w:r>
          </w:p>
        </w:tc>
      </w:tr>
      <w:tr>
        <w:tc>
          <w:tcPr>
            <w:tcW w:type="dxa" w:w="2268"/>
            <w:shd w:fill="F0F0F0"/>
            <w:vAlign w:val="center"/>
          </w:tcPr>
          <w:p>
            <w:pPr>
              <w:jc w:val="left"/>
            </w:pPr>
            <w:r/>
            <w:r>
              <w:rPr>
                <w:rFonts w:ascii="Calibri" w:hAnsi="Calibri"/>
                <w:color w:val="2D2D2D"/>
                <w:sz w:val="18"/>
              </w:rPr>
              <w:t>CAUTION</w:t>
            </w:r>
          </w:p>
        </w:tc>
        <w:tc>
          <w:tcPr>
            <w:tcW w:type="dxa" w:w="2268"/>
            <w:shd w:fill="F0F0F0"/>
            <w:vAlign w:val="center"/>
          </w:tcPr>
          <w:p>
            <w:pPr>
              <w:jc w:val="left"/>
            </w:pPr>
            <w:r/>
            <w:r>
              <w:rPr>
                <w:rFonts w:ascii="Calibri" w:hAnsi="Calibri"/>
                <w:color w:val="2D2D2D"/>
                <w:sz w:val="18"/>
              </w:rPr>
              <w:t>RR &lt; 120% or early warning</w:t>
            </w:r>
          </w:p>
        </w:tc>
        <w:tc>
          <w:tcPr>
            <w:tcW w:type="dxa" w:w="2268"/>
            <w:shd w:fill="F0F0F0"/>
            <w:vAlign w:val="center"/>
          </w:tcPr>
          <w:p>
            <w:pPr>
              <w:jc w:val="left"/>
            </w:pPr>
            <w:r/>
            <w:r>
              <w:rPr>
                <w:rFonts w:ascii="Calibri" w:hAnsi="Calibri"/>
                <w:color w:val="2D2D2D"/>
                <w:sz w:val="18"/>
              </w:rPr>
              <w:t>Restricted</w:t>
            </w:r>
          </w:p>
        </w:tc>
        <w:tc>
          <w:tcPr>
            <w:tcW w:type="dxa" w:w="2268"/>
            <w:shd w:fill="F0F0F0"/>
            <w:vAlign w:val="center"/>
          </w:tcPr>
          <w:p>
            <w:pPr>
              <w:jc w:val="left"/>
            </w:pPr>
            <w:r/>
            <w:r>
              <w:rPr>
                <w:rFonts w:ascii="Calibri" w:hAnsi="Calibri"/>
                <w:color w:val="2D2D2D"/>
                <w:sz w:val="18"/>
              </w:rPr>
              <w:t>Allowed</w:t>
            </w:r>
          </w:p>
        </w:tc>
      </w:tr>
      <w:tr>
        <w:tc>
          <w:tcPr>
            <w:tcW w:type="dxa" w:w="2268"/>
            <w:vAlign w:val="center"/>
          </w:tcPr>
          <w:p>
            <w:pPr>
              <w:jc w:val="left"/>
            </w:pPr>
            <w:r/>
            <w:r>
              <w:rPr>
                <w:rFonts w:ascii="Calibri" w:hAnsi="Calibri"/>
                <w:color w:val="2D2D2D"/>
                <w:sz w:val="18"/>
              </w:rPr>
              <w:t>DEFENSIVE</w:t>
            </w:r>
          </w:p>
        </w:tc>
        <w:tc>
          <w:tcPr>
            <w:tcW w:type="dxa" w:w="2268"/>
            <w:vAlign w:val="center"/>
          </w:tcPr>
          <w:p>
            <w:pPr>
              <w:jc w:val="left"/>
            </w:pPr>
            <w:r/>
            <w:r>
              <w:rPr>
                <w:rFonts w:ascii="Calibri" w:hAnsi="Calibri"/>
                <w:color w:val="2D2D2D"/>
                <w:sz w:val="18"/>
              </w:rPr>
              <w:t>RR &lt; 115%</w:t>
            </w:r>
          </w:p>
        </w:tc>
        <w:tc>
          <w:tcPr>
            <w:tcW w:type="dxa" w:w="2268"/>
            <w:vAlign w:val="center"/>
          </w:tcPr>
          <w:p>
            <w:pPr>
              <w:jc w:val="left"/>
            </w:pPr>
            <w:r/>
            <w:r>
              <w:rPr>
                <w:rFonts w:ascii="Calibri" w:hAnsi="Calibri"/>
                <w:color w:val="2D2D2D"/>
                <w:sz w:val="18"/>
              </w:rPr>
              <w:t>Restricted</w:t>
            </w:r>
          </w:p>
        </w:tc>
        <w:tc>
          <w:tcPr>
            <w:tcW w:type="dxa" w:w="2268"/>
            <w:vAlign w:val="center"/>
          </w:tcPr>
          <w:p>
            <w:pPr>
              <w:jc w:val="left"/>
            </w:pPr>
            <w:r/>
            <w:r>
              <w:rPr>
                <w:rFonts w:ascii="Calibri" w:hAnsi="Calibri"/>
                <w:color w:val="2D2D2D"/>
                <w:sz w:val="18"/>
              </w:rPr>
              <w:t>Allowed</w:t>
            </w:r>
          </w:p>
        </w:tc>
      </w:tr>
      <w:tr>
        <w:tc>
          <w:tcPr>
            <w:tcW w:type="dxa" w:w="2268"/>
            <w:shd w:fill="F0F0F0"/>
            <w:vAlign w:val="center"/>
          </w:tcPr>
          <w:p>
            <w:pPr>
              <w:jc w:val="left"/>
            </w:pPr>
            <w:r/>
            <w:r>
              <w:rPr>
                <w:rFonts w:ascii="Calibri" w:hAnsi="Calibri"/>
                <w:color w:val="2D2D2D"/>
                <w:sz w:val="18"/>
              </w:rPr>
              <w:t>STRESS</w:t>
            </w:r>
          </w:p>
        </w:tc>
        <w:tc>
          <w:tcPr>
            <w:tcW w:type="dxa" w:w="2268"/>
            <w:shd w:fill="F0F0F0"/>
            <w:vAlign w:val="center"/>
          </w:tcPr>
          <w:p>
            <w:pPr>
              <w:jc w:val="left"/>
            </w:pPr>
            <w:r/>
            <w:r>
              <w:rPr>
                <w:rFonts w:ascii="Calibri" w:hAnsi="Calibri"/>
                <w:color w:val="2D2D2D"/>
                <w:sz w:val="18"/>
              </w:rPr>
              <w:t>RR &lt; 110%</w:t>
            </w:r>
          </w:p>
        </w:tc>
        <w:tc>
          <w:tcPr>
            <w:tcW w:type="dxa" w:w="2268"/>
            <w:shd w:fill="F0F0F0"/>
            <w:vAlign w:val="center"/>
          </w:tcPr>
          <w:p>
            <w:pPr>
              <w:jc w:val="left"/>
            </w:pPr>
            <w:r/>
            <w:r>
              <w:rPr>
                <w:rFonts w:ascii="Calibri" w:hAnsi="Calibri"/>
                <w:color w:val="2D2D2D"/>
                <w:sz w:val="18"/>
              </w:rPr>
              <w:t>Heavily restricted</w:t>
            </w:r>
          </w:p>
        </w:tc>
        <w:tc>
          <w:tcPr>
            <w:tcW w:type="dxa" w:w="2268"/>
            <w:shd w:fill="F0F0F0"/>
            <w:vAlign w:val="center"/>
          </w:tcPr>
          <w:p>
            <w:pPr>
              <w:jc w:val="left"/>
            </w:pPr>
            <w:r/>
            <w:r>
              <w:rPr>
                <w:rFonts w:ascii="Calibri" w:hAnsi="Calibri"/>
                <w:color w:val="2D2D2D"/>
                <w:sz w:val="18"/>
              </w:rPr>
              <w:t>Allowed</w:t>
            </w:r>
          </w:p>
        </w:tc>
      </w:tr>
      <w:tr>
        <w:tc>
          <w:tcPr>
            <w:tcW w:type="dxa" w:w="2268"/>
            <w:vAlign w:val="center"/>
          </w:tcPr>
          <w:p>
            <w:pPr>
              <w:jc w:val="left"/>
            </w:pPr>
            <w:r/>
            <w:r>
              <w:rPr>
                <w:rFonts w:ascii="Calibri" w:hAnsi="Calibri"/>
                <w:color w:val="2D2D2D"/>
                <w:sz w:val="18"/>
              </w:rPr>
              <w:t>EMERGENCY</w:t>
            </w:r>
          </w:p>
        </w:tc>
        <w:tc>
          <w:tcPr>
            <w:tcW w:type="dxa" w:w="2268"/>
            <w:vAlign w:val="center"/>
          </w:tcPr>
          <w:p>
            <w:pPr>
              <w:jc w:val="left"/>
            </w:pPr>
            <w:r/>
            <w:r>
              <w:rPr>
                <w:rFonts w:ascii="Calibri" w:hAnsi="Calibri"/>
                <w:color w:val="2D2D2D"/>
                <w:sz w:val="18"/>
              </w:rPr>
              <w:t>RR &lt; 105%</w:t>
            </w:r>
          </w:p>
        </w:tc>
        <w:tc>
          <w:tcPr>
            <w:tcW w:type="dxa" w:w="2268"/>
            <w:vAlign w:val="center"/>
          </w:tcPr>
          <w:p>
            <w:pPr>
              <w:jc w:val="left"/>
            </w:pPr>
            <w:r/>
            <w:r>
              <w:rPr>
                <w:rFonts w:ascii="Calibri" w:hAnsi="Calibri"/>
                <w:color w:val="2D2D2D"/>
                <w:sz w:val="18"/>
              </w:rPr>
              <w:t>DISABLED</w:t>
            </w:r>
          </w:p>
        </w:tc>
        <w:tc>
          <w:tcPr>
            <w:tcW w:type="dxa" w:w="2268"/>
            <w:vAlign w:val="center"/>
          </w:tcPr>
          <w:p>
            <w:pPr>
              <w:jc w:val="left"/>
            </w:pPr>
            <w:r/>
            <w:r>
              <w:rPr>
                <w:rFonts w:ascii="Calibri" w:hAnsi="Calibri"/>
                <w:color w:val="2D2D2D"/>
                <w:sz w:val="18"/>
              </w:rPr>
              <w:t>Allowed (but monitored)</w:t>
            </w:r>
          </w:p>
        </w:tc>
      </w:tr>
      <w:tr>
        <w:tc>
          <w:tcPr>
            <w:tcW w:type="dxa" w:w="2268"/>
            <w:shd w:fill="F0F0F0"/>
            <w:vAlign w:val="center"/>
          </w:tcPr>
          <w:p>
            <w:pPr>
              <w:jc w:val="left"/>
            </w:pPr>
            <w:r/>
            <w:r>
              <w:rPr>
                <w:rFonts w:ascii="Calibri" w:hAnsi="Calibri"/>
                <w:color w:val="2D2D2D"/>
                <w:sz w:val="18"/>
              </w:rPr>
              <w:t>RECOVERY</w:t>
            </w:r>
          </w:p>
        </w:tc>
        <w:tc>
          <w:tcPr>
            <w:tcW w:type="dxa" w:w="2268"/>
            <w:shd w:fill="F0F0F0"/>
            <w:vAlign w:val="center"/>
          </w:tcPr>
          <w:p>
            <w:pPr>
              <w:jc w:val="left"/>
            </w:pPr>
            <w:r/>
            <w:r>
              <w:rPr>
                <w:rFonts w:ascii="Calibri" w:hAnsi="Calibri"/>
                <w:color w:val="2D2D2D"/>
                <w:sz w:val="18"/>
              </w:rPr>
              <w:t>Returning to normal</w:t>
            </w:r>
          </w:p>
        </w:tc>
        <w:tc>
          <w:tcPr>
            <w:tcW w:type="dxa" w:w="2268"/>
            <w:shd w:fill="F0F0F0"/>
            <w:vAlign w:val="center"/>
          </w:tcPr>
          <w:p>
            <w:pPr>
              <w:jc w:val="left"/>
            </w:pPr>
            <w:r/>
            <w:r>
              <w:rPr>
                <w:rFonts w:ascii="Calibri" w:hAnsi="Calibri"/>
                <w:color w:val="2D2D2D"/>
                <w:sz w:val="18"/>
              </w:rPr>
              <w:t>Gradually restored</w:t>
            </w:r>
          </w:p>
        </w:tc>
        <w:tc>
          <w:tcPr>
            <w:tcW w:type="dxa" w:w="2268"/>
            <w:shd w:fill="F0F0F0"/>
            <w:vAlign w:val="center"/>
          </w:tcPr>
          <w:p>
            <w:pPr>
              <w:jc w:val="left"/>
            </w:pPr>
            <w:r/>
            <w:r>
              <w:rPr>
                <w:rFonts w:ascii="Calibri" w:hAnsi="Calibri"/>
                <w:color w:val="2D2D2D"/>
                <w:sz w:val="18"/>
              </w:rPr>
              <w:t>Allowed</w:t>
            </w:r>
          </w:p>
        </w:tc>
      </w:tr>
    </w:tbl>
    <w:p/>
    <w:p>
      <w:pPr>
        <w:pStyle w:val="Heading3"/>
      </w:pPr>
      <w:r>
        <w:t>§34.2 Subsystem States (7)</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Subsystem</w:t>
            </w:r>
          </w:p>
        </w:tc>
        <w:tc>
          <w:tcPr>
            <w:tcW w:type="dxa" w:w="4536"/>
            <w:shd w:fill="1A365F"/>
            <w:vAlign w:val="center"/>
          </w:tcPr>
          <w:p>
            <w:pPr>
              <w:jc w:val="left"/>
            </w:pPr>
            <w:r/>
            <w:r>
              <w:rPr>
                <w:rFonts w:ascii="Calibri" w:hAnsi="Calibri"/>
                <w:b/>
                <w:color w:val="FFFFFF"/>
                <w:sz w:val="18"/>
              </w:rPr>
              <w:t>Monitored</w:t>
            </w:r>
          </w:p>
        </w:tc>
      </w:tr>
      <w:tr>
        <w:tc>
          <w:tcPr>
            <w:tcW w:type="dxa" w:w="4536"/>
            <w:vAlign w:val="center"/>
          </w:tcPr>
          <w:p>
            <w:pPr>
              <w:jc w:val="left"/>
            </w:pPr>
            <w:r/>
            <w:r>
              <w:rPr>
                <w:rFonts w:ascii="Calibri" w:hAnsi="Calibri"/>
                <w:color w:val="2D2D2D"/>
                <w:sz w:val="18"/>
              </w:rPr>
              <w:t>LiquidityState</w:t>
            </w:r>
          </w:p>
        </w:tc>
        <w:tc>
          <w:tcPr>
            <w:tcW w:type="dxa" w:w="4536"/>
            <w:vAlign w:val="center"/>
          </w:tcPr>
          <w:p>
            <w:pPr>
              <w:jc w:val="left"/>
            </w:pPr>
            <w:r/>
            <w:r>
              <w:rPr>
                <w:rFonts w:ascii="Calibri" w:hAnsi="Calibri"/>
                <w:color w:val="2D2D2D"/>
                <w:sz w:val="18"/>
              </w:rPr>
              <w:t>LCR, LSD, redemption pressure</w:t>
            </w:r>
          </w:p>
        </w:tc>
      </w:tr>
      <w:tr>
        <w:tc>
          <w:tcPr>
            <w:tcW w:type="dxa" w:w="4536"/>
            <w:shd w:fill="F0F0F0"/>
            <w:vAlign w:val="center"/>
          </w:tcPr>
          <w:p>
            <w:pPr>
              <w:jc w:val="left"/>
            </w:pPr>
            <w:r/>
            <w:r>
              <w:rPr>
                <w:rFonts w:ascii="Calibri" w:hAnsi="Calibri"/>
                <w:color w:val="2D2D2D"/>
                <w:sz w:val="18"/>
              </w:rPr>
              <w:t>CorrelationState</w:t>
            </w:r>
          </w:p>
        </w:tc>
        <w:tc>
          <w:tcPr>
            <w:tcW w:type="dxa" w:w="4536"/>
            <w:shd w:fill="F0F0F0"/>
            <w:vAlign w:val="center"/>
          </w:tcPr>
          <w:p>
            <w:pPr>
              <w:jc w:val="left"/>
            </w:pPr>
            <w:r/>
            <w:r>
              <w:rPr>
                <w:rFonts w:ascii="Calibri" w:hAnsi="Calibri"/>
                <w:color w:val="2D2D2D"/>
                <w:sz w:val="18"/>
              </w:rPr>
              <w:t>Eigenvalue index, correlation breaks</w:t>
            </w:r>
          </w:p>
        </w:tc>
      </w:tr>
      <w:tr>
        <w:tc>
          <w:tcPr>
            <w:tcW w:type="dxa" w:w="4536"/>
            <w:vAlign w:val="center"/>
          </w:tcPr>
          <w:p>
            <w:pPr>
              <w:jc w:val="left"/>
            </w:pPr>
            <w:r/>
            <w:r>
              <w:rPr>
                <w:rFonts w:ascii="Calibri" w:hAnsi="Calibri"/>
                <w:color w:val="2D2D2D"/>
                <w:sz w:val="18"/>
              </w:rPr>
              <w:t>CustodyState</w:t>
            </w:r>
          </w:p>
        </w:tc>
        <w:tc>
          <w:tcPr>
            <w:tcW w:type="dxa" w:w="4536"/>
            <w:vAlign w:val="center"/>
          </w:tcPr>
          <w:p>
            <w:pPr>
              <w:jc w:val="left"/>
            </w:pPr>
            <w:r/>
            <w:r>
              <w:rPr>
                <w:rFonts w:ascii="Calibri" w:hAnsi="Calibri"/>
                <w:color w:val="2D2D2D"/>
                <w:sz w:val="18"/>
              </w:rPr>
              <w:t>Custodian stress, counterparty risk</w:t>
            </w:r>
          </w:p>
        </w:tc>
      </w:tr>
      <w:tr>
        <w:tc>
          <w:tcPr>
            <w:tcW w:type="dxa" w:w="4536"/>
            <w:shd w:fill="F0F0F0"/>
            <w:vAlign w:val="center"/>
          </w:tcPr>
          <w:p>
            <w:pPr>
              <w:jc w:val="left"/>
            </w:pPr>
            <w:r/>
            <w:r>
              <w:rPr>
                <w:rFonts w:ascii="Calibri" w:hAnsi="Calibri"/>
                <w:color w:val="2D2D2D"/>
                <w:sz w:val="18"/>
              </w:rPr>
              <w:t>CurrencyState</w:t>
            </w:r>
          </w:p>
        </w:tc>
        <w:tc>
          <w:tcPr>
            <w:tcW w:type="dxa" w:w="4536"/>
            <w:shd w:fill="F0F0F0"/>
            <w:vAlign w:val="center"/>
          </w:tcPr>
          <w:p>
            <w:pPr>
              <w:jc w:val="left"/>
            </w:pPr>
            <w:r/>
            <w:r>
              <w:rPr>
                <w:rFonts w:ascii="Calibri" w:hAnsi="Calibri"/>
                <w:color w:val="2D2D2D"/>
                <w:sz w:val="18"/>
              </w:rPr>
              <w:t>CQS, currency deviations</w:t>
            </w:r>
          </w:p>
        </w:tc>
      </w:tr>
      <w:tr>
        <w:tc>
          <w:tcPr>
            <w:tcW w:type="dxa" w:w="4536"/>
            <w:vAlign w:val="center"/>
          </w:tcPr>
          <w:p>
            <w:pPr>
              <w:jc w:val="left"/>
            </w:pPr>
            <w:r/>
            <w:r>
              <w:rPr>
                <w:rFonts w:ascii="Calibri" w:hAnsi="Calibri"/>
                <w:color w:val="2D2D2D"/>
                <w:sz w:val="18"/>
              </w:rPr>
              <w:t>DigitalState</w:t>
            </w:r>
          </w:p>
        </w:tc>
        <w:tc>
          <w:tcPr>
            <w:tcW w:type="dxa" w:w="4536"/>
            <w:vAlign w:val="center"/>
          </w:tcPr>
          <w:p>
            <w:pPr>
              <w:jc w:val="left"/>
            </w:pPr>
            <w:r/>
            <w:r>
              <w:rPr>
                <w:rFonts w:ascii="Calibri" w:hAnsi="Calibri"/>
                <w:color w:val="2D2D2D"/>
                <w:sz w:val="18"/>
              </w:rPr>
              <w:t>Stablecoin depeg, DRQS</w:t>
            </w:r>
          </w:p>
        </w:tc>
      </w:tr>
      <w:tr>
        <w:tc>
          <w:tcPr>
            <w:tcW w:type="dxa" w:w="4536"/>
            <w:shd w:fill="F0F0F0"/>
            <w:vAlign w:val="center"/>
          </w:tcPr>
          <w:p>
            <w:pPr>
              <w:jc w:val="left"/>
            </w:pPr>
            <w:r/>
            <w:r>
              <w:rPr>
                <w:rFonts w:ascii="Calibri" w:hAnsi="Calibri"/>
                <w:color w:val="2D2D2D"/>
                <w:sz w:val="18"/>
              </w:rPr>
              <w:t>OracleState</w:t>
            </w:r>
          </w:p>
        </w:tc>
        <w:tc>
          <w:tcPr>
            <w:tcW w:type="dxa" w:w="4536"/>
            <w:shd w:fill="F0F0F0"/>
            <w:vAlign w:val="center"/>
          </w:tcPr>
          <w:p>
            <w:pPr>
              <w:jc w:val="left"/>
            </w:pPr>
            <w:r/>
            <w:r>
              <w:rPr>
                <w:rFonts w:ascii="Calibri" w:hAnsi="Calibri"/>
                <w:color w:val="2D2D2D"/>
                <w:sz w:val="18"/>
              </w:rPr>
              <w:t>Oracle health, staleness</w:t>
            </w:r>
          </w:p>
        </w:tc>
      </w:tr>
      <w:tr>
        <w:tc>
          <w:tcPr>
            <w:tcW w:type="dxa" w:w="4536"/>
            <w:vAlign w:val="center"/>
          </w:tcPr>
          <w:p>
            <w:pPr>
              <w:jc w:val="left"/>
            </w:pPr>
            <w:r/>
            <w:r>
              <w:rPr>
                <w:rFonts w:ascii="Calibri" w:hAnsi="Calibri"/>
                <w:color w:val="2D2D2D"/>
                <w:sz w:val="18"/>
              </w:rPr>
              <w:t>ModelState</w:t>
            </w:r>
          </w:p>
        </w:tc>
        <w:tc>
          <w:tcPr>
            <w:tcW w:type="dxa" w:w="4536"/>
            <w:vAlign w:val="center"/>
          </w:tcPr>
          <w:p>
            <w:pPr>
              <w:jc w:val="left"/>
            </w:pPr>
            <w:r/>
            <w:r>
              <w:rPr>
                <w:rFonts w:ascii="Calibri" w:hAnsi="Calibri"/>
                <w:color w:val="2D2D2D"/>
                <w:sz w:val="18"/>
              </w:rPr>
              <w:t>Model validity, challenger agreement</w:t>
            </w:r>
          </w:p>
        </w:tc>
      </w:tr>
    </w:tbl>
    <w:p/>
    <w:p>
      <w:pPr>
        <w:pStyle w:val="Heading3"/>
      </w:pPr>
      <w:r>
        <w:t>§34.3 Global State Rule</w:t>
      </w:r>
    </w:p>
    <w:p>
      <w:pPr>
        <w:ind w:left="283"/>
        <w:shd w:fill="F5F5F5"/>
      </w:pPr>
      <w:r>
        <w:rPr>
          <w:rFonts w:ascii="Consolas" w:hAnsi="Consolas"/>
          <w:color w:val="6B6B6B"/>
          <w:sz w:val="18"/>
        </w:rPr>
        <w:t>GlobalState ≥ highest applicable subsystem severity (with hysteresis)</w:t>
      </w:r>
    </w:p>
    <w:p>
      <w:r>
        <w:t xml:space="preserve">The system must </w:t>
      </w:r>
      <w:r>
        <w:rPr>
          <w:b/>
        </w:rPr>
        <w:t>NOT</w:t>
      </w:r>
      <w:r>
        <w:t xml:space="preserve"> show:</w:t>
      </w:r>
    </w:p>
    <w:p>
      <w:pPr>
        <w:pStyle w:val="ListBullet"/>
        <w:ind w:left="425"/>
      </w:pPr>
      <w:r>
        <w:t>Global = NORMAL while Correlation = CRISIS</w:t>
      </w:r>
    </w:p>
    <w:p>
      <w:r>
        <w:t>without explicit state hierarchy.</w:t>
      </w:r>
    </w:p>
    <w:p>
      <w:pPr>
        <w:pBdr>
          <w:bottom w:val="single" w:sz="12" w:space="1" w:color="C59B1E"/>
        </w:pBdr>
      </w:pPr>
    </w:p>
    <w:p>
      <w:pPr>
        <w:pStyle w:val="Heading2"/>
      </w:pPr>
      <w:r>
        <w:t>§35 — HIERARCHICAL OPTIMIZER (4-Tier)</w:t>
      </w:r>
    </w:p>
    <w:p>
      <w:pPr>
        <w:pStyle w:val="Heading3"/>
      </w:pPr>
      <w:r>
        <w:t>§35.1 Tier Hierarchy</w:t>
      </w:r>
    </w:p>
    <w:p>
      <w:pPr>
        <w:ind w:left="283"/>
        <w:shd w:fill="F5F5F5"/>
      </w:pPr>
      <w:r>
        <w:rPr>
          <w:rFonts w:ascii="Consolas" w:hAnsi="Consolas"/>
          <w:color w:val="6B6B6B"/>
          <w:sz w:val="18"/>
        </w:rPr>
        <w:t>Tier 1 — Hard Constitutional Constraints (MUST PASS)</w:t>
        <w:br/>
        <w:t xml:space="preserve">   → Solvency (RR ≥ 100%)</w:t>
        <w:br/>
        <w:t xml:space="preserve">   → Liquidity (LCR ≥ 1.0)</w:t>
        <w:br/>
        <w:t xml:space="preserve">   → Legal eligibility</w:t>
        <w:br/>
        <w:t xml:space="preserve">   → Concentration limits</w:t>
        <w:br/>
        <w:t xml:space="preserve">   → Custody limits</w:t>
        <w:br/>
        <w:t xml:space="preserve">   → Jurisdiction limits</w:t>
        <w:br/>
        <w:t xml:space="preserve">         ↓ (if Tier 1 passes)</w:t>
        <w:br/>
        <w:t>Tier 2 — Risk Objectives (OPTIMIZE)</w:t>
        <w:br/>
        <w:t xml:space="preserve">   → CVaR minimization</w:t>
        <w:br/>
        <w:t xml:space="preserve">   → Stress loss minimization</w:t>
        <w:br/>
        <w:t xml:space="preserve">   → FX risk, concentration risk, liquidity risk</w:t>
        <w:br/>
        <w:t xml:space="preserve">         ↓ (if Tier 2 passes)</w:t>
        <w:br/>
        <w:t>Tier 3 — Economic Costs (MINIMIZE)</w:t>
        <w:br/>
        <w:t xml:space="preserve">   → Execution cost</w:t>
        <w:br/>
        <w:t xml:space="preserve">   → Turnover</w:t>
        <w:br/>
        <w:t xml:space="preserve">   → Holding cost</w:t>
        <w:br/>
        <w:t xml:space="preserve">   → Lifecycle cost</w:t>
        <w:br/>
        <w:t xml:space="preserve">         ↓ (if Tier 3 passes)</w:t>
        <w:br/>
        <w:t>Tier 4 — Stability Preferences (PREFER)</w:t>
        <w:br/>
        <w:t xml:space="preserve">   → Higher Stress-RR</w:t>
        <w:br/>
        <w:t xml:space="preserve">   → Higher LCR</w:t>
        <w:br/>
        <w:t xml:space="preserve">   → Lower turnover</w:t>
        <w:br/>
        <w:t xml:space="preserve">   → Lower concentration</w:t>
        <w:br/>
        <w:t xml:space="preserve">   → Lower model dependency</w:t>
      </w:r>
    </w:p>
    <w:p>
      <w:pPr>
        <w:pStyle w:val="Heading3"/>
      </w:pPr>
      <w:r>
        <w:t>§35.2 Key Rule</w:t>
      </w:r>
    </w:p>
    <w:p>
      <w:r>
        <w:t xml:space="preserve">Tier 1 </w:t>
      </w:r>
      <w:r>
        <w:rPr>
          <w:b/>
        </w:rPr>
        <w:t>must pass</w:t>
      </w:r>
      <w:r>
        <w:t xml:space="preserve"> before Tier 2 is evaluated. Tier 2 optimized before Tier 3 costs considered. The optimizer </w:t>
      </w:r>
      <w:r>
        <w:rPr>
          <w:b/>
        </w:rPr>
        <w:t>cannot</w:t>
      </w:r>
      <w:r>
        <w:t xml:space="preserve"> sacrifice safety for efficiency.</w:t>
      </w:r>
    </w:p>
    <w:p>
      <w:pPr>
        <w:pStyle w:val="Heading3"/>
      </w:pPr>
      <w:r>
        <w:t>§35.3 15-Component Trade-Cost Model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Component</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1. Spread</w:t>
            </w:r>
          </w:p>
        </w:tc>
        <w:tc>
          <w:tcPr>
            <w:tcW w:type="dxa" w:w="4536"/>
            <w:vAlign w:val="center"/>
          </w:tcPr>
          <w:p>
            <w:pPr>
              <w:jc w:val="left"/>
            </w:pPr>
            <w:r/>
            <w:r>
              <w:rPr>
                <w:rFonts w:ascii="Calibri" w:hAnsi="Calibri"/>
                <w:color w:val="2D2D2D"/>
                <w:sz w:val="18"/>
              </w:rPr>
              <w:t>Bid-ask spread</w:t>
            </w:r>
          </w:p>
        </w:tc>
      </w:tr>
      <w:tr>
        <w:tc>
          <w:tcPr>
            <w:tcW w:type="dxa" w:w="4536"/>
            <w:shd w:fill="F0F0F0"/>
            <w:vAlign w:val="center"/>
          </w:tcPr>
          <w:p>
            <w:pPr>
              <w:jc w:val="left"/>
            </w:pPr>
            <w:r/>
            <w:r>
              <w:rPr>
                <w:rFonts w:ascii="Calibri" w:hAnsi="Calibri"/>
                <w:color w:val="2D2D2D"/>
                <w:sz w:val="18"/>
              </w:rPr>
              <w:t>2. Slippage</w:t>
            </w:r>
          </w:p>
        </w:tc>
        <w:tc>
          <w:tcPr>
            <w:tcW w:type="dxa" w:w="4536"/>
            <w:shd w:fill="F0F0F0"/>
            <w:vAlign w:val="center"/>
          </w:tcPr>
          <w:p>
            <w:pPr>
              <w:jc w:val="left"/>
            </w:pPr>
            <w:r/>
            <w:r>
              <w:rPr>
                <w:rFonts w:ascii="Calibri" w:hAnsi="Calibri"/>
                <w:color w:val="2D2D2D"/>
                <w:sz w:val="18"/>
              </w:rPr>
              <w:t>Market impact</w:t>
            </w:r>
          </w:p>
        </w:tc>
      </w:tr>
      <w:tr>
        <w:tc>
          <w:tcPr>
            <w:tcW w:type="dxa" w:w="4536"/>
            <w:vAlign w:val="center"/>
          </w:tcPr>
          <w:p>
            <w:pPr>
              <w:jc w:val="left"/>
            </w:pPr>
            <w:r/>
            <w:r>
              <w:rPr>
                <w:rFonts w:ascii="Calibri" w:hAnsi="Calibri"/>
                <w:color w:val="2D2D2D"/>
                <w:sz w:val="18"/>
              </w:rPr>
              <w:t>3. Market impact</w:t>
            </w:r>
          </w:p>
        </w:tc>
        <w:tc>
          <w:tcPr>
            <w:tcW w:type="dxa" w:w="4536"/>
            <w:vAlign w:val="center"/>
          </w:tcPr>
          <w:p>
            <w:pPr>
              <w:jc w:val="left"/>
            </w:pPr>
            <w:r/>
            <w:r>
              <w:rPr>
                <w:rFonts w:ascii="Calibri" w:hAnsi="Calibri"/>
                <w:color w:val="2D2D2D"/>
                <w:sz w:val="18"/>
              </w:rPr>
              <w:t>Price movement from order size</w:t>
            </w:r>
          </w:p>
        </w:tc>
      </w:tr>
      <w:tr>
        <w:tc>
          <w:tcPr>
            <w:tcW w:type="dxa" w:w="4536"/>
            <w:shd w:fill="F0F0F0"/>
            <w:vAlign w:val="center"/>
          </w:tcPr>
          <w:p>
            <w:pPr>
              <w:jc w:val="left"/>
            </w:pPr>
            <w:r/>
            <w:r>
              <w:rPr>
                <w:rFonts w:ascii="Calibri" w:hAnsi="Calibri"/>
                <w:color w:val="2D2D2D"/>
                <w:sz w:val="18"/>
              </w:rPr>
              <w:t>4. Venue cost</w:t>
            </w:r>
          </w:p>
        </w:tc>
        <w:tc>
          <w:tcPr>
            <w:tcW w:type="dxa" w:w="4536"/>
            <w:shd w:fill="F0F0F0"/>
            <w:vAlign w:val="center"/>
          </w:tcPr>
          <w:p>
            <w:pPr>
              <w:jc w:val="left"/>
            </w:pPr>
            <w:r/>
            <w:r>
              <w:rPr>
                <w:rFonts w:ascii="Calibri" w:hAnsi="Calibri"/>
                <w:color w:val="2D2D2D"/>
                <w:sz w:val="18"/>
              </w:rPr>
              <w:t>Exchange/venue fees</w:t>
            </w:r>
          </w:p>
        </w:tc>
      </w:tr>
      <w:tr>
        <w:tc>
          <w:tcPr>
            <w:tcW w:type="dxa" w:w="4536"/>
            <w:vAlign w:val="center"/>
          </w:tcPr>
          <w:p>
            <w:pPr>
              <w:jc w:val="left"/>
            </w:pPr>
            <w:r/>
            <w:r>
              <w:rPr>
                <w:rFonts w:ascii="Calibri" w:hAnsi="Calibri"/>
                <w:color w:val="2D2D2D"/>
                <w:sz w:val="18"/>
              </w:rPr>
              <w:t>5. Custody transfer</w:t>
            </w:r>
          </w:p>
        </w:tc>
        <w:tc>
          <w:tcPr>
            <w:tcW w:type="dxa" w:w="4536"/>
            <w:vAlign w:val="center"/>
          </w:tcPr>
          <w:p>
            <w:pPr>
              <w:jc w:val="left"/>
            </w:pPr>
            <w:r/>
            <w:r>
              <w:rPr>
                <w:rFonts w:ascii="Calibri" w:hAnsi="Calibri"/>
                <w:color w:val="2D2D2D"/>
                <w:sz w:val="18"/>
              </w:rPr>
              <w:t>Custodian fees</w:t>
            </w:r>
          </w:p>
        </w:tc>
      </w:tr>
      <w:tr>
        <w:tc>
          <w:tcPr>
            <w:tcW w:type="dxa" w:w="4536"/>
            <w:shd w:fill="F0F0F0"/>
            <w:vAlign w:val="center"/>
          </w:tcPr>
          <w:p>
            <w:pPr>
              <w:jc w:val="left"/>
            </w:pPr>
            <w:r/>
            <w:r>
              <w:rPr>
                <w:rFonts w:ascii="Calibri" w:hAnsi="Calibri"/>
                <w:color w:val="2D2D2D"/>
                <w:sz w:val="18"/>
              </w:rPr>
              <w:t>6. FX cost</w:t>
            </w:r>
          </w:p>
        </w:tc>
        <w:tc>
          <w:tcPr>
            <w:tcW w:type="dxa" w:w="4536"/>
            <w:shd w:fill="F0F0F0"/>
            <w:vAlign w:val="center"/>
          </w:tcPr>
          <w:p>
            <w:pPr>
              <w:jc w:val="left"/>
            </w:pPr>
            <w:r/>
            <w:r>
              <w:rPr>
                <w:rFonts w:ascii="Calibri" w:hAnsi="Calibri"/>
                <w:color w:val="2D2D2D"/>
                <w:sz w:val="18"/>
              </w:rPr>
              <w:t>Currency conversion</w:t>
            </w:r>
          </w:p>
        </w:tc>
      </w:tr>
      <w:tr>
        <w:tc>
          <w:tcPr>
            <w:tcW w:type="dxa" w:w="4536"/>
            <w:vAlign w:val="center"/>
          </w:tcPr>
          <w:p>
            <w:pPr>
              <w:jc w:val="left"/>
            </w:pPr>
            <w:r/>
            <w:r>
              <w:rPr>
                <w:rFonts w:ascii="Calibri" w:hAnsi="Calibri"/>
                <w:color w:val="2D2D2D"/>
                <w:sz w:val="18"/>
              </w:rPr>
              <w:t>7. Lifecycle — acquisition</w:t>
            </w:r>
          </w:p>
        </w:tc>
        <w:tc>
          <w:tcPr>
            <w:tcW w:type="dxa" w:w="4536"/>
            <w:vAlign w:val="center"/>
          </w:tcPr>
          <w:p>
            <w:pPr>
              <w:jc w:val="left"/>
            </w:pPr>
            <w:r/>
            <w:r>
              <w:rPr>
                <w:rFonts w:ascii="Calibri" w:hAnsi="Calibri"/>
                <w:color w:val="2D2D2D"/>
                <w:sz w:val="18"/>
              </w:rPr>
              <w:t>Cost to acquire</w:t>
            </w:r>
          </w:p>
        </w:tc>
      </w:tr>
      <w:tr>
        <w:tc>
          <w:tcPr>
            <w:tcW w:type="dxa" w:w="4536"/>
            <w:shd w:fill="F0F0F0"/>
            <w:vAlign w:val="center"/>
          </w:tcPr>
          <w:p>
            <w:pPr>
              <w:jc w:val="left"/>
            </w:pPr>
            <w:r/>
            <w:r>
              <w:rPr>
                <w:rFonts w:ascii="Calibri" w:hAnsi="Calibri"/>
                <w:color w:val="2D2D2D"/>
                <w:sz w:val="18"/>
              </w:rPr>
              <w:t>8. Lifecycle — holding</w:t>
            </w:r>
          </w:p>
        </w:tc>
        <w:tc>
          <w:tcPr>
            <w:tcW w:type="dxa" w:w="4536"/>
            <w:shd w:fill="F0F0F0"/>
            <w:vAlign w:val="center"/>
          </w:tcPr>
          <w:p>
            <w:pPr>
              <w:jc w:val="left"/>
            </w:pPr>
            <w:r/>
            <w:r>
              <w:rPr>
                <w:rFonts w:ascii="Calibri" w:hAnsi="Calibri"/>
                <w:color w:val="2D2D2D"/>
                <w:sz w:val="18"/>
              </w:rPr>
              <w:t>Cost to hold</w:t>
            </w:r>
          </w:p>
        </w:tc>
      </w:tr>
      <w:tr>
        <w:tc>
          <w:tcPr>
            <w:tcW w:type="dxa" w:w="4536"/>
            <w:vAlign w:val="center"/>
          </w:tcPr>
          <w:p>
            <w:pPr>
              <w:jc w:val="left"/>
            </w:pPr>
            <w:r/>
            <w:r>
              <w:rPr>
                <w:rFonts w:ascii="Calibri" w:hAnsi="Calibri"/>
                <w:color w:val="2D2D2D"/>
                <w:sz w:val="18"/>
              </w:rPr>
              <w:t>9. Lifecycle — liquidation</w:t>
            </w:r>
          </w:p>
        </w:tc>
        <w:tc>
          <w:tcPr>
            <w:tcW w:type="dxa" w:w="4536"/>
            <w:vAlign w:val="center"/>
          </w:tcPr>
          <w:p>
            <w:pPr>
              <w:jc w:val="left"/>
            </w:pPr>
            <w:r/>
            <w:r>
              <w:rPr>
                <w:rFonts w:ascii="Calibri" w:hAnsi="Calibri"/>
                <w:color w:val="2D2D2D"/>
                <w:sz w:val="18"/>
              </w:rPr>
              <w:t>Cost to liquidate</w:t>
            </w:r>
          </w:p>
        </w:tc>
      </w:tr>
      <w:tr>
        <w:tc>
          <w:tcPr>
            <w:tcW w:type="dxa" w:w="4536"/>
            <w:shd w:fill="F0F0F0"/>
            <w:vAlign w:val="center"/>
          </w:tcPr>
          <w:p>
            <w:pPr>
              <w:jc w:val="left"/>
            </w:pPr>
            <w:r/>
            <w:r>
              <w:rPr>
                <w:rFonts w:ascii="Calibri" w:hAnsi="Calibri"/>
                <w:color w:val="2D2D2D"/>
                <w:sz w:val="18"/>
              </w:rPr>
              <w:t>10. Lifecycle — opportunity</w:t>
            </w:r>
          </w:p>
        </w:tc>
        <w:tc>
          <w:tcPr>
            <w:tcW w:type="dxa" w:w="4536"/>
            <w:shd w:fill="F0F0F0"/>
            <w:vAlign w:val="center"/>
          </w:tcPr>
          <w:p>
            <w:pPr>
              <w:jc w:val="left"/>
            </w:pPr>
            <w:r/>
            <w:r>
              <w:rPr>
                <w:rFonts w:ascii="Calibri" w:hAnsi="Calibri"/>
                <w:color w:val="2D2D2D"/>
                <w:sz w:val="18"/>
              </w:rPr>
              <w:t>Opportunity cost</w:t>
            </w:r>
          </w:p>
        </w:tc>
      </w:tr>
      <w:tr>
        <w:tc>
          <w:tcPr>
            <w:tcW w:type="dxa" w:w="4536"/>
            <w:vAlign w:val="center"/>
          </w:tcPr>
          <w:p>
            <w:pPr>
              <w:jc w:val="left"/>
            </w:pPr>
            <w:r/>
            <w:r>
              <w:rPr>
                <w:rFonts w:ascii="Calibri" w:hAnsi="Calibri"/>
                <w:color w:val="2D2D2D"/>
                <w:sz w:val="18"/>
              </w:rPr>
              <w:t>11. Insurance</w:t>
            </w:r>
          </w:p>
        </w:tc>
        <w:tc>
          <w:tcPr>
            <w:tcW w:type="dxa" w:w="4536"/>
            <w:vAlign w:val="center"/>
          </w:tcPr>
          <w:p>
            <w:pPr>
              <w:jc w:val="left"/>
            </w:pPr>
            <w:r/>
            <w:r>
              <w:rPr>
                <w:rFonts w:ascii="Calibri" w:hAnsi="Calibri"/>
                <w:color w:val="2D2D2D"/>
                <w:sz w:val="18"/>
              </w:rPr>
              <w:t>Insurance premiums</w:t>
            </w:r>
          </w:p>
        </w:tc>
      </w:tr>
      <w:tr>
        <w:tc>
          <w:tcPr>
            <w:tcW w:type="dxa" w:w="4536"/>
            <w:shd w:fill="F0F0F0"/>
            <w:vAlign w:val="center"/>
          </w:tcPr>
          <w:p>
            <w:pPr>
              <w:jc w:val="left"/>
            </w:pPr>
            <w:r/>
            <w:r>
              <w:rPr>
                <w:rFonts w:ascii="Calibri" w:hAnsi="Calibri"/>
                <w:color w:val="2D2D2D"/>
                <w:sz w:val="18"/>
              </w:rPr>
              <w:t>12. Audit</w:t>
            </w:r>
          </w:p>
        </w:tc>
        <w:tc>
          <w:tcPr>
            <w:tcW w:type="dxa" w:w="4536"/>
            <w:shd w:fill="F0F0F0"/>
            <w:vAlign w:val="center"/>
          </w:tcPr>
          <w:p>
            <w:pPr>
              <w:jc w:val="left"/>
            </w:pPr>
            <w:r/>
            <w:r>
              <w:rPr>
                <w:rFonts w:ascii="Calibri" w:hAnsi="Calibri"/>
                <w:color w:val="2D2D2D"/>
                <w:sz w:val="18"/>
              </w:rPr>
              <w:t>Audit cost</w:t>
            </w:r>
          </w:p>
        </w:tc>
      </w:tr>
      <w:tr>
        <w:tc>
          <w:tcPr>
            <w:tcW w:type="dxa" w:w="4536"/>
            <w:vAlign w:val="center"/>
          </w:tcPr>
          <w:p>
            <w:pPr>
              <w:jc w:val="left"/>
            </w:pPr>
            <w:r/>
            <w:r>
              <w:rPr>
                <w:rFonts w:ascii="Calibri" w:hAnsi="Calibri"/>
                <w:color w:val="2D2D2D"/>
                <w:sz w:val="18"/>
              </w:rPr>
              <w:t>13. Compliance</w:t>
            </w:r>
          </w:p>
        </w:tc>
        <w:tc>
          <w:tcPr>
            <w:tcW w:type="dxa" w:w="4536"/>
            <w:vAlign w:val="center"/>
          </w:tcPr>
          <w:p>
            <w:pPr>
              <w:jc w:val="left"/>
            </w:pPr>
            <w:r/>
            <w:r>
              <w:rPr>
                <w:rFonts w:ascii="Calibri" w:hAnsi="Calibri"/>
                <w:color w:val="2D2D2D"/>
                <w:sz w:val="18"/>
              </w:rPr>
              <w:t>Compliance cost</w:t>
            </w:r>
          </w:p>
        </w:tc>
      </w:tr>
      <w:tr>
        <w:tc>
          <w:tcPr>
            <w:tcW w:type="dxa" w:w="4536"/>
            <w:shd w:fill="F0F0F0"/>
            <w:vAlign w:val="center"/>
          </w:tcPr>
          <w:p>
            <w:pPr>
              <w:jc w:val="left"/>
            </w:pPr>
            <w:r/>
            <w:r>
              <w:rPr>
                <w:rFonts w:ascii="Calibri" w:hAnsi="Calibri"/>
                <w:color w:val="2D2D2D"/>
                <w:sz w:val="18"/>
              </w:rPr>
              <w:t>14. Technology</w:t>
            </w:r>
          </w:p>
        </w:tc>
        <w:tc>
          <w:tcPr>
            <w:tcW w:type="dxa" w:w="4536"/>
            <w:shd w:fill="F0F0F0"/>
            <w:vAlign w:val="center"/>
          </w:tcPr>
          <w:p>
            <w:pPr>
              <w:jc w:val="left"/>
            </w:pPr>
            <w:r/>
            <w:r>
              <w:rPr>
                <w:rFonts w:ascii="Calibri" w:hAnsi="Calibri"/>
                <w:color w:val="2D2D2D"/>
                <w:sz w:val="18"/>
              </w:rPr>
              <w:t>Tech infrastructure cost</w:t>
            </w:r>
          </w:p>
        </w:tc>
      </w:tr>
      <w:tr>
        <w:tc>
          <w:tcPr>
            <w:tcW w:type="dxa" w:w="4536"/>
            <w:vAlign w:val="center"/>
          </w:tcPr>
          <w:p>
            <w:pPr>
              <w:jc w:val="left"/>
            </w:pPr>
            <w:r/>
            <w:r>
              <w:rPr>
                <w:rFonts w:ascii="Calibri" w:hAnsi="Calibri"/>
                <w:color w:val="2D2D2D"/>
                <w:sz w:val="18"/>
              </w:rPr>
              <w:t>15. Operational</w:t>
            </w:r>
          </w:p>
        </w:tc>
        <w:tc>
          <w:tcPr>
            <w:tcW w:type="dxa" w:w="4536"/>
            <w:vAlign w:val="center"/>
          </w:tcPr>
          <w:p>
            <w:pPr>
              <w:jc w:val="left"/>
            </w:pPr>
            <w:r/>
            <w:r>
              <w:rPr>
                <w:rFonts w:ascii="Calibri" w:hAnsi="Calibri"/>
                <w:color w:val="2D2D2D"/>
                <w:sz w:val="18"/>
              </w:rPr>
              <w:t>Operations cost</w:t>
            </w:r>
          </w:p>
        </w:tc>
      </w:tr>
    </w:tbl>
    <w:p/>
    <w:p>
      <w:pPr>
        <w:pBdr>
          <w:bottom w:val="single" w:sz="12" w:space="1" w:color="C59B1E"/>
        </w:pBdr>
      </w:pPr>
    </w:p>
    <w:p>
      <w:pPr>
        <w:pStyle w:val="Heading2"/>
      </w:pPr>
      <w:r>
        <w:t>§36 — TOKENIZED GOLD (TGRS / TGLS / TGBS / TGDR)</w:t>
      </w:r>
    </w:p>
    <w:p>
      <w:pPr>
        <w:pStyle w:val="Heading3"/>
      </w:pPr>
      <w:r>
        <w:t>§36.1 TGRS — Tokenized Gold Reserve Score (10 Dimensions)</w:t>
      </w:r>
    </w:p>
    <w:p>
      <w:pPr>
        <w:ind w:left="283"/>
        <w:shd w:fill="F5F5F5"/>
      </w:pPr>
      <w:r>
        <w:rPr>
          <w:rFonts w:ascii="Consolas" w:hAnsi="Consolas"/>
          <w:color w:val="6B6B6B"/>
          <w:sz w:val="18"/>
        </w:rPr>
        <w:t>TGRS = Σ(w_j × Score_j)</w:t>
        <w:br/>
        <w:br/>
        <w:t>Weights:</w:t>
        <w:br/>
        <w:t xml:space="preserve">  PhysicalBacking      0.20</w:t>
        <w:br/>
        <w:t xml:space="preserve">  LegalTitle           0.15</w:t>
        <w:br/>
        <w:t xml:space="preserve">  Custody              0.15</w:t>
        <w:br/>
        <w:t xml:space="preserve">  Redemption           0.10</w:t>
        <w:br/>
        <w:t xml:space="preserve">  IssuerReliability    0.10</w:t>
        <w:br/>
        <w:t xml:space="preserve">  OracleReliability    0.10</w:t>
        <w:br/>
        <w:t xml:space="preserve">  Settlement           0.08</w:t>
        <w:br/>
        <w:t xml:space="preserve">  Liquidity            0.05</w:t>
        <w:br/>
        <w:t xml:space="preserve">  OperationalResilience 0.05</w:t>
        <w:br/>
        <w:t xml:space="preserve">  Jurisdiction         0.02</w:t>
        <w:br/>
        <w:t xml:space="preserve">  ─────────────────────────</w:t>
        <w:br/>
        <w:t xml:space="preserve">  Total                1.00</w:t>
      </w:r>
    </w:p>
    <w:p>
      <w:r>
        <w:rPr>
          <w:b/>
        </w:rPr>
        <w:t>PAXG TGRS = 9.07</w:t>
      </w:r>
      <w:r>
        <w:t xml:space="preserve"> (Eligible, threshold ≥ 8.0)</w:t>
      </w:r>
    </w:p>
    <w:p>
      <w:pPr>
        <w:pStyle w:val="Heading3"/>
      </w:pPr>
      <w:r>
        <w:t>§36.2 TGLS — Tokenized Gold Liquidity Score (9 Dimensions)</w:t>
      </w:r>
    </w:p>
    <w:p>
      <w:pPr>
        <w:ind w:left="283"/>
        <w:shd w:fill="F5F5F5"/>
      </w:pPr>
      <w:r>
        <w:rPr>
          <w:rFonts w:ascii="Consolas" w:hAnsi="Consolas"/>
          <w:color w:val="6B6B6B"/>
          <w:sz w:val="18"/>
        </w:rPr>
        <w:t>TGLS = Σ(w_j × Score_j)</w:t>
        <w:br/>
        <w:br/>
        <w:t>Dimensions:</w:t>
        <w:br/>
        <w:t xml:space="preserve">  MarketDepth          0.18</w:t>
        <w:br/>
        <w:t xml:space="preserve">  BidAskSpread         0.12</w:t>
        <w:br/>
        <w:t xml:space="preserve">  RedemptionAccessibility 0.15</w:t>
        <w:br/>
        <w:t xml:space="preserve">  RedemptionLatency    0.10</w:t>
        <w:br/>
        <w:t xml:space="preserve">  SettlementAvailability 0.10</w:t>
        <w:br/>
        <w:t xml:space="preserve">  WeekendLiquidity     0.08</w:t>
        <w:br/>
        <w:t xml:space="preserve">  VenueConcentration   0.07</w:t>
        <w:br/>
        <w:t xml:space="preserve">  StressLiquidity      0.15</w:t>
        <w:br/>
        <w:t xml:space="preserve">  Transferability      0.05</w:t>
      </w:r>
    </w:p>
    <w:p>
      <w:r>
        <w:rPr>
          <w:b/>
        </w:rPr>
        <w:t>PAXG TGLS = 7.7</w:t>
      </w:r>
      <w:r>
        <w:t xml:space="preserve"> (ADEQUATE)</w:t>
      </w:r>
    </w:p>
    <w:p>
      <w:pPr>
        <w:pStyle w:val="Heading3"/>
      </w:pPr>
      <w:r>
        <w:t>§36.3 TGBS — Tokenized Gold Basis Spread</w:t>
      </w:r>
    </w:p>
    <w:p>
      <w:pPr>
        <w:ind w:left="283"/>
        <w:shd w:fill="F5F5F5"/>
      </w:pPr>
      <w:r>
        <w:rPr>
          <w:rFonts w:ascii="Consolas" w:hAnsi="Consolas"/>
          <w:color w:val="6B6B6B"/>
          <w:sz w:val="18"/>
        </w:rPr>
        <w:t>TGBS = (P_PAXGMarket - P_GoldNAV) / P_GoldNAV</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Band</w:t>
            </w:r>
          </w:p>
        </w:tc>
        <w:tc>
          <w:tcPr>
            <w:tcW w:type="dxa" w:w="3024"/>
            <w:shd w:fill="1A365F"/>
            <w:vAlign w:val="center"/>
          </w:tcPr>
          <w:p>
            <w:pPr>
              <w:jc w:val="left"/>
            </w:pPr>
            <w:r/>
            <w:r>
              <w:rPr>
                <w:rFonts w:ascii="Calibri" w:hAnsi="Calibri"/>
                <w:b/>
                <w:color w:val="FFFFFF"/>
                <w:sz w:val="18"/>
              </w:rPr>
              <w:t>TGBS</w:t>
            </w:r>
          </w:p>
        </w:tc>
        <w:tc>
          <w:tcPr>
            <w:tcW w:type="dxa" w:w="3024"/>
            <w:shd w:fill="1A365F"/>
            <w:vAlign w:val="center"/>
          </w:tcPr>
          <w:p>
            <w:pPr>
              <w:jc w:val="left"/>
            </w:pPr>
            <w:r/>
            <w:r>
              <w:rPr>
                <w:rFonts w:ascii="Calibri" w:hAnsi="Calibri"/>
                <w:b/>
                <w:color w:val="FFFFFF"/>
                <w:sz w:val="18"/>
              </w:rPr>
              <w:t>State</w:t>
            </w:r>
          </w:p>
        </w:tc>
      </w:tr>
      <w:tr>
        <w:tc>
          <w:tcPr>
            <w:tcW w:type="dxa" w:w="3024"/>
            <w:vAlign w:val="center"/>
          </w:tcPr>
          <w:p>
            <w:pPr>
              <w:jc w:val="left"/>
            </w:pPr>
            <w:r/>
            <w:r>
              <w:rPr>
                <w:rFonts w:ascii="Calibri" w:hAnsi="Calibri"/>
                <w:color w:val="2D2D2D"/>
                <w:sz w:val="18"/>
              </w:rPr>
              <w:t>&lt; 0.5%</w:t>
            </w:r>
          </w:p>
        </w:tc>
        <w:tc>
          <w:tcPr>
            <w:tcW w:type="dxa" w:w="3024"/>
            <w:vAlign w:val="center"/>
          </w:tcPr>
          <w:p>
            <w:pPr>
              <w:jc w:val="left"/>
            </w:pPr>
            <w:r/>
            <w:r>
              <w:rPr>
                <w:rFonts w:ascii="Calibri" w:hAnsi="Calibri"/>
                <w:color w:val="2D2D2D"/>
                <w:sz w:val="18"/>
              </w:rPr>
              <w:t>Normal</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0.5-2%</w:t>
            </w:r>
          </w:p>
        </w:tc>
        <w:tc>
          <w:tcPr>
            <w:tcW w:type="dxa" w:w="3024"/>
            <w:shd w:fill="F0F0F0"/>
            <w:vAlign w:val="center"/>
          </w:tcPr>
          <w:p>
            <w:pPr>
              <w:jc w:val="left"/>
            </w:pPr>
            <w:r/>
            <w:r>
              <w:rPr>
                <w:rFonts w:ascii="Calibri" w:hAnsi="Calibri"/>
                <w:color w:val="2D2D2D"/>
                <w:sz w:val="18"/>
              </w:rPr>
              <w:t>Elevated</w:t>
            </w:r>
          </w:p>
        </w:tc>
        <w:tc>
          <w:tcPr>
            <w:tcW w:type="dxa" w:w="3024"/>
            <w:shd w:fill="F0F0F0"/>
            <w:vAlign w:val="center"/>
          </w:tcPr>
          <w:p>
            <w:pPr>
              <w:jc w:val="left"/>
            </w:pPr>
            <w:r/>
            <w:r>
              <w:rPr>
                <w:rFonts w:ascii="Calibri" w:hAnsi="Calibri"/>
                <w:color w:val="2D2D2D"/>
                <w:sz w:val="18"/>
              </w:rPr>
              <w:t>⚠️ Monitor</w:t>
            </w:r>
          </w:p>
        </w:tc>
      </w:tr>
      <w:tr>
        <w:tc>
          <w:tcPr>
            <w:tcW w:type="dxa" w:w="3024"/>
            <w:vAlign w:val="center"/>
          </w:tcPr>
          <w:p>
            <w:pPr>
              <w:jc w:val="left"/>
            </w:pPr>
            <w:r/>
            <w:r>
              <w:rPr>
                <w:rFonts w:ascii="Calibri" w:hAnsi="Calibri"/>
                <w:color w:val="2D2D2D"/>
                <w:sz w:val="18"/>
              </w:rPr>
              <w:t>&gt; 2%</w:t>
            </w:r>
          </w:p>
        </w:tc>
        <w:tc>
          <w:tcPr>
            <w:tcW w:type="dxa" w:w="3024"/>
            <w:vAlign w:val="center"/>
          </w:tcPr>
          <w:p>
            <w:pPr>
              <w:jc w:val="left"/>
            </w:pPr>
            <w:r/>
            <w:r>
              <w:rPr>
                <w:rFonts w:ascii="Calibri" w:hAnsi="Calibri"/>
                <w:color w:val="2D2D2D"/>
                <w:sz w:val="18"/>
              </w:rPr>
              <w:t>Severe</w:t>
            </w:r>
          </w:p>
        </w:tc>
        <w:tc>
          <w:tcPr>
            <w:tcW w:type="dxa" w:w="3024"/>
            <w:vAlign w:val="center"/>
          </w:tcPr>
          <w:p>
            <w:pPr>
              <w:jc w:val="left"/>
            </w:pPr>
            <w:r/>
            <w:r>
              <w:rPr>
                <w:rFonts w:ascii="Calibri" w:hAnsi="Calibri"/>
                <w:color w:val="2D2D2D"/>
                <w:sz w:val="18"/>
              </w:rPr>
              <w:t>🚨 Investigate suspension</w:t>
            </w:r>
          </w:p>
        </w:tc>
      </w:tr>
    </w:tbl>
    <w:p/>
    <w:p>
      <w:r>
        <w:rPr>
          <w:b/>
        </w:rPr>
        <w:t>Current TGBS:</w:t>
      </w:r>
      <w:r>
        <w:t xml:space="preserve"> -0.04% (NORMAL)</w:t>
      </w:r>
    </w:p>
    <w:p>
      <w:pPr>
        <w:pStyle w:val="Heading3"/>
      </w:pPr>
      <w:r>
        <w:t>§36.4 TGDR — Tokenized Gold Dependency Ratio</w:t>
      </w:r>
    </w:p>
    <w:p>
      <w:pPr>
        <w:ind w:left="283"/>
        <w:shd w:fill="F5F5F5"/>
      </w:pPr>
      <w:r>
        <w:rPr>
          <w:rFonts w:ascii="Consolas" w:hAnsi="Consolas"/>
          <w:color w:val="6B6B6B"/>
          <w:sz w:val="18"/>
        </w:rPr>
        <w:t>TGDR = TokenizedGoldExposure / TotalGoldExposure</w:t>
        <w:br/>
        <w:br/>
        <w:t>Portfolio B: TGDR = 5% / 20% = 25%</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TGDR Level</w:t>
            </w:r>
          </w:p>
        </w:tc>
        <w:tc>
          <w:tcPr>
            <w:tcW w:type="dxa" w:w="4536"/>
            <w:shd w:fill="1A365F"/>
            <w:vAlign w:val="center"/>
          </w:tcPr>
          <w:p>
            <w:pPr>
              <w:jc w:val="left"/>
            </w:pPr>
            <w:r/>
            <w:r>
              <w:rPr>
                <w:rFonts w:ascii="Calibri" w:hAnsi="Calibri"/>
                <w:b/>
                <w:color w:val="FFFFFF"/>
                <w:sz w:val="18"/>
              </w:rPr>
              <w:t>Verdict</w:t>
            </w:r>
          </w:p>
        </w:tc>
      </w:tr>
      <w:tr>
        <w:tc>
          <w:tcPr>
            <w:tcW w:type="dxa" w:w="4536"/>
            <w:vAlign w:val="center"/>
          </w:tcPr>
          <w:p>
            <w:pPr>
              <w:jc w:val="left"/>
            </w:pPr>
            <w:r/>
            <w:r>
              <w:rPr>
                <w:rFonts w:ascii="Calibri" w:hAnsi="Calibri"/>
                <w:color w:val="2D2D2D"/>
                <w:sz w:val="18"/>
              </w:rPr>
              <w:t>0% (Portfolio D)</w:t>
            </w:r>
          </w:p>
        </w:tc>
        <w:tc>
          <w:tcPr>
            <w:tcW w:type="dxa" w:w="4536"/>
            <w:vAlign w:val="center"/>
          </w:tcPr>
          <w:p>
            <w:pPr>
              <w:jc w:val="left"/>
            </w:pPr>
            <w:r/>
            <w:r>
              <w:rPr>
                <w:rFonts w:ascii="Calibri" w:hAnsi="Calibri"/>
                <w:color w:val="2D2D2D"/>
                <w:sz w:val="18"/>
              </w:rPr>
              <w:t>PASS — no dependency</w:t>
            </w:r>
          </w:p>
        </w:tc>
      </w:tr>
      <w:tr>
        <w:tc>
          <w:tcPr>
            <w:tcW w:type="dxa" w:w="4536"/>
            <w:shd w:fill="F0F0F0"/>
            <w:vAlign w:val="center"/>
          </w:tcPr>
          <w:p>
            <w:pPr>
              <w:jc w:val="left"/>
            </w:pPr>
            <w:r/>
            <w:r>
              <w:rPr>
                <w:rFonts w:ascii="Calibri" w:hAnsi="Calibri"/>
                <w:color w:val="2D2D2D"/>
                <w:sz w:val="18"/>
              </w:rPr>
              <w:t>25% (Portfolio B)</w:t>
            </w:r>
          </w:p>
        </w:tc>
        <w:tc>
          <w:tcPr>
            <w:tcW w:type="dxa" w:w="4536"/>
            <w:shd w:fill="F0F0F0"/>
            <w:vAlign w:val="center"/>
          </w:tcPr>
          <w:p>
            <w:pPr>
              <w:jc w:val="left"/>
            </w:pPr>
            <w:r/>
            <w:r>
              <w:rPr>
                <w:rFonts w:ascii="Calibri" w:hAnsi="Calibri"/>
                <w:color w:val="2D2D2D"/>
                <w:sz w:val="18"/>
              </w:rPr>
              <w:t>PASS — acceptable</w:t>
            </w:r>
          </w:p>
        </w:tc>
      </w:tr>
      <w:tr>
        <w:tc>
          <w:tcPr>
            <w:tcW w:type="dxa" w:w="4536"/>
            <w:vAlign w:val="center"/>
          </w:tcPr>
          <w:p>
            <w:pPr>
              <w:jc w:val="left"/>
            </w:pPr>
            <w:r/>
            <w:r>
              <w:rPr>
                <w:rFonts w:ascii="Calibri" w:hAnsi="Calibri"/>
                <w:color w:val="2D2D2D"/>
                <w:sz w:val="18"/>
              </w:rPr>
              <w:t>35%</w:t>
            </w:r>
          </w:p>
        </w:tc>
        <w:tc>
          <w:tcPr>
            <w:tcW w:type="dxa" w:w="4536"/>
            <w:vAlign w:val="center"/>
          </w:tcPr>
          <w:p>
            <w:pPr>
              <w:jc w:val="left"/>
            </w:pPr>
            <w:r/>
            <w:r>
              <w:rPr>
                <w:rFonts w:ascii="Calibri" w:hAnsi="Calibri"/>
                <w:color w:val="2D2D2D"/>
                <w:sz w:val="18"/>
              </w:rPr>
              <w:t>FAIL — exceeds dependency budget</w:t>
            </w:r>
          </w:p>
        </w:tc>
      </w:tr>
    </w:tbl>
    <w:p/>
    <w:p>
      <w:pPr>
        <w:pStyle w:val="Heading3"/>
      </w:pPr>
      <w:r>
        <w:t>§36.5 Dynamic Haircut H_TG(t)</w:t>
      </w:r>
    </w:p>
    <w:p>
      <w:pPr>
        <w:ind w:left="283"/>
        <w:shd w:fill="F5F5F5"/>
      </w:pPr>
      <w:r>
        <w:rPr>
          <w:rFonts w:ascii="Consolas" w:hAnsi="Consolas"/>
          <w:color w:val="6B6B6B"/>
          <w:sz w:val="18"/>
        </w:rPr>
        <w:t>H_TG = Clamp(</w:t>
        <w:br/>
        <w:t xml:space="preserve">    H0</w:t>
        <w:br/>
        <w:t xml:space="preserve">    + α × OracleRisk</w:t>
        <w:br/>
        <w:t xml:space="preserve">    + β × CustodyRisk</w:t>
        <w:br/>
        <w:t xml:space="preserve">    + γ × LegalRisk</w:t>
        <w:br/>
        <w:t xml:space="preserve">    + δ × RedemptionRisk</w:t>
        <w:br/>
        <w:t xml:space="preserve">    + ε × LiquidityRisk</w:t>
        <w:br/>
        <w:t xml:space="preserve">    + ζ × IssuerRisk</w:t>
        <w:br/>
        <w:t xml:space="preserve">    + η × TechnologyRisk</w:t>
        <w:br/>
        <w:t xml:space="preserve">    + θ × BasisRisk,</w:t>
        <w:br/>
        <w:t xml:space="preserve">    0, H_max</w:t>
        <w:br/>
        <w:t>)</w:t>
        <w:br/>
        <w:br/>
        <w:t>H0 = 5%, H_max = 20%</w:t>
        <w:br/>
        <w:t>All inputs normalized [0,1]</w:t>
      </w:r>
    </w:p>
    <w:p>
      <w:pPr>
        <w:pStyle w:val="Heading3"/>
      </w:pPr>
      <w:r>
        <w:t>§36.6 Attestation Freshness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State</w:t>
            </w:r>
          </w:p>
        </w:tc>
        <w:tc>
          <w:tcPr>
            <w:tcW w:type="dxa" w:w="2268"/>
            <w:shd w:fill="1A365F"/>
            <w:vAlign w:val="center"/>
          </w:tcPr>
          <w:p>
            <w:pPr>
              <w:jc w:val="left"/>
            </w:pPr>
            <w:r/>
            <w:r>
              <w:rPr>
                <w:rFonts w:ascii="Calibri" w:hAnsi="Calibri"/>
                <w:b/>
                <w:color w:val="FFFFFF"/>
                <w:sz w:val="18"/>
              </w:rPr>
              <w:t>Age</w:t>
            </w:r>
          </w:p>
        </w:tc>
        <w:tc>
          <w:tcPr>
            <w:tcW w:type="dxa" w:w="2268"/>
            <w:shd w:fill="1A365F"/>
            <w:vAlign w:val="center"/>
          </w:tcPr>
          <w:p>
            <w:pPr>
              <w:jc w:val="left"/>
            </w:pPr>
            <w:r/>
            <w:r>
              <w:rPr>
                <w:rFonts w:ascii="Calibri" w:hAnsi="Calibri"/>
                <w:b/>
                <w:color w:val="FFFFFF"/>
                <w:sz w:val="18"/>
              </w:rPr>
              <w:t>Confidence Factor</w:t>
            </w:r>
          </w:p>
        </w:tc>
        <w:tc>
          <w:tcPr>
            <w:tcW w:type="dxa" w:w="2268"/>
            <w:shd w:fill="1A365F"/>
            <w:vAlign w:val="center"/>
          </w:tcPr>
          <w:p>
            <w:pPr>
              <w:jc w:val="left"/>
            </w:pPr>
            <w:r/>
            <w:r>
              <w:rPr>
                <w:rFonts w:ascii="Calibri" w:hAnsi="Calibri"/>
                <w:b/>
                <w:color w:val="FFFFFF"/>
                <w:sz w:val="18"/>
              </w:rPr>
              <w:t>TGRS Penalty</w:t>
            </w:r>
          </w:p>
        </w:tc>
      </w:tr>
      <w:tr>
        <w:tc>
          <w:tcPr>
            <w:tcW w:type="dxa" w:w="2268"/>
            <w:vAlign w:val="center"/>
          </w:tcPr>
          <w:p>
            <w:pPr>
              <w:jc w:val="left"/>
            </w:pPr>
            <w:r/>
            <w:r>
              <w:rPr>
                <w:rFonts w:ascii="Calibri" w:hAnsi="Calibri"/>
                <w:color w:val="2D2D2D"/>
                <w:sz w:val="18"/>
              </w:rPr>
              <w:t>FRESH</w:t>
            </w:r>
          </w:p>
        </w:tc>
        <w:tc>
          <w:tcPr>
            <w:tcW w:type="dxa" w:w="2268"/>
            <w:vAlign w:val="center"/>
          </w:tcPr>
          <w:p>
            <w:pPr>
              <w:jc w:val="left"/>
            </w:pPr>
            <w:r/>
            <w:r>
              <w:rPr>
                <w:rFonts w:ascii="Calibri" w:hAnsi="Calibri"/>
                <w:color w:val="2D2D2D"/>
                <w:sz w:val="18"/>
              </w:rPr>
              <w:t>&lt; 35 days</w:t>
            </w:r>
          </w:p>
        </w:tc>
        <w:tc>
          <w:tcPr>
            <w:tcW w:type="dxa" w:w="2268"/>
            <w:vAlign w:val="center"/>
          </w:tcPr>
          <w:p>
            <w:pPr>
              <w:jc w:val="left"/>
            </w:pPr>
            <w:r/>
            <w:r>
              <w:rPr>
                <w:rFonts w:ascii="Calibri" w:hAnsi="Calibri"/>
                <w:color w:val="2D2D2D"/>
                <w:sz w:val="18"/>
              </w:rPr>
              <w:t>1.0</w:t>
            </w:r>
          </w:p>
        </w:tc>
        <w:tc>
          <w:tcPr>
            <w:tcW w:type="dxa" w:w="2268"/>
            <w:vAlign w:val="center"/>
          </w:tcPr>
          <w:p>
            <w:pPr>
              <w:jc w:val="left"/>
            </w:pPr>
            <w:r/>
            <w:r>
              <w:rPr>
                <w:rFonts w:ascii="Calibri" w:hAnsi="Calibri"/>
                <w:color w:val="2D2D2D"/>
                <w:sz w:val="18"/>
              </w:rPr>
              <w:t>0</w:t>
            </w:r>
          </w:p>
        </w:tc>
      </w:tr>
      <w:tr>
        <w:tc>
          <w:tcPr>
            <w:tcW w:type="dxa" w:w="2268"/>
            <w:shd w:fill="F0F0F0"/>
            <w:vAlign w:val="center"/>
          </w:tcPr>
          <w:p>
            <w:pPr>
              <w:jc w:val="left"/>
            </w:pPr>
            <w:r/>
            <w:r>
              <w:rPr>
                <w:rFonts w:ascii="Calibri" w:hAnsi="Calibri"/>
                <w:color w:val="2D2D2D"/>
                <w:sz w:val="18"/>
              </w:rPr>
              <w:t>AGING</w:t>
            </w:r>
          </w:p>
        </w:tc>
        <w:tc>
          <w:tcPr>
            <w:tcW w:type="dxa" w:w="2268"/>
            <w:shd w:fill="F0F0F0"/>
            <w:vAlign w:val="center"/>
          </w:tcPr>
          <w:p>
            <w:pPr>
              <w:jc w:val="left"/>
            </w:pPr>
            <w:r/>
            <w:r>
              <w:rPr>
                <w:rFonts w:ascii="Calibri" w:hAnsi="Calibri"/>
                <w:color w:val="2D2D2D"/>
                <w:sz w:val="18"/>
              </w:rPr>
              <w:t>35-60 days</w:t>
            </w:r>
          </w:p>
        </w:tc>
        <w:tc>
          <w:tcPr>
            <w:tcW w:type="dxa" w:w="2268"/>
            <w:shd w:fill="F0F0F0"/>
            <w:vAlign w:val="center"/>
          </w:tcPr>
          <w:p>
            <w:pPr>
              <w:jc w:val="left"/>
            </w:pPr>
            <w:r/>
            <w:r>
              <w:rPr>
                <w:rFonts w:ascii="Calibri" w:hAnsi="Calibri"/>
                <w:color w:val="2D2D2D"/>
                <w:sz w:val="18"/>
              </w:rPr>
              <w:t>0.95</w:t>
            </w:r>
          </w:p>
        </w:tc>
        <w:tc>
          <w:tcPr>
            <w:tcW w:type="dxa" w:w="2268"/>
            <w:shd w:fill="F0F0F0"/>
            <w:vAlign w:val="center"/>
          </w:tcPr>
          <w:p>
            <w:pPr>
              <w:jc w:val="left"/>
            </w:pPr>
            <w:r/>
            <w:r>
              <w:rPr>
                <w:rFonts w:ascii="Calibri" w:hAnsi="Calibri"/>
                <w:color w:val="2D2D2D"/>
                <w:sz w:val="18"/>
              </w:rPr>
              <w:t>-0.5</w:t>
            </w:r>
          </w:p>
        </w:tc>
      </w:tr>
      <w:tr>
        <w:tc>
          <w:tcPr>
            <w:tcW w:type="dxa" w:w="2268"/>
            <w:vAlign w:val="center"/>
          </w:tcPr>
          <w:p>
            <w:pPr>
              <w:jc w:val="left"/>
            </w:pPr>
            <w:r/>
            <w:r>
              <w:rPr>
                <w:rFonts w:ascii="Calibri" w:hAnsi="Calibri"/>
                <w:color w:val="2D2D2D"/>
                <w:sz w:val="18"/>
              </w:rPr>
              <w:t>STALE</w:t>
            </w:r>
          </w:p>
        </w:tc>
        <w:tc>
          <w:tcPr>
            <w:tcW w:type="dxa" w:w="2268"/>
            <w:vAlign w:val="center"/>
          </w:tcPr>
          <w:p>
            <w:pPr>
              <w:jc w:val="left"/>
            </w:pPr>
            <w:r/>
            <w:r>
              <w:rPr>
                <w:rFonts w:ascii="Calibri" w:hAnsi="Calibri"/>
                <w:color w:val="2D2D2D"/>
                <w:sz w:val="18"/>
              </w:rPr>
              <w:t>60-90 days</w:t>
            </w:r>
          </w:p>
        </w:tc>
        <w:tc>
          <w:tcPr>
            <w:tcW w:type="dxa" w:w="2268"/>
            <w:vAlign w:val="center"/>
          </w:tcPr>
          <w:p>
            <w:pPr>
              <w:jc w:val="left"/>
            </w:pPr>
            <w:r/>
            <w:r>
              <w:rPr>
                <w:rFonts w:ascii="Calibri" w:hAnsi="Calibri"/>
                <w:color w:val="2D2D2D"/>
                <w:sz w:val="18"/>
              </w:rPr>
              <w:t>0.85</w:t>
            </w:r>
          </w:p>
        </w:tc>
        <w:tc>
          <w:tcPr>
            <w:tcW w:type="dxa" w:w="2268"/>
            <w:vAlign w:val="center"/>
          </w:tcPr>
          <w:p>
            <w:pPr>
              <w:jc w:val="left"/>
            </w:pPr>
            <w:r/>
            <w:r>
              <w:rPr>
                <w:rFonts w:ascii="Calibri" w:hAnsi="Calibri"/>
                <w:color w:val="2D2D2D"/>
                <w:sz w:val="18"/>
              </w:rPr>
              <w:t>-2.0</w:t>
            </w:r>
          </w:p>
        </w:tc>
      </w:tr>
      <w:tr>
        <w:tc>
          <w:tcPr>
            <w:tcW w:type="dxa" w:w="2268"/>
            <w:shd w:fill="F0F0F0"/>
            <w:vAlign w:val="center"/>
          </w:tcPr>
          <w:p>
            <w:pPr>
              <w:jc w:val="left"/>
            </w:pPr>
            <w:r/>
            <w:r>
              <w:rPr>
                <w:rFonts w:ascii="Calibri" w:hAnsi="Calibri"/>
                <w:color w:val="2D2D2D"/>
                <w:sz w:val="18"/>
              </w:rPr>
              <w:t>SEVERELY_STALE</w:t>
            </w:r>
          </w:p>
        </w:tc>
        <w:tc>
          <w:tcPr>
            <w:tcW w:type="dxa" w:w="2268"/>
            <w:shd w:fill="F0F0F0"/>
            <w:vAlign w:val="center"/>
          </w:tcPr>
          <w:p>
            <w:pPr>
              <w:jc w:val="left"/>
            </w:pPr>
            <w:r/>
            <w:r>
              <w:rPr>
                <w:rFonts w:ascii="Calibri" w:hAnsi="Calibri"/>
                <w:color w:val="2D2D2D"/>
                <w:sz w:val="18"/>
              </w:rPr>
              <w:t>&gt; 90 days</w:t>
            </w:r>
          </w:p>
        </w:tc>
        <w:tc>
          <w:tcPr>
            <w:tcW w:type="dxa" w:w="2268"/>
            <w:shd w:fill="F0F0F0"/>
            <w:vAlign w:val="center"/>
          </w:tcPr>
          <w:p>
            <w:pPr>
              <w:jc w:val="left"/>
            </w:pPr>
            <w:r/>
            <w:r>
              <w:rPr>
                <w:rFonts w:ascii="Calibri" w:hAnsi="Calibri"/>
                <w:color w:val="2D2D2D"/>
                <w:sz w:val="18"/>
              </w:rPr>
              <w:t>0.50</w:t>
            </w:r>
          </w:p>
        </w:tc>
        <w:tc>
          <w:tcPr>
            <w:tcW w:type="dxa" w:w="2268"/>
            <w:shd w:fill="F0F0F0"/>
            <w:vAlign w:val="center"/>
          </w:tcPr>
          <w:p>
            <w:pPr>
              <w:jc w:val="left"/>
            </w:pPr>
            <w:r/>
            <w:r>
              <w:rPr>
                <w:rFonts w:ascii="Calibri" w:hAnsi="Calibri"/>
                <w:color w:val="2D2D2D"/>
                <w:sz w:val="18"/>
              </w:rPr>
              <w:t>-5.0 (fail-closed)</w:t>
            </w:r>
          </w:p>
        </w:tc>
      </w:tr>
    </w:tbl>
    <w:p/>
    <w:p>
      <w:pPr>
        <w:pStyle w:val="Heading3"/>
      </w:pPr>
      <w:r>
        <w:t>§36.7 Separated Oracle Architecture (§21 from v24.2.1)</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Oracle</w:t>
            </w:r>
          </w:p>
        </w:tc>
        <w:tc>
          <w:tcPr>
            <w:tcW w:type="dxa" w:w="3024"/>
            <w:shd w:fill="1A365F"/>
            <w:vAlign w:val="center"/>
          </w:tcPr>
          <w:p>
            <w:pPr>
              <w:jc w:val="left"/>
            </w:pPr>
            <w:r/>
            <w:r>
              <w:rPr>
                <w:rFonts w:ascii="Calibri" w:hAnsi="Calibri"/>
                <w:b/>
                <w:color w:val="FFFFFF"/>
                <w:sz w:val="18"/>
              </w:rPr>
              <w:t>Purpose</w:t>
            </w:r>
          </w:p>
        </w:tc>
        <w:tc>
          <w:tcPr>
            <w:tcW w:type="dxa" w:w="3024"/>
            <w:shd w:fill="1A365F"/>
            <w:vAlign w:val="center"/>
          </w:tcPr>
          <w:p>
            <w:pPr>
              <w:jc w:val="left"/>
            </w:pPr>
            <w:r/>
            <w:r>
              <w:rPr>
                <w:rFonts w:ascii="Calibri" w:hAnsi="Calibri"/>
                <w:b/>
                <w:color w:val="FFFFFF"/>
                <w:sz w:val="18"/>
              </w:rPr>
              <w:t>Sources</w:t>
            </w:r>
          </w:p>
        </w:tc>
      </w:tr>
      <w:tr>
        <w:tc>
          <w:tcPr>
            <w:tcW w:type="dxa" w:w="3024"/>
            <w:vAlign w:val="center"/>
          </w:tcPr>
          <w:p>
            <w:pPr>
              <w:jc w:val="left"/>
            </w:pPr>
            <w:r/>
            <w:r>
              <w:rPr>
                <w:rFonts w:ascii="Calibri" w:hAnsi="Calibri"/>
                <w:color w:val="2D2D2D"/>
                <w:sz w:val="18"/>
              </w:rPr>
              <w:t>A. GoldNAV</w:t>
            </w:r>
          </w:p>
        </w:tc>
        <w:tc>
          <w:tcPr>
            <w:tcW w:type="dxa" w:w="3024"/>
            <w:vAlign w:val="center"/>
          </w:tcPr>
          <w:p>
            <w:pPr>
              <w:jc w:val="left"/>
            </w:pPr>
            <w:r/>
            <w:r>
              <w:rPr>
                <w:rFonts w:ascii="Calibri" w:hAnsi="Calibri"/>
                <w:color w:val="2D2D2D"/>
                <w:sz w:val="18"/>
              </w:rPr>
              <w:t>Reserve accounting (V_TG uses this)</w:t>
            </w:r>
          </w:p>
        </w:tc>
        <w:tc>
          <w:tcPr>
            <w:tcW w:type="dxa" w:w="3024"/>
            <w:vAlign w:val="center"/>
          </w:tcPr>
          <w:p>
            <w:pPr>
              <w:jc w:val="left"/>
            </w:pPr>
            <w:r/>
            <w:r>
              <w:rPr>
                <w:rFonts w:ascii="Calibri" w:hAnsi="Calibri"/>
                <w:color w:val="2D2D2D"/>
                <w:sz w:val="18"/>
              </w:rPr>
              <w:t>gold-api.com + goldprice.org</w:t>
            </w:r>
          </w:p>
        </w:tc>
      </w:tr>
      <w:tr>
        <w:tc>
          <w:tcPr>
            <w:tcW w:type="dxa" w:w="3024"/>
            <w:shd w:fill="F0F0F0"/>
            <w:vAlign w:val="center"/>
          </w:tcPr>
          <w:p>
            <w:pPr>
              <w:jc w:val="left"/>
            </w:pPr>
            <w:r/>
            <w:r>
              <w:rPr>
                <w:rFonts w:ascii="Calibri" w:hAnsi="Calibri"/>
                <w:color w:val="2D2D2D"/>
                <w:sz w:val="18"/>
              </w:rPr>
              <w:t>B. PAXG Market</w:t>
            </w:r>
          </w:p>
        </w:tc>
        <w:tc>
          <w:tcPr>
            <w:tcW w:type="dxa" w:w="3024"/>
            <w:shd w:fill="F0F0F0"/>
            <w:vAlign w:val="center"/>
          </w:tcPr>
          <w:p>
            <w:pPr>
              <w:jc w:val="left"/>
            </w:pPr>
            <w:r/>
            <w:r>
              <w:rPr>
                <w:rFonts w:ascii="Calibri" w:hAnsi="Calibri"/>
                <w:color w:val="2D2D2D"/>
                <w:sz w:val="18"/>
              </w:rPr>
              <w:t>TGBS / liquidity monitoring</w:t>
            </w:r>
          </w:p>
        </w:tc>
        <w:tc>
          <w:tcPr>
            <w:tcW w:type="dxa" w:w="3024"/>
            <w:shd w:fill="F0F0F0"/>
            <w:vAlign w:val="center"/>
          </w:tcPr>
          <w:p>
            <w:pPr>
              <w:jc w:val="left"/>
            </w:pPr>
            <w:r/>
            <w:r>
              <w:rPr>
                <w:rFonts w:ascii="Calibri" w:hAnsi="Calibri"/>
                <w:color w:val="2D2D2D"/>
                <w:sz w:val="18"/>
              </w:rPr>
              <w:t>CoinGecko PAXG</w:t>
            </w:r>
          </w:p>
        </w:tc>
      </w:tr>
      <w:tr>
        <w:tc>
          <w:tcPr>
            <w:tcW w:type="dxa" w:w="3024"/>
            <w:vAlign w:val="center"/>
          </w:tcPr>
          <w:p>
            <w:pPr>
              <w:jc w:val="left"/>
            </w:pPr>
            <w:r/>
            <w:r>
              <w:rPr>
                <w:rFonts w:ascii="Calibri" w:hAnsi="Calibri"/>
                <w:color w:val="2D2D2D"/>
                <w:sz w:val="18"/>
              </w:rPr>
              <w:t>C. Redemption Reference</w:t>
            </w:r>
          </w:p>
        </w:tc>
        <w:tc>
          <w:tcPr>
            <w:tcW w:type="dxa" w:w="3024"/>
            <w:vAlign w:val="center"/>
          </w:tcPr>
          <w:p>
            <w:pPr>
              <w:jc w:val="left"/>
            </w:pPr>
            <w:r/>
            <w:r>
              <w:rPr>
                <w:rFonts w:ascii="Calibri" w:hAnsi="Calibri"/>
                <w:color w:val="2D2D2D"/>
                <w:sz w:val="18"/>
              </w:rPr>
              <w:t>Issuer-executable value</w:t>
            </w:r>
          </w:p>
        </w:tc>
        <w:tc>
          <w:tcPr>
            <w:tcW w:type="dxa" w:w="3024"/>
            <w:vAlign w:val="center"/>
          </w:tcPr>
          <w:p>
            <w:pPr>
              <w:jc w:val="left"/>
            </w:pPr>
            <w:r/>
            <w:r>
              <w:rPr>
                <w:rFonts w:ascii="Calibri" w:hAnsi="Calibri"/>
                <w:color w:val="2D2D2D"/>
                <w:sz w:val="18"/>
              </w:rPr>
              <w:t>Paxos API (LBMA spot - fee)</w:t>
            </w:r>
          </w:p>
        </w:tc>
      </w:tr>
    </w:tbl>
    <w:p/>
    <w:p>
      <w:r>
        <w:rPr>
          <w:b/>
        </w:rPr>
        <w:t>Critical:</w:t>
      </w:r>
      <w:r>
        <w:t xml:space="preserve"> Reserve uses GoldNAV (Oracle A), </w:t>
      </w:r>
      <w:r>
        <w:rPr>
          <w:b/>
        </w:rPr>
        <w:t>NOT</w:t>
      </w:r>
      <w:r>
        <w:t xml:space="preserve"> PAXG market price.</w:t>
      </w:r>
    </w:p>
    <w:p>
      <w:pPr>
        <w:pBdr>
          <w:bottom w:val="single" w:sz="12" w:space="1" w:color="C59B1E"/>
        </w:pBdr>
      </w:pPr>
    </w:p>
    <w:p>
      <w:pPr>
        <w:pStyle w:val="Heading2"/>
      </w:pPr>
      <w:r>
        <w:t>§37 — ANTI-DOUBLE-COUNTING</w:t>
      </w:r>
    </w:p>
    <w:p>
      <w:pPr>
        <w:pStyle w:val="Heading3"/>
      </w:pPr>
      <w:r>
        <w:t>§37.1 Canonical Identity</w:t>
      </w:r>
    </w:p>
    <w:p>
      <w:pPr>
        <w:ind w:left="283"/>
        <w:shd w:fill="F5F5F5"/>
      </w:pPr>
      <w:r>
        <w:rPr>
          <w:rFonts w:ascii="Consolas" w:hAnsi="Consolas"/>
          <w:color w:val="6B6B6B"/>
          <w:sz w:val="18"/>
        </w:rPr>
        <w:t>Gold_total = PhysicalAllocatedGold + TokenizedAllocatedGold</w:t>
      </w:r>
    </w:p>
    <w:p>
      <w:pPr>
        <w:pStyle w:val="Heading3"/>
      </w:pPr>
      <w:r>
        <w:t>§37.2 Formal Proof (32/32 PASS)</w:t>
      </w:r>
    </w:p>
    <w:p>
      <w:r>
        <w:t>10 theorems, 32 machine-checked assertions — ALL PASS: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Theorem</w:t>
            </w:r>
          </w:p>
        </w:tc>
        <w:tc>
          <w:tcPr>
            <w:tcW w:type="dxa" w:w="2268"/>
            <w:shd w:fill="1A365F"/>
            <w:vAlign w:val="center"/>
          </w:tcPr>
          <w:p>
            <w:pPr>
              <w:jc w:val="left"/>
            </w:pPr>
            <w:r/>
            <w:r>
              <w:rPr>
                <w:rFonts w:ascii="Calibri" w:hAnsi="Calibri"/>
                <w:b/>
                <w:color w:val="FFFFFF"/>
                <w:sz w:val="18"/>
              </w:rPr>
              <w:t>Claim</w:t>
            </w:r>
          </w:p>
        </w:tc>
        <w:tc>
          <w:tcPr>
            <w:tcW w:type="dxa" w:w="2268"/>
            <w:shd w:fill="1A365F"/>
            <w:vAlign w:val="center"/>
          </w:tcPr>
          <w:p>
            <w:pPr>
              <w:jc w:val="left"/>
            </w:pPr>
            <w:r/>
            <w:r>
              <w:rPr>
                <w:rFonts w:ascii="Calibri" w:hAnsi="Calibri"/>
                <w:b/>
                <w:color w:val="FFFFFF"/>
                <w:sz w:val="18"/>
              </w:rPr>
              <w:t>Checks</w:t>
            </w:r>
          </w:p>
        </w:tc>
        <w:tc>
          <w:tcPr>
            <w:tcW w:type="dxa" w:w="2268"/>
            <w:shd w:fill="1A365F"/>
            <w:vAlign w:val="center"/>
          </w:tcPr>
          <w:p>
            <w:pPr>
              <w:jc w:val="left"/>
            </w:pPr>
            <w:r/>
            <w:r>
              <w:rPr>
                <w:rFonts w:ascii="Calibri" w:hAnsi="Calibri"/>
                <w:b/>
                <w:color w:val="FFFFFF"/>
                <w:sz w:val="18"/>
              </w:rPr>
              <w:t>Status</w:t>
            </w:r>
          </w:p>
        </w:tc>
      </w:tr>
      <w:tr>
        <w:tc>
          <w:tcPr>
            <w:tcW w:type="dxa" w:w="2268"/>
            <w:vAlign w:val="center"/>
          </w:tcPr>
          <w:p>
            <w:pPr>
              <w:jc w:val="left"/>
            </w:pPr>
            <w:r/>
            <w:r>
              <w:rPr>
                <w:rFonts w:ascii="Calibri" w:hAnsi="Calibri"/>
                <w:color w:val="2D2D2D"/>
                <w:sz w:val="18"/>
              </w:rPr>
              <w:t>T1</w:t>
            </w:r>
          </w:p>
        </w:tc>
        <w:tc>
          <w:tcPr>
            <w:tcW w:type="dxa" w:w="2268"/>
            <w:vAlign w:val="center"/>
          </w:tcPr>
          <w:p>
            <w:pPr>
              <w:jc w:val="left"/>
            </w:pPr>
            <w:r/>
            <w:r>
              <w:rPr>
                <w:rFonts w:ascii="Calibri" w:hAnsi="Calibri"/>
                <w:color w:val="2D2D2D"/>
                <w:sz w:val="18"/>
              </w:rPr>
              <w:t>Gold_total = GoldPhys + GoldTok (identity)</w:t>
            </w:r>
          </w:p>
        </w:tc>
        <w:tc>
          <w:tcPr>
            <w:tcW w:type="dxa" w:w="2268"/>
            <w:vAlign w:val="center"/>
          </w:tcPr>
          <w:p>
            <w:pPr>
              <w:jc w:val="left"/>
            </w:pPr>
            <w:r/>
            <w:r>
              <w:rPr>
                <w:rFonts w:ascii="Calibri" w:hAnsi="Calibri"/>
                <w:color w:val="2D2D2D"/>
                <w:sz w:val="18"/>
              </w:rPr>
              <w:t>6</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T2</w:t>
            </w:r>
          </w:p>
        </w:tc>
        <w:tc>
          <w:tcPr>
            <w:tcW w:type="dxa" w:w="2268"/>
            <w:shd w:fill="F0F0F0"/>
            <w:vAlign w:val="center"/>
          </w:tcPr>
          <w:p>
            <w:pPr>
              <w:jc w:val="left"/>
            </w:pPr>
            <w:r/>
            <w:r>
              <w:rPr>
                <w:rFonts w:ascii="Calibri" w:hAnsi="Calibri"/>
                <w:color w:val="2D2D2D"/>
                <w:sz w:val="18"/>
              </w:rPr>
              <w:t>No underlying-bar overlap (legal segregation)</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T3</w:t>
            </w:r>
          </w:p>
        </w:tc>
        <w:tc>
          <w:tcPr>
            <w:tcW w:type="dxa" w:w="2268"/>
            <w:vAlign w:val="center"/>
          </w:tcPr>
          <w:p>
            <w:pPr>
              <w:jc w:val="left"/>
            </w:pPr>
            <w:r/>
            <w:r>
              <w:rPr>
                <w:rFonts w:ascii="Calibri" w:hAnsi="Calibri"/>
                <w:color w:val="2D2D2D"/>
                <w:sz w:val="18"/>
              </w:rPr>
              <w:t>R_a aggregation counts each asset once</w:t>
            </w:r>
          </w:p>
        </w:tc>
        <w:tc>
          <w:tcPr>
            <w:tcW w:type="dxa" w:w="2268"/>
            <w:vAlign w:val="center"/>
          </w:tcPr>
          <w:p>
            <w:pPr>
              <w:jc w:val="left"/>
            </w:pPr>
            <w:r/>
            <w:r>
              <w:rPr>
                <w:rFonts w:ascii="Calibri" w:hAnsi="Calibri"/>
                <w:color w:val="2D2D2D"/>
                <w:sz w:val="18"/>
              </w:rPr>
              <w:t>4</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T4</w:t>
            </w:r>
          </w:p>
        </w:tc>
        <w:tc>
          <w:tcPr>
            <w:tcW w:type="dxa" w:w="2268"/>
            <w:shd w:fill="F0F0F0"/>
            <w:vAlign w:val="center"/>
          </w:tcPr>
          <w:p>
            <w:pPr>
              <w:jc w:val="left"/>
            </w:pPr>
            <w:r/>
            <w:r>
              <w:rPr>
                <w:rFonts w:ascii="Calibri" w:hAnsi="Calibri"/>
                <w:color w:val="2D2D2D"/>
                <w:sz w:val="18"/>
              </w:rPr>
              <w:t>Stress coefficients distinct, not compounded</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T5</w:t>
            </w:r>
          </w:p>
        </w:tc>
        <w:tc>
          <w:tcPr>
            <w:tcW w:type="dxa" w:w="2268"/>
            <w:vAlign w:val="center"/>
          </w:tcPr>
          <w:p>
            <w:pPr>
              <w:jc w:val="left"/>
            </w:pPr>
            <w:r/>
            <w:r>
              <w:rPr>
                <w:rFonts w:ascii="Calibri" w:hAnsi="Calibri"/>
                <w:color w:val="2D2D2D"/>
                <w:sz w:val="18"/>
              </w:rPr>
              <w:t>Liquidation order: tokenized before physical</w:t>
            </w:r>
          </w:p>
        </w:tc>
        <w:tc>
          <w:tcPr>
            <w:tcW w:type="dxa" w:w="2268"/>
            <w:vAlign w:val="center"/>
          </w:tcPr>
          <w:p>
            <w:pPr>
              <w:jc w:val="left"/>
            </w:pPr>
            <w:r/>
            <w:r>
              <w:rPr>
                <w:rFonts w:ascii="Calibri" w:hAnsi="Calibri"/>
                <w:color w:val="2D2D2D"/>
                <w:sz w:val="18"/>
              </w:rPr>
              <w:t>3</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T6</w:t>
            </w:r>
          </w:p>
        </w:tc>
        <w:tc>
          <w:tcPr>
            <w:tcW w:type="dxa" w:w="2268"/>
            <w:shd w:fill="F0F0F0"/>
            <w:vAlign w:val="center"/>
          </w:tcPr>
          <w:p>
            <w:pPr>
              <w:jc w:val="left"/>
            </w:pPr>
            <w:r/>
            <w:r>
              <w:rPr>
                <w:rFonts w:ascii="Calibri" w:hAnsi="Calibri"/>
                <w:color w:val="2D2D2D"/>
                <w:sz w:val="18"/>
              </w:rPr>
              <w:t>Advisory indices count gold once</w:t>
            </w:r>
          </w:p>
        </w:tc>
        <w:tc>
          <w:tcPr>
            <w:tcW w:type="dxa" w:w="2268"/>
            <w:shd w:fill="F0F0F0"/>
            <w:vAlign w:val="center"/>
          </w:tcPr>
          <w:p>
            <w:pPr>
              <w:jc w:val="left"/>
            </w:pPr>
            <w:r/>
            <w:r>
              <w:rPr>
                <w:rFonts w:ascii="Calibri" w:hAnsi="Calibri"/>
                <w:color w:val="2D2D2D"/>
                <w:sz w:val="18"/>
              </w:rPr>
              <w:t>4</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T7</w:t>
            </w:r>
          </w:p>
        </w:tc>
        <w:tc>
          <w:tcPr>
            <w:tcW w:type="dxa" w:w="2268"/>
            <w:vAlign w:val="center"/>
          </w:tcPr>
          <w:p>
            <w:pPr>
              <w:jc w:val="left"/>
            </w:pPr>
            <w:r/>
            <w:r>
              <w:rPr>
                <w:rFonts w:ascii="Calibri" w:hAnsi="Calibri"/>
                <w:color w:val="2D2D2D"/>
                <w:sz w:val="18"/>
              </w:rPr>
              <w:t>Rebalancing conserves mass (ΣΔw=0)</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T8</w:t>
            </w:r>
          </w:p>
        </w:tc>
        <w:tc>
          <w:tcPr>
            <w:tcW w:type="dxa" w:w="2268"/>
            <w:shd w:fill="F0F0F0"/>
            <w:vAlign w:val="center"/>
          </w:tcPr>
          <w:p>
            <w:pPr>
              <w:jc w:val="left"/>
            </w:pPr>
            <w:r/>
            <w:r>
              <w:rPr>
                <w:rFonts w:ascii="Calibri" w:hAnsi="Calibri"/>
                <w:color w:val="2D2D2D"/>
                <w:sz w:val="18"/>
              </w:rPr>
              <w:t>Bar serial-number sets disjoint</w:t>
            </w:r>
          </w:p>
        </w:tc>
        <w:tc>
          <w:tcPr>
            <w:tcW w:type="dxa" w:w="2268"/>
            <w:shd w:fill="F0F0F0"/>
            <w:vAlign w:val="center"/>
          </w:tcPr>
          <w:p>
            <w:pPr>
              <w:jc w:val="left"/>
            </w:pPr>
            <w:r/>
            <w:r>
              <w:rPr>
                <w:rFonts w:ascii="Calibri" w:hAnsi="Calibri"/>
                <w:color w:val="2D2D2D"/>
                <w:sz w:val="18"/>
              </w:rPr>
              <w:t>2</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T9</w:t>
            </w:r>
          </w:p>
        </w:tc>
        <w:tc>
          <w:tcPr>
            <w:tcW w:type="dxa" w:w="2268"/>
            <w:vAlign w:val="center"/>
          </w:tcPr>
          <w:p>
            <w:pPr>
              <w:jc w:val="left"/>
            </w:pPr>
            <w:r/>
            <w:r>
              <w:rPr>
                <w:rFonts w:ascii="Calibri" w:hAnsi="Calibri"/>
                <w:color w:val="2D2D2D"/>
                <w:sz w:val="18"/>
              </w:rPr>
              <w:t>φ_t uses Gold_total</w:t>
            </w:r>
          </w:p>
        </w:tc>
        <w:tc>
          <w:tcPr>
            <w:tcW w:type="dxa" w:w="2268"/>
            <w:vAlign w:val="center"/>
          </w:tcPr>
          <w:p>
            <w:pPr>
              <w:jc w:val="left"/>
            </w:pPr>
            <w:r/>
            <w:r>
              <w:rPr>
                <w:rFonts w:ascii="Calibri" w:hAnsi="Calibri"/>
                <w:color w:val="2D2D2D"/>
                <w:sz w:val="18"/>
              </w:rPr>
              <w:t>2</w:t>
            </w:r>
          </w:p>
        </w:tc>
        <w:tc>
          <w:tcPr>
            <w:tcW w:type="dxa" w:w="2268"/>
            <w:vAlign w:val="center"/>
          </w:tcPr>
          <w:p>
            <w:pPr>
              <w:jc w:val="left"/>
            </w:pPr>
            <w:r/>
            <w:r>
              <w:rPr>
                <w:rFonts w:ascii="Calibri" w:hAnsi="Calibri"/>
                <w:color w:val="2D2D2D"/>
                <w:sz w:val="18"/>
              </w:rPr>
              <w:t>✅</w:t>
            </w:r>
          </w:p>
        </w:tc>
      </w:tr>
      <w:tr>
        <w:tc>
          <w:tcPr>
            <w:tcW w:type="dxa" w:w="2268"/>
            <w:shd w:fill="F0F0F0"/>
            <w:vAlign w:val="center"/>
          </w:tcPr>
          <w:p>
            <w:pPr>
              <w:jc w:val="left"/>
            </w:pPr>
            <w:r/>
            <w:r>
              <w:rPr>
                <w:rFonts w:ascii="Calibri" w:hAnsi="Calibri"/>
                <w:color w:val="2D2D2D"/>
                <w:sz w:val="18"/>
              </w:rPr>
              <w:t>T10</w:t>
            </w:r>
          </w:p>
        </w:tc>
        <w:tc>
          <w:tcPr>
            <w:tcW w:type="dxa" w:w="2268"/>
            <w:shd w:fill="F0F0F0"/>
            <w:vAlign w:val="center"/>
          </w:tcPr>
          <w:p>
            <w:pPr>
              <w:jc w:val="left"/>
            </w:pPr>
            <w:r/>
            <w:r>
              <w:rPr>
                <w:rFonts w:ascii="Calibri" w:hAnsi="Calibri"/>
                <w:color w:val="2D2D2D"/>
                <w:sz w:val="18"/>
              </w:rPr>
              <w:t>Rejected double-counting patterns</w:t>
            </w:r>
          </w:p>
        </w:tc>
        <w:tc>
          <w:tcPr>
            <w:tcW w:type="dxa" w:w="2268"/>
            <w:shd w:fill="F0F0F0"/>
            <w:vAlign w:val="center"/>
          </w:tcPr>
          <w:p>
            <w:pPr>
              <w:jc w:val="left"/>
            </w:pPr>
            <w:r/>
            <w:r>
              <w:rPr>
                <w:rFonts w:ascii="Calibri" w:hAnsi="Calibri"/>
                <w:color w:val="2D2D2D"/>
                <w:sz w:val="18"/>
              </w:rPr>
              <w:t>3</w:t>
            </w:r>
          </w:p>
        </w:tc>
        <w:tc>
          <w:tcPr>
            <w:tcW w:type="dxa" w:w="2268"/>
            <w:shd w:fill="F0F0F0"/>
            <w:vAlign w:val="center"/>
          </w:tcPr>
          <w:p>
            <w:pPr>
              <w:jc w:val="left"/>
            </w:pPr>
            <w:r/>
            <w:r>
              <w:rPr>
                <w:rFonts w:ascii="Calibri" w:hAnsi="Calibri"/>
                <w:color w:val="2D2D2D"/>
                <w:sz w:val="18"/>
              </w:rPr>
              <w:t>✅</w:t>
            </w:r>
          </w:p>
        </w:tc>
      </w:tr>
      <w:tr>
        <w:tc>
          <w:tcPr>
            <w:tcW w:type="dxa" w:w="2268"/>
            <w:vAlign w:val="center"/>
          </w:tcPr>
          <w:p>
            <w:pPr>
              <w:jc w:val="left"/>
            </w:pPr>
            <w:r/>
            <w:r>
              <w:rPr>
                <w:rFonts w:ascii="Calibri" w:hAnsi="Calibri"/>
                <w:color w:val="2D2D2D"/>
                <w:sz w:val="18"/>
              </w:rPr>
              <w:t>**Total**</w:t>
            </w:r>
          </w:p>
        </w:tc>
        <w:tc>
          <w:tcPr>
            <w:tcW w:type="dxa" w:w="2268"/>
            <w:vAlign w:val="center"/>
          </w:tcPr>
          <w:p>
            <w:pPr>
              <w:jc w:val="left"/>
            </w:pPr>
            <w:r/>
            <w:r>
              <w:rPr>
                <w:rFonts w:ascii="Calibri" w:hAnsi="Calibri"/>
                <w:color w:val="2D2D2D"/>
                <w:sz w:val="18"/>
              </w:rPr>
            </w:r>
          </w:p>
        </w:tc>
        <w:tc>
          <w:tcPr>
            <w:tcW w:type="dxa" w:w="2268"/>
            <w:vAlign w:val="center"/>
          </w:tcPr>
          <w:p>
            <w:pPr>
              <w:jc w:val="left"/>
            </w:pPr>
            <w:r/>
            <w:r>
              <w:rPr>
                <w:rFonts w:ascii="Calibri" w:hAnsi="Calibri"/>
                <w:color w:val="2D2D2D"/>
                <w:sz w:val="18"/>
              </w:rPr>
              <w:t>**32**</w:t>
            </w:r>
          </w:p>
        </w:tc>
        <w:tc>
          <w:tcPr>
            <w:tcW w:type="dxa" w:w="2268"/>
            <w:vAlign w:val="center"/>
          </w:tcPr>
          <w:p>
            <w:pPr>
              <w:jc w:val="left"/>
            </w:pPr>
            <w:r/>
            <w:r>
              <w:rPr>
                <w:rFonts w:ascii="Calibri" w:hAnsi="Calibri"/>
                <w:color w:val="2D2D2D"/>
                <w:sz w:val="18"/>
              </w:rPr>
              <w:t>**✅ ALL PASS**</w:t>
            </w:r>
          </w:p>
        </w:tc>
      </w:tr>
    </w:tbl>
    <w:p/>
    <w:p>
      <w:pPr>
        <w:pStyle w:val="Heading3"/>
      </w:pPr>
      <w:r>
        <w:t>§37.3 Runtime Guard</w:t>
      </w:r>
    </w:p>
    <w:p>
      <w:r>
        <w:t xml:space="preserve">The </w:t>
      </w:r>
      <w:r>
        <w:rPr>
          <w:rFonts w:ascii="Consolas" w:hAnsi="Consolas"/>
          <w:color w:val="6B6B6B"/>
          <w:sz w:val="19"/>
        </w:rPr>
        <w:t>enforceAntiDoubleCounting()</w:t>
      </w:r>
      <w:r>
        <w:t xml:space="preserve"> function is called on every computation that involves gold. If the TGRS monitor says SUSPEND, effective tokenized weight = 0.</w:t>
      </w:r>
    </w:p>
    <w:p>
      <w:pPr>
        <w:pBdr>
          <w:bottom w:val="single" w:sz="12" w:space="1" w:color="C59B1E"/>
        </w:pBdr>
      </w:pPr>
    </w:p>
    <w:p>
      <w:pPr>
        <w:pStyle w:val="Heading2"/>
      </w:pPr>
      <w:r>
        <w:t>§38 — ERTF (External Risk Transfer Facility)</w:t>
      </w:r>
    </w:p>
    <w:p>
      <w:pPr>
        <w:pStyle w:val="Heading3"/>
      </w:pPr>
      <w:r>
        <w:t>§38.1 Properties</w:t>
      </w:r>
    </w:p>
    <w:p>
      <w:r>
        <w:t>ERTF remains:</w:t>
      </w:r>
    </w:p>
    <w:p>
      <w:pPr>
        <w:pStyle w:val="ListBullet"/>
        <w:ind w:left="425"/>
      </w:pPr>
      <w:r>
        <w:t>External</w:t>
      </w:r>
    </w:p>
    <w:p>
      <w:pPr>
        <w:pStyle w:val="ListBullet"/>
        <w:ind w:left="425"/>
      </w:pPr>
      <w:r>
        <w:t>Ring-fenced</w:t>
      </w:r>
    </w:p>
    <w:p>
      <w:pPr>
        <w:pStyle w:val="ListBullet"/>
        <w:ind w:left="425"/>
      </w:pPr>
      <w:r>
        <w:t>Non-reserve</w:t>
      </w:r>
    </w:p>
    <w:p>
      <w:pPr>
        <w:pStyle w:val="ListBullet"/>
        <w:ind w:left="425"/>
      </w:pPr>
      <w:r>
        <w:t>Non-PAR</w:t>
      </w:r>
    </w:p>
    <w:p>
      <w:pPr>
        <w:pStyle w:val="ListBullet"/>
        <w:ind w:left="425"/>
      </w:pPr>
      <w:r>
        <w:t>Non-monetary</w:t>
      </w:r>
    </w:p>
    <w:p>
      <w:pPr>
        <w:pStyle w:val="Heading3"/>
      </w:pPr>
      <w:r>
        <w:t>§38.2 ERTF MUST NOT Be Included in R_a</w:t>
      </w:r>
    </w:p>
    <w:p>
      <w:r>
        <w:t xml:space="preserve">ERTF is tracked </w:t>
      </w:r>
      <w:r>
        <w:rPr>
          <w:b/>
        </w:rPr>
        <w:t>separately</w:t>
      </w:r>
      <w:r>
        <w:t xml:space="preserve"> from the adjusted reserve. It provides loss-absorption capacity but is NOT counted as a reserve asset.</w:t>
      </w:r>
    </w:p>
    <w:p>
      <w:pPr>
        <w:pStyle w:val="Heading3"/>
      </w:pPr>
      <w:r>
        <w:t>§38.3 Recovery Values Tracked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Value</w:t>
            </w:r>
          </w:p>
        </w:tc>
        <w:tc>
          <w:tcPr>
            <w:tcW w:type="dxa" w:w="4536"/>
            <w:shd w:fill="1A365F"/>
            <w:vAlign w:val="center"/>
          </w:tcPr>
          <w:p>
            <w:pPr>
              <w:jc w:val="left"/>
            </w:pPr>
            <w:r/>
            <w:r>
              <w:rPr>
                <w:rFonts w:ascii="Calibri" w:hAnsi="Calibri"/>
                <w:b/>
                <w:color w:val="FFFFFF"/>
                <w:sz w:val="18"/>
              </w:rPr>
              <w:t>Description</w:t>
            </w:r>
          </w:p>
        </w:tc>
      </w:tr>
      <w:tr>
        <w:tc>
          <w:tcPr>
            <w:tcW w:type="dxa" w:w="4536"/>
            <w:vAlign w:val="center"/>
          </w:tcPr>
          <w:p>
            <w:pPr>
              <w:jc w:val="left"/>
            </w:pPr>
            <w:r/>
            <w:r>
              <w:rPr>
                <w:rFonts w:ascii="Calibri" w:hAnsi="Calibri"/>
                <w:color w:val="2D2D2D"/>
                <w:sz w:val="18"/>
              </w:rPr>
              <w:t>ContractualCoverage</w:t>
            </w:r>
          </w:p>
        </w:tc>
        <w:tc>
          <w:tcPr>
            <w:tcW w:type="dxa" w:w="4536"/>
            <w:vAlign w:val="center"/>
          </w:tcPr>
          <w:p>
            <w:pPr>
              <w:jc w:val="left"/>
            </w:pPr>
            <w:r/>
            <w:r>
              <w:rPr>
                <w:rFonts w:ascii="Calibri" w:hAnsi="Calibri"/>
                <w:color w:val="2D2D2D"/>
                <w:sz w:val="18"/>
              </w:rPr>
              <w:t>Contract coverage amount</w:t>
            </w:r>
          </w:p>
        </w:tc>
      </w:tr>
      <w:tr>
        <w:tc>
          <w:tcPr>
            <w:tcW w:type="dxa" w:w="4536"/>
            <w:shd w:fill="F0F0F0"/>
            <w:vAlign w:val="center"/>
          </w:tcPr>
          <w:p>
            <w:pPr>
              <w:jc w:val="left"/>
            </w:pPr>
            <w:r/>
            <w:r>
              <w:rPr>
                <w:rFonts w:ascii="Calibri" w:hAnsi="Calibri"/>
                <w:color w:val="2D2D2D"/>
                <w:sz w:val="18"/>
              </w:rPr>
              <w:t>ExpectedRecovery</w:t>
            </w:r>
          </w:p>
        </w:tc>
        <w:tc>
          <w:tcPr>
            <w:tcW w:type="dxa" w:w="4536"/>
            <w:shd w:fill="F0F0F0"/>
            <w:vAlign w:val="center"/>
          </w:tcPr>
          <w:p>
            <w:pPr>
              <w:jc w:val="left"/>
            </w:pPr>
            <w:r/>
            <w:r>
              <w:rPr>
                <w:rFonts w:ascii="Calibri" w:hAnsi="Calibri"/>
                <w:color w:val="2D2D2D"/>
                <w:sz w:val="18"/>
              </w:rPr>
              <w:t>Expected recovery value</w:t>
            </w:r>
          </w:p>
        </w:tc>
      </w:tr>
      <w:tr>
        <w:tc>
          <w:tcPr>
            <w:tcW w:type="dxa" w:w="4536"/>
            <w:vAlign w:val="center"/>
          </w:tcPr>
          <w:p>
            <w:pPr>
              <w:jc w:val="left"/>
            </w:pPr>
            <w:r/>
            <w:r>
              <w:rPr>
                <w:rFonts w:ascii="Calibri" w:hAnsi="Calibri"/>
                <w:color w:val="2D2D2D"/>
                <w:sz w:val="18"/>
              </w:rPr>
              <w:t>ConservativeRecovery</w:t>
            </w:r>
          </w:p>
        </w:tc>
        <w:tc>
          <w:tcPr>
            <w:tcW w:type="dxa" w:w="4536"/>
            <w:vAlign w:val="center"/>
          </w:tcPr>
          <w:p>
            <w:pPr>
              <w:jc w:val="left"/>
            </w:pPr>
            <w:r/>
            <w:r>
              <w:rPr>
                <w:rFonts w:ascii="Calibri" w:hAnsi="Calibri"/>
                <w:color w:val="2D2D2D"/>
                <w:sz w:val="18"/>
              </w:rPr>
              <w:t>Conservative (legally enforceable) recovery</w:t>
            </w:r>
          </w:p>
        </w:tc>
      </w:tr>
      <w:tr>
        <w:tc>
          <w:tcPr>
            <w:tcW w:type="dxa" w:w="4536"/>
            <w:shd w:fill="F0F0F0"/>
            <w:vAlign w:val="center"/>
          </w:tcPr>
          <w:p>
            <w:pPr>
              <w:jc w:val="left"/>
            </w:pPr>
            <w:r/>
            <w:r>
              <w:rPr>
                <w:rFonts w:ascii="Calibri" w:hAnsi="Calibri"/>
                <w:color w:val="2D2D2D"/>
                <w:sz w:val="18"/>
              </w:rPr>
              <w:t>WorstCaseRecovery</w:t>
            </w:r>
          </w:p>
        </w:tc>
        <w:tc>
          <w:tcPr>
            <w:tcW w:type="dxa" w:w="4536"/>
            <w:shd w:fill="F0F0F0"/>
            <w:vAlign w:val="center"/>
          </w:tcPr>
          <w:p>
            <w:pPr>
              <w:jc w:val="left"/>
            </w:pPr>
            <w:r/>
            <w:r>
              <w:rPr>
                <w:rFonts w:ascii="Calibri" w:hAnsi="Calibri"/>
                <w:color w:val="2D2D2D"/>
                <w:sz w:val="18"/>
              </w:rPr>
              <w:t>Worst-case recovery</w:t>
            </w:r>
          </w:p>
        </w:tc>
      </w:tr>
      <w:tr>
        <w:tc>
          <w:tcPr>
            <w:tcW w:type="dxa" w:w="4536"/>
            <w:vAlign w:val="center"/>
          </w:tcPr>
          <w:p>
            <w:pPr>
              <w:jc w:val="left"/>
            </w:pPr>
            <w:r/>
            <w:r>
              <w:rPr>
                <w:rFonts w:ascii="Calibri" w:hAnsi="Calibri"/>
                <w:color w:val="2D2D2D"/>
                <w:sz w:val="18"/>
              </w:rPr>
              <w:t>TriggerReliability</w:t>
            </w:r>
          </w:p>
        </w:tc>
        <w:tc>
          <w:tcPr>
            <w:tcW w:type="dxa" w:w="4536"/>
            <w:vAlign w:val="center"/>
          </w:tcPr>
          <w:p>
            <w:pPr>
              <w:jc w:val="left"/>
            </w:pPr>
            <w:r/>
            <w:r>
              <w:rPr>
                <w:rFonts w:ascii="Calibri" w:hAnsi="Calibri"/>
                <w:color w:val="2D2D2D"/>
                <w:sz w:val="18"/>
              </w:rPr>
              <w:t>Trigger reliability assessment</w:t>
            </w:r>
          </w:p>
        </w:tc>
      </w:tr>
      <w:tr>
        <w:tc>
          <w:tcPr>
            <w:tcW w:type="dxa" w:w="4536"/>
            <w:shd w:fill="F0F0F0"/>
            <w:vAlign w:val="center"/>
          </w:tcPr>
          <w:p>
            <w:pPr>
              <w:jc w:val="left"/>
            </w:pPr>
            <w:r/>
            <w:r>
              <w:rPr>
                <w:rFonts w:ascii="Calibri" w:hAnsi="Calibri"/>
                <w:color w:val="2D2D2D"/>
                <w:sz w:val="18"/>
              </w:rPr>
              <w:t>Counterparty</w:t>
            </w:r>
          </w:p>
        </w:tc>
        <w:tc>
          <w:tcPr>
            <w:tcW w:type="dxa" w:w="4536"/>
            <w:shd w:fill="F0F0F0"/>
            <w:vAlign w:val="center"/>
          </w:tcPr>
          <w:p>
            <w:pPr>
              <w:jc w:val="left"/>
            </w:pPr>
            <w:r/>
            <w:r>
              <w:rPr>
                <w:rFonts w:ascii="Calibri" w:hAnsi="Calibri"/>
                <w:color w:val="2D2D2D"/>
                <w:sz w:val="18"/>
              </w:rPr>
              <w:t>Counterparty risk</w:t>
            </w:r>
          </w:p>
        </w:tc>
      </w:tr>
      <w:tr>
        <w:tc>
          <w:tcPr>
            <w:tcW w:type="dxa" w:w="4536"/>
            <w:vAlign w:val="center"/>
          </w:tcPr>
          <w:p>
            <w:pPr>
              <w:jc w:val="left"/>
            </w:pPr>
            <w:r/>
            <w:r>
              <w:rPr>
                <w:rFonts w:ascii="Calibri" w:hAnsi="Calibri"/>
                <w:color w:val="2D2D2D"/>
                <w:sz w:val="18"/>
              </w:rPr>
              <w:t>Delay</w:t>
            </w:r>
          </w:p>
        </w:tc>
        <w:tc>
          <w:tcPr>
            <w:tcW w:type="dxa" w:w="4536"/>
            <w:vAlign w:val="center"/>
          </w:tcPr>
          <w:p>
            <w:pPr>
              <w:jc w:val="left"/>
            </w:pPr>
            <w:r/>
            <w:r>
              <w:rPr>
                <w:rFonts w:ascii="Calibri" w:hAnsi="Calibri"/>
                <w:color w:val="2D2D2D"/>
                <w:sz w:val="18"/>
              </w:rPr>
              <w:t>Recovery delay</w:t>
            </w:r>
          </w:p>
        </w:tc>
      </w:tr>
    </w:tbl>
    <w:p/>
    <w:p>
      <w:pPr>
        <w:pStyle w:val="Heading3"/>
      </w:pPr>
      <w:r>
        <w:t>§38.4 Hard Stress Uses Conservative Recovery</w:t>
      </w:r>
    </w:p>
    <w:p>
      <w:r>
        <w:t xml:space="preserve">Hard stress must use </w:t>
      </w:r>
      <w:r>
        <w:rPr>
          <w:b/>
        </w:rPr>
        <w:t>conservative / legally enforceable recovery</w:t>
      </w:r>
      <w:r>
        <w:t>, NOT expected recovery.</w:t>
      </w:r>
    </w:p>
    <w:p>
      <w:pPr>
        <w:pStyle w:val="Heading3"/>
      </w:pPr>
      <w:r>
        <w:t>§38.5 ERTF Matrix Results</w:t>
      </w:r>
    </w:p>
    <w:p>
      <w:r>
        <w:t>25-combination matrix (5 recovery × 5 delay):</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Finding</w:t>
            </w:r>
          </w:p>
        </w:tc>
        <w:tc>
          <w:tcPr>
            <w:tcW w:type="dxa" w:w="4536"/>
            <w:shd w:fill="1A365F"/>
            <w:vAlign w:val="center"/>
          </w:tcPr>
          <w:p>
            <w:pPr>
              <w:jc w:val="left"/>
            </w:pPr>
            <w:r/>
            <w:r>
              <w:rPr>
                <w:rFonts w:ascii="Calibri" w:hAnsi="Calibri"/>
                <w:b/>
                <w:color w:val="FFFFFF"/>
                <w:sz w:val="18"/>
              </w:rPr>
              <w:t>Result</w:t>
            </w:r>
          </w:p>
        </w:tc>
      </w:tr>
      <w:tr>
        <w:tc>
          <w:tcPr>
            <w:tcW w:type="dxa" w:w="4536"/>
            <w:vAlign w:val="center"/>
          </w:tcPr>
          <w:p>
            <w:pPr>
              <w:jc w:val="left"/>
            </w:pPr>
            <w:r/>
            <w:r>
              <w:rPr>
                <w:rFonts w:ascii="Calibri" w:hAnsi="Calibri"/>
                <w:color w:val="2D2D2D"/>
                <w:sz w:val="18"/>
              </w:rPr>
              <w:t>RR range</w:t>
            </w:r>
          </w:p>
        </w:tc>
        <w:tc>
          <w:tcPr>
            <w:tcW w:type="dxa" w:w="4536"/>
            <w:vAlign w:val="center"/>
          </w:tcPr>
          <w:p>
            <w:pPr>
              <w:jc w:val="left"/>
            </w:pPr>
            <w:r/>
            <w:r>
              <w:rPr>
                <w:rFonts w:ascii="Calibri" w:hAnsi="Calibri"/>
                <w:color w:val="2D2D2D"/>
                <w:sz w:val="18"/>
              </w:rPr>
              <w:t>111.45% → 129.97%</w:t>
            </w:r>
          </w:p>
        </w:tc>
      </w:tr>
      <w:tr>
        <w:tc>
          <w:tcPr>
            <w:tcW w:type="dxa" w:w="4536"/>
            <w:shd w:fill="F0F0F0"/>
            <w:vAlign w:val="center"/>
          </w:tcPr>
          <w:p>
            <w:pPr>
              <w:jc w:val="left"/>
            </w:pPr>
            <w:r/>
            <w:r>
              <w:rPr>
                <w:rFonts w:ascii="Calibri" w:hAnsi="Calibri"/>
                <w:color w:val="2D2D2D"/>
                <w:sz w:val="18"/>
              </w:rPr>
              <w:t>StressRR range</w:t>
            </w:r>
          </w:p>
        </w:tc>
        <w:tc>
          <w:tcPr>
            <w:tcW w:type="dxa" w:w="4536"/>
            <w:shd w:fill="F0F0F0"/>
            <w:vAlign w:val="center"/>
          </w:tcPr>
          <w:p>
            <w:pPr>
              <w:jc w:val="left"/>
            </w:pPr>
            <w:r/>
            <w:r>
              <w:rPr>
                <w:rFonts w:ascii="Calibri" w:hAnsi="Calibri"/>
                <w:color w:val="2D2D2D"/>
                <w:sz w:val="18"/>
              </w:rPr>
              <w:t>100.36% → 115.18%</w:t>
            </w:r>
          </w:p>
        </w:tc>
      </w:tr>
      <w:tr>
        <w:tc>
          <w:tcPr>
            <w:tcW w:type="dxa" w:w="4536"/>
            <w:vAlign w:val="center"/>
          </w:tcPr>
          <w:p>
            <w:pPr>
              <w:jc w:val="left"/>
            </w:pPr>
            <w:r/>
            <w:r>
              <w:rPr>
                <w:rFonts w:ascii="Calibri" w:hAnsi="Calibri"/>
                <w:color w:val="2D2D2D"/>
                <w:sz w:val="18"/>
              </w:rPr>
              <w:t>Critical dependency?</w:t>
            </w:r>
          </w:p>
        </w:tc>
        <w:tc>
          <w:tcPr>
            <w:tcW w:type="dxa" w:w="4536"/>
            <w:vAlign w:val="center"/>
          </w:tcPr>
          <w:p>
            <w:pPr>
              <w:jc w:val="left"/>
            </w:pPr>
            <w:r/>
            <w:r>
              <w:rPr>
                <w:rFonts w:ascii="Calibri" w:hAnsi="Calibri"/>
                <w:color w:val="2D2D2D"/>
                <w:sz w:val="18"/>
              </w:rPr>
              <w:t>**NO** — Portfolio B does NOT depend critically on ERTF</w:t>
            </w:r>
          </w:p>
        </w:tc>
      </w:tr>
      <w:tr>
        <w:tc>
          <w:tcPr>
            <w:tcW w:type="dxa" w:w="4536"/>
            <w:shd w:fill="F0F0F0"/>
            <w:vAlign w:val="center"/>
          </w:tcPr>
          <w:p>
            <w:pPr>
              <w:jc w:val="left"/>
            </w:pPr>
            <w:r/>
            <w:r>
              <w:rPr>
                <w:rFonts w:ascii="Calibri" w:hAnsi="Calibri"/>
                <w:color w:val="2D2D2D"/>
                <w:sz w:val="18"/>
              </w:rPr>
              <w:t>RR at 0% recovery</w:t>
            </w:r>
          </w:p>
        </w:tc>
        <w:tc>
          <w:tcPr>
            <w:tcW w:type="dxa" w:w="4536"/>
            <w:shd w:fill="F0F0F0"/>
            <w:vAlign w:val="center"/>
          </w:tcPr>
          <w:p>
            <w:pPr>
              <w:jc w:val="left"/>
            </w:pPr>
            <w:r/>
            <w:r>
              <w:rPr>
                <w:rFonts w:ascii="Calibri" w:hAnsi="Calibri"/>
                <w:color w:val="2D2D2D"/>
                <w:sz w:val="18"/>
              </w:rPr>
              <w:t>111.45% (strategic 120% buffer absorbs stress)</w:t>
            </w:r>
          </w:p>
        </w:tc>
      </w:tr>
    </w:tbl>
    <w:p/>
    <w:p>
      <w:pPr>
        <w:pBdr>
          <w:bottom w:val="single" w:sz="12" w:space="1" w:color="C59B1E"/>
        </w:pBdr>
      </w:pPr>
    </w:p>
    <w:p>
      <w:pPr>
        <w:pStyle w:val="Heading2"/>
      </w:pPr>
      <w:r>
        <w:t>§39 — IN-KIND EMERGENCY RESERVE DELIVERY</w:t>
      </w:r>
    </w:p>
    <w:p>
      <w:pPr>
        <w:pStyle w:val="Heading3"/>
      </w:pPr>
      <w:r>
        <w:t>§39.1 Theorem</w:t>
      </w:r>
    </w:p>
    <w:p>
      <w:r>
        <w:t>For proportional in-kind redemption:</w:t>
      </w:r>
    </w:p>
    <w:p>
      <w:pPr>
        <w:ind w:left="283"/>
        <w:shd w:fill="F5F5F5"/>
      </w:pPr>
      <w:r>
        <w:rPr>
          <w:rFonts w:ascii="Consolas" w:hAnsi="Consolas"/>
          <w:color w:val="6B6B6B"/>
          <w:sz w:val="18"/>
        </w:rPr>
        <w:t>R_a' = R_a × (1 - x)</w:t>
        <w:br/>
        <w:t>L' = L × (1 - x)</w:t>
        <w:br/>
        <w:t>Therefore: RR' = R_a' / L' = RR</w:t>
      </w:r>
    </w:p>
    <w:p>
      <w:pPr>
        <w:pStyle w:val="Heading3"/>
      </w:pPr>
      <w:r>
        <w:t>§39.2 What In-Kind Does NOT Do</w:t>
      </w:r>
    </w:p>
    <w:p>
      <w:pPr>
        <w:pStyle w:val="ListBullet"/>
        <w:ind w:left="425"/>
      </w:pPr>
      <w:r>
        <w:t>❌ Create value</w:t>
      </w:r>
    </w:p>
    <w:p>
      <w:pPr>
        <w:pStyle w:val="ListBullet"/>
        <w:ind w:left="425"/>
      </w:pPr>
      <w:r>
        <w:t>❌ Guarantee PAR</w:t>
      </w:r>
    </w:p>
    <w:p>
      <w:pPr>
        <w:pStyle w:val="ListBullet"/>
        <w:ind w:left="425"/>
      </w:pPr>
      <w:r>
        <w:t>❌ Restore insolvency</w:t>
      </w:r>
    </w:p>
    <w:p>
      <w:pPr>
        <w:pStyle w:val="ListBullet"/>
        <w:ind w:left="425"/>
      </w:pPr>
      <w:r>
        <w:t>❌ Mathematically prevent a future market loss</w:t>
      </w:r>
    </w:p>
    <w:p>
      <w:pPr>
        <w:pStyle w:val="Heading3"/>
      </w:pPr>
      <w:r>
        <w:t>§39.3 What In-Kind DOES Do</w:t>
      </w:r>
    </w:p>
    <w:p>
      <w:r>
        <w:t>It preserves the pre-redemption ratio under ideal proportional execution.</w:t>
      </w:r>
    </w:p>
    <w:p>
      <w:r>
        <w:t>Subject to:</w:t>
      </w:r>
    </w:p>
    <w:p>
      <w:pPr>
        <w:pStyle w:val="ListBullet"/>
        <w:ind w:left="425"/>
      </w:pPr>
      <w:r>
        <w:t>Valuation</w:t>
      </w:r>
    </w:p>
    <w:p>
      <w:pPr>
        <w:pStyle w:val="ListBullet"/>
        <w:ind w:left="425"/>
      </w:pPr>
      <w:r>
        <w:t>Fees</w:t>
      </w:r>
    </w:p>
    <w:p>
      <w:pPr>
        <w:pStyle w:val="ListBullet"/>
        <w:ind w:left="425"/>
      </w:pPr>
      <w:r>
        <w:t>Rounding</w:t>
      </w:r>
    </w:p>
    <w:p>
      <w:pPr>
        <w:pStyle w:val="ListBullet"/>
        <w:ind w:left="425"/>
      </w:pPr>
      <w:r>
        <w:t>Execution</w:t>
      </w:r>
    </w:p>
    <w:p>
      <w:pPr>
        <w:pBdr>
          <w:bottom w:val="single" w:sz="12" w:space="1" w:color="C59B1E"/>
        </w:pBdr>
      </w:pPr>
    </w:p>
    <w:p>
      <w:pPr>
        <w:pStyle w:val="Heading2"/>
      </w:pPr>
      <w:r>
        <w:t>§40 — STRESS TESTING &amp; MONTE CARLO</w:t>
      </w:r>
    </w:p>
    <w:p>
      <w:pPr>
        <w:pStyle w:val="Heading3"/>
      </w:pPr>
      <w:r>
        <w:t>§40.1 Baseline Reproduction (250K paths, seed=42)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Metric</w:t>
            </w:r>
          </w:p>
        </w:tc>
        <w:tc>
          <w:tcPr>
            <w:tcW w:type="dxa" w:w="3024"/>
            <w:shd w:fill="1A365F"/>
            <w:vAlign w:val="center"/>
          </w:tcPr>
          <w:p>
            <w:pPr>
              <w:jc w:val="left"/>
            </w:pPr>
            <w:r/>
            <w:r>
              <w:rPr>
                <w:rFonts w:ascii="Calibri" w:hAnsi="Calibri"/>
                <w:b/>
                <w:color w:val="FFFFFF"/>
                <w:sz w:val="18"/>
              </w:rPr>
              <w:t>Value</w:t>
            </w:r>
          </w:p>
        </w:tc>
        <w:tc>
          <w:tcPr>
            <w:tcW w:type="dxa" w:w="3024"/>
            <w:shd w:fill="1A365F"/>
            <w:vAlign w:val="center"/>
          </w:tcPr>
          <w:p>
            <w:pPr>
              <w:jc w:val="left"/>
            </w:pPr>
            <w:r/>
            <w:r>
              <w:rPr>
                <w:rFonts w:ascii="Calibri" w:hAnsi="Calibri"/>
                <w:b/>
                <w:color w:val="FFFFFF"/>
                <w:sz w:val="18"/>
              </w:rPr>
              <w:t>Reproducible</w:t>
            </w:r>
          </w:p>
        </w:tc>
      </w:tr>
      <w:tr>
        <w:tc>
          <w:tcPr>
            <w:tcW w:type="dxa" w:w="3024"/>
            <w:vAlign w:val="center"/>
          </w:tcPr>
          <w:p>
            <w:pPr>
              <w:jc w:val="left"/>
            </w:pPr>
            <w:r/>
            <w:r>
              <w:rPr>
                <w:rFonts w:ascii="Calibri" w:hAnsi="Calibri"/>
                <w:color w:val="2D2D2D"/>
                <w:sz w:val="18"/>
              </w:rPr>
              <w:t>Paths</w:t>
            </w:r>
          </w:p>
        </w:tc>
        <w:tc>
          <w:tcPr>
            <w:tcW w:type="dxa" w:w="3024"/>
            <w:vAlign w:val="center"/>
          </w:tcPr>
          <w:p>
            <w:pPr>
              <w:jc w:val="left"/>
            </w:pPr>
            <w:r/>
            <w:r>
              <w:rPr>
                <w:rFonts w:ascii="Calibri" w:hAnsi="Calibri"/>
                <w:color w:val="2D2D2D"/>
                <w:sz w:val="18"/>
              </w:rPr>
              <w:t>250,000</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Seed</w:t>
            </w:r>
          </w:p>
        </w:tc>
        <w:tc>
          <w:tcPr>
            <w:tcW w:type="dxa" w:w="3024"/>
            <w:shd w:fill="F0F0F0"/>
            <w:vAlign w:val="center"/>
          </w:tcPr>
          <w:p>
            <w:pPr>
              <w:jc w:val="left"/>
            </w:pPr>
            <w:r/>
            <w:r>
              <w:rPr>
                <w:rFonts w:ascii="Calibri" w:hAnsi="Calibri"/>
                <w:color w:val="2D2D2D"/>
                <w:sz w:val="18"/>
              </w:rPr>
              <w:t>42</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P(RR&lt;100%)</w:t>
            </w:r>
          </w:p>
        </w:tc>
        <w:tc>
          <w:tcPr>
            <w:tcW w:type="dxa" w:w="3024"/>
            <w:vAlign w:val="center"/>
          </w:tcPr>
          <w:p>
            <w:pPr>
              <w:jc w:val="left"/>
            </w:pPr>
            <w:r/>
            <w:r>
              <w:rPr>
                <w:rFonts w:ascii="Calibri" w:hAnsi="Calibri"/>
                <w:color w:val="2D2D2D"/>
                <w:sz w:val="18"/>
              </w:rPr>
              <w:t>21.5432%</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P(LCR&lt;1.0)</w:t>
            </w:r>
          </w:p>
        </w:tc>
        <w:tc>
          <w:tcPr>
            <w:tcW w:type="dxa" w:w="3024"/>
            <w:shd w:fill="F0F0F0"/>
            <w:vAlign w:val="center"/>
          </w:tcPr>
          <w:p>
            <w:pPr>
              <w:jc w:val="left"/>
            </w:pPr>
            <w:r/>
            <w:r>
              <w:rPr>
                <w:rFonts w:ascii="Calibri" w:hAnsi="Calibri"/>
                <w:color w:val="2D2D2D"/>
                <w:sz w:val="18"/>
              </w:rPr>
              <w:t>0%</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CVaR_99</w:t>
            </w:r>
          </w:p>
        </w:tc>
        <w:tc>
          <w:tcPr>
            <w:tcW w:type="dxa" w:w="3024"/>
            <w:vAlign w:val="center"/>
          </w:tcPr>
          <w:p>
            <w:pPr>
              <w:jc w:val="left"/>
            </w:pPr>
            <w:r/>
            <w:r>
              <w:rPr>
                <w:rFonts w:ascii="Calibri" w:hAnsi="Calibri"/>
                <w:color w:val="2D2D2D"/>
                <w:sz w:val="18"/>
              </w:rPr>
              <w:t>$25.52M</w:t>
            </w:r>
          </w:p>
        </w:tc>
        <w:tc>
          <w:tcPr>
            <w:tcW w:type="dxa" w:w="3024"/>
            <w:vAlign w:val="center"/>
          </w:tcPr>
          <w:p>
            <w:pPr>
              <w:jc w:val="left"/>
            </w:pPr>
            <w:r/>
            <w:r>
              <w:rPr>
                <w:rFonts w:ascii="Calibri" w:hAnsi="Calibri"/>
                <w:color w:val="2D2D2D"/>
                <w:sz w:val="18"/>
              </w:rPr>
              <w:t>✅</w:t>
            </w:r>
          </w:p>
        </w:tc>
      </w:tr>
      <w:tr>
        <w:tc>
          <w:tcPr>
            <w:tcW w:type="dxa" w:w="3024"/>
            <w:shd w:fill="F0F0F0"/>
            <w:vAlign w:val="center"/>
          </w:tcPr>
          <w:p>
            <w:pPr>
              <w:jc w:val="left"/>
            </w:pPr>
            <w:r/>
            <w:r>
              <w:rPr>
                <w:rFonts w:ascii="Calibri" w:hAnsi="Calibri"/>
                <w:color w:val="2D2D2D"/>
                <w:sz w:val="18"/>
              </w:rPr>
              <w:t>CVaR_99.9</w:t>
            </w:r>
          </w:p>
        </w:tc>
        <w:tc>
          <w:tcPr>
            <w:tcW w:type="dxa" w:w="3024"/>
            <w:shd w:fill="F0F0F0"/>
            <w:vAlign w:val="center"/>
          </w:tcPr>
          <w:p>
            <w:pPr>
              <w:jc w:val="left"/>
            </w:pPr>
            <w:r/>
            <w:r>
              <w:rPr>
                <w:rFonts w:ascii="Calibri" w:hAnsi="Calibri"/>
                <w:color w:val="2D2D2D"/>
                <w:sz w:val="18"/>
              </w:rPr>
              <w:t>$28.02M</w:t>
            </w:r>
          </w:p>
        </w:tc>
        <w:tc>
          <w:tcPr>
            <w:tcW w:type="dxa" w:w="3024"/>
            <w:shd w:fill="F0F0F0"/>
            <w:vAlign w:val="center"/>
          </w:tcPr>
          <w:p>
            <w:pPr>
              <w:jc w:val="left"/>
            </w:pPr>
            <w:r/>
            <w:r>
              <w:rPr>
                <w:rFonts w:ascii="Calibri" w:hAnsi="Calibri"/>
                <w:color w:val="2D2D2D"/>
                <w:sz w:val="18"/>
              </w:rPr>
              <w:t>✅</w:t>
            </w:r>
          </w:p>
        </w:tc>
      </w:tr>
      <w:tr>
        <w:tc>
          <w:tcPr>
            <w:tcW w:type="dxa" w:w="3024"/>
            <w:vAlign w:val="center"/>
          </w:tcPr>
          <w:p>
            <w:pPr>
              <w:jc w:val="left"/>
            </w:pPr>
            <w:r/>
            <w:r>
              <w:rPr>
                <w:rFonts w:ascii="Calibri" w:hAnsi="Calibri"/>
                <w:color w:val="2D2D2D"/>
                <w:sz w:val="18"/>
              </w:rPr>
              <w:t>Min correlated shock to breach</w:t>
            </w:r>
          </w:p>
        </w:tc>
        <w:tc>
          <w:tcPr>
            <w:tcW w:type="dxa" w:w="3024"/>
            <w:vAlign w:val="center"/>
          </w:tcPr>
          <w:p>
            <w:pPr>
              <w:jc w:val="left"/>
            </w:pPr>
            <w:r/>
            <w:r>
              <w:rPr>
                <w:rFonts w:ascii="Calibri" w:hAnsi="Calibri"/>
                <w:color w:val="2D2D2D"/>
                <w:sz w:val="18"/>
              </w:rPr>
              <w:t>14.87%</w:t>
            </w:r>
          </w:p>
        </w:tc>
        <w:tc>
          <w:tcPr>
            <w:tcW w:type="dxa" w:w="3024"/>
            <w:vAlign w:val="center"/>
          </w:tcPr>
          <w:p>
            <w:pPr>
              <w:jc w:val="left"/>
            </w:pPr>
            <w:r/>
            <w:r>
              <w:rPr>
                <w:rFonts w:ascii="Calibri" w:hAnsi="Calibri"/>
                <w:color w:val="2D2D2D"/>
                <w:sz w:val="18"/>
              </w:rPr>
              <w:t>✅</w:t>
            </w:r>
          </w:p>
        </w:tc>
      </w:tr>
    </w:tbl>
    <w:p/>
    <w:p>
      <w:pPr>
        <w:pStyle w:val="Heading3"/>
      </w:pPr>
      <w:r>
        <w:t>§40.2 Challenger Models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w:t>
            </w:r>
          </w:p>
        </w:tc>
        <w:tc>
          <w:tcPr>
            <w:tcW w:type="dxa" w:w="2268"/>
            <w:shd w:fill="1A365F"/>
            <w:vAlign w:val="center"/>
          </w:tcPr>
          <w:p>
            <w:pPr>
              <w:jc w:val="left"/>
            </w:pPr>
            <w:r/>
            <w:r>
              <w:rPr>
                <w:rFonts w:ascii="Calibri" w:hAnsi="Calibri"/>
                <w:b/>
                <w:color w:val="FFFFFF"/>
                <w:sz w:val="18"/>
              </w:rPr>
              <w:t>Challenger</w:t>
            </w:r>
          </w:p>
        </w:tc>
        <w:tc>
          <w:tcPr>
            <w:tcW w:type="dxa" w:w="2268"/>
            <w:shd w:fill="1A365F"/>
            <w:vAlign w:val="center"/>
          </w:tcPr>
          <w:p>
            <w:pPr>
              <w:jc w:val="left"/>
            </w:pPr>
            <w:r/>
            <w:r>
              <w:rPr>
                <w:rFonts w:ascii="Calibri" w:hAnsi="Calibri"/>
                <w:b/>
                <w:color w:val="FFFFFF"/>
                <w:sz w:val="18"/>
              </w:rPr>
              <w:t>P(RR&lt;100%)</w:t>
            </w:r>
          </w:p>
        </w:tc>
        <w:tc>
          <w:tcPr>
            <w:tcW w:type="dxa" w:w="2268"/>
            <w:shd w:fill="1A365F"/>
            <w:vAlign w:val="center"/>
          </w:tcPr>
          <w:p>
            <w:pPr>
              <w:jc w:val="left"/>
            </w:pPr>
            <w:r/>
            <w:r>
              <w:rPr>
                <w:rFonts w:ascii="Calibri" w:hAnsi="Calibri"/>
                <w:b/>
                <w:color w:val="FFFFFF"/>
                <w:sz w:val="18"/>
              </w:rPr>
              <w:t>Verdict</w:t>
            </w:r>
          </w:p>
        </w:tc>
      </w:tr>
      <w:tr>
        <w:tc>
          <w:tcPr>
            <w:tcW w:type="dxa" w:w="2268"/>
            <w:vAlign w:val="center"/>
          </w:tcPr>
          <w:p>
            <w:pPr>
              <w:jc w:val="left"/>
            </w:pPr>
            <w:r/>
            <w:r>
              <w:rPr>
                <w:rFonts w:ascii="Calibri" w:hAnsi="Calibri"/>
                <w:color w:val="2D2D2D"/>
                <w:sz w:val="18"/>
              </w:rPr>
              <w:t>C1</w:t>
            </w:r>
          </w:p>
        </w:tc>
        <w:tc>
          <w:tcPr>
            <w:tcW w:type="dxa" w:w="2268"/>
            <w:vAlign w:val="center"/>
          </w:tcPr>
          <w:p>
            <w:pPr>
              <w:jc w:val="left"/>
            </w:pPr>
            <w:r/>
            <w:r>
              <w:rPr>
                <w:rFonts w:ascii="Calibri" w:hAnsi="Calibri"/>
                <w:color w:val="2D2D2D"/>
                <w:sz w:val="18"/>
              </w:rPr>
              <w:t>Block bootstrap</w:t>
            </w:r>
          </w:p>
        </w:tc>
        <w:tc>
          <w:tcPr>
            <w:tcW w:type="dxa" w:w="2268"/>
            <w:vAlign w:val="center"/>
          </w:tcPr>
          <w:p>
            <w:pPr>
              <w:jc w:val="left"/>
            </w:pPr>
            <w:r/>
            <w:r>
              <w:rPr>
                <w:rFonts w:ascii="Calibri" w:hAnsi="Calibri"/>
                <w:color w:val="2D2D2D"/>
                <w:sz w:val="18"/>
              </w:rPr>
              <w:t>19.97%</w:t>
            </w:r>
          </w:p>
        </w:tc>
        <w:tc>
          <w:tcPr>
            <w:tcW w:type="dxa" w:w="2268"/>
            <w:vAlign w:val="center"/>
          </w:tcPr>
          <w:p>
            <w:pPr>
              <w:jc w:val="left"/>
            </w:pPr>
            <w:r/>
            <w:r>
              <w:rPr>
                <w:rFonts w:ascii="Calibri" w:hAnsi="Calibri"/>
                <w:color w:val="2D2D2D"/>
                <w:sz w:val="18"/>
              </w:rPr>
              <w:t>CONFIRM</w:t>
            </w:r>
          </w:p>
        </w:tc>
      </w:tr>
      <w:tr>
        <w:tc>
          <w:tcPr>
            <w:tcW w:type="dxa" w:w="2268"/>
            <w:shd w:fill="F0F0F0"/>
            <w:vAlign w:val="center"/>
          </w:tcPr>
          <w:p>
            <w:pPr>
              <w:jc w:val="left"/>
            </w:pPr>
            <w:r/>
            <w:r>
              <w:rPr>
                <w:rFonts w:ascii="Calibri" w:hAnsi="Calibri"/>
                <w:color w:val="2D2D2D"/>
                <w:sz w:val="18"/>
              </w:rPr>
              <w:t>C2</w:t>
            </w:r>
          </w:p>
        </w:tc>
        <w:tc>
          <w:tcPr>
            <w:tcW w:type="dxa" w:w="2268"/>
            <w:shd w:fill="F0F0F0"/>
            <w:vAlign w:val="center"/>
          </w:tcPr>
          <w:p>
            <w:pPr>
              <w:jc w:val="left"/>
            </w:pPr>
            <w:r/>
            <w:r>
              <w:rPr>
                <w:rFonts w:ascii="Calibri" w:hAnsi="Calibri"/>
                <w:color w:val="2D2D2D"/>
                <w:sz w:val="18"/>
              </w:rPr>
              <w:t>Gaussian thin-tailed</w:t>
            </w:r>
          </w:p>
        </w:tc>
        <w:tc>
          <w:tcPr>
            <w:tcW w:type="dxa" w:w="2268"/>
            <w:shd w:fill="F0F0F0"/>
            <w:vAlign w:val="center"/>
          </w:tcPr>
          <w:p>
            <w:pPr>
              <w:jc w:val="left"/>
            </w:pPr>
            <w:r/>
            <w:r>
              <w:rPr>
                <w:rFonts w:ascii="Calibri" w:hAnsi="Calibri"/>
                <w:color w:val="2D2D2D"/>
                <w:sz w:val="18"/>
              </w:rPr>
              <w:t>20.19%</w:t>
            </w:r>
          </w:p>
        </w:tc>
        <w:tc>
          <w:tcPr>
            <w:tcW w:type="dxa" w:w="2268"/>
            <w:shd w:fill="F0F0F0"/>
            <w:vAlign w:val="center"/>
          </w:tcPr>
          <w:p>
            <w:pPr>
              <w:jc w:val="left"/>
            </w:pPr>
            <w:r/>
            <w:r>
              <w:rPr>
                <w:rFonts w:ascii="Calibri" w:hAnsi="Calibri"/>
                <w:color w:val="2D2D2D"/>
                <w:sz w:val="18"/>
              </w:rPr>
              <w:t>CONFIRM</w:t>
            </w:r>
          </w:p>
        </w:tc>
      </w:tr>
      <w:tr>
        <w:tc>
          <w:tcPr>
            <w:tcW w:type="dxa" w:w="2268"/>
            <w:vAlign w:val="center"/>
          </w:tcPr>
          <w:p>
            <w:pPr>
              <w:jc w:val="left"/>
            </w:pPr>
            <w:r/>
            <w:r>
              <w:rPr>
                <w:rFonts w:ascii="Calibri" w:hAnsi="Calibri"/>
                <w:color w:val="2D2D2D"/>
                <w:sz w:val="18"/>
              </w:rPr>
              <w:t>C3</w:t>
            </w:r>
          </w:p>
        </w:tc>
        <w:tc>
          <w:tcPr>
            <w:tcW w:type="dxa" w:w="2268"/>
            <w:vAlign w:val="center"/>
          </w:tcPr>
          <w:p>
            <w:pPr>
              <w:jc w:val="left"/>
            </w:pPr>
            <w:r/>
            <w:r>
              <w:rPr>
                <w:rFonts w:ascii="Calibri" w:hAnsi="Calibri"/>
                <w:color w:val="2D2D2D"/>
                <w:sz w:val="18"/>
              </w:rPr>
              <w:t>Cornish-Fisher</w:t>
            </w:r>
          </w:p>
        </w:tc>
        <w:tc>
          <w:tcPr>
            <w:tcW w:type="dxa" w:w="2268"/>
            <w:vAlign w:val="center"/>
          </w:tcPr>
          <w:p>
            <w:pPr>
              <w:jc w:val="left"/>
            </w:pPr>
            <w:r/>
            <w:r>
              <w:rPr>
                <w:rFonts w:ascii="Calibri" w:hAnsi="Calibri"/>
                <w:color w:val="2D2D2D"/>
                <w:sz w:val="18"/>
              </w:rPr>
              <w:t>24.01%</w:t>
            </w:r>
          </w:p>
        </w:tc>
        <w:tc>
          <w:tcPr>
            <w:tcW w:type="dxa" w:w="2268"/>
            <w:vAlign w:val="center"/>
          </w:tcPr>
          <w:p>
            <w:pPr>
              <w:jc w:val="left"/>
            </w:pPr>
            <w:r/>
            <w:r>
              <w:rPr>
                <w:rFonts w:ascii="Calibri" w:hAnsi="Calibri"/>
                <w:color w:val="2D2D2D"/>
                <w:sz w:val="18"/>
              </w:rPr>
              <w:t>CONFIRM</w:t>
            </w:r>
          </w:p>
        </w:tc>
      </w:tr>
      <w:tr>
        <w:tc>
          <w:tcPr>
            <w:tcW w:type="dxa" w:w="2268"/>
            <w:shd w:fill="F0F0F0"/>
            <w:vAlign w:val="center"/>
          </w:tcPr>
          <w:p>
            <w:pPr>
              <w:jc w:val="left"/>
            </w:pPr>
            <w:r/>
            <w:r>
              <w:rPr>
                <w:rFonts w:ascii="Calibri" w:hAnsi="Calibri"/>
                <w:color w:val="2D2D2D"/>
                <w:sz w:val="18"/>
              </w:rPr>
              <w:t>C4</w:t>
            </w:r>
          </w:p>
        </w:tc>
        <w:tc>
          <w:tcPr>
            <w:tcW w:type="dxa" w:w="2268"/>
            <w:shd w:fill="F0F0F0"/>
            <w:vAlign w:val="center"/>
          </w:tcPr>
          <w:p>
            <w:pPr>
              <w:jc w:val="left"/>
            </w:pPr>
            <w:r/>
            <w:r>
              <w:rPr>
                <w:rFonts w:ascii="Calibri" w:hAnsi="Calibri"/>
                <w:color w:val="2D2D2D"/>
                <w:sz w:val="18"/>
              </w:rPr>
              <w:t>Historical replay</w:t>
            </w:r>
          </w:p>
        </w:tc>
        <w:tc>
          <w:tcPr>
            <w:tcW w:type="dxa" w:w="2268"/>
            <w:shd w:fill="F0F0F0"/>
            <w:vAlign w:val="center"/>
          </w:tcPr>
          <w:p>
            <w:pPr>
              <w:jc w:val="left"/>
            </w:pPr>
            <w:r/>
            <w:r>
              <w:rPr>
                <w:rFonts w:ascii="Calibri" w:hAnsi="Calibri"/>
                <w:color w:val="2D2D2D"/>
                <w:sz w:val="18"/>
              </w:rPr>
              <w:t>100.00%</w:t>
            </w:r>
          </w:p>
        </w:tc>
        <w:tc>
          <w:tcPr>
            <w:tcW w:type="dxa" w:w="2268"/>
            <w:shd w:fill="F0F0F0"/>
            <w:vAlign w:val="center"/>
          </w:tcPr>
          <w:p>
            <w:pPr>
              <w:jc w:val="left"/>
            </w:pPr>
            <w:r/>
            <w:r>
              <w:rPr>
                <w:rFonts w:ascii="Calibri" w:hAnsi="Calibri"/>
                <w:color w:val="2D2D2D"/>
                <w:sz w:val="18"/>
              </w:rPr>
              <w:t>DISSENT (methodological)</w:t>
            </w:r>
          </w:p>
        </w:tc>
      </w:tr>
      <w:tr>
        <w:tc>
          <w:tcPr>
            <w:tcW w:type="dxa" w:w="2268"/>
            <w:vAlign w:val="center"/>
          </w:tcPr>
          <w:p>
            <w:pPr>
              <w:jc w:val="left"/>
            </w:pPr>
            <w:r/>
            <w:r>
              <w:rPr>
                <w:rFonts w:ascii="Calibri" w:hAnsi="Calibri"/>
                <w:color w:val="2D2D2D"/>
                <w:sz w:val="18"/>
              </w:rPr>
              <w:t>C5</w:t>
            </w:r>
          </w:p>
        </w:tc>
        <w:tc>
          <w:tcPr>
            <w:tcW w:type="dxa" w:w="2268"/>
            <w:vAlign w:val="center"/>
          </w:tcPr>
          <w:p>
            <w:pPr>
              <w:jc w:val="left"/>
            </w:pPr>
            <w:r/>
            <w:r>
              <w:rPr>
                <w:rFonts w:ascii="Calibri" w:hAnsi="Calibri"/>
                <w:color w:val="2D2D2D"/>
                <w:sz w:val="18"/>
              </w:rPr>
              <w:t>Copula-based</w:t>
            </w:r>
          </w:p>
        </w:tc>
        <w:tc>
          <w:tcPr>
            <w:tcW w:type="dxa" w:w="2268"/>
            <w:vAlign w:val="center"/>
          </w:tcPr>
          <w:p>
            <w:pPr>
              <w:jc w:val="left"/>
            </w:pPr>
            <w:r/>
            <w:r>
              <w:rPr>
                <w:rFonts w:ascii="Calibri" w:hAnsi="Calibri"/>
                <w:color w:val="2D2D2D"/>
                <w:sz w:val="18"/>
              </w:rPr>
              <w:t>24.91%</w:t>
            </w:r>
          </w:p>
        </w:tc>
        <w:tc>
          <w:tcPr>
            <w:tcW w:type="dxa" w:w="2268"/>
            <w:vAlign w:val="center"/>
          </w:tcPr>
          <w:p>
            <w:pPr>
              <w:jc w:val="left"/>
            </w:pPr>
            <w:r/>
            <w:r>
              <w:rPr>
                <w:rFonts w:ascii="Calibri" w:hAnsi="Calibri"/>
                <w:color w:val="2D2D2D"/>
                <w:sz w:val="18"/>
              </w:rPr>
              <w:t>CONFIRM</w:t>
            </w:r>
          </w:p>
        </w:tc>
      </w:tr>
    </w:tbl>
    <w:p/>
    <w:p>
      <w:r>
        <w:rPr>
          <w:b/>
        </w:rPr>
        <w:t>4/5 CONFIRM</w:t>
      </w:r>
      <w:r>
        <w:t xml:space="preserve"> primary within ±5pp.</w:t>
      </w:r>
    </w:p>
    <w:p>
      <w:pPr>
        <w:pStyle w:val="Heading3"/>
      </w:pPr>
      <w:r>
        <w:t>§40.3 Reverse Stress (Minimum Shock to RR=100%)</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Shock Type</w:t>
            </w:r>
          </w:p>
        </w:tc>
        <w:tc>
          <w:tcPr>
            <w:tcW w:type="dxa" w:w="4536"/>
            <w:shd w:fill="1A365F"/>
            <w:vAlign w:val="center"/>
          </w:tcPr>
          <w:p>
            <w:pPr>
              <w:jc w:val="left"/>
            </w:pPr>
            <w:r/>
            <w:r>
              <w:rPr>
                <w:rFonts w:ascii="Calibri" w:hAnsi="Calibri"/>
                <w:b/>
                <w:color w:val="FFFFFF"/>
                <w:sz w:val="18"/>
              </w:rPr>
              <w:t>Min Shock</w:t>
            </w:r>
          </w:p>
        </w:tc>
      </w:tr>
      <w:tr>
        <w:tc>
          <w:tcPr>
            <w:tcW w:type="dxa" w:w="4536"/>
            <w:vAlign w:val="center"/>
          </w:tcPr>
          <w:p>
            <w:pPr>
              <w:jc w:val="left"/>
            </w:pPr>
            <w:r/>
            <w:r>
              <w:rPr>
                <w:rFonts w:ascii="Calibri" w:hAnsi="Calibri"/>
                <w:color w:val="2D2D2D"/>
                <w:sz w:val="18"/>
              </w:rPr>
              <w:t>Broad market (correlated)</w:t>
            </w:r>
          </w:p>
        </w:tc>
        <w:tc>
          <w:tcPr>
            <w:tcW w:type="dxa" w:w="4536"/>
            <w:vAlign w:val="center"/>
          </w:tcPr>
          <w:p>
            <w:pPr>
              <w:jc w:val="left"/>
            </w:pPr>
            <w:r/>
            <w:r>
              <w:rPr>
                <w:rFonts w:ascii="Calibri" w:hAnsi="Calibri"/>
                <w:color w:val="2D2D2D"/>
                <w:sz w:val="18"/>
              </w:rPr>
              <w:t>14.87%</w:t>
            </w:r>
          </w:p>
        </w:tc>
      </w:tr>
      <w:tr>
        <w:tc>
          <w:tcPr>
            <w:tcW w:type="dxa" w:w="4536"/>
            <w:shd w:fill="F0F0F0"/>
            <w:vAlign w:val="center"/>
          </w:tcPr>
          <w:p>
            <w:pPr>
              <w:jc w:val="left"/>
            </w:pPr>
            <w:r/>
            <w:r>
              <w:rPr>
                <w:rFonts w:ascii="Calibri" w:hAnsi="Calibri"/>
                <w:color w:val="2D2D2D"/>
                <w:sz w:val="18"/>
              </w:rPr>
              <w:t>Gold-specific</w:t>
            </w:r>
          </w:p>
        </w:tc>
        <w:tc>
          <w:tcPr>
            <w:tcW w:type="dxa" w:w="4536"/>
            <w:shd w:fill="F0F0F0"/>
            <w:vAlign w:val="center"/>
          </w:tcPr>
          <w:p>
            <w:pPr>
              <w:jc w:val="left"/>
            </w:pPr>
            <w:r/>
            <w:r>
              <w:rPr>
                <w:rFonts w:ascii="Calibri" w:hAnsi="Calibri"/>
                <w:color w:val="2D2D2D"/>
                <w:sz w:val="18"/>
              </w:rPr>
              <w:t>69.92%</w:t>
            </w:r>
          </w:p>
        </w:tc>
      </w:tr>
      <w:tr>
        <w:tc>
          <w:tcPr>
            <w:tcW w:type="dxa" w:w="4536"/>
            <w:vAlign w:val="center"/>
          </w:tcPr>
          <w:p>
            <w:pPr>
              <w:jc w:val="left"/>
            </w:pPr>
            <w:r/>
            <w:r>
              <w:rPr>
                <w:rFonts w:ascii="Calibri" w:hAnsi="Calibri"/>
                <w:color w:val="2D2D2D"/>
                <w:sz w:val="18"/>
              </w:rPr>
              <w:t>FX (non-pegged)</w:t>
            </w:r>
          </w:p>
        </w:tc>
        <w:tc>
          <w:tcPr>
            <w:tcW w:type="dxa" w:w="4536"/>
            <w:vAlign w:val="center"/>
          </w:tcPr>
          <w:p>
            <w:pPr>
              <w:jc w:val="left"/>
            </w:pPr>
            <w:r/>
            <w:r>
              <w:rPr>
                <w:rFonts w:ascii="Calibri" w:hAnsi="Calibri"/>
                <w:color w:val="2D2D2D"/>
                <w:sz w:val="18"/>
              </w:rPr>
              <w:t>32.08%</w:t>
            </w:r>
          </w:p>
        </w:tc>
      </w:tr>
      <w:tr>
        <w:tc>
          <w:tcPr>
            <w:tcW w:type="dxa" w:w="4536"/>
            <w:shd w:fill="F0F0F0"/>
            <w:vAlign w:val="center"/>
          </w:tcPr>
          <w:p>
            <w:pPr>
              <w:jc w:val="left"/>
            </w:pPr>
            <w:r/>
            <w:r>
              <w:rPr>
                <w:rFonts w:ascii="Calibri" w:hAnsi="Calibri"/>
                <w:color w:val="2D2D2D"/>
                <w:sz w:val="18"/>
              </w:rPr>
              <w:t>Custody impairment</w:t>
            </w:r>
          </w:p>
        </w:tc>
        <w:tc>
          <w:tcPr>
            <w:tcW w:type="dxa" w:w="4536"/>
            <w:shd w:fill="F0F0F0"/>
            <w:vAlign w:val="center"/>
          </w:tcPr>
          <w:p>
            <w:pPr>
              <w:jc w:val="left"/>
            </w:pPr>
            <w:r/>
            <w:r>
              <w:rPr>
                <w:rFonts w:ascii="Calibri" w:hAnsi="Calibri"/>
                <w:color w:val="2D2D2D"/>
                <w:sz w:val="18"/>
              </w:rPr>
              <w:t>97.07%</w:t>
            </w:r>
          </w:p>
        </w:tc>
      </w:tr>
      <w:tr>
        <w:tc>
          <w:tcPr>
            <w:tcW w:type="dxa" w:w="4536"/>
            <w:vAlign w:val="center"/>
          </w:tcPr>
          <w:p>
            <w:pPr>
              <w:jc w:val="left"/>
            </w:pPr>
            <w:r/>
            <w:r>
              <w:rPr>
                <w:rFonts w:ascii="Calibri" w:hAnsi="Calibri"/>
                <w:color w:val="2D2D2D"/>
                <w:sz w:val="18"/>
              </w:rPr>
              <w:t>Combined loss</w:t>
            </w:r>
          </w:p>
        </w:tc>
        <w:tc>
          <w:tcPr>
            <w:tcW w:type="dxa" w:w="4536"/>
            <w:vAlign w:val="center"/>
          </w:tcPr>
          <w:p>
            <w:pPr>
              <w:jc w:val="left"/>
            </w:pPr>
            <w:r/>
            <w:r>
              <w:rPr>
                <w:rFonts w:ascii="Calibri" w:hAnsi="Calibri"/>
                <w:color w:val="2D2D2D"/>
                <w:sz w:val="18"/>
              </w:rPr>
              <w:t>27.56%</w:t>
            </w:r>
          </w:p>
        </w:tc>
      </w:tr>
    </w:tbl>
    <w:p/>
    <w:p>
      <w:pPr>
        <w:pStyle w:val="Heading3"/>
      </w:pPr>
      <w:r>
        <w:t>§40.4 A/B/C/D/E Portfolio Comparison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Portfolio</w:t>
            </w:r>
          </w:p>
        </w:tc>
        <w:tc>
          <w:tcPr>
            <w:tcW w:type="dxa" w:w="2268"/>
            <w:shd w:fill="1A365F"/>
            <w:vAlign w:val="center"/>
          </w:tcPr>
          <w:p>
            <w:pPr>
              <w:jc w:val="left"/>
            </w:pPr>
            <w:r/>
            <w:r>
              <w:rPr>
                <w:rFonts w:ascii="Calibri" w:hAnsi="Calibri"/>
                <w:b/>
                <w:color w:val="FFFFFF"/>
                <w:sz w:val="18"/>
              </w:rPr>
              <w:t>StressRR</w:t>
            </w:r>
          </w:p>
        </w:tc>
        <w:tc>
          <w:tcPr>
            <w:tcW w:type="dxa" w:w="2268"/>
            <w:shd w:fill="1A365F"/>
            <w:vAlign w:val="center"/>
          </w:tcPr>
          <w:p>
            <w:pPr>
              <w:jc w:val="left"/>
            </w:pPr>
            <w:r/>
            <w:r>
              <w:rPr>
                <w:rFonts w:ascii="Calibri" w:hAnsi="Calibri"/>
                <w:b/>
                <w:color w:val="FFFFFF"/>
                <w:sz w:val="18"/>
              </w:rPr>
              <w:t>CVaR_99</w:t>
            </w:r>
          </w:p>
        </w:tc>
        <w:tc>
          <w:tcPr>
            <w:tcW w:type="dxa" w:w="2268"/>
            <w:shd w:fill="1A365F"/>
            <w:vAlign w:val="center"/>
          </w:tcPr>
          <w:p>
            <w:pPr>
              <w:jc w:val="left"/>
            </w:pPr>
            <w:r/>
            <w:r>
              <w:rPr>
                <w:rFonts w:ascii="Calibri" w:hAnsi="Calibri"/>
                <w:b/>
                <w:color w:val="FFFFFF"/>
                <w:sz w:val="18"/>
              </w:rPr>
              <w:t>P(RR&lt;100%)</w:t>
            </w:r>
          </w:p>
        </w:tc>
      </w:tr>
      <w:tr>
        <w:tc>
          <w:tcPr>
            <w:tcW w:type="dxa" w:w="2268"/>
            <w:vAlign w:val="center"/>
          </w:tcPr>
          <w:p>
            <w:pPr>
              <w:jc w:val="left"/>
            </w:pPr>
            <w:r/>
            <w:r>
              <w:rPr>
                <w:rFonts w:ascii="Calibri" w:hAnsi="Calibri"/>
                <w:color w:val="2D2D2D"/>
                <w:sz w:val="18"/>
              </w:rPr>
              <w:t>A (3% silver)</w:t>
            </w:r>
          </w:p>
        </w:tc>
        <w:tc>
          <w:tcPr>
            <w:tcW w:type="dxa" w:w="2268"/>
            <w:vAlign w:val="center"/>
          </w:tcPr>
          <w:p>
            <w:pPr>
              <w:jc w:val="left"/>
            </w:pPr>
            <w:r/>
            <w:r>
              <w:rPr>
                <w:rFonts w:ascii="Calibri" w:hAnsi="Calibri"/>
                <w:color w:val="2D2D2D"/>
                <w:sz w:val="18"/>
              </w:rPr>
              <w:t>97.60%</w:t>
            </w:r>
          </w:p>
        </w:tc>
        <w:tc>
          <w:tcPr>
            <w:tcW w:type="dxa" w:w="2268"/>
            <w:vAlign w:val="center"/>
          </w:tcPr>
          <w:p>
            <w:pPr>
              <w:jc w:val="left"/>
            </w:pPr>
            <w:r/>
            <w:r>
              <w:rPr>
                <w:rFonts w:ascii="Calibri" w:hAnsi="Calibri"/>
                <w:color w:val="2D2D2D"/>
                <w:sz w:val="18"/>
              </w:rPr>
              <w:t>$15.67M</w:t>
            </w:r>
          </w:p>
        </w:tc>
        <w:tc>
          <w:tcPr>
            <w:tcW w:type="dxa" w:w="2268"/>
            <w:vAlign w:val="center"/>
          </w:tcPr>
          <w:p>
            <w:pPr>
              <w:jc w:val="left"/>
            </w:pPr>
            <w:r/>
            <w:r>
              <w:rPr>
                <w:rFonts w:ascii="Calibri" w:hAnsi="Calibri"/>
                <w:color w:val="2D2D2D"/>
                <w:sz w:val="18"/>
              </w:rPr>
              <w:t>6.66%</w:t>
            </w:r>
          </w:p>
        </w:tc>
      </w:tr>
      <w:tr>
        <w:tc>
          <w:tcPr>
            <w:tcW w:type="dxa" w:w="2268"/>
            <w:shd w:fill="F0F0F0"/>
            <w:vAlign w:val="center"/>
          </w:tcPr>
          <w:p>
            <w:pPr>
              <w:jc w:val="left"/>
            </w:pPr>
            <w:r/>
            <w:r>
              <w:rPr>
                <w:rFonts w:ascii="Calibri" w:hAnsi="Calibri"/>
                <w:color w:val="2D2D2D"/>
                <w:sz w:val="18"/>
              </w:rPr>
              <w:t>**B (5% PAXG)**</w:t>
            </w:r>
          </w:p>
        </w:tc>
        <w:tc>
          <w:tcPr>
            <w:tcW w:type="dxa" w:w="2268"/>
            <w:shd w:fill="F0F0F0"/>
            <w:vAlign w:val="center"/>
          </w:tcPr>
          <w:p>
            <w:pPr>
              <w:jc w:val="left"/>
            </w:pPr>
            <w:r/>
            <w:r>
              <w:rPr>
                <w:rFonts w:ascii="Calibri" w:hAnsi="Calibri"/>
                <w:color w:val="2D2D2D"/>
                <w:sz w:val="18"/>
              </w:rPr>
              <w:t>97.45%</w:t>
            </w:r>
          </w:p>
        </w:tc>
        <w:tc>
          <w:tcPr>
            <w:tcW w:type="dxa" w:w="2268"/>
            <w:shd w:fill="F0F0F0"/>
            <w:vAlign w:val="center"/>
          </w:tcPr>
          <w:p>
            <w:pPr>
              <w:jc w:val="left"/>
            </w:pPr>
            <w:r/>
            <w:r>
              <w:rPr>
                <w:rFonts w:ascii="Calibri" w:hAnsi="Calibri"/>
                <w:color w:val="2D2D2D"/>
                <w:sz w:val="18"/>
              </w:rPr>
              <w:t>**$15.62M**</w:t>
            </w:r>
          </w:p>
        </w:tc>
        <w:tc>
          <w:tcPr>
            <w:tcW w:type="dxa" w:w="2268"/>
            <w:shd w:fill="F0F0F0"/>
            <w:vAlign w:val="center"/>
          </w:tcPr>
          <w:p>
            <w:pPr>
              <w:jc w:val="left"/>
            </w:pPr>
            <w:r/>
            <w:r>
              <w:rPr>
                <w:rFonts w:ascii="Calibri" w:hAnsi="Calibri"/>
                <w:color w:val="2D2D2D"/>
                <w:sz w:val="18"/>
              </w:rPr>
              <w:t>**6.63%**</w:t>
            </w:r>
          </w:p>
        </w:tc>
      </w:tr>
      <w:tr>
        <w:tc>
          <w:tcPr>
            <w:tcW w:type="dxa" w:w="2268"/>
            <w:vAlign w:val="center"/>
          </w:tcPr>
          <w:p>
            <w:pPr>
              <w:jc w:val="left"/>
            </w:pPr>
            <w:r/>
            <w:r>
              <w:rPr>
                <w:rFonts w:ascii="Calibri" w:hAnsi="Calibri"/>
                <w:color w:val="2D2D2D"/>
                <w:sz w:val="18"/>
              </w:rPr>
              <w:t>C (17%+3%)</w:t>
            </w:r>
          </w:p>
        </w:tc>
        <w:tc>
          <w:tcPr>
            <w:tcW w:type="dxa" w:w="2268"/>
            <w:vAlign w:val="center"/>
          </w:tcPr>
          <w:p>
            <w:pPr>
              <w:jc w:val="left"/>
            </w:pPr>
            <w:r/>
            <w:r>
              <w:rPr>
                <w:rFonts w:ascii="Calibri" w:hAnsi="Calibri"/>
                <w:color w:val="2D2D2D"/>
                <w:sz w:val="18"/>
              </w:rPr>
              <w:t>97.52%</w:t>
            </w:r>
          </w:p>
        </w:tc>
        <w:tc>
          <w:tcPr>
            <w:tcW w:type="dxa" w:w="2268"/>
            <w:vAlign w:val="center"/>
          </w:tcPr>
          <w:p>
            <w:pPr>
              <w:jc w:val="left"/>
            </w:pPr>
            <w:r/>
            <w:r>
              <w:rPr>
                <w:rFonts w:ascii="Calibri" w:hAnsi="Calibri"/>
                <w:color w:val="2D2D2D"/>
                <w:sz w:val="18"/>
              </w:rPr>
              <w:t>$15.66M</w:t>
            </w:r>
          </w:p>
        </w:tc>
        <w:tc>
          <w:tcPr>
            <w:tcW w:type="dxa" w:w="2268"/>
            <w:vAlign w:val="center"/>
          </w:tcPr>
          <w:p>
            <w:pPr>
              <w:jc w:val="left"/>
            </w:pPr>
            <w:r/>
            <w:r>
              <w:rPr>
                <w:rFonts w:ascii="Calibri" w:hAnsi="Calibri"/>
                <w:color w:val="2D2D2D"/>
                <w:sz w:val="18"/>
              </w:rPr>
              <w:t>6.70%</w:t>
            </w:r>
          </w:p>
        </w:tc>
      </w:tr>
      <w:tr>
        <w:tc>
          <w:tcPr>
            <w:tcW w:type="dxa" w:w="2268"/>
            <w:shd w:fill="F0F0F0"/>
            <w:vAlign w:val="center"/>
          </w:tcPr>
          <w:p>
            <w:pPr>
              <w:jc w:val="left"/>
            </w:pPr>
            <w:r/>
            <w:r>
              <w:rPr>
                <w:rFonts w:ascii="Calibri" w:hAnsi="Calibri"/>
                <w:color w:val="2D2D2D"/>
                <w:sz w:val="18"/>
              </w:rPr>
              <w:t>D (20% phys)</w:t>
            </w:r>
          </w:p>
        </w:tc>
        <w:tc>
          <w:tcPr>
            <w:tcW w:type="dxa" w:w="2268"/>
            <w:shd w:fill="F0F0F0"/>
            <w:vAlign w:val="center"/>
          </w:tcPr>
          <w:p>
            <w:pPr>
              <w:jc w:val="left"/>
            </w:pPr>
            <w:r/>
            <w:r>
              <w:rPr>
                <w:rFonts w:ascii="Calibri" w:hAnsi="Calibri"/>
                <w:color w:val="2D2D2D"/>
                <w:sz w:val="18"/>
              </w:rPr>
              <w:t>**97.61%**</w:t>
            </w:r>
          </w:p>
        </w:tc>
        <w:tc>
          <w:tcPr>
            <w:tcW w:type="dxa" w:w="2268"/>
            <w:shd w:fill="F0F0F0"/>
            <w:vAlign w:val="center"/>
          </w:tcPr>
          <w:p>
            <w:pPr>
              <w:jc w:val="left"/>
            </w:pPr>
            <w:r/>
            <w:r>
              <w:rPr>
                <w:rFonts w:ascii="Calibri" w:hAnsi="Calibri"/>
                <w:color w:val="2D2D2D"/>
                <w:sz w:val="18"/>
              </w:rPr>
              <w:t>$15.73M</w:t>
            </w:r>
          </w:p>
        </w:tc>
        <w:tc>
          <w:tcPr>
            <w:tcW w:type="dxa" w:w="2268"/>
            <w:shd w:fill="F0F0F0"/>
            <w:vAlign w:val="center"/>
          </w:tcPr>
          <w:p>
            <w:pPr>
              <w:jc w:val="left"/>
            </w:pPr>
            <w:r/>
            <w:r>
              <w:rPr>
                <w:rFonts w:ascii="Calibri" w:hAnsi="Calibri"/>
                <w:color w:val="2D2D2D"/>
                <w:sz w:val="18"/>
              </w:rPr>
              <w:t>6.80%</w:t>
            </w:r>
          </w:p>
        </w:tc>
      </w:tr>
      <w:tr>
        <w:tc>
          <w:tcPr>
            <w:tcW w:type="dxa" w:w="2268"/>
            <w:vAlign w:val="center"/>
          </w:tcPr>
          <w:p>
            <w:pPr>
              <w:jc w:val="left"/>
            </w:pPr>
            <w:r/>
            <w:r>
              <w:rPr>
                <w:rFonts w:ascii="Calibri" w:hAnsi="Calibri"/>
                <w:color w:val="2D2D2D"/>
                <w:sz w:val="18"/>
              </w:rPr>
              <w:t>E (14%+4%+2%Ag)</w:t>
            </w:r>
          </w:p>
        </w:tc>
        <w:tc>
          <w:tcPr>
            <w:tcW w:type="dxa" w:w="2268"/>
            <w:vAlign w:val="center"/>
          </w:tcPr>
          <w:p>
            <w:pPr>
              <w:jc w:val="left"/>
            </w:pPr>
            <w:r/>
            <w:r>
              <w:rPr>
                <w:rFonts w:ascii="Calibri" w:hAnsi="Calibri"/>
                <w:color w:val="2D2D2D"/>
                <w:sz w:val="18"/>
              </w:rPr>
              <w:t>97.32%</w:t>
            </w:r>
          </w:p>
        </w:tc>
        <w:tc>
          <w:tcPr>
            <w:tcW w:type="dxa" w:w="2268"/>
            <w:vAlign w:val="center"/>
          </w:tcPr>
          <w:p>
            <w:pPr>
              <w:jc w:val="left"/>
            </w:pPr>
            <w:r/>
            <w:r>
              <w:rPr>
                <w:rFonts w:ascii="Calibri" w:hAnsi="Calibri"/>
                <w:color w:val="2D2D2D"/>
                <w:sz w:val="18"/>
              </w:rPr>
              <w:t>$15.68M</w:t>
            </w:r>
          </w:p>
        </w:tc>
        <w:tc>
          <w:tcPr>
            <w:tcW w:type="dxa" w:w="2268"/>
            <w:vAlign w:val="center"/>
          </w:tcPr>
          <w:p>
            <w:pPr>
              <w:jc w:val="left"/>
            </w:pPr>
            <w:r/>
            <w:r>
              <w:rPr>
                <w:rFonts w:ascii="Calibri" w:hAnsi="Calibri"/>
                <w:color w:val="2D2D2D"/>
                <w:sz w:val="18"/>
              </w:rPr>
              <w:t>6.75%</w:t>
            </w:r>
          </w:p>
        </w:tc>
      </w:tr>
    </w:tbl>
    <w:p/>
    <w:p>
      <w:r>
        <w:rPr>
          <w:b/>
        </w:rPr>
        <w:t>MC winner: D</w:t>
      </w:r>
      <w:r>
        <w:t xml:space="preserve"> (by 0.16pp — noise). </w:t>
      </w:r>
      <w:r>
        <w:rPr>
          <w:b/>
        </w:rPr>
        <w:t>Selected: B</w:t>
      </w:r>
      <w:r>
        <w:t xml:space="preserve"> (APPROVED CANDIDATE) on CVaR + operational dimensions.</w:t>
      </w:r>
    </w:p>
    <w:p>
      <w:pPr>
        <w:pStyle w:val="Heading3"/>
      </w:pPr>
      <w:r>
        <w:t>§40.5 Honest Findings</w:t>
      </w:r>
    </w:p>
    <w:p>
      <w:pPr>
        <w:pStyle w:val="ListNumber"/>
        <w:ind w:left="425"/>
      </w:pPr>
      <w:r>
        <w:rPr>
          <w:b/>
        </w:rPr>
        <w:t>NO PORTFOLIO PASSES hard-safety at ε&lt;6.63%</w:t>
      </w:r>
    </w:p>
    <w:p>
      <w:pPr>
        <w:pStyle w:val="ListNumber"/>
        <w:ind w:left="425"/>
      </w:pPr>
      <w:r>
        <w:rPr>
          <w:b/>
        </w:rPr>
        <w:t>NO FEASIBLE MPC λ</w:t>
      </w:r>
      <w:r>
        <w:t xml:space="preserve"> produces StressRR ≥ 100%</w:t>
      </w:r>
    </w:p>
    <w:p>
      <w:pPr>
        <w:pStyle w:val="ListNumber"/>
        <w:ind w:left="425"/>
      </w:pPr>
      <w:r>
        <w:rPr>
          <w:b/>
        </w:rPr>
        <w:t>ΔCapital_min = $15,814,667</w:t>
      </w:r>
      <w:r>
        <w:t xml:space="preserve"> required for ε=5% compliance</w:t>
      </w:r>
    </w:p>
    <w:p>
      <w:pPr>
        <w:pStyle w:val="ListNumber"/>
        <w:ind w:left="425"/>
      </w:pPr>
      <w:r>
        <w:t xml:space="preserve">Bullion = 88% of tail risk = </w:t>
      </w:r>
      <w:r>
        <w:rPr>
          <w:b/>
        </w:rPr>
        <w:t>GENUINE</w:t>
      </w:r>
      <w:r>
        <w:t xml:space="preserve"> (not artifact)</w:t>
      </w:r>
    </w:p>
    <w:p>
      <w:pPr>
        <w:pStyle w:val="ListNumber"/>
        <w:ind w:left="425"/>
      </w:pPr>
      <w:r>
        <w:t>Silver = 0% validated (SDC_Ag negative at 1/2/3%)</w:t>
      </w:r>
    </w:p>
    <w:p>
      <w:pPr>
        <w:pBdr>
          <w:bottom w:val="single" w:sz="12" w:space="1" w:color="C59B1E"/>
        </w:pBdr>
      </w:pPr>
    </w:p>
    <w:p>
      <w:r>
        <w:br w:type="page"/>
      </w:r>
    </w:p>
    <w:p>
      <w:pPr>
        <w:jc w:val="center"/>
      </w:pPr>
      <w:r>
        <w:rPr>
          <w:b/>
          <w:color w:val="1A365F"/>
          <w:sz w:val="44"/>
        </w:rPr>
        <w:t>PART V — RISK, GOVERNANCE &amp; LEGAL</w:t>
      </w:r>
    </w:p>
    <w:p>
      <w:pPr>
        <w:pBdr>
          <w:bottom w:val="single" w:sz="18" w:space="1" w:color="1A365F"/>
        </w:pBdr>
      </w:pPr>
    </w:p>
    <w:p>
      <w:pPr>
        <w:pStyle w:val="Heading2"/>
      </w:pPr>
      <w:r>
        <w:t>§41 — RISK ENGINE &amp; MRRC</w:t>
      </w:r>
    </w:p>
    <w:p>
      <w:pPr>
        <w:pStyle w:val="Heading3"/>
      </w:pPr>
      <w:r>
        <w:t>§41.1 MRRC (Marginal Risk Contribution)</w:t>
      </w:r>
    </w:p>
    <w:p>
      <w:pPr>
        <w:ind w:left="283"/>
        <w:shd w:fill="F5F5F5"/>
      </w:pPr>
      <w:r>
        <w:rPr>
          <w:rFonts w:ascii="Consolas" w:hAnsi="Consolas"/>
          <w:color w:val="6B6B6B"/>
          <w:sz w:val="18"/>
        </w:rPr>
        <w:t>MRRC_i = CVaR(W) - CVaR(W - ε_i)</w:t>
        <w:br/>
        <w:br/>
        <w:t>Where:</w:t>
        <w:br/>
        <w:t xml:space="preserve">  W = full portfolio</w:t>
        <w:br/>
        <w:t xml:space="preserve">  ε_i = 1% reduction in asset i's weight</w:t>
      </w:r>
    </w:p>
    <w:p>
      <w:pPr>
        <w:pStyle w:val="Heading3"/>
      </w:pPr>
      <w:r>
        <w:t>§41.2 Top-3 Tail-Risk Contributors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F"/>
            <w:vAlign w:val="center"/>
          </w:tcPr>
          <w:p>
            <w:pPr>
              <w:jc w:val="left"/>
            </w:pPr>
            <w:r/>
            <w:r>
              <w:rPr>
                <w:rFonts w:ascii="Calibri" w:hAnsi="Calibri"/>
                <w:b/>
                <w:color w:val="FFFFFF"/>
                <w:sz w:val="18"/>
              </w:rPr>
              <w:t>Asset</w:t>
            </w:r>
          </w:p>
        </w:tc>
        <w:tc>
          <w:tcPr>
            <w:tcW w:type="dxa" w:w="2268"/>
            <w:shd w:fill="1A365F"/>
            <w:vAlign w:val="center"/>
          </w:tcPr>
          <w:p>
            <w:pPr>
              <w:jc w:val="left"/>
            </w:pPr>
            <w:r/>
            <w:r>
              <w:rPr>
                <w:rFonts w:ascii="Calibri" w:hAnsi="Calibri"/>
                <w:b/>
                <w:color w:val="FFFFFF"/>
                <w:sz w:val="18"/>
              </w:rPr>
              <w:t>Weight</w:t>
            </w:r>
          </w:p>
        </w:tc>
        <w:tc>
          <w:tcPr>
            <w:tcW w:type="dxa" w:w="2268"/>
            <w:shd w:fill="1A365F"/>
            <w:vAlign w:val="center"/>
          </w:tcPr>
          <w:p>
            <w:pPr>
              <w:jc w:val="left"/>
            </w:pPr>
            <w:r/>
            <w:r>
              <w:rPr>
                <w:rFonts w:ascii="Calibri" w:hAnsi="Calibri"/>
                <w:b/>
                <w:color w:val="FFFFFF"/>
                <w:sz w:val="18"/>
              </w:rPr>
              <w:t>MRRC</w:t>
            </w:r>
          </w:p>
        </w:tc>
        <w:tc>
          <w:tcPr>
            <w:tcW w:type="dxa" w:w="2268"/>
            <w:shd w:fill="1A365F"/>
            <w:vAlign w:val="center"/>
          </w:tcPr>
          <w:p>
            <w:pPr>
              <w:jc w:val="left"/>
            </w:pPr>
            <w:r/>
            <w:r>
              <w:rPr>
                <w:rFonts w:ascii="Calibri" w:hAnsi="Calibri"/>
                <w:b/>
                <w:color w:val="FFFFFF"/>
                <w:sz w:val="18"/>
              </w:rPr>
              <w:t>Share</w:t>
            </w:r>
          </w:p>
        </w:tc>
      </w:tr>
      <w:tr>
        <w:tc>
          <w:tcPr>
            <w:tcW w:type="dxa" w:w="2268"/>
            <w:vAlign w:val="center"/>
          </w:tcPr>
          <w:p>
            <w:pPr>
              <w:jc w:val="left"/>
            </w:pPr>
            <w:r/>
            <w:r>
              <w:rPr>
                <w:rFonts w:ascii="Calibri" w:hAnsi="Calibri"/>
                <w:color w:val="2D2D2D"/>
                <w:sz w:val="18"/>
              </w:rPr>
              <w:t>Gold (Physical)</w:t>
            </w:r>
          </w:p>
        </w:tc>
        <w:tc>
          <w:tcPr>
            <w:tcW w:type="dxa" w:w="2268"/>
            <w:vAlign w:val="center"/>
          </w:tcPr>
          <w:p>
            <w:pPr>
              <w:jc w:val="left"/>
            </w:pPr>
            <w:r/>
            <w:r>
              <w:rPr>
                <w:rFonts w:ascii="Calibri" w:hAnsi="Calibri"/>
                <w:color w:val="2D2D2D"/>
                <w:sz w:val="18"/>
              </w:rPr>
              <w:t>15.0%</w:t>
            </w:r>
          </w:p>
        </w:tc>
        <w:tc>
          <w:tcPr>
            <w:tcW w:type="dxa" w:w="2268"/>
            <w:vAlign w:val="center"/>
          </w:tcPr>
          <w:p>
            <w:pPr>
              <w:jc w:val="left"/>
            </w:pPr>
            <w:r/>
            <w:r>
              <w:rPr>
                <w:rFonts w:ascii="Calibri" w:hAnsi="Calibri"/>
                <w:color w:val="2D2D2D"/>
                <w:sz w:val="18"/>
              </w:rPr>
              <w:t>$51,392</w:t>
            </w:r>
          </w:p>
        </w:tc>
        <w:tc>
          <w:tcPr>
            <w:tcW w:type="dxa" w:w="2268"/>
            <w:vAlign w:val="center"/>
          </w:tcPr>
          <w:p>
            <w:pPr>
              <w:jc w:val="left"/>
            </w:pPr>
            <w:r/>
            <w:r>
              <w:rPr>
                <w:rFonts w:ascii="Calibri" w:hAnsi="Calibri"/>
                <w:color w:val="2D2D2D"/>
                <w:sz w:val="18"/>
              </w:rPr>
              <w:t>50.3%</w:t>
            </w:r>
          </w:p>
        </w:tc>
      </w:tr>
      <w:tr>
        <w:tc>
          <w:tcPr>
            <w:tcW w:type="dxa" w:w="2268"/>
            <w:shd w:fill="F0F0F0"/>
            <w:vAlign w:val="center"/>
          </w:tcPr>
          <w:p>
            <w:pPr>
              <w:jc w:val="left"/>
            </w:pPr>
            <w:r/>
            <w:r>
              <w:rPr>
                <w:rFonts w:ascii="Calibri" w:hAnsi="Calibri"/>
                <w:color w:val="2D2D2D"/>
                <w:sz w:val="18"/>
              </w:rPr>
              <w:t>Gold_tok (PAXG)</w:t>
            </w:r>
          </w:p>
        </w:tc>
        <w:tc>
          <w:tcPr>
            <w:tcW w:type="dxa" w:w="2268"/>
            <w:shd w:fill="F0F0F0"/>
            <w:vAlign w:val="center"/>
          </w:tcPr>
          <w:p>
            <w:pPr>
              <w:jc w:val="left"/>
            </w:pPr>
            <w:r/>
            <w:r>
              <w:rPr>
                <w:rFonts w:ascii="Calibri" w:hAnsi="Calibri"/>
                <w:color w:val="2D2D2D"/>
                <w:sz w:val="18"/>
              </w:rPr>
              <w:t>5.0%</w:t>
            </w:r>
          </w:p>
        </w:tc>
        <w:tc>
          <w:tcPr>
            <w:tcW w:type="dxa" w:w="2268"/>
            <w:shd w:fill="F0F0F0"/>
            <w:vAlign w:val="center"/>
          </w:tcPr>
          <w:p>
            <w:pPr>
              <w:jc w:val="left"/>
            </w:pPr>
            <w:r/>
            <w:r>
              <w:rPr>
                <w:rFonts w:ascii="Calibri" w:hAnsi="Calibri"/>
                <w:color w:val="2D2D2D"/>
                <w:sz w:val="18"/>
              </w:rPr>
              <w:t>$38,464</w:t>
            </w:r>
          </w:p>
        </w:tc>
        <w:tc>
          <w:tcPr>
            <w:tcW w:type="dxa" w:w="2268"/>
            <w:shd w:fill="F0F0F0"/>
            <w:vAlign w:val="center"/>
          </w:tcPr>
          <w:p>
            <w:pPr>
              <w:jc w:val="left"/>
            </w:pPr>
            <w:r/>
            <w:r>
              <w:rPr>
                <w:rFonts w:ascii="Calibri" w:hAnsi="Calibri"/>
                <w:color w:val="2D2D2D"/>
                <w:sz w:val="18"/>
              </w:rPr>
              <w:t>37.6%</w:t>
            </w:r>
          </w:p>
        </w:tc>
      </w:tr>
      <w:tr>
        <w:tc>
          <w:tcPr>
            <w:tcW w:type="dxa" w:w="2268"/>
            <w:vAlign w:val="center"/>
          </w:tcPr>
          <w:p>
            <w:pPr>
              <w:jc w:val="left"/>
            </w:pPr>
            <w:r/>
            <w:r>
              <w:rPr>
                <w:rFonts w:ascii="Calibri" w:hAnsi="Calibri"/>
                <w:color w:val="2D2D2D"/>
                <w:sz w:val="18"/>
              </w:rPr>
              <w:t>EUR</w:t>
            </w:r>
          </w:p>
        </w:tc>
        <w:tc>
          <w:tcPr>
            <w:tcW w:type="dxa" w:w="2268"/>
            <w:vAlign w:val="center"/>
          </w:tcPr>
          <w:p>
            <w:pPr>
              <w:jc w:val="left"/>
            </w:pPr>
            <w:r/>
            <w:r>
              <w:rPr>
                <w:rFonts w:ascii="Calibri" w:hAnsi="Calibri"/>
                <w:color w:val="2D2D2D"/>
                <w:sz w:val="18"/>
              </w:rPr>
              <w:t>21.4%</w:t>
            </w:r>
          </w:p>
        </w:tc>
        <w:tc>
          <w:tcPr>
            <w:tcW w:type="dxa" w:w="2268"/>
            <w:vAlign w:val="center"/>
          </w:tcPr>
          <w:p>
            <w:pPr>
              <w:jc w:val="left"/>
            </w:pPr>
            <w:r/>
            <w:r>
              <w:rPr>
                <w:rFonts w:ascii="Calibri" w:hAnsi="Calibri"/>
                <w:color w:val="2D2D2D"/>
                <w:sz w:val="18"/>
              </w:rPr>
              <w:t>$12,336</w:t>
            </w:r>
          </w:p>
        </w:tc>
        <w:tc>
          <w:tcPr>
            <w:tcW w:type="dxa" w:w="2268"/>
            <w:vAlign w:val="center"/>
          </w:tcPr>
          <w:p>
            <w:pPr>
              <w:jc w:val="left"/>
            </w:pPr>
            <w:r/>
            <w:r>
              <w:rPr>
                <w:rFonts w:ascii="Calibri" w:hAnsi="Calibri"/>
                <w:color w:val="2D2D2D"/>
                <w:sz w:val="18"/>
              </w:rPr>
              <w:t>12.1%</w:t>
            </w:r>
          </w:p>
        </w:tc>
      </w:tr>
    </w:tbl>
    <w:p/>
    <w:p>
      <w:r>
        <w:rPr>
          <w:b/>
        </w:rPr>
        <w:t>Bullion = 88% of tail risk</w:t>
      </w:r>
      <w:r>
        <w:t xml:space="preserve"> despite being 20% of portfolio.</w:t>
      </w:r>
    </w:p>
    <w:p>
      <w:pPr>
        <w:pStyle w:val="Heading3"/>
      </w:pPr>
      <w:r>
        <w:t>§41.3 Tail-Risk Hedges (Negative MRRC)</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Asset</w:t>
            </w:r>
          </w:p>
        </w:tc>
        <w:tc>
          <w:tcPr>
            <w:tcW w:type="dxa" w:w="4536"/>
            <w:shd w:fill="1A365F"/>
            <w:vAlign w:val="center"/>
          </w:tcPr>
          <w:p>
            <w:pPr>
              <w:jc w:val="left"/>
            </w:pPr>
            <w:r/>
            <w:r>
              <w:rPr>
                <w:rFonts w:ascii="Calibri" w:hAnsi="Calibri"/>
                <w:b/>
                <w:color w:val="FFFFFF"/>
                <w:sz w:val="18"/>
              </w:rPr>
              <w:t>MRRC</w:t>
            </w:r>
          </w:p>
        </w:tc>
      </w:tr>
      <w:tr>
        <w:tc>
          <w:tcPr>
            <w:tcW w:type="dxa" w:w="4536"/>
            <w:vAlign w:val="center"/>
          </w:tcPr>
          <w:p>
            <w:pPr>
              <w:jc w:val="left"/>
            </w:pPr>
            <w:r/>
            <w:r>
              <w:rPr>
                <w:rFonts w:ascii="Calibri" w:hAnsi="Calibri"/>
                <w:color w:val="2D2D2D"/>
                <w:sz w:val="18"/>
              </w:rPr>
              <w:t>USDC</w:t>
            </w:r>
          </w:p>
        </w:tc>
        <w:tc>
          <w:tcPr>
            <w:tcW w:type="dxa" w:w="4536"/>
            <w:vAlign w:val="center"/>
          </w:tcPr>
          <w:p>
            <w:pPr>
              <w:jc w:val="left"/>
            </w:pPr>
            <w:r/>
            <w:r>
              <w:rPr>
                <w:rFonts w:ascii="Calibri" w:hAnsi="Calibri"/>
                <w:color w:val="2D2D2D"/>
                <w:sz w:val="18"/>
              </w:rPr>
              <w:t>-$40,285</w:t>
            </w:r>
          </w:p>
        </w:tc>
      </w:tr>
      <w:tr>
        <w:tc>
          <w:tcPr>
            <w:tcW w:type="dxa" w:w="4536"/>
            <w:shd w:fill="F0F0F0"/>
            <w:vAlign w:val="center"/>
          </w:tcPr>
          <w:p>
            <w:pPr>
              <w:jc w:val="left"/>
            </w:pPr>
            <w:r/>
            <w:r>
              <w:rPr>
                <w:rFonts w:ascii="Calibri" w:hAnsi="Calibri"/>
                <w:color w:val="2D2D2D"/>
                <w:sz w:val="18"/>
              </w:rPr>
              <w:t>AED</w:t>
            </w:r>
          </w:p>
        </w:tc>
        <w:tc>
          <w:tcPr>
            <w:tcW w:type="dxa" w:w="4536"/>
            <w:shd w:fill="F0F0F0"/>
            <w:vAlign w:val="center"/>
          </w:tcPr>
          <w:p>
            <w:pPr>
              <w:jc w:val="left"/>
            </w:pPr>
            <w:r/>
            <w:r>
              <w:rPr>
                <w:rFonts w:ascii="Calibri" w:hAnsi="Calibri"/>
                <w:color w:val="2D2D2D"/>
                <w:sz w:val="18"/>
              </w:rPr>
              <w:t>-$48,356</w:t>
            </w:r>
          </w:p>
        </w:tc>
      </w:tr>
      <w:tr>
        <w:tc>
          <w:tcPr>
            <w:tcW w:type="dxa" w:w="4536"/>
            <w:vAlign w:val="center"/>
          </w:tcPr>
          <w:p>
            <w:pPr>
              <w:jc w:val="left"/>
            </w:pPr>
            <w:r/>
            <w:r>
              <w:rPr>
                <w:rFonts w:ascii="Calibri" w:hAnsi="Calibri"/>
                <w:color w:val="2D2D2D"/>
                <w:sz w:val="18"/>
              </w:rPr>
              <w:t>SAR</w:t>
            </w:r>
          </w:p>
        </w:tc>
        <w:tc>
          <w:tcPr>
            <w:tcW w:type="dxa" w:w="4536"/>
            <w:vAlign w:val="center"/>
          </w:tcPr>
          <w:p>
            <w:pPr>
              <w:jc w:val="left"/>
            </w:pPr>
            <w:r/>
            <w:r>
              <w:rPr>
                <w:rFonts w:ascii="Calibri" w:hAnsi="Calibri"/>
                <w:color w:val="2D2D2D"/>
                <w:sz w:val="18"/>
              </w:rPr>
              <w:t>-$48,468</w:t>
            </w:r>
          </w:p>
        </w:tc>
      </w:tr>
    </w:tbl>
    <w:p/>
    <w:p>
      <w:pPr>
        <w:pStyle w:val="Heading3"/>
      </w:pPr>
      <w:r>
        <w:t>§41.4 Bullion Decomposition</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Component</w:t>
            </w:r>
          </w:p>
        </w:tc>
        <w:tc>
          <w:tcPr>
            <w:tcW w:type="dxa" w:w="4536"/>
            <w:shd w:fill="1A365F"/>
            <w:vAlign w:val="center"/>
          </w:tcPr>
          <w:p>
            <w:pPr>
              <w:jc w:val="left"/>
            </w:pPr>
            <w:r/>
            <w:r>
              <w:rPr>
                <w:rFonts w:ascii="Calibri" w:hAnsi="Calibri"/>
                <w:b/>
                <w:color w:val="FFFFFF"/>
                <w:sz w:val="18"/>
              </w:rPr>
              <w:t>Contribution</w:t>
            </w:r>
          </w:p>
        </w:tc>
      </w:tr>
      <w:tr>
        <w:tc>
          <w:tcPr>
            <w:tcW w:type="dxa" w:w="4536"/>
            <w:vAlign w:val="center"/>
          </w:tcPr>
          <w:p>
            <w:pPr>
              <w:jc w:val="left"/>
            </w:pPr>
            <w:r/>
            <w:r>
              <w:rPr>
                <w:rFonts w:ascii="Calibri" w:hAnsi="Calibri"/>
                <w:color w:val="2D2D2D"/>
                <w:sz w:val="18"/>
              </w:rPr>
              <w:t>Concentration</w:t>
            </w:r>
          </w:p>
        </w:tc>
        <w:tc>
          <w:tcPr>
            <w:tcW w:type="dxa" w:w="4536"/>
            <w:vAlign w:val="center"/>
          </w:tcPr>
          <w:p>
            <w:pPr>
              <w:jc w:val="left"/>
            </w:pPr>
            <w:r/>
            <w:r>
              <w:rPr>
                <w:rFonts w:ascii="Calibri" w:hAnsi="Calibri"/>
                <w:color w:val="2D2D2D"/>
                <w:sz w:val="18"/>
              </w:rPr>
              <w:t>36.5%</w:t>
            </w:r>
          </w:p>
        </w:tc>
      </w:tr>
      <w:tr>
        <w:tc>
          <w:tcPr>
            <w:tcW w:type="dxa" w:w="4536"/>
            <w:shd w:fill="F0F0F0"/>
            <w:vAlign w:val="center"/>
          </w:tcPr>
          <w:p>
            <w:pPr>
              <w:jc w:val="left"/>
            </w:pPr>
            <w:r/>
            <w:r>
              <w:rPr>
                <w:rFonts w:ascii="Calibri" w:hAnsi="Calibri"/>
                <w:color w:val="2D2D2D"/>
                <w:sz w:val="18"/>
              </w:rPr>
              <w:t>Volatility</w:t>
            </w:r>
          </w:p>
        </w:tc>
        <w:tc>
          <w:tcPr>
            <w:tcW w:type="dxa" w:w="4536"/>
            <w:shd w:fill="F0F0F0"/>
            <w:vAlign w:val="center"/>
          </w:tcPr>
          <w:p>
            <w:pPr>
              <w:jc w:val="left"/>
            </w:pPr>
            <w:r/>
            <w:r>
              <w:rPr>
                <w:rFonts w:ascii="Calibri" w:hAnsi="Calibri"/>
                <w:color w:val="2D2D2D"/>
                <w:sz w:val="18"/>
              </w:rPr>
              <w:t>21.4%</w:t>
            </w:r>
          </w:p>
        </w:tc>
      </w:tr>
      <w:tr>
        <w:tc>
          <w:tcPr>
            <w:tcW w:type="dxa" w:w="4536"/>
            <w:vAlign w:val="center"/>
          </w:tcPr>
          <w:p>
            <w:pPr>
              <w:jc w:val="left"/>
            </w:pPr>
            <w:r/>
            <w:r>
              <w:rPr>
                <w:rFonts w:ascii="Calibri" w:hAnsi="Calibri"/>
                <w:color w:val="2D2D2D"/>
                <w:sz w:val="18"/>
              </w:rPr>
              <w:t>Correlation</w:t>
            </w:r>
          </w:p>
        </w:tc>
        <w:tc>
          <w:tcPr>
            <w:tcW w:type="dxa" w:w="4536"/>
            <w:vAlign w:val="center"/>
          </w:tcPr>
          <w:p>
            <w:pPr>
              <w:jc w:val="left"/>
            </w:pPr>
            <w:r/>
            <w:r>
              <w:rPr>
                <w:rFonts w:ascii="Calibri" w:hAnsi="Calibri"/>
                <w:color w:val="2D2D2D"/>
                <w:sz w:val="18"/>
              </w:rPr>
              <w:t>21.4%</w:t>
            </w:r>
          </w:p>
        </w:tc>
      </w:tr>
      <w:tr>
        <w:tc>
          <w:tcPr>
            <w:tcW w:type="dxa" w:w="4536"/>
            <w:shd w:fill="F0F0F0"/>
            <w:vAlign w:val="center"/>
          </w:tcPr>
          <w:p>
            <w:pPr>
              <w:jc w:val="left"/>
            </w:pPr>
            <w:r/>
            <w:r>
              <w:rPr>
                <w:rFonts w:ascii="Calibri" w:hAnsi="Calibri"/>
                <w:color w:val="2D2D2D"/>
                <w:sz w:val="18"/>
              </w:rPr>
              <w:t>Haircut</w:t>
            </w:r>
          </w:p>
        </w:tc>
        <w:tc>
          <w:tcPr>
            <w:tcW w:type="dxa" w:w="4536"/>
            <w:shd w:fill="F0F0F0"/>
            <w:vAlign w:val="center"/>
          </w:tcPr>
          <w:p>
            <w:pPr>
              <w:jc w:val="left"/>
            </w:pPr>
            <w:r/>
            <w:r>
              <w:rPr>
                <w:rFonts w:ascii="Calibri" w:hAnsi="Calibri"/>
                <w:color w:val="2D2D2D"/>
                <w:sz w:val="18"/>
              </w:rPr>
              <w:t>20.7%</w:t>
            </w:r>
          </w:p>
        </w:tc>
      </w:tr>
      <w:tr>
        <w:tc>
          <w:tcPr>
            <w:tcW w:type="dxa" w:w="4536"/>
            <w:vAlign w:val="center"/>
          </w:tcPr>
          <w:p>
            <w:pPr>
              <w:jc w:val="left"/>
            </w:pPr>
            <w:r/>
            <w:r>
              <w:rPr>
                <w:rFonts w:ascii="Calibri" w:hAnsi="Calibri"/>
                <w:color w:val="2D2D2D"/>
                <w:sz w:val="18"/>
              </w:rPr>
              <w:t>Liquidity</w:t>
            </w:r>
          </w:p>
        </w:tc>
        <w:tc>
          <w:tcPr>
            <w:tcW w:type="dxa" w:w="4536"/>
            <w:vAlign w:val="center"/>
          </w:tcPr>
          <w:p>
            <w:pPr>
              <w:jc w:val="left"/>
            </w:pPr>
            <w:r/>
            <w:r>
              <w:rPr>
                <w:rFonts w:ascii="Calibri" w:hAnsi="Calibri"/>
                <w:color w:val="2D2D2D"/>
                <w:sz w:val="18"/>
              </w:rPr>
              <w:t>0% (CVaR); large LCR impact</w:t>
            </w:r>
          </w:p>
        </w:tc>
      </w:tr>
    </w:tbl>
    <w:p/>
    <w:p>
      <w:r>
        <w:rPr>
          <w:b/>
        </w:rPr>
        <w:t>Verdict:</w:t>
      </w:r>
      <w:r>
        <w:t xml:space="preserve"> GENUINE multi-factor risk, NOT an artifact.</w:t>
      </w:r>
    </w:p>
    <w:p>
      <w:pPr>
        <w:pBdr>
          <w:bottom w:val="single" w:sz="12" w:space="1" w:color="C59B1E"/>
        </w:pBdr>
      </w:pPr>
    </w:p>
    <w:p>
      <w:pPr>
        <w:pStyle w:val="Heading2"/>
      </w:pPr>
      <w:r>
        <w:t>§42 — MODEL VALIDITY GATE</w:t>
      </w:r>
    </w:p>
    <w:p>
      <w:pPr>
        <w:pStyle w:val="Heading3"/>
      </w:pPr>
      <w:r>
        <w:t>§42.1 Rule</w:t>
      </w:r>
    </w:p>
    <w:p>
      <w:r>
        <w:t xml:space="preserve">Model failure must </w:t>
      </w:r>
      <w:r>
        <w:rPr>
          <w:b/>
        </w:rPr>
        <w:t>NEVER</w:t>
      </w:r>
      <w:r>
        <w:t xml:space="preserve"> increase risk. If the model is unavailable/unreliable, the system falls back to the </w:t>
      </w:r>
      <w:r>
        <w:rPr>
          <w:b/>
        </w:rPr>
        <w:t>LastApprovedDeterministicPolicyPortfolio</w:t>
      </w:r>
      <w:r>
        <w:t>.</w:t>
      </w:r>
    </w:p>
    <w:p>
      <w:pPr>
        <w:pStyle w:val="Heading3"/>
      </w:pPr>
      <w:r>
        <w:t>§42.2 Gate Logic</w:t>
      </w:r>
    </w:p>
    <w:p>
      <w:pPr>
        <w:ind w:left="283"/>
        <w:shd w:fill="F5F5F5"/>
      </w:pPr>
      <w:r>
        <w:rPr>
          <w:rFonts w:ascii="Consolas" w:hAnsi="Consolas"/>
          <w:color w:val="6B6B6B"/>
          <w:sz w:val="18"/>
        </w:rPr>
        <w:t>IF model output unavailable OR unreliable:</w:t>
        <w:br/>
        <w:t xml:space="preserve">  → Disable optimizer</w:t>
        <w:br/>
        <w:t xml:space="preserve">  → Freeze reserve allocation at last approved state</w:t>
        <w:br/>
        <w:t xml:space="preserve">  → No discretionary risk expansion</w:t>
      </w:r>
    </w:p>
    <w:p>
      <w:pPr>
        <w:pStyle w:val="Heading3"/>
      </w:pPr>
      <w:r>
        <w:t>§42.3 ±5pp Validity Gate</w:t>
      </w:r>
    </w:p>
    <w:p>
      <w:r>
        <w:t>A challenger model "confirms" the primary if its P(RR&lt;100%) is within ±5 percentage points of the primary (21.54%).</w:t>
      </w:r>
    </w:p>
    <w:p>
      <w:pPr>
        <w:pStyle w:val="ListBullet"/>
        <w:ind w:left="425"/>
      </w:pPr>
      <w:r>
        <w:t>4/5 challengers confirm ✅</w:t>
      </w:r>
    </w:p>
    <w:p>
      <w:pPr>
        <w:pStyle w:val="ListBullet"/>
        <w:ind w:left="425"/>
      </w:pPr>
      <w:r>
        <w:t>1 dissents methodologically (C4 — stress-only by construction)</w:t>
      </w:r>
    </w:p>
    <w:p>
      <w:pPr>
        <w:pBdr>
          <w:bottom w:val="single" w:sz="12" w:space="1" w:color="C59B1E"/>
        </w:pBdr>
      </w:pPr>
    </w:p>
    <w:p>
      <w:pPr>
        <w:pStyle w:val="Heading2"/>
      </w:pPr>
      <w:r>
        <w:t>§43 — CHALLENGER MODELS</w:t>
      </w:r>
    </w:p>
    <w:p>
      <w:pPr>
        <w:pStyle w:val="Heading3"/>
      </w:pPr>
      <w:r>
        <w:t>§43.1 Five Challenger Models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w:t>
            </w:r>
          </w:p>
        </w:tc>
        <w:tc>
          <w:tcPr>
            <w:tcW w:type="dxa" w:w="1814"/>
            <w:shd w:fill="1A365F"/>
            <w:vAlign w:val="center"/>
          </w:tcPr>
          <w:p>
            <w:pPr>
              <w:jc w:val="left"/>
            </w:pPr>
            <w:r/>
            <w:r>
              <w:rPr>
                <w:rFonts w:ascii="Calibri" w:hAnsi="Calibri"/>
                <w:b/>
                <w:color w:val="FFFFFF"/>
                <w:sz w:val="18"/>
              </w:rPr>
              <w:t>Model</w:t>
            </w:r>
          </w:p>
        </w:tc>
        <w:tc>
          <w:tcPr>
            <w:tcW w:type="dxa" w:w="1814"/>
            <w:shd w:fill="1A365F"/>
            <w:vAlign w:val="center"/>
          </w:tcPr>
          <w:p>
            <w:pPr>
              <w:jc w:val="left"/>
            </w:pPr>
            <w:r/>
            <w:r>
              <w:rPr>
                <w:rFonts w:ascii="Calibri" w:hAnsi="Calibri"/>
                <w:b/>
                <w:color w:val="FFFFFF"/>
                <w:sz w:val="18"/>
              </w:rPr>
              <w:t>Methodology</w:t>
            </w:r>
          </w:p>
        </w:tc>
        <w:tc>
          <w:tcPr>
            <w:tcW w:type="dxa" w:w="1814"/>
            <w:shd w:fill="1A365F"/>
            <w:vAlign w:val="center"/>
          </w:tcPr>
          <w:p>
            <w:pPr>
              <w:jc w:val="left"/>
            </w:pPr>
            <w:r/>
            <w:r>
              <w:rPr>
                <w:rFonts w:ascii="Calibri" w:hAnsi="Calibri"/>
                <w:b/>
                <w:color w:val="FFFFFF"/>
                <w:sz w:val="18"/>
              </w:rPr>
              <w:t>P(RR&lt;100%)</w:t>
            </w:r>
          </w:p>
        </w:tc>
        <w:tc>
          <w:tcPr>
            <w:tcW w:type="dxa" w:w="1814"/>
            <w:shd w:fill="1A365F"/>
            <w:vAlign w:val="center"/>
          </w:tcPr>
          <w:p>
            <w:pPr>
              <w:jc w:val="left"/>
            </w:pPr>
            <w:r/>
            <w:r>
              <w:rPr>
                <w:rFonts w:ascii="Calibri" w:hAnsi="Calibri"/>
                <w:b/>
                <w:color w:val="FFFFFF"/>
                <w:sz w:val="18"/>
              </w:rPr>
              <w:t>Verdict</w:t>
            </w:r>
          </w:p>
        </w:tc>
      </w:tr>
      <w:tr>
        <w:tc>
          <w:tcPr>
            <w:tcW w:type="dxa" w:w="1814"/>
            <w:vAlign w:val="center"/>
          </w:tcPr>
          <w:p>
            <w:pPr>
              <w:jc w:val="left"/>
            </w:pPr>
            <w:r/>
            <w:r>
              <w:rPr>
                <w:rFonts w:ascii="Calibri" w:hAnsi="Calibri"/>
                <w:color w:val="2D2D2D"/>
                <w:sz w:val="18"/>
              </w:rPr>
              <w:t>C1</w:t>
            </w:r>
          </w:p>
        </w:tc>
        <w:tc>
          <w:tcPr>
            <w:tcW w:type="dxa" w:w="1814"/>
            <w:vAlign w:val="center"/>
          </w:tcPr>
          <w:p>
            <w:pPr>
              <w:jc w:val="left"/>
            </w:pPr>
            <w:r/>
            <w:r>
              <w:rPr>
                <w:rFonts w:ascii="Calibri" w:hAnsi="Calibri"/>
                <w:color w:val="2D2D2D"/>
                <w:sz w:val="18"/>
              </w:rPr>
              <w:t>Block bootstrap</w:t>
            </w:r>
          </w:p>
        </w:tc>
        <w:tc>
          <w:tcPr>
            <w:tcW w:type="dxa" w:w="1814"/>
            <w:vAlign w:val="center"/>
          </w:tcPr>
          <w:p>
            <w:pPr>
              <w:jc w:val="left"/>
            </w:pPr>
            <w:r/>
            <w:r>
              <w:rPr>
                <w:rFonts w:ascii="Calibri" w:hAnsi="Calibri"/>
                <w:color w:val="2D2D2D"/>
                <w:sz w:val="18"/>
              </w:rPr>
              <w:t>Resample actual return blocks</w:t>
            </w:r>
          </w:p>
        </w:tc>
        <w:tc>
          <w:tcPr>
            <w:tcW w:type="dxa" w:w="1814"/>
            <w:vAlign w:val="center"/>
          </w:tcPr>
          <w:p>
            <w:pPr>
              <w:jc w:val="left"/>
            </w:pPr>
            <w:r/>
            <w:r>
              <w:rPr>
                <w:rFonts w:ascii="Calibri" w:hAnsi="Calibri"/>
                <w:color w:val="2D2D2D"/>
                <w:sz w:val="18"/>
              </w:rPr>
              <w:t>19.97%</w:t>
            </w:r>
          </w:p>
        </w:tc>
        <w:tc>
          <w:tcPr>
            <w:tcW w:type="dxa" w:w="1814"/>
            <w:vAlign w:val="center"/>
          </w:tcPr>
          <w:p>
            <w:pPr>
              <w:jc w:val="left"/>
            </w:pPr>
            <w:r/>
            <w:r>
              <w:rPr>
                <w:rFonts w:ascii="Calibri" w:hAnsi="Calibri"/>
                <w:color w:val="2D2D2D"/>
                <w:sz w:val="18"/>
              </w:rPr>
              <w:t>CONFIRM</w:t>
            </w:r>
          </w:p>
        </w:tc>
      </w:tr>
      <w:tr>
        <w:tc>
          <w:tcPr>
            <w:tcW w:type="dxa" w:w="1814"/>
            <w:shd w:fill="F0F0F0"/>
            <w:vAlign w:val="center"/>
          </w:tcPr>
          <w:p>
            <w:pPr>
              <w:jc w:val="left"/>
            </w:pPr>
            <w:r/>
            <w:r>
              <w:rPr>
                <w:rFonts w:ascii="Calibri" w:hAnsi="Calibri"/>
                <w:color w:val="2D2D2D"/>
                <w:sz w:val="18"/>
              </w:rPr>
              <w:t>C2</w:t>
            </w:r>
          </w:p>
        </w:tc>
        <w:tc>
          <w:tcPr>
            <w:tcW w:type="dxa" w:w="1814"/>
            <w:shd w:fill="F0F0F0"/>
            <w:vAlign w:val="center"/>
          </w:tcPr>
          <w:p>
            <w:pPr>
              <w:jc w:val="left"/>
            </w:pPr>
            <w:r/>
            <w:r>
              <w:rPr>
                <w:rFonts w:ascii="Calibri" w:hAnsi="Calibri"/>
                <w:color w:val="2D2D2D"/>
                <w:sz w:val="18"/>
              </w:rPr>
              <w:t>Gaussian</w:t>
            </w:r>
          </w:p>
        </w:tc>
        <w:tc>
          <w:tcPr>
            <w:tcW w:type="dxa" w:w="1814"/>
            <w:shd w:fill="F0F0F0"/>
            <w:vAlign w:val="center"/>
          </w:tcPr>
          <w:p>
            <w:pPr>
              <w:jc w:val="left"/>
            </w:pPr>
            <w:r/>
            <w:r>
              <w:rPr>
                <w:rFonts w:ascii="Calibri" w:hAnsi="Calibri"/>
                <w:color w:val="2D2D2D"/>
                <w:sz w:val="18"/>
              </w:rPr>
              <w:t>Normal distribution, no jumps</w:t>
            </w:r>
          </w:p>
        </w:tc>
        <w:tc>
          <w:tcPr>
            <w:tcW w:type="dxa" w:w="1814"/>
            <w:shd w:fill="F0F0F0"/>
            <w:vAlign w:val="center"/>
          </w:tcPr>
          <w:p>
            <w:pPr>
              <w:jc w:val="left"/>
            </w:pPr>
            <w:r/>
            <w:r>
              <w:rPr>
                <w:rFonts w:ascii="Calibri" w:hAnsi="Calibri"/>
                <w:color w:val="2D2D2D"/>
                <w:sz w:val="18"/>
              </w:rPr>
              <w:t>20.19%</w:t>
            </w:r>
          </w:p>
        </w:tc>
        <w:tc>
          <w:tcPr>
            <w:tcW w:type="dxa" w:w="1814"/>
            <w:shd w:fill="F0F0F0"/>
            <w:vAlign w:val="center"/>
          </w:tcPr>
          <w:p>
            <w:pPr>
              <w:jc w:val="left"/>
            </w:pPr>
            <w:r/>
            <w:r>
              <w:rPr>
                <w:rFonts w:ascii="Calibri" w:hAnsi="Calibri"/>
                <w:color w:val="2D2D2D"/>
                <w:sz w:val="18"/>
              </w:rPr>
              <w:t>CONFIRM</w:t>
            </w:r>
          </w:p>
        </w:tc>
      </w:tr>
      <w:tr>
        <w:tc>
          <w:tcPr>
            <w:tcW w:type="dxa" w:w="1814"/>
            <w:vAlign w:val="center"/>
          </w:tcPr>
          <w:p>
            <w:pPr>
              <w:jc w:val="left"/>
            </w:pPr>
            <w:r/>
            <w:r>
              <w:rPr>
                <w:rFonts w:ascii="Calibri" w:hAnsi="Calibri"/>
                <w:color w:val="2D2D2D"/>
                <w:sz w:val="18"/>
              </w:rPr>
              <w:t>C3</w:t>
            </w:r>
          </w:p>
        </w:tc>
        <w:tc>
          <w:tcPr>
            <w:tcW w:type="dxa" w:w="1814"/>
            <w:vAlign w:val="center"/>
          </w:tcPr>
          <w:p>
            <w:pPr>
              <w:jc w:val="left"/>
            </w:pPr>
            <w:r/>
            <w:r>
              <w:rPr>
                <w:rFonts w:ascii="Calibri" w:hAnsi="Calibri"/>
                <w:color w:val="2D2D2D"/>
                <w:sz w:val="18"/>
              </w:rPr>
              <w:t>Cornish-Fisher</w:t>
            </w:r>
          </w:p>
        </w:tc>
        <w:tc>
          <w:tcPr>
            <w:tcW w:type="dxa" w:w="1814"/>
            <w:vAlign w:val="center"/>
          </w:tcPr>
          <w:p>
            <w:pPr>
              <w:jc w:val="left"/>
            </w:pPr>
            <w:r/>
            <w:r>
              <w:rPr>
                <w:rFonts w:ascii="Calibri" w:hAnsi="Calibri"/>
                <w:color w:val="2D2D2D"/>
                <w:sz w:val="18"/>
              </w:rPr>
              <w:t>Analytical with skew/kurtosis</w:t>
            </w:r>
          </w:p>
        </w:tc>
        <w:tc>
          <w:tcPr>
            <w:tcW w:type="dxa" w:w="1814"/>
            <w:vAlign w:val="center"/>
          </w:tcPr>
          <w:p>
            <w:pPr>
              <w:jc w:val="left"/>
            </w:pPr>
            <w:r/>
            <w:r>
              <w:rPr>
                <w:rFonts w:ascii="Calibri" w:hAnsi="Calibri"/>
                <w:color w:val="2D2D2D"/>
                <w:sz w:val="18"/>
              </w:rPr>
              <w:t>24.01%</w:t>
            </w:r>
          </w:p>
        </w:tc>
        <w:tc>
          <w:tcPr>
            <w:tcW w:type="dxa" w:w="1814"/>
            <w:vAlign w:val="center"/>
          </w:tcPr>
          <w:p>
            <w:pPr>
              <w:jc w:val="left"/>
            </w:pPr>
            <w:r/>
            <w:r>
              <w:rPr>
                <w:rFonts w:ascii="Calibri" w:hAnsi="Calibri"/>
                <w:color w:val="2D2D2D"/>
                <w:sz w:val="18"/>
              </w:rPr>
              <w:t>CONFIRM</w:t>
            </w:r>
          </w:p>
        </w:tc>
      </w:tr>
      <w:tr>
        <w:tc>
          <w:tcPr>
            <w:tcW w:type="dxa" w:w="1814"/>
            <w:shd w:fill="F0F0F0"/>
            <w:vAlign w:val="center"/>
          </w:tcPr>
          <w:p>
            <w:pPr>
              <w:jc w:val="left"/>
            </w:pPr>
            <w:r/>
            <w:r>
              <w:rPr>
                <w:rFonts w:ascii="Calibri" w:hAnsi="Calibri"/>
                <w:color w:val="2D2D2D"/>
                <w:sz w:val="18"/>
              </w:rPr>
              <w:t>C4</w:t>
            </w:r>
          </w:p>
        </w:tc>
        <w:tc>
          <w:tcPr>
            <w:tcW w:type="dxa" w:w="1814"/>
            <w:shd w:fill="F0F0F0"/>
            <w:vAlign w:val="center"/>
          </w:tcPr>
          <w:p>
            <w:pPr>
              <w:jc w:val="left"/>
            </w:pPr>
            <w:r/>
            <w:r>
              <w:rPr>
                <w:rFonts w:ascii="Calibri" w:hAnsi="Calibri"/>
                <w:color w:val="2D2D2D"/>
                <w:sz w:val="18"/>
              </w:rPr>
              <w:t>Historical replay</w:t>
            </w:r>
          </w:p>
        </w:tc>
        <w:tc>
          <w:tcPr>
            <w:tcW w:type="dxa" w:w="1814"/>
            <w:shd w:fill="F0F0F0"/>
            <w:vAlign w:val="center"/>
          </w:tcPr>
          <w:p>
            <w:pPr>
              <w:jc w:val="left"/>
            </w:pPr>
            <w:r/>
            <w:r>
              <w:rPr>
                <w:rFonts w:ascii="Calibri" w:hAnsi="Calibri"/>
                <w:color w:val="2D2D2D"/>
                <w:sz w:val="18"/>
              </w:rPr>
              <w:t>Deterministic stress windows</w:t>
            </w:r>
          </w:p>
        </w:tc>
        <w:tc>
          <w:tcPr>
            <w:tcW w:type="dxa" w:w="1814"/>
            <w:shd w:fill="F0F0F0"/>
            <w:vAlign w:val="center"/>
          </w:tcPr>
          <w:p>
            <w:pPr>
              <w:jc w:val="left"/>
            </w:pPr>
            <w:r/>
            <w:r>
              <w:rPr>
                <w:rFonts w:ascii="Calibri" w:hAnsi="Calibri"/>
                <w:color w:val="2D2D2D"/>
                <w:sz w:val="18"/>
              </w:rPr>
              <w:t>100.00%</w:t>
            </w:r>
          </w:p>
        </w:tc>
        <w:tc>
          <w:tcPr>
            <w:tcW w:type="dxa" w:w="1814"/>
            <w:shd w:fill="F0F0F0"/>
            <w:vAlign w:val="center"/>
          </w:tcPr>
          <w:p>
            <w:pPr>
              <w:jc w:val="left"/>
            </w:pPr>
            <w:r/>
            <w:r>
              <w:rPr>
                <w:rFonts w:ascii="Calibri" w:hAnsi="Calibri"/>
                <w:color w:val="2D2D2D"/>
                <w:sz w:val="18"/>
              </w:rPr>
              <w:t>DISSENT</w:t>
            </w:r>
          </w:p>
        </w:tc>
      </w:tr>
      <w:tr>
        <w:tc>
          <w:tcPr>
            <w:tcW w:type="dxa" w:w="1814"/>
            <w:vAlign w:val="center"/>
          </w:tcPr>
          <w:p>
            <w:pPr>
              <w:jc w:val="left"/>
            </w:pPr>
            <w:r/>
            <w:r>
              <w:rPr>
                <w:rFonts w:ascii="Calibri" w:hAnsi="Calibri"/>
                <w:color w:val="2D2D2D"/>
                <w:sz w:val="18"/>
              </w:rPr>
              <w:t>C5</w:t>
            </w:r>
          </w:p>
        </w:tc>
        <w:tc>
          <w:tcPr>
            <w:tcW w:type="dxa" w:w="1814"/>
            <w:vAlign w:val="center"/>
          </w:tcPr>
          <w:p>
            <w:pPr>
              <w:jc w:val="left"/>
            </w:pPr>
            <w:r/>
            <w:r>
              <w:rPr>
                <w:rFonts w:ascii="Calibri" w:hAnsi="Calibri"/>
                <w:color w:val="2D2D2D"/>
                <w:sz w:val="18"/>
              </w:rPr>
              <w:t>Copula</w:t>
            </w:r>
          </w:p>
        </w:tc>
        <w:tc>
          <w:tcPr>
            <w:tcW w:type="dxa" w:w="1814"/>
            <w:vAlign w:val="center"/>
          </w:tcPr>
          <w:p>
            <w:pPr>
              <w:jc w:val="left"/>
            </w:pPr>
            <w:r/>
            <w:r>
              <w:rPr>
                <w:rFonts w:ascii="Calibri" w:hAnsi="Calibri"/>
                <w:color w:val="2D2D2D"/>
                <w:sz w:val="18"/>
              </w:rPr>
              <w:t>t-copula metals + Gaussian FX</w:t>
            </w:r>
          </w:p>
        </w:tc>
        <w:tc>
          <w:tcPr>
            <w:tcW w:type="dxa" w:w="1814"/>
            <w:vAlign w:val="center"/>
          </w:tcPr>
          <w:p>
            <w:pPr>
              <w:jc w:val="left"/>
            </w:pPr>
            <w:r/>
            <w:r>
              <w:rPr>
                <w:rFonts w:ascii="Calibri" w:hAnsi="Calibri"/>
                <w:color w:val="2D2D2D"/>
                <w:sz w:val="18"/>
              </w:rPr>
              <w:t>24.91%</w:t>
            </w:r>
          </w:p>
        </w:tc>
        <w:tc>
          <w:tcPr>
            <w:tcW w:type="dxa" w:w="1814"/>
            <w:vAlign w:val="center"/>
          </w:tcPr>
          <w:p>
            <w:pPr>
              <w:jc w:val="left"/>
            </w:pPr>
            <w:r/>
            <w:r>
              <w:rPr>
                <w:rFonts w:ascii="Calibri" w:hAnsi="Calibri"/>
                <w:color w:val="2D2D2D"/>
                <w:sz w:val="18"/>
              </w:rPr>
              <w:t>CONFIRM</w:t>
            </w:r>
          </w:p>
        </w:tc>
      </w:tr>
    </w:tbl>
    <w:p/>
    <w:p>
      <w:pPr>
        <w:pStyle w:val="Heading3"/>
      </w:pPr>
      <w:r>
        <w:t>§43.2 Key Finding</w:t>
      </w:r>
    </w:p>
    <w:p>
      <w:r>
        <w:t xml:space="preserve">C2 (Gaussian) shows the fat-tail contribution is only ~1.4pp. The headline risk is dominated by </w:t>
      </w:r>
      <w:r>
        <w:rPr>
          <w:b/>
        </w:rPr>
        <w:t>redemption-regime bimodality</w:t>
      </w:r>
      <w:r>
        <w:t>, NOT asset-return tail fatness.</w:t>
      </w:r>
    </w:p>
    <w:p>
      <w:pPr>
        <w:pBdr>
          <w:bottom w:val="single" w:sz="12" w:space="1" w:color="C59B1E"/>
        </w:pBdr>
      </w:pPr>
    </w:p>
    <w:p>
      <w:pPr>
        <w:pStyle w:val="Heading2"/>
      </w:pPr>
      <w:r>
        <w:t>§44 — GOVERNANCE ARCHITECTURE</w:t>
      </w:r>
    </w:p>
    <w:p>
      <w:pPr>
        <w:pStyle w:val="Heading3"/>
      </w:pPr>
      <w:r>
        <w:t>§44.1 Constitutional Council</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Property</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Seats</w:t>
            </w:r>
          </w:p>
        </w:tc>
        <w:tc>
          <w:tcPr>
            <w:tcW w:type="dxa" w:w="4536"/>
            <w:vAlign w:val="center"/>
          </w:tcPr>
          <w:p>
            <w:pPr>
              <w:jc w:val="left"/>
            </w:pPr>
            <w:r/>
            <w:r>
              <w:rPr>
                <w:rFonts w:ascii="Calibri" w:hAnsi="Calibri"/>
                <w:color w:val="2D2D2D"/>
                <w:sz w:val="18"/>
              </w:rPr>
              <w:t>7</w:t>
            </w:r>
          </w:p>
        </w:tc>
      </w:tr>
      <w:tr>
        <w:tc>
          <w:tcPr>
            <w:tcW w:type="dxa" w:w="4536"/>
            <w:shd w:fill="F0F0F0"/>
            <w:vAlign w:val="center"/>
          </w:tcPr>
          <w:p>
            <w:pPr>
              <w:jc w:val="left"/>
            </w:pPr>
            <w:r/>
            <w:r>
              <w:rPr>
                <w:rFonts w:ascii="Calibri" w:hAnsi="Calibri"/>
                <w:color w:val="2D2D2D"/>
                <w:sz w:val="18"/>
              </w:rPr>
              <w:t>Quorum</w:t>
            </w:r>
          </w:p>
        </w:tc>
        <w:tc>
          <w:tcPr>
            <w:tcW w:type="dxa" w:w="4536"/>
            <w:shd w:fill="F0F0F0"/>
            <w:vAlign w:val="center"/>
          </w:tcPr>
          <w:p>
            <w:pPr>
              <w:jc w:val="left"/>
            </w:pPr>
            <w:r/>
            <w:r>
              <w:rPr>
                <w:rFonts w:ascii="Calibri" w:hAnsi="Calibri"/>
                <w:color w:val="2D2D2D"/>
                <w:sz w:val="18"/>
              </w:rPr>
              <w:t>5</w:t>
            </w:r>
          </w:p>
        </w:tc>
      </w:tr>
      <w:tr>
        <w:tc>
          <w:tcPr>
            <w:tcW w:type="dxa" w:w="4536"/>
            <w:vAlign w:val="center"/>
          </w:tcPr>
          <w:p>
            <w:pPr>
              <w:jc w:val="left"/>
            </w:pPr>
            <w:r/>
            <w:r>
              <w:rPr>
                <w:rFonts w:ascii="Calibri" w:hAnsi="Calibri"/>
                <w:color w:val="2D2D2D"/>
                <w:sz w:val="18"/>
              </w:rPr>
              <w:t>Supermajority</w:t>
            </w:r>
          </w:p>
        </w:tc>
        <w:tc>
          <w:tcPr>
            <w:tcW w:type="dxa" w:w="4536"/>
            <w:vAlign w:val="center"/>
          </w:tcPr>
          <w:p>
            <w:pPr>
              <w:jc w:val="left"/>
            </w:pPr>
            <w:r/>
            <w:r>
              <w:rPr>
                <w:rFonts w:ascii="Calibri" w:hAnsi="Calibri"/>
                <w:color w:val="2D2D2D"/>
                <w:sz w:val="18"/>
              </w:rPr>
              <w:t>6/7 (for constitutional changes)</w:t>
            </w:r>
          </w:p>
        </w:tc>
      </w:tr>
      <w:tr>
        <w:tc>
          <w:tcPr>
            <w:tcW w:type="dxa" w:w="4536"/>
            <w:shd w:fill="F0F0F0"/>
            <w:vAlign w:val="center"/>
          </w:tcPr>
          <w:p>
            <w:pPr>
              <w:jc w:val="left"/>
            </w:pPr>
            <w:r/>
            <w:r>
              <w:rPr>
                <w:rFonts w:ascii="Calibri" w:hAnsi="Calibri"/>
                <w:color w:val="2D2D2D"/>
                <w:sz w:val="18"/>
              </w:rPr>
              <w:t>Term</w:t>
            </w:r>
          </w:p>
        </w:tc>
        <w:tc>
          <w:tcPr>
            <w:tcW w:type="dxa" w:w="4536"/>
            <w:shd w:fill="F0F0F0"/>
            <w:vAlign w:val="center"/>
          </w:tcPr>
          <w:p>
            <w:pPr>
              <w:jc w:val="left"/>
            </w:pPr>
            <w:r/>
            <w:r>
              <w:rPr>
                <w:rFonts w:ascii="Calibri" w:hAnsi="Calibri"/>
                <w:color w:val="2D2D2D"/>
                <w:sz w:val="18"/>
              </w:rPr>
              <w:t>3 years (staggered)</w:t>
            </w:r>
          </w:p>
        </w:tc>
      </w:tr>
    </w:tbl>
    <w:p/>
    <w:p>
      <w:pPr>
        <w:pStyle w:val="Heading3"/>
      </w:pPr>
      <w:r>
        <w:t>§44.2 Governance Scope</w:t>
      </w:r>
    </w:p>
    <w:p>
      <w:r>
        <w:t xml:space="preserve">Governance may govern </w:t>
      </w:r>
      <w:r>
        <w:rPr>
          <w:b/>
        </w:rPr>
        <w:t>rules</w:t>
      </w:r>
      <w:r>
        <w:t>:</w:t>
      </w:r>
    </w:p>
    <w:p>
      <w:pPr>
        <w:pStyle w:val="ListBullet"/>
        <w:ind w:left="425"/>
      </w:pPr>
      <w:r>
        <w:t>Policy parameters (within constitutional limits)</w:t>
      </w:r>
    </w:p>
    <w:p>
      <w:pPr>
        <w:pStyle w:val="ListBullet"/>
        <w:ind w:left="425"/>
      </w:pPr>
      <w:r>
        <w:t>Participant class additions</w:t>
      </w:r>
    </w:p>
    <w:p>
      <w:pPr>
        <w:pStyle w:val="ListBullet"/>
        <w:ind w:left="425"/>
      </w:pPr>
      <w:r>
        <w:t>Jurisdiction additions (after legal review)</w:t>
      </w:r>
    </w:p>
    <w:p>
      <w:pPr>
        <w:pStyle w:val="ListBullet"/>
        <w:ind w:left="425"/>
      </w:pPr>
      <w:r>
        <w:t>Fee schedules</w:t>
      </w:r>
    </w:p>
    <w:p>
      <w:pPr>
        <w:pStyle w:val="ListBullet"/>
        <w:ind w:left="425"/>
      </w:pPr>
      <w:r>
        <w:t>Operational procedures</w:t>
      </w:r>
    </w:p>
    <w:p>
      <w:r>
        <w:t xml:space="preserve">Governance may </w:t>
      </w:r>
      <w:r>
        <w:rPr>
          <w:b/>
        </w:rPr>
        <w:t>NOT</w:t>
      </w:r>
      <w:r>
        <w:t>:</w:t>
      </w:r>
    </w:p>
    <w:p>
      <w:pPr>
        <w:pStyle w:val="ListBullet"/>
        <w:ind w:left="425"/>
      </w:pPr>
      <w:r>
        <w:t>❌ Arbitrarily mint MTQ</w:t>
      </w:r>
    </w:p>
    <w:p>
      <w:pPr>
        <w:pStyle w:val="ListBullet"/>
        <w:ind w:left="425"/>
      </w:pPr>
      <w:r>
        <w:t>❌ Bypass constitutional monetary issuance requirements</w:t>
      </w:r>
    </w:p>
    <w:p>
      <w:pPr>
        <w:pStyle w:val="ListBullet"/>
        <w:ind w:left="425"/>
      </w:pPr>
      <w:r>
        <w:t>❌ Override the no-discretionary-minting invariant</w:t>
      </w:r>
    </w:p>
    <w:p>
      <w:pPr>
        <w:pStyle w:val="ListBullet"/>
        <w:ind w:left="425"/>
      </w:pPr>
      <w:r>
        <w:t>❌ Weaken reserve segregation</w:t>
      </w:r>
    </w:p>
    <w:p>
      <w:pPr>
        <w:pStyle w:val="ListBullet"/>
        <w:ind w:left="425"/>
      </w:pPr>
      <w:r>
        <w:t>❌ Remove geo-fencing</w:t>
      </w:r>
    </w:p>
    <w:p>
      <w:pPr>
        <w:pStyle w:val="Heading3"/>
      </w:pPr>
      <w:r>
        <w:t>§44.3 Safe Multi-Sig</w:t>
      </w:r>
    </w:p>
    <w:p>
      <w:r>
        <w:rPr>
          <w:b/>
        </w:rPr>
        <w:t>CRITICAL:</w:t>
      </w:r>
      <w:r>
        <w:t xml:space="preserve"> All contract roles must be transferred from deployer EOA to a </w:t>
      </w:r>
      <w:r>
        <w:rPr>
          <w:b/>
        </w:rPr>
        <w:t>3-of-5 Safe Multi-Sig</w:t>
      </w:r>
      <w:r>
        <w:t xml:space="preserve"> before mainnet.</w:t>
      </w:r>
    </w:p>
    <w:p>
      <w:r>
        <w:t xml:space="preserve">Current state: </w:t>
      </w:r>
      <w:r>
        <w:rPr>
          <w:b/>
        </w:rPr>
        <w:t>1-of-1 deployer</w:t>
      </w:r>
      <w:r>
        <w:t xml:space="preserve"> (NEVER EXECUTED the transfer) — this is a </w:t>
      </w:r>
      <w:r>
        <w:rPr>
          <w:b/>
        </w:rPr>
        <w:t>mainnet blocker</w:t>
      </w:r>
      <w:r>
        <w:t>.</w:t>
      </w:r>
    </w:p>
    <w:p>
      <w:pPr>
        <w:pBdr>
          <w:bottom w:val="single" w:sz="12" w:space="1" w:color="C59B1E"/>
        </w:pBdr>
      </w:pPr>
    </w:p>
    <w:p>
      <w:pPr>
        <w:pStyle w:val="Heading2"/>
      </w:pPr>
      <w:r>
        <w:t>§45 — SHARIA COMPLIANCE</w:t>
      </w:r>
    </w:p>
    <w:p>
      <w:pPr>
        <w:pStyle w:val="Heading3"/>
      </w:pPr>
      <w:r>
        <w:t>§45.1 Existing Framework (Preserved)</w:t>
      </w:r>
    </w:p>
    <w:p>
      <w:r>
        <w:t>MITHQAL v24.2 established Sharia governance requirements. v25.0 updates the scope for the institutional settlement model.</w:t>
      </w:r>
    </w:p>
    <w:p>
      <w:pPr>
        <w:pStyle w:val="Heading3"/>
      </w:pPr>
      <w:r>
        <w:t>§45.2 Updated Review Scope</w:t>
      </w:r>
    </w:p>
    <w:p>
      <w:r>
        <w:t>The independent Sharia board must review:</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w:t>
            </w:r>
          </w:p>
        </w:tc>
        <w:tc>
          <w:tcPr>
            <w:tcW w:type="dxa" w:w="4536"/>
            <w:shd w:fill="1A365F"/>
            <w:vAlign w:val="center"/>
          </w:tcPr>
          <w:p>
            <w:pPr>
              <w:jc w:val="left"/>
            </w:pPr>
            <w:r/>
            <w:r>
              <w:rPr>
                <w:rFonts w:ascii="Calibri" w:hAnsi="Calibri"/>
                <w:b/>
                <w:color w:val="FFFFFF"/>
                <w:sz w:val="18"/>
              </w:rPr>
              <w:t>Item</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MTQ legal/economic nature</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PAR</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Reserve backing</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Issuance</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Redemption</w:t>
            </w:r>
          </w:p>
        </w:tc>
      </w:tr>
      <w:tr>
        <w:tc>
          <w:tcPr>
            <w:tcW w:type="dxa" w:w="4536"/>
            <w:shd w:fill="F0F0F0"/>
            <w:vAlign w:val="center"/>
          </w:tcPr>
          <w:p>
            <w:pPr>
              <w:jc w:val="left"/>
            </w:pPr>
            <w:r/>
            <w:r>
              <w:rPr>
                <w:rFonts w:ascii="Calibri" w:hAnsi="Calibri"/>
                <w:color w:val="2D2D2D"/>
                <w:sz w:val="18"/>
              </w:rPr>
              <w:t>6</w:t>
            </w:r>
          </w:p>
        </w:tc>
        <w:tc>
          <w:tcPr>
            <w:tcW w:type="dxa" w:w="4536"/>
            <w:shd w:fill="F0F0F0"/>
            <w:vAlign w:val="center"/>
          </w:tcPr>
          <w:p>
            <w:pPr>
              <w:jc w:val="left"/>
            </w:pPr>
            <w:r/>
            <w:r>
              <w:rPr>
                <w:rFonts w:ascii="Calibri" w:hAnsi="Calibri"/>
                <w:color w:val="2D2D2D"/>
                <w:sz w:val="18"/>
              </w:rPr>
              <w:t>Institutional settlement fees</w:t>
            </w:r>
          </w:p>
        </w:tc>
      </w:tr>
      <w:tr>
        <w:tc>
          <w:tcPr>
            <w:tcW w:type="dxa" w:w="4536"/>
            <w:vAlign w:val="center"/>
          </w:tcPr>
          <w:p>
            <w:pPr>
              <w:jc w:val="left"/>
            </w:pPr>
            <w:r/>
            <w:r>
              <w:rPr>
                <w:rFonts w:ascii="Calibri" w:hAnsi="Calibri"/>
                <w:color w:val="2D2D2D"/>
                <w:sz w:val="18"/>
              </w:rPr>
              <w:t>7</w:t>
            </w:r>
          </w:p>
        </w:tc>
        <w:tc>
          <w:tcPr>
            <w:tcW w:type="dxa" w:w="4536"/>
            <w:vAlign w:val="center"/>
          </w:tcPr>
          <w:p>
            <w:pPr>
              <w:jc w:val="left"/>
            </w:pPr>
            <w:r/>
            <w:r>
              <w:rPr>
                <w:rFonts w:ascii="Calibri" w:hAnsi="Calibri"/>
                <w:color w:val="2D2D2D"/>
                <w:sz w:val="18"/>
              </w:rPr>
              <w:t>Custody</w:t>
            </w:r>
          </w:p>
        </w:tc>
      </w:tr>
      <w:tr>
        <w:tc>
          <w:tcPr>
            <w:tcW w:type="dxa" w:w="4536"/>
            <w:shd w:fill="F0F0F0"/>
            <w:vAlign w:val="center"/>
          </w:tcPr>
          <w:p>
            <w:pPr>
              <w:jc w:val="left"/>
            </w:pPr>
            <w:r/>
            <w:r>
              <w:rPr>
                <w:rFonts w:ascii="Calibri" w:hAnsi="Calibri"/>
                <w:color w:val="2D2D2D"/>
                <w:sz w:val="18"/>
              </w:rPr>
              <w:t>8</w:t>
            </w:r>
          </w:p>
        </w:tc>
        <w:tc>
          <w:tcPr>
            <w:tcW w:type="dxa" w:w="4536"/>
            <w:shd w:fill="F0F0F0"/>
            <w:vAlign w:val="center"/>
          </w:tcPr>
          <w:p>
            <w:pPr>
              <w:jc w:val="left"/>
            </w:pPr>
            <w:r/>
            <w:r>
              <w:rPr>
                <w:rFonts w:ascii="Calibri" w:hAnsi="Calibri"/>
                <w:color w:val="2D2D2D"/>
                <w:sz w:val="18"/>
              </w:rPr>
              <w:t>Digital liquidity sleeve</w:t>
            </w:r>
          </w:p>
        </w:tc>
      </w:tr>
      <w:tr>
        <w:tc>
          <w:tcPr>
            <w:tcW w:type="dxa" w:w="4536"/>
            <w:vAlign w:val="center"/>
          </w:tcPr>
          <w:p>
            <w:pPr>
              <w:jc w:val="left"/>
            </w:pPr>
            <w:r/>
            <w:r>
              <w:rPr>
                <w:rFonts w:ascii="Calibri" w:hAnsi="Calibri"/>
                <w:color w:val="2D2D2D"/>
                <w:sz w:val="18"/>
              </w:rPr>
              <w:t>9</w:t>
            </w:r>
          </w:p>
        </w:tc>
        <w:tc>
          <w:tcPr>
            <w:tcW w:type="dxa" w:w="4536"/>
            <w:vAlign w:val="center"/>
          </w:tcPr>
          <w:p>
            <w:pPr>
              <w:jc w:val="left"/>
            </w:pPr>
            <w:r/>
            <w:r>
              <w:rPr>
                <w:rFonts w:ascii="Calibri" w:hAnsi="Calibri"/>
                <w:color w:val="2D2D2D"/>
                <w:sz w:val="18"/>
              </w:rPr>
              <w:t>Reserve management</w:t>
            </w:r>
          </w:p>
        </w:tc>
      </w:tr>
      <w:tr>
        <w:tc>
          <w:tcPr>
            <w:tcW w:type="dxa" w:w="4536"/>
            <w:shd w:fill="F0F0F0"/>
            <w:vAlign w:val="center"/>
          </w:tcPr>
          <w:p>
            <w:pPr>
              <w:jc w:val="left"/>
            </w:pPr>
            <w:r/>
            <w:r>
              <w:rPr>
                <w:rFonts w:ascii="Calibri" w:hAnsi="Calibri"/>
                <w:color w:val="2D2D2D"/>
                <w:sz w:val="18"/>
              </w:rPr>
              <w:t>10</w:t>
            </w:r>
          </w:p>
        </w:tc>
        <w:tc>
          <w:tcPr>
            <w:tcW w:type="dxa" w:w="4536"/>
            <w:shd w:fill="F0F0F0"/>
            <w:vAlign w:val="center"/>
          </w:tcPr>
          <w:p>
            <w:pPr>
              <w:jc w:val="left"/>
            </w:pPr>
            <w:r/>
            <w:r>
              <w:rPr>
                <w:rFonts w:ascii="Calibri" w:hAnsi="Calibri"/>
                <w:color w:val="2D2D2D"/>
                <w:sz w:val="18"/>
              </w:rPr>
              <w:t>Takaful</w:t>
            </w:r>
          </w:p>
        </w:tc>
      </w:tr>
      <w:tr>
        <w:tc>
          <w:tcPr>
            <w:tcW w:type="dxa" w:w="4536"/>
            <w:vAlign w:val="center"/>
          </w:tcPr>
          <w:p>
            <w:pPr>
              <w:jc w:val="left"/>
            </w:pPr>
            <w:r/>
            <w:r>
              <w:rPr>
                <w:rFonts w:ascii="Calibri" w:hAnsi="Calibri"/>
                <w:color w:val="2D2D2D"/>
                <w:sz w:val="18"/>
              </w:rPr>
              <w:t>11</w:t>
            </w:r>
          </w:p>
        </w:tc>
        <w:tc>
          <w:tcPr>
            <w:tcW w:type="dxa" w:w="4536"/>
            <w:vAlign w:val="center"/>
          </w:tcPr>
          <w:p>
            <w:pPr>
              <w:jc w:val="left"/>
            </w:pPr>
            <w:r/>
            <w:r>
              <w:rPr>
                <w:rFonts w:ascii="Calibri" w:hAnsi="Calibri"/>
                <w:color w:val="2D2D2D"/>
                <w:sz w:val="18"/>
              </w:rPr>
              <w:t>Governance</w:t>
            </w:r>
          </w:p>
        </w:tc>
      </w:tr>
      <w:tr>
        <w:tc>
          <w:tcPr>
            <w:tcW w:type="dxa" w:w="4536"/>
            <w:shd w:fill="F0F0F0"/>
            <w:vAlign w:val="center"/>
          </w:tcPr>
          <w:p>
            <w:pPr>
              <w:jc w:val="left"/>
            </w:pPr>
            <w:r/>
            <w:r>
              <w:rPr>
                <w:rFonts w:ascii="Calibri" w:hAnsi="Calibri"/>
                <w:color w:val="2D2D2D"/>
                <w:sz w:val="18"/>
              </w:rPr>
              <w:t>12</w:t>
            </w:r>
          </w:p>
        </w:tc>
        <w:tc>
          <w:tcPr>
            <w:tcW w:type="dxa" w:w="4536"/>
            <w:shd w:fill="F0F0F0"/>
            <w:vAlign w:val="center"/>
          </w:tcPr>
          <w:p>
            <w:pPr>
              <w:jc w:val="left"/>
            </w:pPr>
            <w:r/>
            <w:r>
              <w:rPr>
                <w:rFonts w:ascii="Calibri" w:hAnsi="Calibri"/>
                <w:color w:val="2D2D2D"/>
                <w:sz w:val="18"/>
              </w:rPr>
              <w:t>Institutional participation</w:t>
            </w:r>
          </w:p>
        </w:tc>
      </w:tr>
    </w:tbl>
    <w:p/>
    <w:p>
      <w:pPr>
        <w:pStyle w:val="Heading3"/>
      </w:pPr>
      <w:r>
        <w:t>§45.3 No Final Certification Until Board Issues It</w:t>
      </w:r>
    </w:p>
    <w:p>
      <w:r>
        <w:rPr>
          <w:b/>
        </w:rPr>
        <w:t>DO NOT</w:t>
      </w:r>
      <w:r>
        <w:t xml:space="preserve"> state final Sharia certification until the independent qualified board issues the relevant current certification.</w:t>
      </w:r>
    </w:p>
    <w:p>
      <w:pPr>
        <w:pBdr>
          <w:bottom w:val="single" w:sz="12" w:space="1" w:color="C59B1E"/>
        </w:pBdr>
      </w:pPr>
    </w:p>
    <w:p>
      <w:pPr>
        <w:pStyle w:val="Heading2"/>
      </w:pPr>
      <w:r>
        <w:t>§46 — REGULATORY COMPATIBILITY</w:t>
      </w:r>
    </w:p>
    <w:p>
      <w:pPr>
        <w:pStyle w:val="Heading3"/>
      </w:pPr>
      <w:r>
        <w:t>§46.1 Principle</w:t>
      </w:r>
    </w:p>
    <w:p>
      <w:pPr>
        <w:spacing w:before="120" w:after="120"/>
        <w:ind w:left="567" w:right="567"/>
        <w:pBdr>
          <w:left w:val="single" w:sz="24" w:space="8" w:color="C59B1E"/>
        </w:pBdr>
        <w:shd w:fill="FFFBF0"/>
      </w:pPr>
      <w:r>
        <w:rPr>
          <w:b/>
          <w:i/>
          <w:color w:val="1A365F"/>
          <w:sz w:val="22"/>
        </w:rPr>
        <w:t>**Regulatory compatibility by design; authorization remains jurisdiction-specific.**</w:t>
      </w:r>
    </w:p>
    <w:p>
      <w:r>
        <w:t xml:space="preserve">The new architecture does </w:t>
      </w:r>
      <w:r>
        <w:rPr>
          <w:b/>
        </w:rPr>
        <w:t>NOT</w:t>
      </w:r>
      <w:r>
        <w:t xml:space="preserve"> eliminate regulation. It makes the system more institutionally compatible.</w:t>
      </w:r>
    </w:p>
    <w:p>
      <w:pPr>
        <w:pStyle w:val="Heading3"/>
      </w:pPr>
      <w:r>
        <w:t>§46.2 Jurisdictional Analysis Required</w:t>
      </w:r>
    </w:p>
    <w:p>
      <w:r>
        <w:t>Each jurisdiction requires analysis of:</w:t>
      </w:r>
    </w:p>
    <w:p>
      <w:pPr>
        <w:pStyle w:val="ListBullet"/>
        <w:ind w:left="425"/>
      </w:pPr>
      <w:r>
        <w:t>MTQ classification</w:t>
      </w:r>
    </w:p>
    <w:p>
      <w:pPr>
        <w:pStyle w:val="ListBullet"/>
        <w:ind w:left="425"/>
      </w:pPr>
      <w:r>
        <w:t>Issuance licensing</w:t>
      </w:r>
    </w:p>
    <w:p>
      <w:pPr>
        <w:pStyle w:val="ListBullet"/>
        <w:ind w:left="425"/>
      </w:pPr>
      <w:r>
        <w:t>Settlement authorization</w:t>
      </w:r>
    </w:p>
    <w:p>
      <w:pPr>
        <w:pStyle w:val="ListBullet"/>
        <w:ind w:left="425"/>
      </w:pPr>
      <w:r>
        <w:t>Custody requirements</w:t>
      </w:r>
    </w:p>
    <w:p>
      <w:pPr>
        <w:pStyle w:val="ListBullet"/>
        <w:ind w:left="425"/>
      </w:pPr>
      <w:r>
        <w:t>Redemption rules</w:t>
      </w:r>
    </w:p>
    <w:p>
      <w:pPr>
        <w:pStyle w:val="ListBullet"/>
        <w:ind w:left="425"/>
      </w:pPr>
      <w:r>
        <w:t>AML/CFT compliance</w:t>
      </w:r>
    </w:p>
    <w:p>
      <w:pPr>
        <w:pStyle w:val="ListBullet"/>
        <w:ind w:left="425"/>
      </w:pPr>
      <w:r>
        <w:t>Sanctions compliance</w:t>
      </w:r>
    </w:p>
    <w:p>
      <w:pPr>
        <w:pStyle w:val="ListBullet"/>
        <w:ind w:left="425"/>
      </w:pPr>
      <w:r>
        <w:t>Cross-border transfer rules</w:t>
      </w:r>
    </w:p>
    <w:p>
      <w:pPr>
        <w:pStyle w:val="ListBullet"/>
        <w:ind w:left="425"/>
      </w:pPr>
      <w:r>
        <w:t>Privacy/data protection</w:t>
      </w:r>
    </w:p>
    <w:p>
      <w:pPr>
        <w:pStyle w:val="ListBullet"/>
        <w:ind w:left="425"/>
      </w:pPr>
      <w:r>
        <w:t>Tax/accounting treatment</w:t>
      </w:r>
    </w:p>
    <w:p>
      <w:pPr>
        <w:pStyle w:val="ListBullet"/>
        <w:ind w:left="425"/>
      </w:pPr>
      <w:r>
        <w:t>Capital controls</w:t>
      </w:r>
    </w:p>
    <w:p>
      <w:pPr>
        <w:pStyle w:val="Heading3"/>
      </w:pPr>
      <w:r>
        <w:t>§46.3 No Automatic Approval</w:t>
      </w:r>
    </w:p>
    <w:p>
      <w:r>
        <w:t xml:space="preserve">v25.0 does </w:t>
      </w:r>
      <w:r>
        <w:rPr>
          <w:b/>
        </w:rPr>
        <w:t>NOT</w:t>
      </w:r>
      <w:r>
        <w:t xml:space="preserve"> claim automatic approval under any jurisdiction's law. Each jurisdiction requires explicit licensing and authorization.</w:t>
      </w:r>
    </w:p>
    <w:p>
      <w:pPr>
        <w:pBdr>
          <w:bottom w:val="single" w:sz="12" w:space="1" w:color="C59B1E"/>
        </w:pBdr>
      </w:pPr>
    </w:p>
    <w:p>
      <w:pPr>
        <w:pStyle w:val="Heading2"/>
      </w:pPr>
      <w:r>
        <w:t>§47 — STRESS RESULT CLASSIFICATION</w:t>
      </w:r>
    </w:p>
    <w:p>
      <w:pPr>
        <w:pStyle w:val="Heading3"/>
      </w:pPr>
      <w:r>
        <w:t>§47.1 Three Classifications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Classification</w:t>
            </w:r>
          </w:p>
        </w:tc>
        <w:tc>
          <w:tcPr>
            <w:tcW w:type="dxa" w:w="4536"/>
            <w:shd w:fill="1A365F"/>
            <w:vAlign w:val="center"/>
          </w:tcPr>
          <w:p>
            <w:pPr>
              <w:jc w:val="left"/>
            </w:pPr>
            <w:r/>
            <w:r>
              <w:rPr>
                <w:rFonts w:ascii="Calibri" w:hAnsi="Calibri"/>
                <w:b/>
                <w:color w:val="FFFFFF"/>
                <w:sz w:val="18"/>
              </w:rPr>
              <w:t>Definition</w:t>
            </w:r>
          </w:p>
        </w:tc>
      </w:tr>
      <w:tr>
        <w:tc>
          <w:tcPr>
            <w:tcW w:type="dxa" w:w="4536"/>
            <w:vAlign w:val="center"/>
          </w:tcPr>
          <w:p>
            <w:pPr>
              <w:jc w:val="left"/>
            </w:pPr>
            <w:r/>
            <w:r>
              <w:rPr>
                <w:rFonts w:ascii="Calibri" w:hAnsi="Calibri"/>
                <w:color w:val="2D2D2D"/>
                <w:sz w:val="18"/>
              </w:rPr>
              <w:t>**PASS**</w:t>
            </w:r>
          </w:p>
        </w:tc>
        <w:tc>
          <w:tcPr>
            <w:tcW w:type="dxa" w:w="4536"/>
            <w:vAlign w:val="center"/>
          </w:tcPr>
          <w:p>
            <w:pPr>
              <w:jc w:val="left"/>
            </w:pPr>
            <w:r/>
            <w:r>
              <w:rPr>
                <w:rFonts w:ascii="Calibri" w:hAnsi="Calibri"/>
                <w:color w:val="2D2D2D"/>
                <w:sz w:val="18"/>
              </w:rPr>
              <w:t>All applicable hard constraints satisfied</w:t>
            </w:r>
          </w:p>
        </w:tc>
      </w:tr>
      <w:tr>
        <w:tc>
          <w:tcPr>
            <w:tcW w:type="dxa" w:w="4536"/>
            <w:shd w:fill="F0F0F0"/>
            <w:vAlign w:val="center"/>
          </w:tcPr>
          <w:p>
            <w:pPr>
              <w:jc w:val="left"/>
            </w:pPr>
            <w:r/>
            <w:r>
              <w:rPr>
                <w:rFonts w:ascii="Calibri" w:hAnsi="Calibri"/>
                <w:color w:val="2D2D2D"/>
                <w:sz w:val="18"/>
              </w:rPr>
              <w:t>**FAIL**</w:t>
            </w:r>
          </w:p>
        </w:tc>
        <w:tc>
          <w:tcPr>
            <w:tcW w:type="dxa" w:w="4536"/>
            <w:shd w:fill="F0F0F0"/>
            <w:vAlign w:val="center"/>
          </w:tcPr>
          <w:p>
            <w:pPr>
              <w:jc w:val="left"/>
            </w:pPr>
            <w:r/>
            <w:r>
              <w:rPr>
                <w:rFonts w:ascii="Calibri" w:hAnsi="Calibri"/>
                <w:color w:val="2D2D2D"/>
                <w:sz w:val="18"/>
              </w:rPr>
              <w:t>Scenario is INSIDE the approved design envelope AND violates a mandatory constraint</w:t>
            </w:r>
          </w:p>
        </w:tc>
      </w:tr>
      <w:tr>
        <w:tc>
          <w:tcPr>
            <w:tcW w:type="dxa" w:w="4536"/>
            <w:vAlign w:val="center"/>
          </w:tcPr>
          <w:p>
            <w:pPr>
              <w:jc w:val="left"/>
            </w:pPr>
            <w:r/>
            <w:r>
              <w:rPr>
                <w:rFonts w:ascii="Calibri" w:hAnsi="Calibri"/>
                <w:color w:val="2D2D2D"/>
                <w:sz w:val="18"/>
              </w:rPr>
              <w:t>**BDL**</w:t>
            </w:r>
          </w:p>
        </w:tc>
        <w:tc>
          <w:tcPr>
            <w:tcW w:type="dxa" w:w="4536"/>
            <w:vAlign w:val="center"/>
          </w:tcPr>
          <w:p>
            <w:pPr>
              <w:jc w:val="left"/>
            </w:pPr>
            <w:r/>
            <w:r>
              <w:rPr>
                <w:rFonts w:ascii="Calibri" w:hAnsi="Calibri"/>
                <w:color w:val="2D2D2D"/>
                <w:sz w:val="18"/>
              </w:rPr>
              <w:t>Scenario is EXPLICITLY OUTSIDE the approved design envelope, defined BEFORE stress results were observed</w:t>
            </w:r>
          </w:p>
        </w:tc>
      </w:tr>
    </w:tbl>
    <w:p/>
    <w:p>
      <w:pPr>
        <w:pStyle w:val="Heading3"/>
      </w:pPr>
      <w:r>
        <w:t>§47.2 Critical Honesty Rule</w:t>
      </w:r>
    </w:p>
    <w:p>
      <w:pPr>
        <w:spacing w:before="120" w:after="120"/>
        <w:ind w:left="567" w:right="567"/>
        <w:pBdr>
          <w:left w:val="single" w:sz="24" w:space="8" w:color="C59B1E"/>
        </w:pBdr>
        <w:shd w:fill="FFFBF0"/>
      </w:pPr>
      <w:r>
        <w:rPr>
          <w:b/>
          <w:i/>
          <w:color w:val="1A365F"/>
          <w:sz w:val="22"/>
        </w:rPr>
        <w:t>**NEVER redefine a failure as BDL solely to increase the reported pass rate.**</w:t>
      </w:r>
    </w:p>
    <w:p>
      <w:pPr>
        <w:pStyle w:val="Heading3"/>
      </w:pPr>
      <w:r>
        <w:t>§47.3 BDL Declaration Timing</w:t>
      </w:r>
    </w:p>
    <w:p>
      <w:r>
        <w:t xml:space="preserve">BDL scenarios must be declared </w:t>
      </w:r>
      <w:r>
        <w:rPr>
          <w:b/>
        </w:rPr>
        <w:t>BEFORE</w:t>
      </w:r>
      <w:r>
        <w:t xml:space="preserve"> computation, not after observing results.</w:t>
      </w:r>
    </w:p>
    <w:p>
      <w:pPr>
        <w:pStyle w:val="Heading3"/>
      </w:pPr>
      <w:r>
        <w:t>§47.4 Master Test Registry</w:t>
      </w:r>
    </w:p>
    <w:p>
      <w:r>
        <w:t>374 tests across 12 categories:</w:t>
      </w:r>
    </w:p>
    <w:p>
      <w:pPr>
        <w:pStyle w:val="ListBullet"/>
        <w:ind w:left="425"/>
      </w:pPr>
      <w:r>
        <w:t>219 PASS</w:t>
      </w:r>
    </w:p>
    <w:p>
      <w:pPr>
        <w:pStyle w:val="ListBullet"/>
        <w:ind w:left="425"/>
      </w:pPr>
      <w:r>
        <w:t>111 FAIL</w:t>
      </w:r>
    </w:p>
    <w:p>
      <w:pPr>
        <w:pStyle w:val="ListBullet"/>
        <w:ind w:left="425"/>
      </w:pPr>
      <w:r>
        <w:t>35 BDL</w:t>
      </w:r>
    </w:p>
    <w:p>
      <w:pPr>
        <w:pStyle w:val="ListBullet"/>
        <w:ind w:left="425"/>
      </w:pPr>
      <w:r>
        <w:t>9 SKIPPED</w:t>
      </w:r>
    </w:p>
    <w:p>
      <w:pPr>
        <w:pBdr>
          <w:bottom w:val="single" w:sz="12" w:space="1" w:color="C59B1E"/>
        </w:pBdr>
      </w:pPr>
    </w:p>
    <w:p>
      <w:pPr>
        <w:pStyle w:val="Heading2"/>
      </w:pPr>
      <w:r>
        <w:t>§48 — SEMANTIC SWEEP SUMMARY</w:t>
      </w:r>
    </w:p>
    <w:p>
      <w:pPr>
        <w:pStyle w:val="Heading3"/>
      </w:pPr>
      <w:r>
        <w:t>§48.1 Sweep Mandate</w:t>
      </w:r>
    </w:p>
    <w:p>
      <w:r>
        <w:t>Full semantic sweep across the entire blueprint to find and resolve every occurrence of:</w:t>
      </w:r>
    </w:p>
    <w:p>
      <w:pPr>
        <w:pStyle w:val="ListBullet"/>
        <w:ind w:left="425"/>
      </w:pPr>
      <w:r>
        <w:t>Participant minting</w:t>
      </w:r>
    </w:p>
    <w:p>
      <w:pPr>
        <w:pStyle w:val="ListBullet"/>
        <w:ind w:left="425"/>
      </w:pPr>
      <w:r>
        <w:t>Retail minting</w:t>
      </w:r>
    </w:p>
    <w:p>
      <w:pPr>
        <w:pStyle w:val="ListBullet"/>
        <w:ind w:left="425"/>
      </w:pPr>
      <w:r>
        <w:t>Public minting</w:t>
      </w:r>
    </w:p>
    <w:p>
      <w:pPr>
        <w:pStyle w:val="ListBullet"/>
        <w:ind w:left="425"/>
      </w:pPr>
      <w:r>
        <w:t>Direct customer minting</w:t>
      </w:r>
    </w:p>
    <w:p>
      <w:pPr>
        <w:pStyle w:val="ListBullet"/>
        <w:ind w:left="425"/>
      </w:pPr>
      <w:r>
        <w:t>Consumer MTQ</w:t>
      </w:r>
    </w:p>
    <w:p>
      <w:pPr>
        <w:pStyle w:val="ListBullet"/>
        <w:ind w:left="425"/>
      </w:pPr>
      <w:r>
        <w:t>User deposits</w:t>
      </w:r>
    </w:p>
    <w:p>
      <w:pPr>
        <w:pStyle w:val="ListBullet"/>
        <w:ind w:left="425"/>
      </w:pPr>
      <w:r>
        <w:t>Individual issuance</w:t>
      </w:r>
    </w:p>
    <w:p>
      <w:pPr>
        <w:pStyle w:val="ListBullet"/>
        <w:ind w:left="425"/>
      </w:pPr>
      <w:r>
        <w:t>Unrestricted mint</w:t>
      </w:r>
    </w:p>
    <w:p>
      <w:pPr>
        <w:pStyle w:val="ListBullet"/>
        <w:ind w:left="425"/>
      </w:pPr>
      <w:r>
        <w:t>Permissionless issuance</w:t>
      </w:r>
    </w:p>
    <w:p>
      <w:pPr>
        <w:pStyle w:val="ListBullet"/>
        <w:ind w:left="425"/>
      </w:pPr>
      <w:r>
        <w:t>Open public redemption</w:t>
      </w:r>
    </w:p>
    <w:p>
      <w:pPr>
        <w:pStyle w:val="ListBullet"/>
        <w:ind w:left="425"/>
      </w:pPr>
      <w:r>
        <w:t>Public wallet issuance</w:t>
      </w:r>
    </w:p>
    <w:p>
      <w:pPr>
        <w:pStyle w:val="ListBullet"/>
        <w:ind w:left="425"/>
      </w:pPr>
      <w:r>
        <w:t>Stablecoin framing</w:t>
      </w:r>
    </w:p>
    <w:p>
      <w:pPr>
        <w:pStyle w:val="ListBullet"/>
        <w:ind w:left="425"/>
      </w:pPr>
      <w:r>
        <w:t>Consumer payment framing</w:t>
      </w:r>
    </w:p>
    <w:p>
      <w:pPr>
        <w:pStyle w:val="ListBullet"/>
        <w:ind w:left="425"/>
      </w:pPr>
      <w:r>
        <w:t>Exchange, brokerage, market making</w:t>
      </w:r>
    </w:p>
    <w:p>
      <w:pPr>
        <w:pStyle w:val="ListBullet"/>
        <w:ind w:left="425"/>
      </w:pPr>
      <w:r>
        <w:t>Speculative trading</w:t>
      </w:r>
    </w:p>
    <w:p>
      <w:pPr>
        <w:pStyle w:val="ListBullet"/>
        <w:ind w:left="425"/>
      </w:pPr>
      <w:r>
        <w:t>Global currency, replacement currency, CBDC replacement</w:t>
      </w:r>
    </w:p>
    <w:p>
      <w:pPr>
        <w:pStyle w:val="ListBullet"/>
        <w:ind w:left="425"/>
      </w:pPr>
      <w:r>
        <w:t>Anonymous transfer</w:t>
      </w:r>
    </w:p>
    <w:p>
      <w:pPr>
        <w:pStyle w:val="ListBullet"/>
        <w:ind w:left="425"/>
      </w:pPr>
      <w:r>
        <w:t>Unrestricted international access</w:t>
      </w:r>
    </w:p>
    <w:p>
      <w:pPr>
        <w:pStyle w:val="Heading3"/>
      </w:pPr>
      <w:r>
        <w:t>§48.2 Sweep Results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Value</w:t>
            </w:r>
          </w:p>
        </w:tc>
      </w:tr>
      <w:tr>
        <w:tc>
          <w:tcPr>
            <w:tcW w:type="dxa" w:w="4536"/>
            <w:vAlign w:val="center"/>
          </w:tcPr>
          <w:p>
            <w:pPr>
              <w:jc w:val="left"/>
            </w:pPr>
            <w:r/>
            <w:r>
              <w:rPr>
                <w:rFonts w:ascii="Calibri" w:hAnsi="Calibri"/>
                <w:color w:val="2D2D2D"/>
                <w:sz w:val="18"/>
              </w:rPr>
              <w:t>HISTORICAL/NON-NORMATIVE markers placed</w:t>
            </w:r>
          </w:p>
        </w:tc>
        <w:tc>
          <w:tcPr>
            <w:tcW w:type="dxa" w:w="4536"/>
            <w:vAlign w:val="center"/>
          </w:tcPr>
          <w:p>
            <w:pPr>
              <w:jc w:val="left"/>
            </w:pPr>
            <w:r/>
            <w:r>
              <w:rPr>
                <w:rFonts w:ascii="Calibri" w:hAnsi="Calibri"/>
                <w:color w:val="2D2D2D"/>
                <w:sz w:val="18"/>
              </w:rPr>
              <w:t>44</w:t>
            </w:r>
          </w:p>
        </w:tc>
      </w:tr>
      <w:tr>
        <w:tc>
          <w:tcPr>
            <w:tcW w:type="dxa" w:w="4536"/>
            <w:shd w:fill="F0F0F0"/>
            <w:vAlign w:val="center"/>
          </w:tcPr>
          <w:p>
            <w:pPr>
              <w:jc w:val="left"/>
            </w:pPr>
            <w:r/>
            <w:r>
              <w:rPr>
                <w:rFonts w:ascii="Calibri" w:hAnsi="Calibri"/>
                <w:color w:val="2D2D2D"/>
                <w:sz w:val="18"/>
              </w:rPr>
              <w:t>Conflicting active rules remaining</w:t>
            </w:r>
          </w:p>
        </w:tc>
        <w:tc>
          <w:tcPr>
            <w:tcW w:type="dxa" w:w="4536"/>
            <w:shd w:fill="F0F0F0"/>
            <w:vAlign w:val="center"/>
          </w:tcPr>
          <w:p>
            <w:pPr>
              <w:jc w:val="left"/>
            </w:pPr>
            <w:r/>
            <w:r>
              <w:rPr>
                <w:rFonts w:ascii="Calibri" w:hAnsi="Calibri"/>
                <w:color w:val="2D2D2D"/>
                <w:sz w:val="18"/>
              </w:rPr>
              <w:t>0</w:t>
            </w:r>
          </w:p>
        </w:tc>
      </w:tr>
      <w:tr>
        <w:tc>
          <w:tcPr>
            <w:tcW w:type="dxa" w:w="4536"/>
            <w:vAlign w:val="center"/>
          </w:tcPr>
          <w:p>
            <w:pPr>
              <w:jc w:val="left"/>
            </w:pPr>
            <w:r/>
            <w:r>
              <w:rPr>
                <w:rFonts w:ascii="Calibri" w:hAnsi="Calibri"/>
                <w:color w:val="2D2D2D"/>
                <w:sz w:val="18"/>
              </w:rPr>
              <w:t>Sections swept</w:t>
            </w:r>
          </w:p>
        </w:tc>
        <w:tc>
          <w:tcPr>
            <w:tcW w:type="dxa" w:w="4536"/>
            <w:vAlign w:val="center"/>
          </w:tcPr>
          <w:p>
            <w:pPr>
              <w:jc w:val="left"/>
            </w:pPr>
            <w:r/>
            <w:r>
              <w:rPr>
                <w:rFonts w:ascii="Calibri" w:hAnsi="Calibri"/>
                <w:color w:val="2D2D2D"/>
                <w:sz w:val="18"/>
              </w:rPr>
              <w:t>All (43 sections)</w:t>
            </w:r>
          </w:p>
        </w:tc>
      </w:tr>
    </w:tbl>
    <w:p/>
    <w:p>
      <w:pPr>
        <w:pStyle w:val="Heading3"/>
      </w:pPr>
      <w:r>
        <w:t>§48.3 Resolution</w:t>
      </w:r>
    </w:p>
    <w:p>
      <w:r>
        <w:t>Every conflicting occurrence was either:</w:t>
      </w:r>
    </w:p>
    <w:p>
      <w:pPr>
        <w:pStyle w:val="ListNumber"/>
        <w:ind w:left="425"/>
      </w:pPr>
      <w:r>
        <w:t>Rewritten to the new institutional model, OR</w:t>
      </w:r>
    </w:p>
    <w:p>
      <w:pPr>
        <w:pStyle w:val="ListNumber"/>
        <w:ind w:left="425"/>
      </w:pPr>
      <w:r>
        <w:t>Explicitly marked HISTORICAL/NON-NORMATIVE</w:t>
      </w:r>
    </w:p>
    <w:p>
      <w:pPr>
        <w:pBdr>
          <w:bottom w:val="single" w:sz="12" w:space="1" w:color="C59B1E"/>
        </w:pBdr>
      </w:pPr>
    </w:p>
    <w:p>
      <w:pPr>
        <w:pStyle w:val="Heading2"/>
      </w:pPr>
      <w:r>
        <w:t>§49 — TESTNET MAINNET BLOCKER POLICY</w:t>
      </w:r>
    </w:p>
    <w:p>
      <w:pPr>
        <w:pStyle w:val="Heading3"/>
      </w:pPr>
      <w:r>
        <w:t>§49.1 Hard Blockers (8)</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Blocker</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Monad Oracle bytecode mismatch</w:t>
            </w:r>
          </w:p>
        </w:tc>
        <w:tc>
          <w:tcPr>
            <w:tcW w:type="dxa" w:w="3024"/>
            <w:vAlign w:val="center"/>
          </w:tcPr>
          <w:p>
            <w:pPr>
              <w:jc w:val="left"/>
            </w:pPr>
            <w:r/>
            <w:r>
              <w:rPr>
                <w:rFonts w:ascii="Calibri" w:hAnsi="Calibri"/>
                <w:color w:val="2D2D2D"/>
                <w:sz w:val="18"/>
              </w:rPr>
              <w:t>**UNRESOLVED**</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Arc Oracle silver selector failure</w:t>
            </w:r>
          </w:p>
        </w:tc>
        <w:tc>
          <w:tcPr>
            <w:tcW w:type="dxa" w:w="3024"/>
            <w:shd w:fill="F0F0F0"/>
            <w:vAlign w:val="center"/>
          </w:tcPr>
          <w:p>
            <w:pPr>
              <w:jc w:val="left"/>
            </w:pPr>
            <w:r/>
            <w:r>
              <w:rPr>
                <w:rFonts w:ascii="Calibri" w:hAnsi="Calibri"/>
                <w:color w:val="2D2D2D"/>
                <w:sz w:val="18"/>
              </w:rPr>
              <w:t>**UNRESOLVED**</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Cross-chain supply invariant</w:t>
            </w:r>
          </w:p>
        </w:tc>
        <w:tc>
          <w:tcPr>
            <w:tcW w:type="dxa" w:w="3024"/>
            <w:vAlign w:val="center"/>
          </w:tcPr>
          <w:p>
            <w:pPr>
              <w:jc w:val="left"/>
            </w:pPr>
            <w:r/>
            <w:r>
              <w:rPr>
                <w:rFonts w:ascii="Calibri" w:hAnsi="Calibri"/>
                <w:color w:val="2D2D2D"/>
                <w:sz w:val="18"/>
              </w:rPr>
              <w:t>PARTIALLY RESOLVED (compositional)</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Critical oracle failure</w:t>
            </w:r>
          </w:p>
        </w:tc>
        <w:tc>
          <w:tcPr>
            <w:tcW w:type="dxa" w:w="3024"/>
            <w:shd w:fill="F0F0F0"/>
            <w:vAlign w:val="center"/>
          </w:tcPr>
          <w:p>
            <w:pPr>
              <w:jc w:val="left"/>
            </w:pPr>
            <w:r/>
            <w:r>
              <w:rPr>
                <w:rFonts w:ascii="Calibri" w:hAnsi="Calibri"/>
                <w:color w:val="2D2D2D"/>
                <w:sz w:val="18"/>
              </w:rPr>
              <w:t>**UNRESOLVED** (1/4 endpoints working)</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Portfolio hard-safety failure</w:t>
            </w:r>
          </w:p>
        </w:tc>
        <w:tc>
          <w:tcPr>
            <w:tcW w:type="dxa" w:w="3024"/>
            <w:vAlign w:val="center"/>
          </w:tcPr>
          <w:p>
            <w:pPr>
              <w:jc w:val="left"/>
            </w:pPr>
            <w:r/>
            <w:r>
              <w:rPr>
                <w:rFonts w:ascii="Calibri" w:hAnsi="Calibri"/>
                <w:color w:val="2D2D2D"/>
                <w:sz w:val="18"/>
              </w:rPr>
              <w:t>RESOLVED (within design envelope)</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Model-validity failure</w:t>
            </w:r>
          </w:p>
        </w:tc>
        <w:tc>
          <w:tcPr>
            <w:tcW w:type="dxa" w:w="3024"/>
            <w:shd w:fill="F0F0F0"/>
            <w:vAlign w:val="center"/>
          </w:tcPr>
          <w:p>
            <w:pPr>
              <w:jc w:val="left"/>
            </w:pPr>
            <w:r/>
            <w:r>
              <w:rPr>
                <w:rFonts w:ascii="Calibri" w:hAnsi="Calibri"/>
                <w:color w:val="2D2D2D"/>
                <w:sz w:val="18"/>
              </w:rPr>
              <w:t>RESOLVED (4/5 challengers confirm)</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Active blueprint contradiction</w:t>
            </w:r>
          </w:p>
        </w:tc>
        <w:tc>
          <w:tcPr>
            <w:tcW w:type="dxa" w:w="3024"/>
            <w:vAlign w:val="center"/>
          </w:tcPr>
          <w:p>
            <w:pPr>
              <w:jc w:val="left"/>
            </w:pPr>
            <w:r/>
            <w:r>
              <w:rPr>
                <w:rFonts w:ascii="Calibri" w:hAnsi="Calibri"/>
                <w:color w:val="2D2D2D"/>
                <w:sz w:val="18"/>
              </w:rPr>
              <w:t>RESOLVED (0 conflicts)</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ERTF accounting problem</w:t>
            </w:r>
          </w:p>
        </w:tc>
        <w:tc>
          <w:tcPr>
            <w:tcW w:type="dxa" w:w="3024"/>
            <w:shd w:fill="F0F0F0"/>
            <w:vAlign w:val="center"/>
          </w:tcPr>
          <w:p>
            <w:pPr>
              <w:jc w:val="left"/>
            </w:pPr>
            <w:r/>
            <w:r>
              <w:rPr>
                <w:rFonts w:ascii="Calibri" w:hAnsi="Calibri"/>
                <w:color w:val="2D2D2D"/>
                <w:sz w:val="18"/>
              </w:rPr>
              <w:t>PARTIALLY RESOLVED (model canonical; runtime gap)</w:t>
            </w:r>
          </w:p>
        </w:tc>
      </w:tr>
    </w:tbl>
    <w:p/>
    <w:p>
      <w:pPr>
        <w:pStyle w:val="Heading3"/>
      </w:pPr>
      <w:r>
        <w:t>§49.2 Mainnet Rule</w:t>
      </w:r>
    </w:p>
    <w:p>
      <w:pPr>
        <w:spacing w:before="120" w:after="120"/>
        <w:ind w:left="567" w:right="567"/>
        <w:pBdr>
          <w:left w:val="single" w:sz="24" w:space="8" w:color="C59B1E"/>
        </w:pBdr>
        <w:shd w:fill="FFFBF0"/>
      </w:pPr>
      <w:r>
        <w:rPr>
          <w:b/>
          <w:i/>
          <w:color w:val="1A365F"/>
          <w:sz w:val="22"/>
        </w:rPr>
        <w:t>**ANY hard blocker → MAINNET = NO-GO**</w:t>
      </w:r>
    </w:p>
    <w:p>
      <w:r>
        <w:t xml:space="preserve">3 UNRESOLVED + 2 PARTIAL = </w:t>
      </w:r>
      <w:r>
        <w:rPr>
          <w:b/>
        </w:rPr>
        <w:t>MAINNET = NO-GO</w:t>
      </w:r>
    </w:p>
    <w:p>
      <w:pPr>
        <w:pBdr>
          <w:bottom w:val="single" w:sz="12" w:space="1" w:color="C59B1E"/>
        </w:pBdr>
      </w:pPr>
    </w:p>
    <w:p>
      <w:pPr>
        <w:pStyle w:val="Heading2"/>
      </w:pPr>
      <w:r>
        <w:t>§50 — CROSS-CHAIN SUPPLY INVARIANT</w:t>
      </w:r>
    </w:p>
    <w:p>
      <w:pPr>
        <w:pStyle w:val="Heading3"/>
      </w:pPr>
      <w:r>
        <w:t>§50.1 Invariant</w:t>
      </w:r>
    </w:p>
    <w:p>
      <w:pPr>
        <w:ind w:left="283"/>
        <w:shd w:fill="F5F5F5"/>
      </w:pPr>
      <w:r>
        <w:rPr>
          <w:rFonts w:ascii="Consolas" w:hAnsi="Consolas"/>
          <w:color w:val="6B6B6B"/>
          <w:sz w:val="18"/>
        </w:rPr>
        <w:t>TotalAuthorizedOutstanding = MonadOutstanding + ArcOutstanding + SolanaOutstanding + LockedBridgeRepresentation</w:t>
      </w:r>
    </w:p>
    <w:p>
      <w:pPr>
        <w:pStyle w:val="Heading3"/>
      </w:pPr>
      <w:r>
        <w:t>§50.2 Prevent</w:t>
      </w:r>
    </w:p>
    <w:p>
      <w:pPr>
        <w:pStyle w:val="ListBullet"/>
        <w:ind w:left="425"/>
      </w:pPr>
      <w:r>
        <w:t>Unlocked MTQ on chain A + unlocked duplicate MTQ on chain B without corresponding locked/canonical accounting</w:t>
      </w:r>
    </w:p>
    <w:p>
      <w:pPr>
        <w:pStyle w:val="Heading3"/>
      </w:pPr>
      <w:r>
        <w:t>§50.3 Current State</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Chain</w:t>
            </w:r>
          </w:p>
        </w:tc>
        <w:tc>
          <w:tcPr>
            <w:tcW w:type="dxa" w:w="4536"/>
            <w:shd w:fill="1A365F"/>
            <w:vAlign w:val="center"/>
          </w:tcPr>
          <w:p>
            <w:pPr>
              <w:jc w:val="left"/>
            </w:pPr>
            <w:r/>
            <w:r>
              <w:rPr>
                <w:rFonts w:ascii="Calibri" w:hAnsi="Calibri"/>
                <w:b/>
                <w:color w:val="FFFFFF"/>
                <w:sz w:val="18"/>
              </w:rPr>
              <w:t>Supply</w:t>
            </w:r>
          </w:p>
        </w:tc>
      </w:tr>
      <w:tr>
        <w:tc>
          <w:tcPr>
            <w:tcW w:type="dxa" w:w="4536"/>
            <w:vAlign w:val="center"/>
          </w:tcPr>
          <w:p>
            <w:pPr>
              <w:jc w:val="left"/>
            </w:pPr>
            <w:r/>
            <w:r>
              <w:rPr>
                <w:rFonts w:ascii="Calibri" w:hAnsi="Calibri"/>
                <w:color w:val="2D2D2D"/>
                <w:sz w:val="18"/>
              </w:rPr>
              <w:t>Monad</w:t>
            </w:r>
          </w:p>
        </w:tc>
        <w:tc>
          <w:tcPr>
            <w:tcW w:type="dxa" w:w="4536"/>
            <w:vAlign w:val="center"/>
          </w:tcPr>
          <w:p>
            <w:pPr>
              <w:jc w:val="left"/>
            </w:pPr>
            <w:r/>
            <w:r>
              <w:rPr>
                <w:rFonts w:ascii="Calibri" w:hAnsi="Calibri"/>
                <w:color w:val="2D2D2D"/>
                <w:sz w:val="18"/>
              </w:rPr>
              <w:t>310.95 MTQ</w:t>
            </w:r>
          </w:p>
        </w:tc>
      </w:tr>
      <w:tr>
        <w:tc>
          <w:tcPr>
            <w:tcW w:type="dxa" w:w="4536"/>
            <w:shd w:fill="F0F0F0"/>
            <w:vAlign w:val="center"/>
          </w:tcPr>
          <w:p>
            <w:pPr>
              <w:jc w:val="left"/>
            </w:pPr>
            <w:r/>
            <w:r>
              <w:rPr>
                <w:rFonts w:ascii="Calibri" w:hAnsi="Calibri"/>
                <w:color w:val="2D2D2D"/>
                <w:sz w:val="18"/>
              </w:rPr>
              <w:t>Arc</w:t>
            </w:r>
          </w:p>
        </w:tc>
        <w:tc>
          <w:tcPr>
            <w:tcW w:type="dxa" w:w="4536"/>
            <w:shd w:fill="F0F0F0"/>
            <w:vAlign w:val="center"/>
          </w:tcPr>
          <w:p>
            <w:pPr>
              <w:jc w:val="left"/>
            </w:pPr>
            <w:r/>
            <w:r>
              <w:rPr>
                <w:rFonts w:ascii="Calibri" w:hAnsi="Calibri"/>
                <w:color w:val="2D2D2D"/>
                <w:sz w:val="18"/>
              </w:rPr>
              <w:t>1,000.00 MTQ</w:t>
            </w:r>
          </w:p>
        </w:tc>
      </w:tr>
      <w:tr>
        <w:tc>
          <w:tcPr>
            <w:tcW w:type="dxa" w:w="4536"/>
            <w:vAlign w:val="center"/>
          </w:tcPr>
          <w:p>
            <w:pPr>
              <w:jc w:val="left"/>
            </w:pPr>
            <w:r/>
            <w:r>
              <w:rPr>
                <w:rFonts w:ascii="Calibri" w:hAnsi="Calibri"/>
                <w:color w:val="2D2D2D"/>
                <w:sz w:val="18"/>
              </w:rPr>
              <w:t>Solana</w:t>
            </w:r>
          </w:p>
        </w:tc>
        <w:tc>
          <w:tcPr>
            <w:tcW w:type="dxa" w:w="4536"/>
            <w:vAlign w:val="center"/>
          </w:tcPr>
          <w:p>
            <w:pPr>
              <w:jc w:val="left"/>
            </w:pPr>
            <w:r/>
            <w:r>
              <w:rPr>
                <w:rFonts w:ascii="Calibri" w:hAnsi="Calibri"/>
                <w:color w:val="2D2D2D"/>
                <w:sz w:val="18"/>
              </w:rPr>
              <w:t>18.45 MTQ</w:t>
            </w:r>
          </w:p>
        </w:tc>
      </w:tr>
      <w:tr>
        <w:tc>
          <w:tcPr>
            <w:tcW w:type="dxa" w:w="4536"/>
            <w:shd w:fill="F0F0F0"/>
            <w:vAlign w:val="center"/>
          </w:tcPr>
          <w:p>
            <w:pPr>
              <w:jc w:val="left"/>
            </w:pPr>
            <w:r/>
            <w:r>
              <w:rPr>
                <w:rFonts w:ascii="Calibri" w:hAnsi="Calibri"/>
                <w:color w:val="2D2D2D"/>
                <w:sz w:val="18"/>
              </w:rPr>
              <w:t>Locked Bridge</w:t>
            </w:r>
          </w:p>
        </w:tc>
        <w:tc>
          <w:tcPr>
            <w:tcW w:type="dxa" w:w="4536"/>
            <w:shd w:fill="F0F0F0"/>
            <w:vAlign w:val="center"/>
          </w:tcPr>
          <w:p>
            <w:pPr>
              <w:jc w:val="left"/>
            </w:pPr>
            <w:r/>
            <w:r>
              <w:rPr>
                <w:rFonts w:ascii="Calibri" w:hAnsi="Calibri"/>
                <w:color w:val="2D2D2D"/>
                <w:sz w:val="18"/>
              </w:rPr>
              <w:t>0 (no bridge deployed)</w:t>
            </w:r>
          </w:p>
        </w:tc>
      </w:tr>
      <w:tr>
        <w:tc>
          <w:tcPr>
            <w:tcW w:type="dxa" w:w="4536"/>
            <w:vAlign w:val="center"/>
          </w:tcPr>
          <w:p>
            <w:pPr>
              <w:jc w:val="left"/>
            </w:pPr>
            <w:r/>
            <w:r>
              <w:rPr>
                <w:rFonts w:ascii="Calibri" w:hAnsi="Calibri"/>
                <w:color w:val="2D2D2D"/>
                <w:sz w:val="18"/>
              </w:rPr>
              <w:t>**Total**</w:t>
            </w:r>
          </w:p>
        </w:tc>
        <w:tc>
          <w:tcPr>
            <w:tcW w:type="dxa" w:w="4536"/>
            <w:vAlign w:val="center"/>
          </w:tcPr>
          <w:p>
            <w:pPr>
              <w:jc w:val="left"/>
            </w:pPr>
            <w:r/>
            <w:r>
              <w:rPr>
                <w:rFonts w:ascii="Calibri" w:hAnsi="Calibri"/>
                <w:color w:val="2D2D2D"/>
                <w:sz w:val="18"/>
              </w:rPr>
              <w:t>**1,329.40 MTQ**</w:t>
            </w:r>
          </w:p>
        </w:tc>
      </w:tr>
    </w:tbl>
    <w:p/>
    <w:p>
      <w:pPr>
        <w:pStyle w:val="Heading3"/>
      </w:pPr>
      <w:r>
        <w:t>§50.4 Verification</w:t>
      </w:r>
    </w:p>
    <w:p>
      <w:pPr>
        <w:pStyle w:val="ListBullet"/>
        <w:ind w:left="425"/>
      </w:pPr>
      <w:r>
        <w:t>Chain supplies readable ✅</w:t>
      </w:r>
    </w:p>
    <w:p>
      <w:pPr>
        <w:pStyle w:val="ListBullet"/>
        <w:ind w:left="425"/>
      </w:pPr>
      <w:r>
        <w:t>Sum ≤ blueprint ceiling ✅</w:t>
      </w:r>
    </w:p>
    <w:p>
      <w:pPr>
        <w:pStyle w:val="ListBullet"/>
        <w:ind w:left="425"/>
      </w:pPr>
      <w:r>
        <w:t>Bridge accounting complete ✅ (trivially — no bridge)</w:t>
      </w:r>
    </w:p>
    <w:p>
      <w:pPr>
        <w:pStyle w:val="ListBullet"/>
        <w:ind w:left="425"/>
      </w:pPr>
      <w:r>
        <w:t>No known duplicate MTQ ✅</w:t>
      </w:r>
    </w:p>
    <w:p>
      <w:pPr>
        <w:pStyle w:val="ListBullet"/>
        <w:ind w:left="425"/>
      </w:pPr>
      <w:r>
        <w:rPr>
          <w:b/>
        </w:rPr>
        <w:t>VERIFIED</w:t>
      </w:r>
      <w:r>
        <w:t xml:space="preserve"> (compositionally)</w:t>
      </w:r>
    </w:p>
    <w:p>
      <w:pPr>
        <w:pStyle w:val="Heading3"/>
      </w:pPr>
      <w:r>
        <w:t>§50.5 Production Requirement</w:t>
      </w:r>
    </w:p>
    <w:p>
      <w:r>
        <w:t>Production bridge contract required for true cross-chain transfers. Locked-canonical accounting MUST be added before bridge activation.</w:t>
      </w:r>
    </w:p>
    <w:p>
      <w:pPr>
        <w:pBdr>
          <w:bottom w:val="single" w:sz="12" w:space="1" w:color="C59B1E"/>
        </w:pBdr>
      </w:pPr>
    </w:p>
    <w:p>
      <w:r>
        <w:br w:type="page"/>
      </w:r>
    </w:p>
    <w:p>
      <w:pPr>
        <w:jc w:val="center"/>
      </w:pPr>
      <w:r>
        <w:rPr>
          <w:b/>
          <w:color w:val="1A365F"/>
          <w:sz w:val="44"/>
        </w:rPr>
        <w:t>PART VI — OPERATIONS, ACCEPTANCE &amp; DELIVERABLES</w:t>
      </w:r>
    </w:p>
    <w:p>
      <w:pPr>
        <w:pBdr>
          <w:bottom w:val="single" w:sz="18" w:space="1" w:color="1A365F"/>
        </w:pBdr>
      </w:pPr>
    </w:p>
    <w:p>
      <w:pPr>
        <w:pStyle w:val="Heading2"/>
      </w:pPr>
      <w:r>
        <w:t>§51 — CUSTODY ARCHITECTURE</w:t>
      </w:r>
    </w:p>
    <w:p>
      <w:pPr>
        <w:pStyle w:val="Heading3"/>
      </w:pPr>
      <w:r>
        <w:t>§51.1 Per-Custodian Cap</w:t>
      </w:r>
    </w:p>
    <w:p>
      <w:pPr>
        <w:ind w:left="283"/>
        <w:shd w:fill="F5F5F5"/>
      </w:pPr>
      <w:r>
        <w:rPr>
          <w:rFonts w:ascii="Consolas" w:hAnsi="Consolas"/>
          <w:color w:val="6B6B6B"/>
          <w:sz w:val="18"/>
        </w:rPr>
        <w:t>PerCustodian ≤ 15% (constitutional cap)</w:t>
      </w:r>
    </w:p>
    <w:p>
      <w:pPr>
        <w:pStyle w:val="Heading3"/>
      </w:pPr>
      <w:r>
        <w:t>§51.2 Effective Custody Risk</w:t>
      </w:r>
    </w:p>
    <w:p>
      <w:pPr>
        <w:ind w:left="283"/>
        <w:shd w:fill="F5F5F5"/>
      </w:pPr>
      <w:r>
        <w:rPr>
          <w:rFonts w:ascii="Consolas" w:hAnsi="Consolas"/>
          <w:color w:val="6B6B6B"/>
          <w:sz w:val="18"/>
        </w:rPr>
        <w:t>EffectiveCustodyRisk_i = Exposure_i × LGD_i × CommonMode_i × (1 - RecoveryFactor_i)</w:t>
      </w:r>
    </w:p>
    <w:p>
      <w:pPr>
        <w:pStyle w:val="Heading3"/>
      </w:pPr>
      <w:r>
        <w:t>§51.3 Custody Stress Matrix</w:t>
      </w:r>
    </w:p>
    <w:p>
      <w:r>
        <w:t>60 combinations tested (5 exposure × 3 LGD × 4 ERTF states):</w:t>
      </w:r>
    </w:p>
    <w:p>
      <w:pPr>
        <w:pStyle w:val="ListBullet"/>
        <w:ind w:left="425"/>
      </w:pPr>
      <w:r>
        <w:t>35 PASS</w:t>
      </w:r>
    </w:p>
    <w:p>
      <w:pPr>
        <w:pStyle w:val="ListBullet"/>
        <w:ind w:left="425"/>
      </w:pPr>
      <w:r>
        <w:t>1 FAIL (15% × 100% LGD × ERTF unavailable)</w:t>
      </w:r>
    </w:p>
    <w:p>
      <w:pPr>
        <w:pStyle w:val="ListBullet"/>
        <w:ind w:left="425"/>
      </w:pPr>
      <w:r>
        <w:t>24 BDL (exposure &gt; 15% cap)</w:t>
      </w:r>
    </w:p>
    <w:p>
      <w:pPr>
        <w:pStyle w:val="Heading3"/>
      </w:pPr>
      <w:r>
        <w:t>§51.4 Current Gap</w:t>
      </w:r>
    </w:p>
    <w:p>
      <w:r>
        <w:t xml:space="preserve">0 of 4 custodian tiers executed. Single-custodian 52% concentration violates 25% cap. </w:t>
      </w:r>
      <w:r>
        <w:rPr>
          <w:b/>
        </w:rPr>
        <w:t>Production blocker.</w:t>
      </w:r>
    </w:p>
    <w:p>
      <w:pPr>
        <w:pBdr>
          <w:bottom w:val="single" w:sz="12" w:space="1" w:color="C59B1E"/>
        </w:pBdr>
      </w:pPr>
    </w:p>
    <w:p>
      <w:pPr>
        <w:pStyle w:val="Heading2"/>
      </w:pPr>
      <w:r>
        <w:t>§52 — LIQUIDITY LADER &amp; LSD</w:t>
      </w:r>
    </w:p>
    <w:p>
      <w:pPr>
        <w:pStyle w:val="Heading3"/>
      </w:pPr>
      <w:r>
        <w:t>§52.1 Liquidity Tiers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Tier</w:t>
            </w:r>
          </w:p>
        </w:tc>
        <w:tc>
          <w:tcPr>
            <w:tcW w:type="dxa" w:w="4536"/>
            <w:shd w:fill="1A365F"/>
            <w:vAlign w:val="center"/>
          </w:tcPr>
          <w:p>
            <w:pPr>
              <w:jc w:val="left"/>
            </w:pPr>
            <w:r/>
            <w:r>
              <w:rPr>
                <w:rFonts w:ascii="Calibri" w:hAnsi="Calibri"/>
                <w:b/>
                <w:color w:val="FFFFFF"/>
                <w:sz w:val="18"/>
              </w:rPr>
              <w:t>Assets</w:t>
            </w:r>
          </w:p>
        </w:tc>
      </w:tr>
      <w:tr>
        <w:tc>
          <w:tcPr>
            <w:tcW w:type="dxa" w:w="4536"/>
            <w:vAlign w:val="center"/>
          </w:tcPr>
          <w:p>
            <w:pPr>
              <w:jc w:val="left"/>
            </w:pPr>
            <w:r/>
            <w:r>
              <w:rPr>
                <w:rFonts w:ascii="Calibri" w:hAnsi="Calibri"/>
                <w:color w:val="2D2D2D"/>
                <w:sz w:val="18"/>
              </w:rPr>
              <w:t>Tier 0</w:t>
            </w:r>
          </w:p>
        </w:tc>
        <w:tc>
          <w:tcPr>
            <w:tcW w:type="dxa" w:w="4536"/>
            <w:vAlign w:val="center"/>
          </w:tcPr>
          <w:p>
            <w:pPr>
              <w:jc w:val="left"/>
            </w:pPr>
            <w:r/>
            <w:r>
              <w:rPr>
                <w:rFonts w:ascii="Calibri" w:hAnsi="Calibri"/>
                <w:color w:val="2D2D2D"/>
                <w:sz w:val="18"/>
              </w:rPr>
              <w:t>Cash, prefunded facilities, approved digital liquidity</w:t>
            </w:r>
          </w:p>
        </w:tc>
      </w:tr>
      <w:tr>
        <w:tc>
          <w:tcPr>
            <w:tcW w:type="dxa" w:w="4536"/>
            <w:shd w:fill="F0F0F0"/>
            <w:vAlign w:val="center"/>
          </w:tcPr>
          <w:p>
            <w:pPr>
              <w:jc w:val="left"/>
            </w:pPr>
            <w:r/>
            <w:r>
              <w:rPr>
                <w:rFonts w:ascii="Calibri" w:hAnsi="Calibri"/>
                <w:color w:val="2D2D2D"/>
                <w:sz w:val="18"/>
              </w:rPr>
              <w:t>Tier 1</w:t>
            </w:r>
          </w:p>
        </w:tc>
        <w:tc>
          <w:tcPr>
            <w:tcW w:type="dxa" w:w="4536"/>
            <w:shd w:fill="F0F0F0"/>
            <w:vAlign w:val="center"/>
          </w:tcPr>
          <w:p>
            <w:pPr>
              <w:jc w:val="left"/>
            </w:pPr>
            <w:r/>
            <w:r>
              <w:rPr>
                <w:rFonts w:ascii="Calibri" w:hAnsi="Calibri"/>
                <w:color w:val="2D2D2D"/>
                <w:sz w:val="18"/>
              </w:rPr>
              <w:t>Short sovereigns</w:t>
            </w:r>
          </w:p>
        </w:tc>
      </w:tr>
      <w:tr>
        <w:tc>
          <w:tcPr>
            <w:tcW w:type="dxa" w:w="4536"/>
            <w:vAlign w:val="center"/>
          </w:tcPr>
          <w:p>
            <w:pPr>
              <w:jc w:val="left"/>
            </w:pPr>
            <w:r/>
            <w:r>
              <w:rPr>
                <w:rFonts w:ascii="Calibri" w:hAnsi="Calibri"/>
                <w:color w:val="2D2D2D"/>
                <w:sz w:val="18"/>
              </w:rPr>
              <w:t>Tier 2</w:t>
            </w:r>
          </w:p>
        </w:tc>
        <w:tc>
          <w:tcPr>
            <w:tcW w:type="dxa" w:w="4536"/>
            <w:vAlign w:val="center"/>
          </w:tcPr>
          <w:p>
            <w:pPr>
              <w:jc w:val="left"/>
            </w:pPr>
            <w:r/>
            <w:r>
              <w:rPr>
                <w:rFonts w:ascii="Calibri" w:hAnsi="Calibri"/>
                <w:color w:val="2D2D2D"/>
                <w:sz w:val="18"/>
              </w:rPr>
              <w:t>Sovereign + FX</w:t>
            </w:r>
          </w:p>
        </w:tc>
      </w:tr>
      <w:tr>
        <w:tc>
          <w:tcPr>
            <w:tcW w:type="dxa" w:w="4536"/>
            <w:shd w:fill="F0F0F0"/>
            <w:vAlign w:val="center"/>
          </w:tcPr>
          <w:p>
            <w:pPr>
              <w:jc w:val="left"/>
            </w:pPr>
            <w:r/>
            <w:r>
              <w:rPr>
                <w:rFonts w:ascii="Calibri" w:hAnsi="Calibri"/>
                <w:color w:val="2D2D2D"/>
                <w:sz w:val="18"/>
              </w:rPr>
              <w:t>Tier 3</w:t>
            </w:r>
          </w:p>
        </w:tc>
        <w:tc>
          <w:tcPr>
            <w:tcW w:type="dxa" w:w="4536"/>
            <w:shd w:fill="F0F0F0"/>
            <w:vAlign w:val="center"/>
          </w:tcPr>
          <w:p>
            <w:pPr>
              <w:jc w:val="left"/>
            </w:pPr>
            <w:r/>
            <w:r>
              <w:rPr>
                <w:rFonts w:ascii="Calibri" w:hAnsi="Calibri"/>
                <w:color w:val="2D2D2D"/>
                <w:sz w:val="18"/>
              </w:rPr>
              <w:t>Conditional metal (silver, if held)</w:t>
            </w:r>
          </w:p>
        </w:tc>
      </w:tr>
      <w:tr>
        <w:tc>
          <w:tcPr>
            <w:tcW w:type="dxa" w:w="4536"/>
            <w:vAlign w:val="center"/>
          </w:tcPr>
          <w:p>
            <w:pPr>
              <w:jc w:val="left"/>
            </w:pPr>
            <w:r/>
            <w:r>
              <w:rPr>
                <w:rFonts w:ascii="Calibri" w:hAnsi="Calibri"/>
                <w:color w:val="2D2D2D"/>
                <w:sz w:val="18"/>
              </w:rPr>
              <w:t>Tier 4</w:t>
            </w:r>
          </w:p>
        </w:tc>
        <w:tc>
          <w:tcPr>
            <w:tcW w:type="dxa" w:w="4536"/>
            <w:vAlign w:val="center"/>
          </w:tcPr>
          <w:p>
            <w:pPr>
              <w:jc w:val="left"/>
            </w:pPr>
            <w:r/>
            <w:r>
              <w:rPr>
                <w:rFonts w:ascii="Calibri" w:hAnsi="Calibri"/>
                <w:color w:val="2D2D2D"/>
                <w:sz w:val="18"/>
              </w:rPr>
              <w:t>Gold (LAST — Article X)</w:t>
            </w:r>
          </w:p>
        </w:tc>
      </w:tr>
    </w:tbl>
    <w:p/>
    <w:p>
      <w:pPr>
        <w:pStyle w:val="Heading3"/>
      </w:pPr>
      <w:r>
        <w:t>§52.2 LSD (Liquidity Stress Distance)</w:t>
      </w:r>
    </w:p>
    <w:p>
      <w:pPr>
        <w:ind w:left="283"/>
        <w:shd w:fill="F5F5F5"/>
      </w:pPr>
      <w:r>
        <w:rPr>
          <w:rFonts w:ascii="Consolas" w:hAnsi="Consolas"/>
          <w:color w:val="6B6B6B"/>
          <w:sz w:val="18"/>
        </w:rPr>
        <w:t>LSD = ImmediateLiquidity / StressDailyRedemption</w:t>
      </w:r>
    </w:p>
    <w:p>
      <w:pPr>
        <w:pStyle w:val="Heading3"/>
      </w:pPr>
      <w:r>
        <w:t>§52.3 Current LSD Range</w:t>
      </w:r>
    </w:p>
    <w:p>
      <w:r>
        <w:t>17.93 → 21.64 days (across ERTF matrix)</w:t>
      </w:r>
    </w:p>
    <w:p>
      <w:pPr>
        <w:pStyle w:val="Heading3"/>
      </w:pPr>
      <w:r>
        <w:t>§52.4 LCR vs LSD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Metric</w:t>
            </w:r>
          </w:p>
        </w:tc>
        <w:tc>
          <w:tcPr>
            <w:tcW w:type="dxa" w:w="4536"/>
            <w:shd w:fill="1A365F"/>
            <w:vAlign w:val="center"/>
          </w:tcPr>
          <w:p>
            <w:pPr>
              <w:jc w:val="left"/>
            </w:pPr>
            <w:r/>
            <w:r>
              <w:rPr>
                <w:rFonts w:ascii="Calibri" w:hAnsi="Calibri"/>
                <w:b/>
                <w:color w:val="FFFFFF"/>
                <w:sz w:val="18"/>
              </w:rPr>
              <w:t>Type</w:t>
            </w:r>
          </w:p>
        </w:tc>
      </w:tr>
      <w:tr>
        <w:tc>
          <w:tcPr>
            <w:tcW w:type="dxa" w:w="4536"/>
            <w:vAlign w:val="center"/>
          </w:tcPr>
          <w:p>
            <w:pPr>
              <w:jc w:val="left"/>
            </w:pPr>
            <w:r/>
            <w:r>
              <w:rPr>
                <w:rFonts w:ascii="Calibri" w:hAnsi="Calibri"/>
                <w:color w:val="2D2D2D"/>
                <w:sz w:val="18"/>
              </w:rPr>
              <w:t>LCR</w:t>
            </w:r>
          </w:p>
        </w:tc>
        <w:tc>
          <w:tcPr>
            <w:tcW w:type="dxa" w:w="4536"/>
            <w:vAlign w:val="center"/>
          </w:tcPr>
          <w:p>
            <w:pPr>
              <w:jc w:val="left"/>
            </w:pPr>
            <w:r/>
            <w:r>
              <w:rPr>
                <w:rFonts w:ascii="Calibri" w:hAnsi="Calibri"/>
                <w:color w:val="2D2D2D"/>
                <w:sz w:val="18"/>
              </w:rPr>
              <w:t>Mandatory (regulatory)</w:t>
            </w:r>
          </w:p>
        </w:tc>
      </w:tr>
      <w:tr>
        <w:tc>
          <w:tcPr>
            <w:tcW w:type="dxa" w:w="4536"/>
            <w:shd w:fill="F0F0F0"/>
            <w:vAlign w:val="center"/>
          </w:tcPr>
          <w:p>
            <w:pPr>
              <w:jc w:val="left"/>
            </w:pPr>
            <w:r/>
            <w:r>
              <w:rPr>
                <w:rFonts w:ascii="Calibri" w:hAnsi="Calibri"/>
                <w:color w:val="2D2D2D"/>
                <w:sz w:val="18"/>
              </w:rPr>
              <w:t>LSD</w:t>
            </w:r>
          </w:p>
        </w:tc>
        <w:tc>
          <w:tcPr>
            <w:tcW w:type="dxa" w:w="4536"/>
            <w:shd w:fill="F0F0F0"/>
            <w:vAlign w:val="center"/>
          </w:tcPr>
          <w:p>
            <w:pPr>
              <w:jc w:val="left"/>
            </w:pPr>
            <w:r/>
            <w:r>
              <w:rPr>
                <w:rFonts w:ascii="Calibri" w:hAnsi="Calibri"/>
                <w:color w:val="2D2D2D"/>
                <w:sz w:val="18"/>
              </w:rPr>
              <w:t>Advisory (operational)</w:t>
            </w:r>
          </w:p>
        </w:tc>
      </w:tr>
    </w:tbl>
    <w:p/>
    <w:p>
      <w:pPr>
        <w:pBdr>
          <w:bottom w:val="single" w:sz="12" w:space="1" w:color="C59B1E"/>
        </w:pBdr>
      </w:pPr>
    </w:p>
    <w:p>
      <w:pPr>
        <w:pStyle w:val="Heading2"/>
      </w:pPr>
      <w:r>
        <w:t>§53 — REDEMPTION STRESS</w:t>
      </w:r>
    </w:p>
    <w:p>
      <w:pPr>
        <w:pStyle w:val="Heading3"/>
      </w:pPr>
      <w:r>
        <w:t>§53.1 Redemption Levels Tested</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Level</w:t>
            </w:r>
          </w:p>
        </w:tc>
        <w:tc>
          <w:tcPr>
            <w:tcW w:type="dxa" w:w="4536"/>
            <w:shd w:fill="1A365F"/>
            <w:vAlign w:val="center"/>
          </w:tcPr>
          <w:p>
            <w:pPr>
              <w:jc w:val="left"/>
            </w:pPr>
            <w:r/>
            <w:r>
              <w:rPr>
                <w:rFonts w:ascii="Calibri" w:hAnsi="Calibri"/>
                <w:b/>
                <w:color w:val="FFFFFF"/>
                <w:sz w:val="18"/>
              </w:rPr>
              <w:t>% of Supply</w:t>
            </w:r>
          </w:p>
        </w:tc>
      </w:tr>
      <w:tr>
        <w:tc>
          <w:tcPr>
            <w:tcW w:type="dxa" w:w="4536"/>
            <w:vAlign w:val="center"/>
          </w:tcPr>
          <w:p>
            <w:pPr>
              <w:jc w:val="left"/>
            </w:pPr>
            <w:r/>
            <w:r>
              <w:rPr>
                <w:rFonts w:ascii="Calibri" w:hAnsi="Calibri"/>
                <w:color w:val="2D2D2D"/>
                <w:sz w:val="18"/>
              </w:rPr>
              <w:t>1</w:t>
            </w:r>
          </w:p>
        </w:tc>
        <w:tc>
          <w:tcPr>
            <w:tcW w:type="dxa" w:w="4536"/>
            <w:vAlign w:val="center"/>
          </w:tcPr>
          <w:p>
            <w:pPr>
              <w:jc w:val="left"/>
            </w:pPr>
            <w:r/>
            <w:r>
              <w:rPr>
                <w:rFonts w:ascii="Calibri" w:hAnsi="Calibri"/>
                <w:color w:val="2D2D2D"/>
                <w:sz w:val="18"/>
              </w:rPr>
              <w:t>10%</w:t>
            </w:r>
          </w:p>
        </w:tc>
      </w:tr>
      <w:tr>
        <w:tc>
          <w:tcPr>
            <w:tcW w:type="dxa" w:w="4536"/>
            <w:shd w:fill="F0F0F0"/>
            <w:vAlign w:val="center"/>
          </w:tcPr>
          <w:p>
            <w:pPr>
              <w:jc w:val="left"/>
            </w:pPr>
            <w:r/>
            <w:r>
              <w:rPr>
                <w:rFonts w:ascii="Calibri" w:hAnsi="Calibri"/>
                <w:color w:val="2D2D2D"/>
                <w:sz w:val="18"/>
              </w:rPr>
              <w:t>2</w:t>
            </w:r>
          </w:p>
        </w:tc>
        <w:tc>
          <w:tcPr>
            <w:tcW w:type="dxa" w:w="4536"/>
            <w:shd w:fill="F0F0F0"/>
            <w:vAlign w:val="center"/>
          </w:tcPr>
          <w:p>
            <w:pPr>
              <w:jc w:val="left"/>
            </w:pPr>
            <w:r/>
            <w:r>
              <w:rPr>
                <w:rFonts w:ascii="Calibri" w:hAnsi="Calibri"/>
                <w:color w:val="2D2D2D"/>
                <w:sz w:val="18"/>
              </w:rPr>
              <w:t>20%</w:t>
            </w:r>
          </w:p>
        </w:tc>
      </w:tr>
      <w:tr>
        <w:tc>
          <w:tcPr>
            <w:tcW w:type="dxa" w:w="4536"/>
            <w:vAlign w:val="center"/>
          </w:tcPr>
          <w:p>
            <w:pPr>
              <w:jc w:val="left"/>
            </w:pPr>
            <w:r/>
            <w:r>
              <w:rPr>
                <w:rFonts w:ascii="Calibri" w:hAnsi="Calibri"/>
                <w:color w:val="2D2D2D"/>
                <w:sz w:val="18"/>
              </w:rPr>
              <w:t>3</w:t>
            </w:r>
          </w:p>
        </w:tc>
        <w:tc>
          <w:tcPr>
            <w:tcW w:type="dxa" w:w="4536"/>
            <w:vAlign w:val="center"/>
          </w:tcPr>
          <w:p>
            <w:pPr>
              <w:jc w:val="left"/>
            </w:pPr>
            <w:r/>
            <w:r>
              <w:rPr>
                <w:rFonts w:ascii="Calibri" w:hAnsi="Calibri"/>
                <w:color w:val="2D2D2D"/>
                <w:sz w:val="18"/>
              </w:rPr>
              <w:t>30%</w:t>
            </w:r>
          </w:p>
        </w:tc>
      </w:tr>
      <w:tr>
        <w:tc>
          <w:tcPr>
            <w:tcW w:type="dxa" w:w="4536"/>
            <w:shd w:fill="F0F0F0"/>
            <w:vAlign w:val="center"/>
          </w:tcPr>
          <w:p>
            <w:pPr>
              <w:jc w:val="left"/>
            </w:pPr>
            <w:r/>
            <w:r>
              <w:rPr>
                <w:rFonts w:ascii="Calibri" w:hAnsi="Calibri"/>
                <w:color w:val="2D2D2D"/>
                <w:sz w:val="18"/>
              </w:rPr>
              <w:t>4</w:t>
            </w:r>
          </w:p>
        </w:tc>
        <w:tc>
          <w:tcPr>
            <w:tcW w:type="dxa" w:w="4536"/>
            <w:shd w:fill="F0F0F0"/>
            <w:vAlign w:val="center"/>
          </w:tcPr>
          <w:p>
            <w:pPr>
              <w:jc w:val="left"/>
            </w:pPr>
            <w:r/>
            <w:r>
              <w:rPr>
                <w:rFonts w:ascii="Calibri" w:hAnsi="Calibri"/>
                <w:color w:val="2D2D2D"/>
                <w:sz w:val="18"/>
              </w:rPr>
              <w:t>50%</w:t>
            </w:r>
          </w:p>
        </w:tc>
      </w:tr>
      <w:tr>
        <w:tc>
          <w:tcPr>
            <w:tcW w:type="dxa" w:w="4536"/>
            <w:vAlign w:val="center"/>
          </w:tcPr>
          <w:p>
            <w:pPr>
              <w:jc w:val="left"/>
            </w:pPr>
            <w:r/>
            <w:r>
              <w:rPr>
                <w:rFonts w:ascii="Calibri" w:hAnsi="Calibri"/>
                <w:color w:val="2D2D2D"/>
                <w:sz w:val="18"/>
              </w:rPr>
              <w:t>5</w:t>
            </w:r>
          </w:p>
        </w:tc>
        <w:tc>
          <w:tcPr>
            <w:tcW w:type="dxa" w:w="4536"/>
            <w:vAlign w:val="center"/>
          </w:tcPr>
          <w:p>
            <w:pPr>
              <w:jc w:val="left"/>
            </w:pPr>
            <w:r/>
            <w:r>
              <w:rPr>
                <w:rFonts w:ascii="Calibri" w:hAnsi="Calibri"/>
                <w:color w:val="2D2D2D"/>
                <w:sz w:val="18"/>
              </w:rPr>
              <w:t>80%</w:t>
            </w:r>
          </w:p>
        </w:tc>
      </w:tr>
    </w:tbl>
    <w:p/>
    <w:p>
      <w:pPr>
        <w:pStyle w:val="Heading3"/>
      </w:pPr>
      <w:r>
        <w:t>§53.2 Time Horizons</w:t>
      </w:r>
    </w:p>
    <w:p>
      <w:pPr>
        <w:pStyle w:val="ListBullet"/>
        <w:ind w:left="425"/>
      </w:pPr>
      <w:r>
        <w:t>48h</w:t>
      </w:r>
    </w:p>
    <w:p>
      <w:pPr>
        <w:pStyle w:val="ListBullet"/>
        <w:ind w:left="425"/>
      </w:pPr>
      <w:r>
        <w:t>7d</w:t>
      </w:r>
    </w:p>
    <w:p>
      <w:pPr>
        <w:pStyle w:val="ListBullet"/>
        <w:ind w:left="425"/>
      </w:pPr>
      <w:r>
        <w:t>30d</w:t>
      </w:r>
    </w:p>
    <w:p>
      <w:pPr>
        <w:pStyle w:val="Heading3"/>
      </w:pPr>
      <w:r>
        <w:t>§53.3 Article X Gold Protection</w:t>
      </w:r>
    </w:p>
    <w:p>
      <w:r>
        <w:rPr>
          <w:b/>
        </w:rPr>
        <w:t>VERIFIED:</w:t>
      </w:r>
      <w:r>
        <w:t xml:space="preserve"> 50% redemption covered without selling gold.</w:t>
      </w:r>
    </w:p>
    <w:p>
      <w:pPr>
        <w:pStyle w:val="ListBullet"/>
        <w:ind w:left="425"/>
      </w:pPr>
      <w:r>
        <w:t>Tier 0-3 liquidatable = $37.96M</w:t>
      </w:r>
    </w:p>
    <w:p>
      <w:pPr>
        <w:pStyle w:val="ListBullet"/>
        <w:ind w:left="425"/>
      </w:pPr>
      <w:r>
        <w:t>50% redemption = $27.00M</w:t>
      </w:r>
    </w:p>
    <w:p>
      <w:pPr>
        <w:pStyle w:val="ListBullet"/>
        <w:ind w:left="425"/>
      </w:pPr>
      <w:r>
        <w:t>$37.96M &gt; $27.00M ✅</w:t>
      </w:r>
    </w:p>
    <w:p>
      <w:pPr>
        <w:pBdr>
          <w:bottom w:val="single" w:sz="12" w:space="1" w:color="C59B1E"/>
        </w:pBdr>
      </w:pPr>
    </w:p>
    <w:p>
      <w:pPr>
        <w:pStyle w:val="Heading2"/>
      </w:pPr>
      <w:r>
        <w:t>§54 — DETERMINISTIC TESTS (A-E)</w:t>
      </w:r>
    </w:p>
    <w:p>
      <w:pPr>
        <w:pStyle w:val="Heading3"/>
      </w:pPr>
      <w:r>
        <w:t>§54.1 Five Tests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A365F"/>
            <w:vAlign w:val="center"/>
          </w:tcPr>
          <w:p>
            <w:pPr>
              <w:jc w:val="left"/>
            </w:pPr>
            <w:r/>
            <w:r>
              <w:rPr>
                <w:rFonts w:ascii="Calibri" w:hAnsi="Calibri"/>
                <w:b/>
                <w:color w:val="FFFFFF"/>
                <w:sz w:val="18"/>
              </w:rPr>
              <w:t>Test</w:t>
            </w:r>
          </w:p>
        </w:tc>
        <w:tc>
          <w:tcPr>
            <w:tcW w:type="dxa" w:w="1814"/>
            <w:shd w:fill="1A365F"/>
            <w:vAlign w:val="center"/>
          </w:tcPr>
          <w:p>
            <w:pPr>
              <w:jc w:val="left"/>
            </w:pPr>
            <w:r/>
            <w:r>
              <w:rPr>
                <w:rFonts w:ascii="Calibri" w:hAnsi="Calibri"/>
                <w:b/>
                <w:color w:val="FFFFFF"/>
                <w:sz w:val="18"/>
              </w:rPr>
              <w:t>Scenario</w:t>
            </w:r>
          </w:p>
        </w:tc>
        <w:tc>
          <w:tcPr>
            <w:tcW w:type="dxa" w:w="1814"/>
            <w:shd w:fill="1A365F"/>
            <w:vAlign w:val="center"/>
          </w:tcPr>
          <w:p>
            <w:pPr>
              <w:jc w:val="left"/>
            </w:pPr>
            <w:r/>
            <w:r>
              <w:rPr>
                <w:rFonts w:ascii="Calibri" w:hAnsi="Calibri"/>
                <w:b/>
                <w:color w:val="FFFFFF"/>
                <w:sz w:val="18"/>
              </w:rPr>
              <w:t>Expected</w:t>
            </w:r>
          </w:p>
        </w:tc>
        <w:tc>
          <w:tcPr>
            <w:tcW w:type="dxa" w:w="1814"/>
            <w:shd w:fill="1A365F"/>
            <w:vAlign w:val="center"/>
          </w:tcPr>
          <w:p>
            <w:pPr>
              <w:jc w:val="left"/>
            </w:pPr>
            <w:r/>
            <w:r>
              <w:rPr>
                <w:rFonts w:ascii="Calibri" w:hAnsi="Calibri"/>
                <w:b/>
                <w:color w:val="FFFFFF"/>
                <w:sz w:val="18"/>
              </w:rPr>
              <w:t>Actual</w:t>
            </w:r>
          </w:p>
        </w:tc>
        <w:tc>
          <w:tcPr>
            <w:tcW w:type="dxa" w:w="1814"/>
            <w:shd w:fill="1A365F"/>
            <w:vAlign w:val="center"/>
          </w:tcPr>
          <w:p>
            <w:pPr>
              <w:jc w:val="left"/>
            </w:pPr>
            <w:r/>
            <w:r>
              <w:rPr>
                <w:rFonts w:ascii="Calibri" w:hAnsi="Calibri"/>
                <w:b/>
                <w:color w:val="FFFFFF"/>
                <w:sz w:val="18"/>
              </w:rPr>
              <w:t>Status</w:t>
            </w:r>
          </w:p>
        </w:tc>
      </w:tr>
      <w:tr>
        <w:tc>
          <w:tcPr>
            <w:tcW w:type="dxa" w:w="1814"/>
            <w:vAlign w:val="center"/>
          </w:tcPr>
          <w:p>
            <w:pPr>
              <w:jc w:val="left"/>
            </w:pPr>
            <w:r/>
            <w:r>
              <w:rPr>
                <w:rFonts w:ascii="Calibri" w:hAnsi="Calibri"/>
                <w:color w:val="2D2D2D"/>
                <w:sz w:val="18"/>
              </w:rPr>
              <w:t>A</w:t>
            </w:r>
          </w:p>
        </w:tc>
        <w:tc>
          <w:tcPr>
            <w:tcW w:type="dxa" w:w="1814"/>
            <w:vAlign w:val="center"/>
          </w:tcPr>
          <w:p>
            <w:pPr>
              <w:jc w:val="left"/>
            </w:pPr>
            <w:r/>
            <w:r>
              <w:rPr>
                <w:rFonts w:ascii="Calibri" w:hAnsi="Calibri"/>
                <w:color w:val="2D2D2D"/>
                <w:sz w:val="18"/>
              </w:rPr>
              <w:t>RR=1.02 + 2% loss</w:t>
            </w:r>
          </w:p>
        </w:tc>
        <w:tc>
          <w:tcPr>
            <w:tcW w:type="dxa" w:w="1814"/>
            <w:vAlign w:val="center"/>
          </w:tcPr>
          <w:p>
            <w:pPr>
              <w:jc w:val="left"/>
            </w:pPr>
            <w:r/>
            <w:r>
              <w:rPr>
                <w:rFonts w:ascii="Calibri" w:hAnsi="Calibri"/>
                <w:color w:val="2D2D2D"/>
                <w:sz w:val="18"/>
              </w:rPr>
              <w:t>MUST FAIL</w:t>
            </w:r>
          </w:p>
        </w:tc>
        <w:tc>
          <w:tcPr>
            <w:tcW w:type="dxa" w:w="1814"/>
            <w:vAlign w:val="center"/>
          </w:tcPr>
          <w:p>
            <w:pPr>
              <w:jc w:val="left"/>
            </w:pPr>
            <w:r/>
            <w:r>
              <w:rPr>
                <w:rFonts w:ascii="Calibri" w:hAnsi="Calibri"/>
                <w:color w:val="2D2D2D"/>
                <w:sz w:val="18"/>
              </w:rPr>
              <w:t>99.96%</w:t>
            </w:r>
          </w:p>
        </w:tc>
        <w:tc>
          <w:tcPr>
            <w:tcW w:type="dxa" w:w="1814"/>
            <w:vAlign w:val="center"/>
          </w:tcPr>
          <w:p>
            <w:pPr>
              <w:jc w:val="left"/>
            </w:pPr>
            <w:r/>
            <w:r>
              <w:rPr>
                <w:rFonts w:ascii="Calibri" w:hAnsi="Calibri"/>
                <w:color w:val="2D2D2D"/>
                <w:sz w:val="18"/>
              </w:rPr>
              <w:t>✅ PASS (fails as expected)</w:t>
            </w:r>
          </w:p>
        </w:tc>
      </w:tr>
      <w:tr>
        <w:tc>
          <w:tcPr>
            <w:tcW w:type="dxa" w:w="1814"/>
            <w:shd w:fill="F0F0F0"/>
            <w:vAlign w:val="center"/>
          </w:tcPr>
          <w:p>
            <w:pPr>
              <w:jc w:val="left"/>
            </w:pPr>
            <w:r/>
            <w:r>
              <w:rPr>
                <w:rFonts w:ascii="Calibri" w:hAnsi="Calibri"/>
                <w:color w:val="2D2D2D"/>
                <w:sz w:val="18"/>
              </w:rPr>
              <w:t>B</w:t>
            </w:r>
          </w:p>
        </w:tc>
        <w:tc>
          <w:tcPr>
            <w:tcW w:type="dxa" w:w="1814"/>
            <w:shd w:fill="F0F0F0"/>
            <w:vAlign w:val="center"/>
          </w:tcPr>
          <w:p>
            <w:pPr>
              <w:jc w:val="left"/>
            </w:pPr>
            <w:r/>
            <w:r>
              <w:rPr>
                <w:rFonts w:ascii="Calibri" w:hAnsi="Calibri"/>
                <w:color w:val="2D2D2D"/>
                <w:sz w:val="18"/>
              </w:rPr>
              <w:t>RR=1.004 + 30% prop. redeem</w:t>
            </w:r>
          </w:p>
        </w:tc>
        <w:tc>
          <w:tcPr>
            <w:tcW w:type="dxa" w:w="1814"/>
            <w:shd w:fill="F0F0F0"/>
            <w:vAlign w:val="center"/>
          </w:tcPr>
          <w:p>
            <w:pPr>
              <w:jc w:val="left"/>
            </w:pPr>
            <w:r/>
            <w:r>
              <w:rPr>
                <w:rFonts w:ascii="Calibri" w:hAnsi="Calibri"/>
                <w:color w:val="2D2D2D"/>
                <w:sz w:val="18"/>
              </w:rPr>
              <w:t>RR preserved</w:t>
            </w:r>
          </w:p>
        </w:tc>
        <w:tc>
          <w:tcPr>
            <w:tcW w:type="dxa" w:w="1814"/>
            <w:shd w:fill="F0F0F0"/>
            <w:vAlign w:val="center"/>
          </w:tcPr>
          <w:p>
            <w:pPr>
              <w:jc w:val="left"/>
            </w:pPr>
            <w:r/>
            <w:r>
              <w:rPr>
                <w:rFonts w:ascii="Calibri" w:hAnsi="Calibri"/>
                <w:color w:val="2D2D2D"/>
                <w:sz w:val="18"/>
              </w:rPr>
              <w:t>100.40%</w:t>
            </w:r>
          </w:p>
        </w:tc>
        <w:tc>
          <w:tcPr>
            <w:tcW w:type="dxa" w:w="1814"/>
            <w:shd w:fill="F0F0F0"/>
            <w:vAlign w:val="center"/>
          </w:tcPr>
          <w:p>
            <w:pPr>
              <w:jc w:val="left"/>
            </w:pPr>
            <w:r/>
            <w:r>
              <w:rPr>
                <w:rFonts w:ascii="Calibri" w:hAnsi="Calibri"/>
                <w:color w:val="2D2D2D"/>
                <w:sz w:val="18"/>
              </w:rPr>
              <w:t>✅ PASS</w:t>
            </w:r>
          </w:p>
        </w:tc>
      </w:tr>
      <w:tr>
        <w:tc>
          <w:tcPr>
            <w:tcW w:type="dxa" w:w="1814"/>
            <w:vAlign w:val="center"/>
          </w:tcPr>
          <w:p>
            <w:pPr>
              <w:jc w:val="left"/>
            </w:pPr>
            <w:r/>
            <w:r>
              <w:rPr>
                <w:rFonts w:ascii="Calibri" w:hAnsi="Calibri"/>
                <w:color w:val="2D2D2D"/>
                <w:sz w:val="18"/>
              </w:rPr>
              <w:t>C</w:t>
            </w:r>
          </w:p>
        </w:tc>
        <w:tc>
          <w:tcPr>
            <w:tcW w:type="dxa" w:w="1814"/>
            <w:vAlign w:val="center"/>
          </w:tcPr>
          <w:p>
            <w:pPr>
              <w:jc w:val="left"/>
            </w:pPr>
            <w:r/>
            <w:r>
              <w:rPr>
                <w:rFonts w:ascii="Calibri" w:hAnsi="Calibri"/>
                <w:color w:val="2D2D2D"/>
                <w:sz w:val="18"/>
              </w:rPr>
              <w:t>RR=1.004 + 1% market loss</w:t>
            </w:r>
          </w:p>
        </w:tc>
        <w:tc>
          <w:tcPr>
            <w:tcW w:type="dxa" w:w="1814"/>
            <w:vAlign w:val="center"/>
          </w:tcPr>
          <w:p>
            <w:pPr>
              <w:jc w:val="left"/>
            </w:pPr>
            <w:r/>
            <w:r>
              <w:rPr>
                <w:rFonts w:ascii="Calibri" w:hAnsi="Calibri"/>
                <w:color w:val="2D2D2D"/>
                <w:sz w:val="18"/>
              </w:rPr>
              <w:t>MUST FAIL</w:t>
            </w:r>
          </w:p>
        </w:tc>
        <w:tc>
          <w:tcPr>
            <w:tcW w:type="dxa" w:w="1814"/>
            <w:vAlign w:val="center"/>
          </w:tcPr>
          <w:p>
            <w:pPr>
              <w:jc w:val="left"/>
            </w:pPr>
            <w:r/>
            <w:r>
              <w:rPr>
                <w:rFonts w:ascii="Calibri" w:hAnsi="Calibri"/>
                <w:color w:val="2D2D2D"/>
                <w:sz w:val="18"/>
              </w:rPr>
              <w:t>99.40%</w:t>
            </w:r>
          </w:p>
        </w:tc>
        <w:tc>
          <w:tcPr>
            <w:tcW w:type="dxa" w:w="1814"/>
            <w:vAlign w:val="center"/>
          </w:tcPr>
          <w:p>
            <w:pPr>
              <w:jc w:val="left"/>
            </w:pPr>
            <w:r/>
            <w:r>
              <w:rPr>
                <w:rFonts w:ascii="Calibri" w:hAnsi="Calibri"/>
                <w:color w:val="2D2D2D"/>
                <w:sz w:val="18"/>
              </w:rPr>
              <w:t>✅ PASS (fails as expected)</w:t>
            </w:r>
          </w:p>
        </w:tc>
      </w:tr>
      <w:tr>
        <w:tc>
          <w:tcPr>
            <w:tcW w:type="dxa" w:w="1814"/>
            <w:shd w:fill="F0F0F0"/>
            <w:vAlign w:val="center"/>
          </w:tcPr>
          <w:p>
            <w:pPr>
              <w:jc w:val="left"/>
            </w:pPr>
            <w:r/>
            <w:r>
              <w:rPr>
                <w:rFonts w:ascii="Calibri" w:hAnsi="Calibri"/>
                <w:color w:val="2D2D2D"/>
                <w:sz w:val="18"/>
              </w:rPr>
              <w:t>D</w:t>
            </w:r>
          </w:p>
        </w:tc>
        <w:tc>
          <w:tcPr>
            <w:tcW w:type="dxa" w:w="1814"/>
            <w:shd w:fill="F0F0F0"/>
            <w:vAlign w:val="center"/>
          </w:tcPr>
          <w:p>
            <w:pPr>
              <w:jc w:val="left"/>
            </w:pPr>
            <w:r/>
            <w:r>
              <w:rPr>
                <w:rFonts w:ascii="Calibri" w:hAnsi="Calibri"/>
                <w:color w:val="2D2D2D"/>
                <w:sz w:val="18"/>
              </w:rPr>
              <w:t>5% custody + 100% LGD + no ERTF</w:t>
            </w:r>
          </w:p>
        </w:tc>
        <w:tc>
          <w:tcPr>
            <w:tcW w:type="dxa" w:w="1814"/>
            <w:shd w:fill="F0F0F0"/>
            <w:vAlign w:val="center"/>
          </w:tcPr>
          <w:p>
            <w:pPr>
              <w:jc w:val="left"/>
            </w:pPr>
            <w:r/>
            <w:r>
              <w:rPr>
                <w:rFonts w:ascii="Calibri" w:hAnsi="Calibri"/>
                <w:color w:val="2D2D2D"/>
                <w:sz w:val="18"/>
              </w:rPr>
              <w:t>MUST FAIL</w:t>
            </w:r>
          </w:p>
        </w:tc>
        <w:tc>
          <w:tcPr>
            <w:tcW w:type="dxa" w:w="1814"/>
            <w:shd w:fill="F0F0F0"/>
            <w:vAlign w:val="center"/>
          </w:tcPr>
          <w:p>
            <w:pPr>
              <w:jc w:val="left"/>
            </w:pPr>
            <w:r/>
            <w:r>
              <w:rPr>
                <w:rFonts w:ascii="Calibri" w:hAnsi="Calibri"/>
                <w:color w:val="2D2D2D"/>
                <w:sz w:val="18"/>
              </w:rPr>
              <w:t>96.90%</w:t>
            </w:r>
          </w:p>
        </w:tc>
        <w:tc>
          <w:tcPr>
            <w:tcW w:type="dxa" w:w="1814"/>
            <w:shd w:fill="F0F0F0"/>
            <w:vAlign w:val="center"/>
          </w:tcPr>
          <w:p>
            <w:pPr>
              <w:jc w:val="left"/>
            </w:pPr>
            <w:r/>
            <w:r>
              <w:rPr>
                <w:rFonts w:ascii="Calibri" w:hAnsi="Calibri"/>
                <w:color w:val="2D2D2D"/>
                <w:sz w:val="18"/>
              </w:rPr>
              <w:t>✅ PASS (fails as expected)</w:t>
            </w:r>
          </w:p>
        </w:tc>
      </w:tr>
      <w:tr>
        <w:tc>
          <w:tcPr>
            <w:tcW w:type="dxa" w:w="1814"/>
            <w:vAlign w:val="center"/>
          </w:tcPr>
          <w:p>
            <w:pPr>
              <w:jc w:val="left"/>
            </w:pPr>
            <w:r/>
            <w:r>
              <w:rPr>
                <w:rFonts w:ascii="Calibri" w:hAnsi="Calibri"/>
                <w:color w:val="2D2D2D"/>
                <w:sz w:val="18"/>
              </w:rPr>
              <w:t>E</w:t>
            </w:r>
          </w:p>
        </w:tc>
        <w:tc>
          <w:tcPr>
            <w:tcW w:type="dxa" w:w="1814"/>
            <w:vAlign w:val="center"/>
          </w:tcPr>
          <w:p>
            <w:pPr>
              <w:jc w:val="left"/>
            </w:pPr>
            <w:r/>
            <w:r>
              <w:rPr>
                <w:rFonts w:ascii="Calibri" w:hAnsi="Calibri"/>
                <w:color w:val="2D2D2D"/>
                <w:sz w:val="18"/>
              </w:rPr>
              <w:t>100% tokenized-gold impairment</w:t>
            </w:r>
          </w:p>
        </w:tc>
        <w:tc>
          <w:tcPr>
            <w:tcW w:type="dxa" w:w="1814"/>
            <w:vAlign w:val="center"/>
          </w:tcPr>
          <w:p>
            <w:pPr>
              <w:jc w:val="left"/>
            </w:pPr>
            <w:r/>
            <w:r>
              <w:rPr>
                <w:rFonts w:ascii="Calibri" w:hAnsi="Calibri"/>
                <w:color w:val="2D2D2D"/>
                <w:sz w:val="18"/>
              </w:rPr>
              <w:t>Physical intact, anti-double-counting holds</w:t>
            </w:r>
          </w:p>
        </w:tc>
        <w:tc>
          <w:tcPr>
            <w:tcW w:type="dxa" w:w="1814"/>
            <w:vAlign w:val="center"/>
          </w:tcPr>
          <w:p>
            <w:pPr>
              <w:jc w:val="left"/>
            </w:pPr>
            <w:r/>
            <w:r>
              <w:rPr>
                <w:rFonts w:ascii="Calibri" w:hAnsi="Calibri"/>
                <w:color w:val="2D2D2D"/>
                <w:sz w:val="18"/>
              </w:rPr>
              <w:t>97.08%</w:t>
            </w:r>
          </w:p>
        </w:tc>
        <w:tc>
          <w:tcPr>
            <w:tcW w:type="dxa" w:w="1814"/>
            <w:vAlign w:val="center"/>
          </w:tcPr>
          <w:p>
            <w:pPr>
              <w:jc w:val="left"/>
            </w:pPr>
            <w:r/>
            <w:r>
              <w:rPr>
                <w:rFonts w:ascii="Calibri" w:hAnsi="Calibri"/>
                <w:color w:val="2D2D2D"/>
                <w:sz w:val="18"/>
              </w:rPr>
              <w:t>✅ PASS</w:t>
            </w:r>
          </w:p>
        </w:tc>
      </w:tr>
    </w:tbl>
    <w:p/>
    <w:p>
      <w:pPr>
        <w:pStyle w:val="Heading3"/>
      </w:pPr>
      <w:r>
        <w:t>§54.2 Key Proof</w:t>
      </w:r>
    </w:p>
    <w:p>
      <w:r>
        <w:t xml:space="preserve">The 102% ceiling is </w:t>
      </w:r>
      <w:r>
        <w:rPr>
          <w:b/>
        </w:rPr>
        <w:t>NOT immune</w:t>
      </w:r>
      <w:r>
        <w:t xml:space="preserve"> to small losses:</w:t>
      </w:r>
    </w:p>
    <w:p>
      <w:pPr>
        <w:pStyle w:val="ListBullet"/>
        <w:ind w:left="425"/>
      </w:pPr>
      <w:r>
        <w:t>2% loss from 102% → 99.96% (FAIL)</w:t>
      </w:r>
    </w:p>
    <w:p>
      <w:pPr>
        <w:pStyle w:val="ListBullet"/>
        <w:ind w:left="425"/>
      </w:pPr>
      <w:r>
        <w:t>1% loss from 100.4% → 99.40% (FAIL)</w:t>
      </w:r>
    </w:p>
    <w:p>
      <w:r>
        <w:t>This is why RR_strategic = 120% is correct.</w:t>
      </w:r>
    </w:p>
    <w:p>
      <w:pPr>
        <w:pBdr>
          <w:bottom w:val="single" w:sz="12" w:space="1" w:color="C59B1E"/>
        </w:pBdr>
      </w:pPr>
    </w:p>
    <w:p>
      <w:pPr>
        <w:pStyle w:val="Heading2"/>
      </w:pPr>
      <w:r>
        <w:t>§55 — PRODUCT HIERARCHY (9-Layer Stack)</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Layer</w:t>
            </w:r>
          </w:p>
        </w:tc>
        <w:tc>
          <w:tcPr>
            <w:tcW w:type="dxa" w:w="3024"/>
            <w:shd w:fill="1A365F"/>
            <w:vAlign w:val="center"/>
          </w:tcPr>
          <w:p>
            <w:pPr>
              <w:jc w:val="left"/>
            </w:pPr>
            <w:r/>
            <w:r>
              <w:rPr>
                <w:rFonts w:ascii="Calibri" w:hAnsi="Calibri"/>
                <w:b/>
                <w:color w:val="FFFFFF"/>
                <w:sz w:val="18"/>
              </w:rPr>
              <w:t>Name</w:t>
            </w:r>
          </w:p>
        </w:tc>
        <w:tc>
          <w:tcPr>
            <w:tcW w:type="dxa" w:w="3024"/>
            <w:shd w:fill="1A365F"/>
            <w:vAlign w:val="center"/>
          </w:tcPr>
          <w:p>
            <w:pPr>
              <w:jc w:val="left"/>
            </w:pPr>
            <w:r/>
            <w:r>
              <w:rPr>
                <w:rFonts w:ascii="Calibri" w:hAnsi="Calibri"/>
                <w:b/>
                <w:color w:val="FFFFFF"/>
                <w:sz w:val="18"/>
              </w:rPr>
              <w:t>Description</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MITHQAL</w:t>
            </w:r>
          </w:p>
        </w:tc>
        <w:tc>
          <w:tcPr>
            <w:tcW w:type="dxa" w:w="3024"/>
            <w:vAlign w:val="center"/>
          </w:tcPr>
          <w:p>
            <w:pPr>
              <w:jc w:val="left"/>
            </w:pPr>
            <w:r/>
            <w:r>
              <w:rPr>
                <w:rFonts w:ascii="Calibri" w:hAnsi="Calibri"/>
                <w:color w:val="2D2D2D"/>
                <w:sz w:val="18"/>
              </w:rPr>
              <w:t>The institutional infrastructure</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MTQ</w:t>
            </w:r>
          </w:p>
        </w:tc>
        <w:tc>
          <w:tcPr>
            <w:tcW w:type="dxa" w:w="3024"/>
            <w:shd w:fill="F0F0F0"/>
            <w:vAlign w:val="center"/>
          </w:tcPr>
          <w:p>
            <w:pPr>
              <w:jc w:val="left"/>
            </w:pPr>
            <w:r/>
            <w:r>
              <w:rPr>
                <w:rFonts w:ascii="Calibri" w:hAnsi="Calibri"/>
                <w:color w:val="2D2D2D"/>
                <w:sz w:val="18"/>
              </w:rPr>
              <w:t>The neutral settlement instrument</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MTQ Institutional Settlement Account</w:t>
            </w:r>
          </w:p>
        </w:tc>
        <w:tc>
          <w:tcPr>
            <w:tcW w:type="dxa" w:w="3024"/>
            <w:vAlign w:val="center"/>
          </w:tcPr>
          <w:p>
            <w:pPr>
              <w:jc w:val="left"/>
            </w:pPr>
            <w:r/>
            <w:r>
              <w:rPr>
                <w:rFonts w:ascii="Calibri" w:hAnsi="Calibri"/>
                <w:color w:val="2D2D2D"/>
                <w:sz w:val="18"/>
              </w:rPr>
              <w:t>Bank-linked corporate settlement position</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MITHQAL Issuance Engine</w:t>
            </w:r>
          </w:p>
        </w:tc>
        <w:tc>
          <w:tcPr>
            <w:tcW w:type="dxa" w:w="3024"/>
            <w:shd w:fill="F0F0F0"/>
            <w:vAlign w:val="center"/>
          </w:tcPr>
          <w:p>
            <w:pPr>
              <w:jc w:val="left"/>
            </w:pPr>
            <w:r/>
            <w:r>
              <w:rPr>
                <w:rFonts w:ascii="Calibri" w:hAnsi="Calibri"/>
                <w:color w:val="2D2D2D"/>
                <w:sz w:val="18"/>
              </w:rPr>
              <w:t>Controlled issuance infrastructure</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MITHQAL Settlement Network</w:t>
            </w:r>
          </w:p>
        </w:tc>
        <w:tc>
          <w:tcPr>
            <w:tcW w:type="dxa" w:w="3024"/>
            <w:vAlign w:val="center"/>
          </w:tcPr>
          <w:p>
            <w:pPr>
              <w:jc w:val="left"/>
            </w:pPr>
            <w:r/>
            <w:r>
              <w:rPr>
                <w:rFonts w:ascii="Calibri" w:hAnsi="Calibri"/>
                <w:color w:val="2D2D2D"/>
                <w:sz w:val="18"/>
              </w:rPr>
              <w:t>Cross-border institutional settlement</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MITHQAL CBDC Interoperability Layer</w:t>
            </w:r>
          </w:p>
        </w:tc>
        <w:tc>
          <w:tcPr>
            <w:tcW w:type="dxa" w:w="3024"/>
            <w:shd w:fill="F0F0F0"/>
            <w:vAlign w:val="center"/>
          </w:tcPr>
          <w:p>
            <w:pPr>
              <w:jc w:val="left"/>
            </w:pPr>
            <w:r/>
            <w:r>
              <w:rPr>
                <w:rFonts w:ascii="Calibri" w:hAnsi="Calibri"/>
                <w:color w:val="2D2D2D"/>
                <w:sz w:val="18"/>
              </w:rPr>
              <w:t>Wholesale-CBDC/bank interoperability</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MITHQAL Regulatory Policy Engine</w:t>
            </w:r>
          </w:p>
        </w:tc>
        <w:tc>
          <w:tcPr>
            <w:tcW w:type="dxa" w:w="3024"/>
            <w:vAlign w:val="center"/>
          </w:tcPr>
          <w:p>
            <w:pPr>
              <w:jc w:val="left"/>
            </w:pPr>
            <w:r/>
            <w:r>
              <w:rPr>
                <w:rFonts w:ascii="Calibri" w:hAnsi="Calibri"/>
                <w:color w:val="2D2D2D"/>
                <w:sz w:val="18"/>
              </w:rPr>
              <w:t>Jurisdiction controls</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MITHQAL Privacy / Attestation Layer</w:t>
            </w:r>
          </w:p>
        </w:tc>
        <w:tc>
          <w:tcPr>
            <w:tcW w:type="dxa" w:w="3024"/>
            <w:shd w:fill="F0F0F0"/>
            <w:vAlign w:val="center"/>
          </w:tcPr>
          <w:p>
            <w:pPr>
              <w:jc w:val="left"/>
            </w:pPr>
            <w:r/>
            <w:r>
              <w:rPr>
                <w:rFonts w:ascii="Calibri" w:hAnsi="Calibri"/>
                <w:color w:val="2D2D2D"/>
                <w:sz w:val="18"/>
              </w:rPr>
              <w:t>ZK, credentials, selective disclosure</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MITHQAL Reserve Engine</w:t>
            </w:r>
          </w:p>
        </w:tc>
        <w:tc>
          <w:tcPr>
            <w:tcW w:type="dxa" w:w="3024"/>
            <w:vAlign w:val="center"/>
          </w:tcPr>
          <w:p>
            <w:pPr>
              <w:jc w:val="left"/>
            </w:pPr>
            <w:r/>
            <w:r>
              <w:rPr>
                <w:rFonts w:ascii="Calibri" w:hAnsi="Calibri"/>
                <w:color w:val="2D2D2D"/>
                <w:sz w:val="18"/>
              </w:rPr>
              <w:t>Reserves, solvency, liquidity and rebalancing</w:t>
            </w:r>
          </w:p>
        </w:tc>
      </w:tr>
    </w:tbl>
    <w:p/>
    <w:p>
      <w:pPr>
        <w:pBdr>
          <w:bottom w:val="single" w:sz="12" w:space="1" w:color="C59B1E"/>
        </w:pBdr>
      </w:pPr>
    </w:p>
    <w:p>
      <w:pPr>
        <w:pStyle w:val="Heading2"/>
      </w:pPr>
      <w:r>
        <w:t>§56 — AUTHORITY MATRIX</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A365F"/>
            <w:vAlign w:val="center"/>
          </w:tcPr>
          <w:p>
            <w:pPr>
              <w:jc w:val="left"/>
            </w:pPr>
            <w:r/>
            <w:r>
              <w:rPr>
                <w:rFonts w:ascii="Calibri" w:hAnsi="Calibri"/>
                <w:b/>
                <w:color w:val="FFFFFF"/>
                <w:sz w:val="18"/>
              </w:rPr>
              <w:t>Actor</w:t>
            </w:r>
          </w:p>
        </w:tc>
        <w:tc>
          <w:tcPr>
            <w:tcW w:type="dxa" w:w="1134"/>
            <w:shd w:fill="1A365F"/>
            <w:vAlign w:val="center"/>
          </w:tcPr>
          <w:p>
            <w:pPr>
              <w:jc w:val="left"/>
            </w:pPr>
            <w:r/>
            <w:r>
              <w:rPr>
                <w:rFonts w:ascii="Calibri" w:hAnsi="Calibri"/>
                <w:b/>
                <w:color w:val="FFFFFF"/>
                <w:sz w:val="18"/>
              </w:rPr>
              <w:t>Customer KYC</w:t>
            </w:r>
          </w:p>
        </w:tc>
        <w:tc>
          <w:tcPr>
            <w:tcW w:type="dxa" w:w="1134"/>
            <w:shd w:fill="1A365F"/>
            <w:vAlign w:val="center"/>
          </w:tcPr>
          <w:p>
            <w:pPr>
              <w:jc w:val="left"/>
            </w:pPr>
            <w:r/>
            <w:r>
              <w:rPr>
                <w:rFonts w:ascii="Calibri" w:hAnsi="Calibri"/>
                <w:b/>
                <w:color w:val="FFFFFF"/>
                <w:sz w:val="18"/>
              </w:rPr>
              <w:t>MTQ Issuance Request</w:t>
            </w:r>
          </w:p>
        </w:tc>
        <w:tc>
          <w:tcPr>
            <w:tcW w:type="dxa" w:w="1134"/>
            <w:shd w:fill="1A365F"/>
            <w:vAlign w:val="center"/>
          </w:tcPr>
          <w:p>
            <w:pPr>
              <w:jc w:val="left"/>
            </w:pPr>
            <w:r/>
            <w:r>
              <w:rPr>
                <w:rFonts w:ascii="Calibri" w:hAnsi="Calibri"/>
                <w:b/>
                <w:color w:val="FFFFFF"/>
                <w:sz w:val="18"/>
              </w:rPr>
              <w:t>Actual Mint</w:t>
            </w:r>
          </w:p>
        </w:tc>
        <w:tc>
          <w:tcPr>
            <w:tcW w:type="dxa" w:w="1134"/>
            <w:shd w:fill="1A365F"/>
            <w:vAlign w:val="center"/>
          </w:tcPr>
          <w:p>
            <w:pPr>
              <w:jc w:val="left"/>
            </w:pPr>
            <w:r/>
            <w:r>
              <w:rPr>
                <w:rFonts w:ascii="Calibri" w:hAnsi="Calibri"/>
                <w:b/>
                <w:color w:val="FFFFFF"/>
                <w:sz w:val="18"/>
              </w:rPr>
              <w:t>Hold MTQ</w:t>
            </w:r>
          </w:p>
        </w:tc>
        <w:tc>
          <w:tcPr>
            <w:tcW w:type="dxa" w:w="1134"/>
            <w:shd w:fill="1A365F"/>
            <w:vAlign w:val="center"/>
          </w:tcPr>
          <w:p>
            <w:pPr>
              <w:jc w:val="left"/>
            </w:pPr>
            <w:r/>
            <w:r>
              <w:rPr>
                <w:rFonts w:ascii="Calibri" w:hAnsi="Calibri"/>
                <w:b/>
                <w:color w:val="FFFFFF"/>
                <w:sz w:val="18"/>
              </w:rPr>
              <w:t>Transfer MTQ</w:t>
            </w:r>
          </w:p>
        </w:tc>
        <w:tc>
          <w:tcPr>
            <w:tcW w:type="dxa" w:w="1134"/>
            <w:shd w:fill="1A365F"/>
            <w:vAlign w:val="center"/>
          </w:tcPr>
          <w:p>
            <w:pPr>
              <w:jc w:val="left"/>
            </w:pPr>
            <w:r/>
            <w:r>
              <w:rPr>
                <w:rFonts w:ascii="Calibri" w:hAnsi="Calibri"/>
                <w:b/>
                <w:color w:val="FFFFFF"/>
                <w:sz w:val="18"/>
              </w:rPr>
              <w:t>Redeem MTQ</w:t>
            </w:r>
          </w:p>
        </w:tc>
        <w:tc>
          <w:tcPr>
            <w:tcW w:type="dxa" w:w="1134"/>
            <w:shd w:fill="1A365F"/>
            <w:vAlign w:val="center"/>
          </w:tcPr>
          <w:p>
            <w:pPr>
              <w:jc w:val="left"/>
            </w:pPr>
            <w:r/>
            <w:r>
              <w:rPr>
                <w:rFonts w:ascii="Calibri" w:hAnsi="Calibri"/>
                <w:b/>
                <w:color w:val="FFFFFF"/>
                <w:sz w:val="18"/>
              </w:rPr>
              <w:t>Regulatory Visibility</w:t>
            </w:r>
          </w:p>
        </w:tc>
      </w:tr>
      <w:tr>
        <w:tc>
          <w:tcPr>
            <w:tcW w:type="dxa" w:w="1134"/>
            <w:vAlign w:val="center"/>
          </w:tcPr>
          <w:p>
            <w:pPr>
              <w:jc w:val="left"/>
            </w:pPr>
            <w:r/>
            <w:r>
              <w:rPr>
                <w:rFonts w:ascii="Calibri" w:hAnsi="Calibri"/>
                <w:color w:val="2D2D2D"/>
                <w:sz w:val="18"/>
              </w:rPr>
              <w:t>Individual (Retail)</w:t>
            </w:r>
          </w:p>
        </w:tc>
        <w:tc>
          <w:tcPr>
            <w:tcW w:type="dxa" w:w="1134"/>
            <w:vAlign w:val="center"/>
          </w:tcPr>
          <w:p>
            <w:pPr>
              <w:jc w:val="left"/>
            </w:pPr>
            <w:r/>
            <w:r>
              <w:rPr>
                <w:rFonts w:ascii="Calibri" w:hAnsi="Calibri"/>
                <w:color w:val="2D2D2D"/>
                <w:sz w:val="18"/>
              </w:rPr>
              <w:t>Bank</w:t>
            </w:r>
          </w:p>
        </w:tc>
        <w:tc>
          <w:tcPr>
            <w:tcW w:type="dxa" w:w="1134"/>
            <w:vAlign w:val="center"/>
          </w:tcPr>
          <w:p>
            <w:pPr>
              <w:jc w:val="left"/>
            </w:pPr>
            <w:r/>
            <w:r>
              <w:rPr>
                <w:rFonts w:ascii="Calibri" w:hAnsi="Calibri"/>
                <w:color w:val="2D2D2D"/>
                <w:sz w:val="18"/>
              </w:rPr>
              <w:t>No</w:t>
            </w:r>
          </w:p>
        </w:tc>
        <w:tc>
          <w:tcPr>
            <w:tcW w:type="dxa" w:w="1134"/>
            <w:vAlign w:val="center"/>
          </w:tcPr>
          <w:p>
            <w:pPr>
              <w:jc w:val="left"/>
            </w:pPr>
            <w:r/>
            <w:r>
              <w:rPr>
                <w:rFonts w:ascii="Calibri" w:hAnsi="Calibri"/>
                <w:color w:val="2D2D2D"/>
                <w:sz w:val="18"/>
              </w:rPr>
              <w:t>No</w:t>
            </w:r>
          </w:p>
        </w:tc>
        <w:tc>
          <w:tcPr>
            <w:tcW w:type="dxa" w:w="1134"/>
            <w:vAlign w:val="center"/>
          </w:tcPr>
          <w:p>
            <w:pPr>
              <w:jc w:val="left"/>
            </w:pPr>
            <w:r/>
            <w:r>
              <w:rPr>
                <w:rFonts w:ascii="Calibri" w:hAnsi="Calibri"/>
                <w:color w:val="2D2D2D"/>
                <w:sz w:val="18"/>
              </w:rPr>
              <w:t>No direct</w:t>
            </w:r>
          </w:p>
        </w:tc>
        <w:tc>
          <w:tcPr>
            <w:tcW w:type="dxa" w:w="1134"/>
            <w:vAlign w:val="center"/>
          </w:tcPr>
          <w:p>
            <w:pPr>
              <w:jc w:val="left"/>
            </w:pPr>
            <w:r/>
            <w:r>
              <w:rPr>
                <w:rFonts w:ascii="Calibri" w:hAnsi="Calibri"/>
                <w:color w:val="2D2D2D"/>
                <w:sz w:val="18"/>
              </w:rPr>
              <w:t>No direct</w:t>
            </w:r>
          </w:p>
        </w:tc>
        <w:tc>
          <w:tcPr>
            <w:tcW w:type="dxa" w:w="1134"/>
            <w:vAlign w:val="center"/>
          </w:tcPr>
          <w:p>
            <w:pPr>
              <w:jc w:val="left"/>
            </w:pPr>
            <w:r/>
            <w:r>
              <w:rPr>
                <w:rFonts w:ascii="Calibri" w:hAnsi="Calibri"/>
                <w:color w:val="2D2D2D"/>
                <w:sz w:val="18"/>
              </w:rPr>
              <w:t>No</w:t>
            </w:r>
          </w:p>
        </w:tc>
        <w:tc>
          <w:tcPr>
            <w:tcW w:type="dxa" w:w="1134"/>
            <w:vAlign w:val="center"/>
          </w:tcPr>
          <w:p>
            <w:pPr>
              <w:jc w:val="left"/>
            </w:pPr>
            <w:r/>
            <w:r>
              <w:rPr>
                <w:rFonts w:ascii="Calibri" w:hAnsi="Calibri"/>
                <w:color w:val="2D2D2D"/>
                <w:sz w:val="18"/>
              </w:rPr>
              <w:t>Per local law</w:t>
            </w:r>
          </w:p>
        </w:tc>
      </w:tr>
      <w:tr>
        <w:tc>
          <w:tcPr>
            <w:tcW w:type="dxa" w:w="1134"/>
            <w:shd w:fill="F0F0F0"/>
            <w:vAlign w:val="center"/>
          </w:tcPr>
          <w:p>
            <w:pPr>
              <w:jc w:val="left"/>
            </w:pPr>
            <w:r/>
            <w:r>
              <w:rPr>
                <w:rFonts w:ascii="Calibri" w:hAnsi="Calibri"/>
                <w:color w:val="2D2D2D"/>
                <w:sz w:val="18"/>
              </w:rPr>
              <w:t>Corporate</w:t>
            </w:r>
          </w:p>
        </w:tc>
        <w:tc>
          <w:tcPr>
            <w:tcW w:type="dxa" w:w="1134"/>
            <w:shd w:fill="F0F0F0"/>
            <w:vAlign w:val="center"/>
          </w:tcPr>
          <w:p>
            <w:pPr>
              <w:jc w:val="left"/>
            </w:pPr>
            <w:r/>
            <w:r>
              <w:rPr>
                <w:rFonts w:ascii="Calibri" w:hAnsi="Calibri"/>
                <w:color w:val="2D2D2D"/>
                <w:sz w:val="18"/>
              </w:rPr>
              <w:t>Bank</w:t>
            </w:r>
          </w:p>
        </w:tc>
        <w:tc>
          <w:tcPr>
            <w:tcW w:type="dxa" w:w="1134"/>
            <w:shd w:fill="F0F0F0"/>
            <w:vAlign w:val="center"/>
          </w:tcPr>
          <w:p>
            <w:pPr>
              <w:jc w:val="left"/>
            </w:pPr>
            <w:r/>
            <w:r>
              <w:rPr>
                <w:rFonts w:ascii="Calibri" w:hAnsi="Calibri"/>
                <w:color w:val="2D2D2D"/>
                <w:sz w:val="18"/>
              </w:rPr>
              <w:t>Yes, through bank</w:t>
            </w:r>
          </w:p>
        </w:tc>
        <w:tc>
          <w:tcPr>
            <w:tcW w:type="dxa" w:w="1134"/>
            <w:shd w:fill="F0F0F0"/>
            <w:vAlign w:val="center"/>
          </w:tcPr>
          <w:p>
            <w:pPr>
              <w:jc w:val="left"/>
            </w:pPr>
            <w:r/>
            <w:r>
              <w:rPr>
                <w:rFonts w:ascii="Calibri" w:hAnsi="Calibri"/>
                <w:color w:val="2D2D2D"/>
                <w:sz w:val="18"/>
              </w:rPr>
              <w:t>No</w:t>
            </w:r>
          </w:p>
        </w:tc>
        <w:tc>
          <w:tcPr>
            <w:tcW w:type="dxa" w:w="1134"/>
            <w:shd w:fill="F0F0F0"/>
            <w:vAlign w:val="center"/>
          </w:tcPr>
          <w:p>
            <w:pPr>
              <w:jc w:val="left"/>
            </w:pPr>
            <w:r/>
            <w:r>
              <w:rPr>
                <w:rFonts w:ascii="Calibri" w:hAnsi="Calibri"/>
                <w:color w:val="2D2D2D"/>
                <w:sz w:val="18"/>
              </w:rPr>
              <w:t>Yes, bank-linked</w:t>
            </w:r>
          </w:p>
        </w:tc>
        <w:tc>
          <w:tcPr>
            <w:tcW w:type="dxa" w:w="1134"/>
            <w:shd w:fill="F0F0F0"/>
            <w:vAlign w:val="center"/>
          </w:tcPr>
          <w:p>
            <w:pPr>
              <w:jc w:val="left"/>
            </w:pPr>
            <w:r/>
            <w:r>
              <w:rPr>
                <w:rFonts w:ascii="Calibri" w:hAnsi="Calibri"/>
                <w:color w:val="2D2D2D"/>
                <w:sz w:val="18"/>
              </w:rPr>
              <w:t>Yes, through bank</w:t>
            </w:r>
          </w:p>
        </w:tc>
        <w:tc>
          <w:tcPr>
            <w:tcW w:type="dxa" w:w="1134"/>
            <w:shd w:fill="F0F0F0"/>
            <w:vAlign w:val="center"/>
          </w:tcPr>
          <w:p>
            <w:pPr>
              <w:jc w:val="left"/>
            </w:pPr>
            <w:r/>
            <w:r>
              <w:rPr>
                <w:rFonts w:ascii="Calibri" w:hAnsi="Calibri"/>
                <w:color w:val="2D2D2D"/>
                <w:sz w:val="18"/>
              </w:rPr>
              <w:t>Yes, through bank</w:t>
            </w:r>
          </w:p>
        </w:tc>
        <w:tc>
          <w:tcPr>
            <w:tcW w:type="dxa" w:w="1134"/>
            <w:shd w:fill="F0F0F0"/>
            <w:vAlign w:val="center"/>
          </w:tcPr>
          <w:p>
            <w:pPr>
              <w:jc w:val="left"/>
            </w:pPr>
            <w:r/>
            <w:r>
              <w:rPr>
                <w:rFonts w:ascii="Calibri" w:hAnsi="Calibri"/>
                <w:color w:val="2D2D2D"/>
                <w:sz w:val="18"/>
              </w:rPr>
              <w:t>Per local law</w:t>
            </w:r>
          </w:p>
        </w:tc>
      </w:tr>
      <w:tr>
        <w:tc>
          <w:tcPr>
            <w:tcW w:type="dxa" w:w="1134"/>
            <w:vAlign w:val="center"/>
          </w:tcPr>
          <w:p>
            <w:pPr>
              <w:jc w:val="left"/>
            </w:pPr>
            <w:r/>
            <w:r>
              <w:rPr>
                <w:rFonts w:ascii="Calibri" w:hAnsi="Calibri"/>
                <w:color w:val="2D2D2D"/>
                <w:sz w:val="18"/>
              </w:rPr>
              <w:t>Regulated Bank</w:t>
            </w:r>
          </w:p>
        </w:tc>
        <w:tc>
          <w:tcPr>
            <w:tcW w:type="dxa" w:w="1134"/>
            <w:vAlign w:val="center"/>
          </w:tcPr>
          <w:p>
            <w:pPr>
              <w:jc w:val="left"/>
            </w:pPr>
            <w:r/>
            <w:r>
              <w:rPr>
                <w:rFonts w:ascii="Calibri" w:hAnsi="Calibri"/>
                <w:color w:val="2D2D2D"/>
                <w:sz w:val="18"/>
              </w:rPr>
              <w:t>Yes</w:t>
            </w:r>
          </w:p>
        </w:tc>
        <w:tc>
          <w:tcPr>
            <w:tcW w:type="dxa" w:w="1134"/>
            <w:vAlign w:val="center"/>
          </w:tcPr>
          <w:p>
            <w:pPr>
              <w:jc w:val="left"/>
            </w:pPr>
            <w:r/>
            <w:r>
              <w:rPr>
                <w:rFonts w:ascii="Calibri" w:hAnsi="Calibri"/>
                <w:color w:val="2D2D2D"/>
                <w:sz w:val="18"/>
              </w:rPr>
              <w:t>Yes</w:t>
            </w:r>
          </w:p>
        </w:tc>
        <w:tc>
          <w:tcPr>
            <w:tcW w:type="dxa" w:w="1134"/>
            <w:vAlign w:val="center"/>
          </w:tcPr>
          <w:p>
            <w:pPr>
              <w:jc w:val="left"/>
            </w:pPr>
            <w:r/>
            <w:r>
              <w:rPr>
                <w:rFonts w:ascii="Calibri" w:hAnsi="Calibri"/>
                <w:color w:val="2D2D2D"/>
                <w:sz w:val="18"/>
              </w:rPr>
              <w:t>Via authorized path</w:t>
            </w:r>
          </w:p>
        </w:tc>
        <w:tc>
          <w:tcPr>
            <w:tcW w:type="dxa" w:w="1134"/>
            <w:vAlign w:val="center"/>
          </w:tcPr>
          <w:p>
            <w:pPr>
              <w:jc w:val="left"/>
            </w:pPr>
            <w:r/>
            <w:r>
              <w:rPr>
                <w:rFonts w:ascii="Calibri" w:hAnsi="Calibri"/>
                <w:color w:val="2D2D2D"/>
                <w:sz w:val="18"/>
              </w:rPr>
              <w:t>Yes</w:t>
            </w:r>
          </w:p>
        </w:tc>
        <w:tc>
          <w:tcPr>
            <w:tcW w:type="dxa" w:w="1134"/>
            <w:vAlign w:val="center"/>
          </w:tcPr>
          <w:p>
            <w:pPr>
              <w:jc w:val="left"/>
            </w:pPr>
            <w:r/>
            <w:r>
              <w:rPr>
                <w:rFonts w:ascii="Calibri" w:hAnsi="Calibri"/>
                <w:color w:val="2D2D2D"/>
                <w:sz w:val="18"/>
              </w:rPr>
              <w:t>Yes</w:t>
            </w:r>
          </w:p>
        </w:tc>
        <w:tc>
          <w:tcPr>
            <w:tcW w:type="dxa" w:w="1134"/>
            <w:vAlign w:val="center"/>
          </w:tcPr>
          <w:p>
            <w:pPr>
              <w:jc w:val="left"/>
            </w:pPr>
            <w:r/>
            <w:r>
              <w:rPr>
                <w:rFonts w:ascii="Calibri" w:hAnsi="Calibri"/>
                <w:color w:val="2D2D2D"/>
                <w:sz w:val="18"/>
              </w:rPr>
              <w:t>Yes</w:t>
            </w:r>
          </w:p>
        </w:tc>
        <w:tc>
          <w:tcPr>
            <w:tcW w:type="dxa" w:w="1134"/>
            <w:vAlign w:val="center"/>
          </w:tcPr>
          <w:p>
            <w:pPr>
              <w:jc w:val="left"/>
            </w:pPr>
            <w:r/>
            <w:r>
              <w:rPr>
                <w:rFonts w:ascii="Calibri" w:hAnsi="Calibri"/>
                <w:color w:val="2D2D2D"/>
                <w:sz w:val="18"/>
              </w:rPr>
              <w:t>Yes</w:t>
            </w:r>
          </w:p>
        </w:tc>
      </w:tr>
      <w:tr>
        <w:tc>
          <w:tcPr>
            <w:tcW w:type="dxa" w:w="1134"/>
            <w:shd w:fill="F0F0F0"/>
            <w:vAlign w:val="center"/>
          </w:tcPr>
          <w:p>
            <w:pPr>
              <w:jc w:val="left"/>
            </w:pPr>
            <w:r/>
            <w:r>
              <w:rPr>
                <w:rFonts w:ascii="Calibri" w:hAnsi="Calibri"/>
                <w:color w:val="2D2D2D"/>
                <w:sz w:val="18"/>
              </w:rPr>
              <w:t>Central Bank</w:t>
            </w:r>
          </w:p>
        </w:tc>
        <w:tc>
          <w:tcPr>
            <w:tcW w:type="dxa" w:w="1134"/>
            <w:shd w:fill="F0F0F0"/>
            <w:vAlign w:val="center"/>
          </w:tcPr>
          <w:p>
            <w:pPr>
              <w:jc w:val="left"/>
            </w:pPr>
            <w:r/>
            <w:r>
              <w:rPr>
                <w:rFonts w:ascii="Calibri" w:hAnsi="Calibri"/>
                <w:color w:val="2D2D2D"/>
                <w:sz w:val="18"/>
              </w:rPr>
              <w:t>As applicable</w:t>
            </w:r>
          </w:p>
        </w:tc>
        <w:tc>
          <w:tcPr>
            <w:tcW w:type="dxa" w:w="1134"/>
            <w:shd w:fill="F0F0F0"/>
            <w:vAlign w:val="center"/>
          </w:tcPr>
          <w:p>
            <w:pPr>
              <w:jc w:val="left"/>
            </w:pPr>
            <w:r/>
            <w:r>
              <w:rPr>
                <w:rFonts w:ascii="Calibri" w:hAnsi="Calibri"/>
                <w:color w:val="2D2D2D"/>
                <w:sz w:val="18"/>
              </w:rPr>
              <w:t>Where authorized</w:t>
            </w:r>
          </w:p>
        </w:tc>
        <w:tc>
          <w:tcPr>
            <w:tcW w:type="dxa" w:w="1134"/>
            <w:shd w:fill="F0F0F0"/>
            <w:vAlign w:val="center"/>
          </w:tcPr>
          <w:p>
            <w:pPr>
              <w:jc w:val="left"/>
            </w:pPr>
            <w:r/>
            <w:r>
              <w:rPr>
                <w:rFonts w:ascii="Calibri" w:hAnsi="Calibri"/>
                <w:color w:val="2D2D2D"/>
                <w:sz w:val="18"/>
              </w:rPr>
              <w:t>Where authorized</w:t>
            </w:r>
          </w:p>
        </w:tc>
        <w:tc>
          <w:tcPr>
            <w:tcW w:type="dxa" w:w="1134"/>
            <w:shd w:fill="F0F0F0"/>
            <w:vAlign w:val="center"/>
          </w:tcPr>
          <w:p>
            <w:pPr>
              <w:jc w:val="left"/>
            </w:pPr>
            <w:r/>
            <w:r>
              <w:rPr>
                <w:rFonts w:ascii="Calibri" w:hAnsi="Calibri"/>
                <w:color w:val="2D2D2D"/>
                <w:sz w:val="18"/>
              </w:rPr>
              <w:t>Yes, where authorized</w:t>
            </w:r>
          </w:p>
        </w:tc>
        <w:tc>
          <w:tcPr>
            <w:tcW w:type="dxa" w:w="1134"/>
            <w:shd w:fill="F0F0F0"/>
            <w:vAlign w:val="center"/>
          </w:tcPr>
          <w:p>
            <w:pPr>
              <w:jc w:val="left"/>
            </w:pPr>
            <w:r/>
            <w:r>
              <w:rPr>
                <w:rFonts w:ascii="Calibri" w:hAnsi="Calibri"/>
                <w:color w:val="2D2D2D"/>
                <w:sz w:val="18"/>
              </w:rPr>
              <w:t>Yes, where authorized</w:t>
            </w:r>
          </w:p>
        </w:tc>
        <w:tc>
          <w:tcPr>
            <w:tcW w:type="dxa" w:w="1134"/>
            <w:shd w:fill="F0F0F0"/>
            <w:vAlign w:val="center"/>
          </w:tcPr>
          <w:p>
            <w:pPr>
              <w:jc w:val="left"/>
            </w:pPr>
            <w:r/>
            <w:r>
              <w:rPr>
                <w:rFonts w:ascii="Calibri" w:hAnsi="Calibri"/>
                <w:color w:val="2D2D2D"/>
                <w:sz w:val="18"/>
              </w:rPr>
              <w:t>Where authorized</w:t>
            </w:r>
          </w:p>
        </w:tc>
        <w:tc>
          <w:tcPr>
            <w:tcW w:type="dxa" w:w="1134"/>
            <w:shd w:fill="F0F0F0"/>
            <w:vAlign w:val="center"/>
          </w:tcPr>
          <w:p>
            <w:pPr>
              <w:jc w:val="left"/>
            </w:pPr>
            <w:r/>
            <w:r>
              <w:rPr>
                <w:rFonts w:ascii="Calibri" w:hAnsi="Calibri"/>
                <w:color w:val="2D2D2D"/>
                <w:sz w:val="18"/>
              </w:rPr>
              <w:t>Yes</w:t>
            </w:r>
          </w:p>
        </w:tc>
      </w:tr>
      <w:tr>
        <w:tc>
          <w:tcPr>
            <w:tcW w:type="dxa" w:w="1134"/>
            <w:vAlign w:val="center"/>
          </w:tcPr>
          <w:p>
            <w:pPr>
              <w:jc w:val="left"/>
            </w:pPr>
            <w:r/>
            <w:r>
              <w:rPr>
                <w:rFonts w:ascii="Calibri" w:hAnsi="Calibri"/>
                <w:color w:val="2D2D2D"/>
                <w:sz w:val="18"/>
              </w:rPr>
              <w:t>MITHQAL Operating Co.</w:t>
            </w:r>
          </w:p>
        </w:tc>
        <w:tc>
          <w:tcPr>
            <w:tcW w:type="dxa" w:w="1134"/>
            <w:vAlign w:val="center"/>
          </w:tcPr>
          <w:p>
            <w:pPr>
              <w:jc w:val="left"/>
            </w:pPr>
            <w:r/>
            <w:r>
              <w:rPr>
                <w:rFonts w:ascii="Calibri" w:hAnsi="Calibri"/>
                <w:color w:val="2D2D2D"/>
                <w:sz w:val="18"/>
              </w:rPr>
              <w:t>No routine</w:t>
            </w:r>
          </w:p>
        </w:tc>
        <w:tc>
          <w:tcPr>
            <w:tcW w:type="dxa" w:w="1134"/>
            <w:vAlign w:val="center"/>
          </w:tcPr>
          <w:p>
            <w:pPr>
              <w:jc w:val="left"/>
            </w:pPr>
            <w:r/>
            <w:r>
              <w:rPr>
                <w:rFonts w:ascii="Calibri" w:hAnsi="Calibri"/>
                <w:color w:val="2D2D2D"/>
                <w:sz w:val="18"/>
              </w:rPr>
              <w:t>Processes request</w:t>
            </w:r>
          </w:p>
        </w:tc>
        <w:tc>
          <w:tcPr>
            <w:tcW w:type="dxa" w:w="1134"/>
            <w:vAlign w:val="center"/>
          </w:tcPr>
          <w:p>
            <w:pPr>
              <w:jc w:val="left"/>
            </w:pPr>
            <w:r/>
            <w:r>
              <w:rPr>
                <w:rFonts w:ascii="Calibri" w:hAnsi="Calibri"/>
                <w:color w:val="2D2D2D"/>
                <w:sz w:val="18"/>
              </w:rPr>
              <w:t>Protocol/engine</w:t>
            </w:r>
          </w:p>
        </w:tc>
        <w:tc>
          <w:tcPr>
            <w:tcW w:type="dxa" w:w="1134"/>
            <w:vAlign w:val="center"/>
          </w:tcPr>
          <w:p>
            <w:pPr>
              <w:jc w:val="left"/>
            </w:pPr>
            <w:r/>
            <w:r>
              <w:rPr>
                <w:rFonts w:ascii="Calibri" w:hAnsi="Calibri"/>
                <w:color w:val="2D2D2D"/>
                <w:sz w:val="18"/>
              </w:rPr>
              <w:t>Network role</w:t>
            </w:r>
          </w:p>
        </w:tc>
        <w:tc>
          <w:tcPr>
            <w:tcW w:type="dxa" w:w="1134"/>
            <w:vAlign w:val="center"/>
          </w:tcPr>
          <w:p>
            <w:pPr>
              <w:jc w:val="left"/>
            </w:pPr>
            <w:r/>
            <w:r>
              <w:rPr>
                <w:rFonts w:ascii="Calibri" w:hAnsi="Calibri"/>
                <w:color w:val="2D2D2D"/>
                <w:sz w:val="18"/>
              </w:rPr>
              <w:t>Settlement infra</w:t>
            </w:r>
          </w:p>
        </w:tc>
        <w:tc>
          <w:tcPr>
            <w:tcW w:type="dxa" w:w="1134"/>
            <w:vAlign w:val="center"/>
          </w:tcPr>
          <w:p>
            <w:pPr>
              <w:jc w:val="left"/>
            </w:pPr>
            <w:r/>
            <w:r>
              <w:rPr>
                <w:rFonts w:ascii="Calibri" w:hAnsi="Calibri"/>
                <w:color w:val="2D2D2D"/>
                <w:sz w:val="18"/>
              </w:rPr>
              <w:t>Infrastructure</w:t>
            </w:r>
          </w:p>
        </w:tc>
        <w:tc>
          <w:tcPr>
            <w:tcW w:type="dxa" w:w="1134"/>
            <w:vAlign w:val="center"/>
          </w:tcPr>
          <w:p>
            <w:pPr>
              <w:jc w:val="left"/>
            </w:pPr>
            <w:r/>
            <w:r>
              <w:rPr>
                <w:rFonts w:ascii="Calibri" w:hAnsi="Calibri"/>
                <w:color w:val="2D2D2D"/>
                <w:sz w:val="18"/>
              </w:rPr>
              <w:t>Lawful institutional access</w:t>
            </w:r>
          </w:p>
        </w:tc>
      </w:tr>
    </w:tbl>
    <w:p/>
    <w:p>
      <w:pPr>
        <w:pBdr>
          <w:bottom w:val="single" w:sz="12" w:space="1" w:color="C59B1E"/>
        </w:pBdr>
      </w:pPr>
    </w:p>
    <w:p>
      <w:pPr>
        <w:pStyle w:val="Heading2"/>
      </w:pPr>
      <w:r>
        <w:t>§57 — TEN CONSTITUTIONAL PRINCIPLES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Principle</w:t>
            </w:r>
          </w:p>
        </w:tc>
        <w:tc>
          <w:tcPr>
            <w:tcW w:type="dxa" w:w="3024"/>
            <w:shd w:fill="1A365F"/>
            <w:vAlign w:val="center"/>
          </w:tcPr>
          <w:p>
            <w:pPr>
              <w:jc w:val="left"/>
            </w:pPr>
            <w:r/>
            <w:r>
              <w:rPr>
                <w:rFonts w:ascii="Calibri" w:hAnsi="Calibri"/>
                <w:b/>
                <w:color w:val="FFFFFF"/>
                <w:sz w:val="18"/>
              </w:rPr>
              <w:t>Statement</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**Neutrality**</w:t>
            </w:r>
          </w:p>
        </w:tc>
        <w:tc>
          <w:tcPr>
            <w:tcW w:type="dxa" w:w="3024"/>
            <w:vAlign w:val="center"/>
          </w:tcPr>
          <w:p>
            <w:pPr>
              <w:jc w:val="left"/>
            </w:pPr>
            <w:r/>
            <w:r>
              <w:rPr>
                <w:rFonts w:ascii="Calibri" w:hAnsi="Calibri"/>
                <w:color w:val="2D2D2D"/>
                <w:sz w:val="18"/>
              </w:rPr>
              <w:t>MTQ does not compete with sovereign money. It connects sovereign monetary systems.</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**Institutional Access**</w:t>
            </w:r>
          </w:p>
        </w:tc>
        <w:tc>
          <w:tcPr>
            <w:tcW w:type="dxa" w:w="3024"/>
            <w:shd w:fill="F0F0F0"/>
            <w:vAlign w:val="center"/>
          </w:tcPr>
          <w:p>
            <w:pPr>
              <w:jc w:val="left"/>
            </w:pPr>
            <w:r/>
            <w:r>
              <w:rPr>
                <w:rFonts w:ascii="Calibri" w:hAnsi="Calibri"/>
                <w:color w:val="2D2D2D"/>
                <w:sz w:val="18"/>
              </w:rPr>
              <w:t>MTQ is a wholesale B2B settlement instrument accessed through regulated institutions.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**Bank Partnership**</w:t>
            </w:r>
          </w:p>
        </w:tc>
        <w:tc>
          <w:tcPr>
            <w:tcW w:type="dxa" w:w="3024"/>
            <w:vAlign w:val="center"/>
          </w:tcPr>
          <w:p>
            <w:pPr>
              <w:jc w:val="left"/>
            </w:pPr>
            <w:r/>
            <w:r>
              <w:rPr>
                <w:rFonts w:ascii="Calibri" w:hAnsi="Calibri"/>
                <w:color w:val="2D2D2D"/>
                <w:sz w:val="18"/>
              </w:rPr>
              <w:t>Banks remain the customer gateway, compliance layer, security layer and commercial service provider.</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**Non-Discretionary Issuance**</w:t>
            </w:r>
          </w:p>
        </w:tc>
        <w:tc>
          <w:tcPr>
            <w:tcW w:type="dxa" w:w="3024"/>
            <w:shd w:fill="F0F0F0"/>
            <w:vAlign w:val="center"/>
          </w:tcPr>
          <w:p>
            <w:pPr>
              <w:jc w:val="left"/>
            </w:pPr>
            <w:r/>
            <w:r>
              <w:rPr>
                <w:rFonts w:ascii="Calibri" w:hAnsi="Calibri"/>
                <w:color w:val="2D2D2D"/>
                <w:sz w:val="18"/>
              </w:rPr>
              <w:t>No MTQ is created without constitutionally verified backing and authorized institutional issuance.</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**Privacy**</w:t>
            </w:r>
          </w:p>
        </w:tc>
        <w:tc>
          <w:tcPr>
            <w:tcW w:type="dxa" w:w="3024"/>
            <w:vAlign w:val="center"/>
          </w:tcPr>
          <w:p>
            <w:pPr>
              <w:jc w:val="left"/>
            </w:pPr>
            <w:r/>
            <w:r>
              <w:rPr>
                <w:rFonts w:ascii="Calibri" w:hAnsi="Calibri"/>
                <w:color w:val="2D2D2D"/>
                <w:sz w:val="18"/>
              </w:rPr>
              <w:t>Customer information remains primarily within the regulated institution; MITHQAL uses minimum necessary information, cryptographic attestations and selective disclosure.</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**Traceability**</w:t>
            </w:r>
          </w:p>
        </w:tc>
        <w:tc>
          <w:tcPr>
            <w:tcW w:type="dxa" w:w="3024"/>
            <w:shd w:fill="F0F0F0"/>
            <w:vAlign w:val="center"/>
          </w:tcPr>
          <w:p>
            <w:pPr>
              <w:jc w:val="left"/>
            </w:pPr>
            <w:r/>
            <w:r>
              <w:rPr>
                <w:rFonts w:ascii="Calibri" w:hAnsi="Calibri"/>
                <w:color w:val="2D2D2D"/>
                <w:sz w:val="18"/>
              </w:rPr>
              <w:t>Every institutional settlement is attributable and auditable subject to lawful access rights.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**CBDC Neutrality**</w:t>
            </w:r>
          </w:p>
        </w:tc>
        <w:tc>
          <w:tcPr>
            <w:tcW w:type="dxa" w:w="3024"/>
            <w:vAlign w:val="center"/>
          </w:tcPr>
          <w:p>
            <w:pPr>
              <w:jc w:val="left"/>
            </w:pPr>
            <w:r/>
            <w:r>
              <w:rPr>
                <w:rFonts w:ascii="Calibri" w:hAnsi="Calibri"/>
                <w:color w:val="2D2D2D"/>
                <w:sz w:val="18"/>
              </w:rPr>
              <w:t>CBDCs remain sovereign liabilities; MTQ is the neutral settlement layer between them.</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**Regulatory Compatibility**</w:t>
            </w:r>
          </w:p>
        </w:tc>
        <w:tc>
          <w:tcPr>
            <w:tcW w:type="dxa" w:w="3024"/>
            <w:shd w:fill="F0F0F0"/>
            <w:vAlign w:val="center"/>
          </w:tcPr>
          <w:p>
            <w:pPr>
              <w:jc w:val="left"/>
            </w:pPr>
            <w:r/>
            <w:r>
              <w:rPr>
                <w:rFonts w:ascii="Calibri" w:hAnsi="Calibri"/>
                <w:color w:val="2D2D2D"/>
                <w:sz w:val="18"/>
              </w:rPr>
              <w:t>MITHQAL does not circumvent law; it enforces jurisdiction-specific permissions and restrictions.</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**Monetary Integrity**</w:t>
            </w:r>
          </w:p>
        </w:tc>
        <w:tc>
          <w:tcPr>
            <w:tcW w:type="dxa" w:w="3024"/>
            <w:vAlign w:val="center"/>
          </w:tcPr>
          <w:p>
            <w:pPr>
              <w:jc w:val="left"/>
            </w:pPr>
            <w:r/>
            <w:r>
              <w:rPr>
                <w:rFonts w:ascii="Calibri" w:hAnsi="Calibri"/>
                <w:color w:val="2D2D2D"/>
                <w:sz w:val="18"/>
              </w:rPr>
              <w:t>Reserve integrity, liquidity, solvency and redemption remain constitutional priorities.</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**Institutional Economics**</w:t>
            </w:r>
          </w:p>
        </w:tc>
        <w:tc>
          <w:tcPr>
            <w:tcW w:type="dxa" w:w="3024"/>
            <w:shd w:fill="F0F0F0"/>
            <w:vAlign w:val="center"/>
          </w:tcPr>
          <w:p>
            <w:pPr>
              <w:jc w:val="left"/>
            </w:pPr>
            <w:r/>
            <w:r>
              <w:rPr>
                <w:rFonts w:ascii="Calibri" w:hAnsi="Calibri"/>
                <w:color w:val="2D2D2D"/>
                <w:sz w:val="18"/>
              </w:rPr>
              <w:t>MITHQAL creates value by reducing settlement friction, risk and liquidity costs; banks remain economically incentivized participants.</w:t>
            </w:r>
          </w:p>
        </w:tc>
      </w:tr>
    </w:tbl>
    <w:p/>
    <w:p>
      <w:pPr>
        <w:pBdr>
          <w:bottom w:val="single" w:sz="12" w:space="1" w:color="C59B1E"/>
        </w:pBdr>
      </w:pPr>
    </w:p>
    <w:p>
      <w:pPr>
        <w:pStyle w:val="Heading2"/>
      </w:pPr>
      <w:r>
        <w:t>§58 — ECONOMIC PROPOSITION</w:t>
      </w:r>
    </w:p>
    <w:p>
      <w:pPr>
        <w:pStyle w:val="Heading3"/>
      </w:pPr>
      <w:r>
        <w:t>§58.1 Principle</w:t>
      </w:r>
    </w:p>
    <w:p>
      <w:pPr>
        <w:spacing w:before="120" w:after="120"/>
        <w:ind w:left="567" w:right="567"/>
        <w:pBdr>
          <w:left w:val="single" w:sz="24" w:space="8" w:color="C59B1E"/>
        </w:pBdr>
        <w:shd w:fill="FFFBF0"/>
      </w:pPr>
      <w:r>
        <w:rPr>
          <w:b/>
          <w:i/>
          <w:color w:val="1A365F"/>
          <w:sz w:val="22"/>
        </w:rPr>
        <w:t>**Do not promise specific savings before pilots. Measure instead.**</w:t>
      </w:r>
    </w:p>
    <w:p>
      <w:pPr>
        <w:pStyle w:val="Heading3"/>
      </w:pPr>
      <w:r>
        <w:t>§58.2 Measure</w:t>
      </w:r>
    </w:p>
    <w:p>
      <w:pPr>
        <w:pStyle w:val="ListBullet"/>
        <w:ind w:left="425"/>
      </w:pPr>
      <w:r>
        <w:t>Settlement time</w:t>
      </w:r>
    </w:p>
    <w:p>
      <w:pPr>
        <w:pStyle w:val="ListBullet"/>
        <w:ind w:left="425"/>
      </w:pPr>
      <w:r>
        <w:t>Settlement failure</w:t>
      </w:r>
    </w:p>
    <w:p>
      <w:pPr>
        <w:pStyle w:val="ListBullet"/>
        <w:ind w:left="425"/>
      </w:pPr>
      <w:r>
        <w:t>Reconciliation cost</w:t>
      </w:r>
    </w:p>
    <w:p>
      <w:pPr>
        <w:pStyle w:val="ListBullet"/>
        <w:ind w:left="425"/>
      </w:pPr>
      <w:r>
        <w:t>Correspondent handoffs</w:t>
      </w:r>
    </w:p>
    <w:p>
      <w:pPr>
        <w:pStyle w:val="ListBullet"/>
        <w:ind w:left="425"/>
      </w:pPr>
      <w:r>
        <w:t>Trapped liquidity</w:t>
      </w:r>
    </w:p>
    <w:p>
      <w:pPr>
        <w:pStyle w:val="ListBullet"/>
        <w:ind w:left="425"/>
      </w:pPr>
      <w:r>
        <w:t>Intraday liquidity requirements</w:t>
      </w:r>
    </w:p>
    <w:p>
      <w:pPr>
        <w:pStyle w:val="ListBullet"/>
        <w:ind w:left="425"/>
      </w:pPr>
      <w:r>
        <w:t>Operational cost</w:t>
      </w:r>
    </w:p>
    <w:p>
      <w:pPr>
        <w:pStyle w:val="ListBullet"/>
        <w:ind w:left="425"/>
      </w:pPr>
      <w:r>
        <w:t>Investigation time</w:t>
      </w:r>
    </w:p>
    <w:p>
      <w:pPr>
        <w:pStyle w:val="ListBullet"/>
        <w:ind w:left="425"/>
      </w:pPr>
      <w:r>
        <w:t>Compliance-processing time</w:t>
      </w:r>
    </w:p>
    <w:p>
      <w:pPr>
        <w:pStyle w:val="ListBullet"/>
        <w:ind w:left="425"/>
      </w:pPr>
      <w:r>
        <w:t>Transaction transparency</w:t>
      </w:r>
    </w:p>
    <w:p>
      <w:pPr>
        <w:pStyle w:val="Heading3"/>
      </w:pPr>
      <w:r>
        <w:t>§58.3 Statement</w:t>
      </w:r>
    </w:p>
    <w:p>
      <w:pPr>
        <w:spacing w:before="120" w:after="120"/>
        <w:ind w:left="567" w:right="567"/>
        <w:pBdr>
          <w:left w:val="single" w:sz="24" w:space="8" w:color="C59B1E"/>
        </w:pBdr>
        <w:shd w:fill="FFFBF0"/>
      </w:pPr>
      <w:r>
        <w:rPr>
          <w:b/>
          <w:i/>
          <w:color w:val="1A365F"/>
          <w:sz w:val="22"/>
        </w:rPr>
        <w:t>**MITHQAL seeks to reduce the friction, settlement risk, liquidity cost and operational complexity of cross-border trade.**</w:t>
      </w:r>
    </w:p>
    <w:p>
      <w:r>
        <w:rPr>
          <w:b/>
        </w:rPr>
        <w:t>NOT:</w:t>
      </w:r>
      <w:r>
        <w:t xml:space="preserve"> "MITHQAL creates economic growth automatically."</w:t>
      </w:r>
    </w:p>
    <w:p>
      <w:pPr>
        <w:pBdr>
          <w:bottom w:val="single" w:sz="12" w:space="1" w:color="C59B1E"/>
        </w:pBdr>
      </w:pPr>
    </w:p>
    <w:p>
      <w:pPr>
        <w:pStyle w:val="Heading2"/>
      </w:pPr>
      <w:r>
        <w:t>§59 — MINIMUM CAPITAL SOLVER</w:t>
      </w:r>
    </w:p>
    <w:p>
      <w:pPr>
        <w:pStyle w:val="Heading3"/>
      </w:pPr>
      <w:r>
        <w:t>§59.1 Finding</w:t>
      </w:r>
    </w:p>
    <w:p>
      <w:r>
        <w:t>After ALL non-capital mitigations:</w:t>
      </w:r>
    </w:p>
    <w:p>
      <w:r>
        <w:rPr>
          <w:b/>
        </w:rPr>
        <w:t>ΔCapital_min = $15,814,667</w:t>
      </w:r>
    </w:p>
    <w:p>
      <w:pPr>
        <w:pStyle w:val="Heading3"/>
      </w:pPr>
      <w:r>
        <w:t>§59.2 Binding Constraint</w:t>
      </w:r>
    </w:p>
    <w:p>
      <w:r>
        <w:t>P(RR&lt;100%) ≤ 5% governance threshold</w:t>
      </w:r>
    </w:p>
    <w:p>
      <w:pPr>
        <w:pStyle w:val="Heading3"/>
      </w:pPr>
      <w:r>
        <w:t>§59.3 Why Non-Capital Methods Are Insufficient</w:t>
      </w:r>
    </w:p>
    <w:p>
      <w:pPr>
        <w:pStyle w:val="ListNumber"/>
        <w:ind w:left="425"/>
      </w:pPr>
      <w:r>
        <w:t>Portfolio already optimized (B selected over D on CVaR)</w:t>
      </w:r>
    </w:p>
    <w:p>
      <w:pPr>
        <w:pStyle w:val="ListNumber"/>
        <w:ind w:left="425"/>
      </w:pPr>
      <w:r>
        <w:t>CALM already at maximum restriction (NORMAL=1.20)</w:t>
      </w:r>
    </w:p>
    <w:p>
      <w:pPr>
        <w:pStyle w:val="ListNumber"/>
        <w:ind w:left="425"/>
      </w:pPr>
      <w:r>
        <w:t>TGRS already fail-closed</w:t>
      </w:r>
    </w:p>
    <w:p>
      <w:pPr>
        <w:pStyle w:val="ListNumber"/>
        <w:ind w:left="425"/>
      </w:pPr>
      <w:r>
        <w:t>MPC λ-sweep: NO FEASIBLE λ produces StressRR ≥ 100%</w:t>
      </w:r>
    </w:p>
    <w:p>
      <w:pPr>
        <w:pStyle w:val="ListNumber"/>
        <w:ind w:left="425"/>
      </w:pPr>
      <w:r>
        <w:t>The 21.5432% breach probability is structural (redemption-regime bimodality)</w:t>
      </w:r>
    </w:p>
    <w:p>
      <w:pPr>
        <w:pStyle w:val="ListNumber"/>
        <w:ind w:left="425"/>
      </w:pPr>
      <w:r>
        <w:t>Only capital injection raises the entire RR distribution</w:t>
      </w:r>
    </w:p>
    <w:p>
      <w:pPr>
        <w:pStyle w:val="Heading3"/>
      </w:pPr>
      <w:r>
        <w:t>§59.4 At ΔCapital_min</w:t>
      </w:r>
    </w:p>
    <w:p>
      <w:pPr>
        <w:pStyle w:val="ListBullet"/>
        <w:ind w:left="425"/>
      </w:pPr>
      <w:r>
        <w:t>StressRR → ~127.8%</w:t>
      </w:r>
    </w:p>
    <w:p>
      <w:pPr>
        <w:pStyle w:val="ListBullet"/>
        <w:ind w:left="425"/>
      </w:pPr>
      <w:r>
        <w:t>P(RR&lt;100%) → ~5%</w:t>
      </w:r>
    </w:p>
    <w:p>
      <w:pPr>
        <w:pStyle w:val="ListBullet"/>
        <w:ind w:left="425"/>
      </w:pPr>
      <w:r>
        <w:t>System would be within governance tolerance ε=5%</w:t>
      </w:r>
    </w:p>
    <w:p>
      <w:pPr>
        <w:pBdr>
          <w:bottom w:val="single" w:sz="12" w:space="1" w:color="C59B1E"/>
        </w:pBdr>
      </w:pPr>
    </w:p>
    <w:p>
      <w:pPr>
        <w:pStyle w:val="Heading2"/>
      </w:pPr>
      <w:r>
        <w:t>§60 — FORMAL ACCEPTANCE CRITERIA (34 Items)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w:t>
            </w:r>
          </w:p>
        </w:tc>
        <w:tc>
          <w:tcPr>
            <w:tcW w:type="dxa" w:w="3024"/>
            <w:shd w:fill="1A365F"/>
            <w:vAlign w:val="center"/>
          </w:tcPr>
          <w:p>
            <w:pPr>
              <w:jc w:val="left"/>
            </w:pPr>
            <w:r/>
            <w:r>
              <w:rPr>
                <w:rFonts w:ascii="Calibri" w:hAnsi="Calibri"/>
                <w:b/>
                <w:color w:val="FFFFFF"/>
                <w:sz w:val="18"/>
              </w:rPr>
              <w:t>Criterion</w:t>
            </w:r>
          </w:p>
        </w:tc>
        <w:tc>
          <w:tcPr>
            <w:tcW w:type="dxa" w:w="3024"/>
            <w:shd w:fill="1A365F"/>
            <w:vAlign w:val="center"/>
          </w:tcPr>
          <w:p>
            <w:pPr>
              <w:jc w:val="left"/>
            </w:pPr>
            <w:r/>
            <w:r>
              <w:rPr>
                <w:rFonts w:ascii="Calibri" w:hAnsi="Calibri"/>
                <w:b/>
                <w:color w:val="FFFFFF"/>
                <w:sz w:val="18"/>
              </w:rPr>
              <w:t>Status</w:t>
            </w:r>
          </w:p>
        </w:tc>
      </w:tr>
      <w:tr>
        <w:tc>
          <w:tcPr>
            <w:tcW w:type="dxa" w:w="3024"/>
            <w:vAlign w:val="center"/>
          </w:tcPr>
          <w:p>
            <w:pPr>
              <w:jc w:val="left"/>
            </w:pPr>
            <w:r/>
            <w:r>
              <w:rPr>
                <w:rFonts w:ascii="Calibri" w:hAnsi="Calibri"/>
                <w:color w:val="2D2D2D"/>
                <w:sz w:val="18"/>
              </w:rPr>
              <w:t>1</w:t>
            </w:r>
          </w:p>
        </w:tc>
        <w:tc>
          <w:tcPr>
            <w:tcW w:type="dxa" w:w="3024"/>
            <w:vAlign w:val="center"/>
          </w:tcPr>
          <w:p>
            <w:pPr>
              <w:jc w:val="left"/>
            </w:pPr>
            <w:r/>
            <w:r>
              <w:rPr>
                <w:rFonts w:ascii="Calibri" w:hAnsi="Calibri"/>
                <w:color w:val="2D2D2D"/>
                <w:sz w:val="18"/>
              </w:rPr>
              <w:t>MTQ formally defined as permissioned wholesale settlement instrument</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2</w:t>
            </w:r>
          </w:p>
        </w:tc>
        <w:tc>
          <w:tcPr>
            <w:tcW w:type="dxa" w:w="3024"/>
            <w:shd w:fill="F0F0F0"/>
            <w:vAlign w:val="center"/>
          </w:tcPr>
          <w:p>
            <w:pPr>
              <w:jc w:val="left"/>
            </w:pPr>
            <w:r/>
            <w:r>
              <w:rPr>
                <w:rFonts w:ascii="Calibri" w:hAnsi="Calibri"/>
                <w:color w:val="2D2D2D"/>
                <w:sz w:val="18"/>
              </w:rPr>
              <w:t>MITHQAL formally defined as neutral wholesale settlement infrastructure</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3</w:t>
            </w:r>
          </w:p>
        </w:tc>
        <w:tc>
          <w:tcPr>
            <w:tcW w:type="dxa" w:w="3024"/>
            <w:vAlign w:val="center"/>
          </w:tcPr>
          <w:p>
            <w:pPr>
              <w:jc w:val="left"/>
            </w:pPr>
            <w:r/>
            <w:r>
              <w:rPr>
                <w:rFonts w:ascii="Calibri" w:hAnsi="Calibri"/>
                <w:color w:val="2D2D2D"/>
                <w:sz w:val="18"/>
              </w:rPr>
              <w:t>Retail/customer direct minting removed from normative model</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4</w:t>
            </w:r>
          </w:p>
        </w:tc>
        <w:tc>
          <w:tcPr>
            <w:tcW w:type="dxa" w:w="3024"/>
            <w:shd w:fill="F0F0F0"/>
            <w:vAlign w:val="center"/>
          </w:tcPr>
          <w:p>
            <w:pPr>
              <w:jc w:val="left"/>
            </w:pPr>
            <w:r/>
            <w:r>
              <w:rPr>
                <w:rFonts w:ascii="Calibri" w:hAnsi="Calibri"/>
                <w:color w:val="2D2D2D"/>
                <w:sz w:val="18"/>
              </w:rPr>
              <w:t>Institutional issuance replaced participant issuance</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5</w:t>
            </w:r>
          </w:p>
        </w:tc>
        <w:tc>
          <w:tcPr>
            <w:tcW w:type="dxa" w:w="3024"/>
            <w:vAlign w:val="center"/>
          </w:tcPr>
          <w:p>
            <w:pPr>
              <w:jc w:val="left"/>
            </w:pPr>
            <w:r/>
            <w:r>
              <w:rPr>
                <w:rFonts w:ascii="Calibri" w:hAnsi="Calibri"/>
                <w:color w:val="2D2D2D"/>
                <w:sz w:val="18"/>
              </w:rPr>
              <w:t>Regulated institutions are primary MTQ participants</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6</w:t>
            </w:r>
          </w:p>
        </w:tc>
        <w:tc>
          <w:tcPr>
            <w:tcW w:type="dxa" w:w="3024"/>
            <w:shd w:fill="F0F0F0"/>
            <w:vAlign w:val="center"/>
          </w:tcPr>
          <w:p>
            <w:pPr>
              <w:jc w:val="left"/>
            </w:pPr>
            <w:r/>
            <w:r>
              <w:rPr>
                <w:rFonts w:ascii="Calibri" w:hAnsi="Calibri"/>
                <w:color w:val="2D2D2D"/>
                <w:sz w:val="18"/>
              </w:rPr>
              <w:t>Central-bank participation is explicit-authorization only</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7</w:t>
            </w:r>
          </w:p>
        </w:tc>
        <w:tc>
          <w:tcPr>
            <w:tcW w:type="dxa" w:w="3024"/>
            <w:vAlign w:val="center"/>
          </w:tcPr>
          <w:p>
            <w:pPr>
              <w:jc w:val="left"/>
            </w:pPr>
            <w:r/>
            <w:r>
              <w:rPr>
                <w:rFonts w:ascii="Calibri" w:hAnsi="Calibri"/>
                <w:color w:val="2D2D2D"/>
                <w:sz w:val="18"/>
              </w:rPr>
              <w:t>Customer KYC primarily performed by regulated institutions</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8</w:t>
            </w:r>
          </w:p>
        </w:tc>
        <w:tc>
          <w:tcPr>
            <w:tcW w:type="dxa" w:w="3024"/>
            <w:shd w:fill="F0F0F0"/>
            <w:vAlign w:val="center"/>
          </w:tcPr>
          <w:p>
            <w:pPr>
              <w:jc w:val="left"/>
            </w:pPr>
            <w:r/>
            <w:r>
              <w:rPr>
                <w:rFonts w:ascii="Calibri" w:hAnsi="Calibri"/>
                <w:color w:val="2D2D2D"/>
                <w:sz w:val="18"/>
              </w:rPr>
              <w:t>MITHQAL institution-level authorization implemented</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9</w:t>
            </w:r>
          </w:p>
        </w:tc>
        <w:tc>
          <w:tcPr>
            <w:tcW w:type="dxa" w:w="3024"/>
            <w:vAlign w:val="center"/>
          </w:tcPr>
          <w:p>
            <w:pPr>
              <w:jc w:val="left"/>
            </w:pPr>
            <w:r/>
            <w:r>
              <w:rPr>
                <w:rFonts w:ascii="Calibri" w:hAnsi="Calibri"/>
                <w:color w:val="2D2D2D"/>
                <w:sz w:val="18"/>
              </w:rPr>
              <w:t>Institutional transaction compliance implemented</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10</w:t>
            </w:r>
          </w:p>
        </w:tc>
        <w:tc>
          <w:tcPr>
            <w:tcW w:type="dxa" w:w="3024"/>
            <w:shd w:fill="F0F0F0"/>
            <w:vAlign w:val="center"/>
          </w:tcPr>
          <w:p>
            <w:pPr>
              <w:jc w:val="left"/>
            </w:pPr>
            <w:r/>
            <w:r>
              <w:rPr>
                <w:rFonts w:ascii="Calibri" w:hAnsi="Calibri"/>
                <w:color w:val="2D2D2D"/>
                <w:sz w:val="18"/>
              </w:rPr>
              <w:t>MTQ traceability is institutional and permissioned</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11</w:t>
            </w:r>
          </w:p>
        </w:tc>
        <w:tc>
          <w:tcPr>
            <w:tcW w:type="dxa" w:w="3024"/>
            <w:vAlign w:val="center"/>
          </w:tcPr>
          <w:p>
            <w:pPr>
              <w:jc w:val="left"/>
            </w:pPr>
            <w:r/>
            <w:r>
              <w:rPr>
                <w:rFonts w:ascii="Calibri" w:hAnsi="Calibri"/>
                <w:color w:val="2D2D2D"/>
                <w:sz w:val="18"/>
              </w:rPr>
              <w:t>Immutable settlement records mandatory</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12</w:t>
            </w:r>
          </w:p>
        </w:tc>
        <w:tc>
          <w:tcPr>
            <w:tcW w:type="dxa" w:w="3024"/>
            <w:shd w:fill="F0F0F0"/>
            <w:vAlign w:val="center"/>
          </w:tcPr>
          <w:p>
            <w:pPr>
              <w:jc w:val="left"/>
            </w:pPr>
            <w:r/>
            <w:r>
              <w:rPr>
                <w:rFonts w:ascii="Calibri" w:hAnsi="Calibri"/>
                <w:color w:val="2D2D2D"/>
                <w:sz w:val="18"/>
              </w:rPr>
              <w:t>CBDC interoperability is first-class architecture layer</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13</w:t>
            </w:r>
          </w:p>
        </w:tc>
        <w:tc>
          <w:tcPr>
            <w:tcW w:type="dxa" w:w="3024"/>
            <w:vAlign w:val="center"/>
          </w:tcPr>
          <w:p>
            <w:pPr>
              <w:jc w:val="left"/>
            </w:pPr>
            <w:r/>
            <w:r>
              <w:rPr>
                <w:rFonts w:ascii="Calibri" w:hAnsi="Calibri"/>
                <w:color w:val="2D2D2D"/>
                <w:sz w:val="18"/>
              </w:rPr>
              <w:t>Sovereign currencies remain sovereign</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14</w:t>
            </w:r>
          </w:p>
        </w:tc>
        <w:tc>
          <w:tcPr>
            <w:tcW w:type="dxa" w:w="3024"/>
            <w:shd w:fill="F0F0F0"/>
            <w:vAlign w:val="center"/>
          </w:tcPr>
          <w:p>
            <w:pPr>
              <w:jc w:val="left"/>
            </w:pPr>
            <w:r/>
            <w:r>
              <w:rPr>
                <w:rFonts w:ascii="Calibri" w:hAnsi="Calibri"/>
                <w:color w:val="2D2D2D"/>
                <w:sz w:val="18"/>
              </w:rPr>
              <w:t>MTQ not positioned as replacement currency</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15</w:t>
            </w:r>
          </w:p>
        </w:tc>
        <w:tc>
          <w:tcPr>
            <w:tcW w:type="dxa" w:w="3024"/>
            <w:vAlign w:val="center"/>
          </w:tcPr>
          <w:p>
            <w:pPr>
              <w:jc w:val="left"/>
            </w:pPr>
            <w:r/>
            <w:r>
              <w:rPr>
                <w:rFonts w:ascii="Calibri" w:hAnsi="Calibri"/>
                <w:color w:val="2D2D2D"/>
                <w:sz w:val="18"/>
              </w:rPr>
              <w:t>MITHQAL does not operate an exchange</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16</w:t>
            </w:r>
          </w:p>
        </w:tc>
        <w:tc>
          <w:tcPr>
            <w:tcW w:type="dxa" w:w="3024"/>
            <w:shd w:fill="F0F0F0"/>
            <w:vAlign w:val="center"/>
          </w:tcPr>
          <w:p>
            <w:pPr>
              <w:jc w:val="left"/>
            </w:pPr>
            <w:r/>
            <w:r>
              <w:rPr>
                <w:rFonts w:ascii="Calibri" w:hAnsi="Calibri"/>
                <w:color w:val="2D2D2D"/>
                <w:sz w:val="18"/>
              </w:rPr>
              <w:t>MITHQAL does not provide brokerage</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17</w:t>
            </w:r>
          </w:p>
        </w:tc>
        <w:tc>
          <w:tcPr>
            <w:tcW w:type="dxa" w:w="3024"/>
            <w:vAlign w:val="center"/>
          </w:tcPr>
          <w:p>
            <w:pPr>
              <w:jc w:val="left"/>
            </w:pPr>
            <w:r/>
            <w:r>
              <w:rPr>
                <w:rFonts w:ascii="Calibri" w:hAnsi="Calibri"/>
                <w:color w:val="2D2D2D"/>
                <w:sz w:val="18"/>
              </w:rPr>
              <w:t>MITHQAL does not provide market making</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18</w:t>
            </w:r>
          </w:p>
        </w:tc>
        <w:tc>
          <w:tcPr>
            <w:tcW w:type="dxa" w:w="3024"/>
            <w:shd w:fill="F0F0F0"/>
            <w:vAlign w:val="center"/>
          </w:tcPr>
          <w:p>
            <w:pPr>
              <w:jc w:val="left"/>
            </w:pPr>
            <w:r/>
            <w:r>
              <w:rPr>
                <w:rFonts w:ascii="Calibri" w:hAnsi="Calibri"/>
                <w:color w:val="2D2D2D"/>
                <w:sz w:val="18"/>
              </w:rPr>
              <w:t>MITHQAL does not lend</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19</w:t>
            </w:r>
          </w:p>
        </w:tc>
        <w:tc>
          <w:tcPr>
            <w:tcW w:type="dxa" w:w="3024"/>
            <w:vAlign w:val="center"/>
          </w:tcPr>
          <w:p>
            <w:pPr>
              <w:jc w:val="left"/>
            </w:pPr>
            <w:r/>
            <w:r>
              <w:rPr>
                <w:rFonts w:ascii="Calibri" w:hAnsi="Calibri"/>
                <w:color w:val="2D2D2D"/>
                <w:sz w:val="18"/>
              </w:rPr>
              <w:t>MITHQAL does not provide trade finance</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20</w:t>
            </w:r>
          </w:p>
        </w:tc>
        <w:tc>
          <w:tcPr>
            <w:tcW w:type="dxa" w:w="3024"/>
            <w:shd w:fill="F0F0F0"/>
            <w:vAlign w:val="center"/>
          </w:tcPr>
          <w:p>
            <w:pPr>
              <w:jc w:val="left"/>
            </w:pPr>
            <w:r/>
            <w:r>
              <w:rPr>
                <w:rFonts w:ascii="Calibri" w:hAnsi="Calibri"/>
                <w:color w:val="2D2D2D"/>
                <w:sz w:val="18"/>
              </w:rPr>
              <w:t>No discretionary minting remains possible</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21</w:t>
            </w:r>
          </w:p>
        </w:tc>
        <w:tc>
          <w:tcPr>
            <w:tcW w:type="dxa" w:w="3024"/>
            <w:vAlign w:val="center"/>
          </w:tcPr>
          <w:p>
            <w:pPr>
              <w:jc w:val="left"/>
            </w:pPr>
            <w:r/>
            <w:r>
              <w:rPr>
                <w:rFonts w:ascii="Calibri" w:hAnsi="Calibri"/>
                <w:color w:val="2D2D2D"/>
                <w:sz w:val="18"/>
              </w:rPr>
              <w:t>Institutional authorization registry exists</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22</w:t>
            </w:r>
          </w:p>
        </w:tc>
        <w:tc>
          <w:tcPr>
            <w:tcW w:type="dxa" w:w="3024"/>
            <w:shd w:fill="F0F0F0"/>
            <w:vAlign w:val="center"/>
          </w:tcPr>
          <w:p>
            <w:pPr>
              <w:jc w:val="left"/>
            </w:pPr>
            <w:r/>
            <w:r>
              <w:rPr>
                <w:rFonts w:ascii="Calibri" w:hAnsi="Calibri"/>
                <w:color w:val="2D2D2D"/>
                <w:sz w:val="18"/>
              </w:rPr>
              <w:t>Jurisdictional authorization matrix controls access</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23</w:t>
            </w:r>
          </w:p>
        </w:tc>
        <w:tc>
          <w:tcPr>
            <w:tcW w:type="dxa" w:w="3024"/>
            <w:vAlign w:val="center"/>
          </w:tcPr>
          <w:p>
            <w:pPr>
              <w:jc w:val="left"/>
            </w:pPr>
            <w:r/>
            <w:r>
              <w:rPr>
                <w:rFonts w:ascii="Calibri" w:hAnsi="Calibri"/>
                <w:color w:val="2D2D2D"/>
                <w:sz w:val="18"/>
              </w:rPr>
              <w:t>Prohibited jurisdictions technically blocked</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24</w:t>
            </w:r>
          </w:p>
        </w:tc>
        <w:tc>
          <w:tcPr>
            <w:tcW w:type="dxa" w:w="3024"/>
            <w:shd w:fill="F0F0F0"/>
            <w:vAlign w:val="center"/>
          </w:tcPr>
          <w:p>
            <w:pPr>
              <w:jc w:val="left"/>
            </w:pPr>
            <w:r/>
            <w:r>
              <w:rPr>
                <w:rFonts w:ascii="Calibri" w:hAnsi="Calibri"/>
                <w:color w:val="2D2D2D"/>
                <w:sz w:val="18"/>
              </w:rPr>
              <w:t>Entry/exit through regulated gateways</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25</w:t>
            </w:r>
          </w:p>
        </w:tc>
        <w:tc>
          <w:tcPr>
            <w:tcW w:type="dxa" w:w="3024"/>
            <w:vAlign w:val="center"/>
          </w:tcPr>
          <w:p>
            <w:pPr>
              <w:jc w:val="left"/>
            </w:pPr>
            <w:r/>
            <w:r>
              <w:rPr>
                <w:rFonts w:ascii="Calibri" w:hAnsi="Calibri"/>
                <w:color w:val="2D2D2D"/>
                <w:sz w:val="18"/>
              </w:rPr>
              <w:t>Legal finality separated from technical finality</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26</w:t>
            </w:r>
          </w:p>
        </w:tc>
        <w:tc>
          <w:tcPr>
            <w:tcW w:type="dxa" w:w="3024"/>
            <w:shd w:fill="F0F0F0"/>
            <w:vAlign w:val="center"/>
          </w:tcPr>
          <w:p>
            <w:pPr>
              <w:jc w:val="left"/>
            </w:pPr>
            <w:r/>
            <w:r>
              <w:rPr>
                <w:rFonts w:ascii="Calibri" w:hAnsi="Calibri"/>
                <w:color w:val="2D2D2D"/>
                <w:sz w:val="18"/>
              </w:rPr>
              <w:t>Sharia review scope updated</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27</w:t>
            </w:r>
          </w:p>
        </w:tc>
        <w:tc>
          <w:tcPr>
            <w:tcW w:type="dxa" w:w="3024"/>
            <w:vAlign w:val="center"/>
          </w:tcPr>
          <w:p>
            <w:pPr>
              <w:jc w:val="left"/>
            </w:pPr>
            <w:r/>
            <w:r>
              <w:rPr>
                <w:rFonts w:ascii="Calibri" w:hAnsi="Calibri"/>
                <w:color w:val="2D2D2D"/>
                <w:sz w:val="18"/>
              </w:rPr>
              <w:t>Conflicting historical language quarantined</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28</w:t>
            </w:r>
          </w:p>
        </w:tc>
        <w:tc>
          <w:tcPr>
            <w:tcW w:type="dxa" w:w="3024"/>
            <w:shd w:fill="F0F0F0"/>
            <w:vAlign w:val="center"/>
          </w:tcPr>
          <w:p>
            <w:pPr>
              <w:jc w:val="left"/>
            </w:pPr>
            <w:r/>
            <w:r>
              <w:rPr>
                <w:rFonts w:ascii="Calibri" w:hAnsi="Calibri"/>
                <w:color w:val="2D2D2D"/>
                <w:sz w:val="18"/>
              </w:rPr>
              <w:t>Smart contracts enforce institutional issuance</w:t>
            </w:r>
          </w:p>
        </w:tc>
        <w:tc>
          <w:tcPr>
            <w:tcW w:type="dxa" w:w="3024"/>
            <w:shd w:fill="F0F0F0"/>
            <w:vAlign w:val="center"/>
          </w:tcPr>
          <w:p>
            <w:pPr>
              <w:jc w:val="left"/>
            </w:pPr>
            <w:r/>
            <w:r>
              <w:rPr>
                <w:rFonts w:ascii="Calibri" w:hAnsi="Calibri"/>
                <w:color w:val="2D2D2D"/>
                <w:sz w:val="18"/>
              </w:rPr>
              <w:t>⚠️ PENDING</w:t>
            </w:r>
          </w:p>
        </w:tc>
      </w:tr>
      <w:tr>
        <w:tc>
          <w:tcPr>
            <w:tcW w:type="dxa" w:w="3024"/>
            <w:vAlign w:val="center"/>
          </w:tcPr>
          <w:p>
            <w:pPr>
              <w:jc w:val="left"/>
            </w:pPr>
            <w:r/>
            <w:r>
              <w:rPr>
                <w:rFonts w:ascii="Calibri" w:hAnsi="Calibri"/>
                <w:color w:val="2D2D2D"/>
                <w:sz w:val="18"/>
              </w:rPr>
              <w:t>29</w:t>
            </w:r>
          </w:p>
        </w:tc>
        <w:tc>
          <w:tcPr>
            <w:tcW w:type="dxa" w:w="3024"/>
            <w:vAlign w:val="center"/>
          </w:tcPr>
          <w:p>
            <w:pPr>
              <w:jc w:val="left"/>
            </w:pPr>
            <w:r/>
            <w:r>
              <w:rPr>
                <w:rFonts w:ascii="Calibri" w:hAnsi="Calibri"/>
                <w:color w:val="2D2D2D"/>
                <w:sz w:val="18"/>
              </w:rPr>
              <w:t>Tests prove unauthorized retail issuance impossible</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30</w:t>
            </w:r>
          </w:p>
        </w:tc>
        <w:tc>
          <w:tcPr>
            <w:tcW w:type="dxa" w:w="3024"/>
            <w:shd w:fill="F0F0F0"/>
            <w:vAlign w:val="center"/>
          </w:tcPr>
          <w:p>
            <w:pPr>
              <w:jc w:val="left"/>
            </w:pPr>
            <w:r/>
            <w:r>
              <w:rPr>
                <w:rFonts w:ascii="Calibri" w:hAnsi="Calibri"/>
                <w:color w:val="2D2D2D"/>
                <w:sz w:val="18"/>
              </w:rPr>
              <w:t>Tests prove unauthorized institutional issuance impossible</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31</w:t>
            </w:r>
          </w:p>
        </w:tc>
        <w:tc>
          <w:tcPr>
            <w:tcW w:type="dxa" w:w="3024"/>
            <w:vAlign w:val="center"/>
          </w:tcPr>
          <w:p>
            <w:pPr>
              <w:jc w:val="left"/>
            </w:pPr>
            <w:r/>
            <w:r>
              <w:rPr>
                <w:rFonts w:ascii="Calibri" w:hAnsi="Calibri"/>
                <w:color w:val="2D2D2D"/>
                <w:sz w:val="18"/>
              </w:rPr>
              <w:t>Tests prove unauthorized cross-jurisdiction settlement blocked</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32</w:t>
            </w:r>
          </w:p>
        </w:tc>
        <w:tc>
          <w:tcPr>
            <w:tcW w:type="dxa" w:w="3024"/>
            <w:shd w:fill="F0F0F0"/>
            <w:vAlign w:val="center"/>
          </w:tcPr>
          <w:p>
            <w:pPr>
              <w:jc w:val="left"/>
            </w:pPr>
            <w:r/>
            <w:r>
              <w:rPr>
                <w:rFonts w:ascii="Calibri" w:hAnsi="Calibri"/>
                <w:color w:val="2D2D2D"/>
                <w:sz w:val="18"/>
              </w:rPr>
              <w:t>Tests prove audit traceability</w:t>
            </w:r>
          </w:p>
        </w:tc>
        <w:tc>
          <w:tcPr>
            <w:tcW w:type="dxa" w:w="3024"/>
            <w:shd w:fill="F0F0F0"/>
            <w:vAlign w:val="center"/>
          </w:tcPr>
          <w:p>
            <w:pPr>
              <w:jc w:val="left"/>
            </w:pPr>
            <w:r/>
            <w:r>
              <w:rPr>
                <w:rFonts w:ascii="Calibri" w:hAnsi="Calibri"/>
                <w:color w:val="2D2D2D"/>
                <w:sz w:val="18"/>
              </w:rPr>
              <w:t>✅ YES</w:t>
            </w:r>
          </w:p>
        </w:tc>
      </w:tr>
      <w:tr>
        <w:tc>
          <w:tcPr>
            <w:tcW w:type="dxa" w:w="3024"/>
            <w:vAlign w:val="center"/>
          </w:tcPr>
          <w:p>
            <w:pPr>
              <w:jc w:val="left"/>
            </w:pPr>
            <w:r/>
            <w:r>
              <w:rPr>
                <w:rFonts w:ascii="Calibri" w:hAnsi="Calibri"/>
                <w:color w:val="2D2D2D"/>
                <w:sz w:val="18"/>
              </w:rPr>
              <w:t>33</w:t>
            </w:r>
          </w:p>
        </w:tc>
        <w:tc>
          <w:tcPr>
            <w:tcW w:type="dxa" w:w="3024"/>
            <w:vAlign w:val="center"/>
          </w:tcPr>
          <w:p>
            <w:pPr>
              <w:jc w:val="left"/>
            </w:pPr>
            <w:r/>
            <w:r>
              <w:rPr>
                <w:rFonts w:ascii="Calibri" w:hAnsi="Calibri"/>
                <w:color w:val="2D2D2D"/>
                <w:sz w:val="18"/>
              </w:rPr>
              <w:t>Tests prove reserve integrity after issuance/redemption</w:t>
            </w:r>
          </w:p>
        </w:tc>
        <w:tc>
          <w:tcPr>
            <w:tcW w:type="dxa" w:w="3024"/>
            <w:vAlign w:val="center"/>
          </w:tcPr>
          <w:p>
            <w:pPr>
              <w:jc w:val="left"/>
            </w:pPr>
            <w:r/>
            <w:r>
              <w:rPr>
                <w:rFonts w:ascii="Calibri" w:hAnsi="Calibri"/>
                <w:color w:val="2D2D2D"/>
                <w:sz w:val="18"/>
              </w:rPr>
              <w:t>✅ YES</w:t>
            </w:r>
          </w:p>
        </w:tc>
      </w:tr>
      <w:tr>
        <w:tc>
          <w:tcPr>
            <w:tcW w:type="dxa" w:w="3024"/>
            <w:shd w:fill="F0F0F0"/>
            <w:vAlign w:val="center"/>
          </w:tcPr>
          <w:p>
            <w:pPr>
              <w:jc w:val="left"/>
            </w:pPr>
            <w:r/>
            <w:r>
              <w:rPr>
                <w:rFonts w:ascii="Calibri" w:hAnsi="Calibri"/>
                <w:color w:val="2D2D2D"/>
                <w:sz w:val="18"/>
              </w:rPr>
              <w:t>34</w:t>
            </w:r>
          </w:p>
        </w:tc>
        <w:tc>
          <w:tcPr>
            <w:tcW w:type="dxa" w:w="3024"/>
            <w:shd w:fill="F0F0F0"/>
            <w:vAlign w:val="center"/>
          </w:tcPr>
          <w:p>
            <w:pPr>
              <w:jc w:val="left"/>
            </w:pPr>
            <w:r/>
            <w:r>
              <w:rPr>
                <w:rFonts w:ascii="Calibri" w:hAnsi="Calibri"/>
                <w:color w:val="2D2D2D"/>
                <w:sz w:val="18"/>
              </w:rPr>
              <w:t>Full mathematical/regulatory/technical regression testing passes</w:t>
            </w:r>
          </w:p>
        </w:tc>
        <w:tc>
          <w:tcPr>
            <w:tcW w:type="dxa" w:w="3024"/>
            <w:shd w:fill="F0F0F0"/>
            <w:vAlign w:val="center"/>
          </w:tcPr>
          <w:p>
            <w:pPr>
              <w:jc w:val="left"/>
            </w:pPr>
            <w:r/>
            <w:r>
              <w:rPr>
                <w:rFonts w:ascii="Calibri" w:hAnsi="Calibri"/>
                <w:color w:val="2D2D2D"/>
                <w:sz w:val="18"/>
              </w:rPr>
              <w:t>✅ YES</w:t>
            </w:r>
          </w:p>
        </w:tc>
      </w:tr>
    </w:tbl>
    <w:p/>
    <w:p>
      <w:r>
        <w:rPr>
          <w:b/>
        </w:rPr>
        <w:t>32/34 fully YES. 2 PENDING (on-chain smart-contract enforcement).</w:t>
      </w:r>
    </w:p>
    <w:p>
      <w:pPr>
        <w:pBdr>
          <w:bottom w:val="single" w:sz="12" w:space="1" w:color="C59B1E"/>
        </w:pBdr>
      </w:pPr>
    </w:p>
    <w:p>
      <w:pPr>
        <w:pStyle w:val="Heading2"/>
      </w:pPr>
      <w:r>
        <w:t>§61 — COMMERCIAL FLOW EXAMPLES</w:t>
      </w:r>
    </w:p>
    <w:p>
      <w:pPr>
        <w:pStyle w:val="Heading3"/>
      </w:pPr>
      <w:r>
        <w:t>§61.1 Japan → USA (Canonical Example)</w:t>
      </w:r>
    </w:p>
    <w:p>
      <w:pPr>
        <w:ind w:left="283"/>
        <w:shd w:fill="F5F5F5"/>
      </w:pPr>
      <w:r>
        <w:rPr>
          <w:rFonts w:ascii="Consolas" w:hAnsi="Consolas"/>
          <w:color w:val="6B6B6B"/>
          <w:sz w:val="18"/>
        </w:rPr>
        <w:t>Japanese Company</w:t>
        <w:br/>
        <w:t xml:space="preserve">      │</w:t>
        <w:br/>
        <w:t xml:space="preserve">      │ payment instruction</w:t>
        <w:br/>
        <w:t xml:space="preserve">      ▼</w:t>
        <w:br/>
        <w:t>Japanese Bank Account</w:t>
        <w:br/>
        <w:t xml:space="preserve">      │</w:t>
        <w:br/>
        <w:t xml:space="preserve">      ▼</w:t>
        <w:br/>
        <w:t>Japanese Regulated Bank (INST-003)</w:t>
        <w:br/>
        <w:t xml:space="preserve">      │</w:t>
        <w:br/>
        <w:t xml:space="preserve">      ├── KYB/KYC</w:t>
        <w:br/>
        <w:t xml:space="preserve">      ├── AML/CFT</w:t>
        <w:br/>
        <w:t xml:space="preserve">      ├── sanctions</w:t>
        <w:br/>
        <w:t xml:space="preserve">      ├── funding check</w:t>
        <w:br/>
        <w:t xml:space="preserve">      └── authorization</w:t>
        <w:br/>
        <w:t xml:space="preserve">      │</w:t>
        <w:br/>
        <w:t xml:space="preserve">      ▼</w:t>
        <w:br/>
        <w:t>Bank-Linked Corporate MTQ Settlement Account</w:t>
        <w:br/>
        <w:t xml:space="preserve">      │</w:t>
        <w:br/>
        <w:t xml:space="preserve">      │ MTQ issuance through MITHQAL</w:t>
        <w:br/>
        <w:t xml:space="preserve">      ▼</w:t>
        <w:br/>
        <w:t>MITHQAL Settlement Layer</w:t>
        <w:br/>
        <w:t xml:space="preserve">      │</w:t>
        <w:br/>
        <w:t xml:space="preserve">      │ neutral MTQ settlement</w:t>
        <w:br/>
        <w:t xml:space="preserve">      ▼</w:t>
        <w:br/>
        <w:t>U.S. Participating Bank (INST-001)</w:t>
        <w:br/>
        <w:t xml:space="preserve">      │</w:t>
        <w:br/>
        <w:t xml:space="preserve">      ├── receiving controls</w:t>
        <w:br/>
        <w:t xml:space="preserve">      ├── sanctions/AML</w:t>
        <w:br/>
        <w:t xml:space="preserve">      └── redemption/FX</w:t>
        <w:br/>
        <w:t xml:space="preserve">      │</w:t>
        <w:br/>
        <w:t xml:space="preserve">      ▼</w:t>
        <w:br/>
        <w:t>U.S. Corporate Bank Account</w:t>
        <w:br/>
        <w:t xml:space="preserve">      │</w:t>
        <w:br/>
        <w:t xml:space="preserve">      ▼</w:t>
        <w:br/>
        <w:t>U.S. Exporter</w:t>
      </w:r>
    </w:p>
    <w:p>
      <w:pPr>
        <w:pStyle w:val="Heading3"/>
      </w:pPr>
      <w:r>
        <w:t>§61.2 USA → Japan (Reverse)</w:t>
      </w:r>
    </w:p>
    <w:p>
      <w:r>
        <w:t>Same flow reversed: US Bank (INST-001) initiates, Japanese Bank (INST-003) receives. Corridor = US-JP.</w:t>
      </w:r>
    </w:p>
    <w:p>
      <w:pPr>
        <w:pStyle w:val="Heading3"/>
      </w:pPr>
      <w:r>
        <w:t>§61.3 UAE ↔ Europe</w:t>
      </w:r>
    </w:p>
    <w:p>
      <w:pPr>
        <w:ind w:left="283"/>
        <w:shd w:fill="F5F5F5"/>
      </w:pPr>
      <w:r>
        <w:rPr>
          <w:rFonts w:ascii="Consolas" w:hAnsi="Consolas"/>
          <w:color w:val="6B6B6B"/>
          <w:sz w:val="18"/>
        </w:rPr>
        <w:t>UAE Corporate → UAE Bank (INST-004) → AED → MTQ → MITHQAL → MTQ → EU Bank (INST-002) → EUR → EU Corporate</w:t>
      </w:r>
    </w:p>
    <w:p>
      <w:pPr>
        <w:pStyle w:val="Heading3"/>
      </w:pPr>
      <w:r>
        <w:t>§61.4 Singapore ↔ UAE</w:t>
      </w:r>
    </w:p>
    <w:p>
      <w:pPr>
        <w:ind w:left="283"/>
        <w:shd w:fill="F5F5F5"/>
      </w:pPr>
      <w:r>
        <w:rPr>
          <w:rFonts w:ascii="Consolas" w:hAnsi="Consolas"/>
          <w:color w:val="6B6B6B"/>
          <w:sz w:val="18"/>
        </w:rPr>
        <w:t>SG Corporate → SG Bank → SGD → MTQ → MITHQAL → MTQ → AE Bank (INST-004) → AED → AE Corporate</w:t>
      </w:r>
    </w:p>
    <w:p>
      <w:pPr>
        <w:pStyle w:val="Heading3"/>
      </w:pPr>
      <w:r>
        <w:t>§61.5 Saudi Arabia ↔ Japan</w:t>
      </w:r>
    </w:p>
    <w:p>
      <w:pPr>
        <w:ind w:left="283"/>
        <w:shd w:fill="F5F5F5"/>
      </w:pPr>
      <w:r>
        <w:rPr>
          <w:rFonts w:ascii="Consolas" w:hAnsi="Consolas"/>
          <w:color w:val="6B6B6B"/>
          <w:sz w:val="18"/>
        </w:rPr>
        <w:t>SA Corporate → SA Bank → SAR → MTQ → MITHQAL → MTQ → JP Bank (INST-003) → JPY → JP Corporate</w:t>
      </w:r>
    </w:p>
    <w:p>
      <w:pPr>
        <w:pStyle w:val="Heading3"/>
      </w:pPr>
      <w:r>
        <w:t>§61.6 Future CBDC ↔ CBDC</w:t>
      </w:r>
    </w:p>
    <w:p>
      <w:pPr>
        <w:ind w:left="283"/>
        <w:shd w:fill="F5F5F5"/>
      </w:pPr>
      <w:r>
        <w:rPr>
          <w:rFonts w:ascii="Consolas" w:hAnsi="Consolas"/>
          <w:color w:val="6B6B6B"/>
          <w:sz w:val="18"/>
        </w:rPr>
        <w:t>CBDC A → Bank A → MTQ → MITHQAL → MTQ → Bank B → CBDC B</w:t>
      </w:r>
    </w:p>
    <w:p>
      <w:r>
        <w:t>Subject to explicit legal and technical authorization by both central banks.</w:t>
      </w:r>
    </w:p>
    <w:p>
      <w:pPr>
        <w:pBdr>
          <w:bottom w:val="single" w:sz="12" w:space="1" w:color="C59B1E"/>
        </w:pBdr>
      </w:pPr>
    </w:p>
    <w:p>
      <w:pPr>
        <w:pStyle w:val="Heading2"/>
      </w:pPr>
      <w:r>
        <w:t>§62 — FINAL IMPLEMENTATION DIRECTIVE (A-J)</w:t>
      </w:r>
    </w:p>
    <w:p>
      <w:pPr>
        <w:pStyle w:val="Heading3"/>
      </w:pPr>
      <w:r>
        <w:t>Deliverable A — Canonical Identity Module</w:t>
      </w:r>
    </w:p>
    <w:p>
      <w:r>
        <w:rPr>
          <w:b/>
        </w:rPr>
        <w:t>File:</w:t>
      </w:r>
      <w:r>
        <w:t xml:space="preserve"> </w:t>
      </w:r>
      <w:r>
        <w:rPr>
          <w:rFonts w:ascii="Consolas" w:hAnsi="Consolas"/>
          <w:color w:val="6B6B6B"/>
          <w:sz w:val="19"/>
        </w:rPr>
        <w:t>src/lib/v25-0-identity.ts</w:t>
      </w:r>
      <w:r>
        <w:t xml:space="preserve"> (437 lines)</w:t>
      </w:r>
    </w:p>
    <w:p>
      <w:r>
        <w:rPr>
          <w:b/>
        </w:rPr>
        <w:t>Status:</w:t>
      </w:r>
      <w:r>
        <w:t xml:space="preserve"> ✅ COMPLETE</w:t>
      </w:r>
    </w:p>
    <w:p>
      <w:pPr>
        <w:pStyle w:val="Heading3"/>
      </w:pPr>
      <w:r>
        <w:t>Deliverable B — Institutional Authorization Module</w:t>
      </w:r>
    </w:p>
    <w:p>
      <w:r>
        <w:rPr>
          <w:b/>
        </w:rPr>
        <w:t>File:</w:t>
      </w:r>
      <w:r>
        <w:t xml:space="preserve"> </w:t>
      </w:r>
      <w:r>
        <w:rPr>
          <w:rFonts w:ascii="Consolas" w:hAnsi="Consolas"/>
          <w:color w:val="6B6B6B"/>
          <w:sz w:val="19"/>
        </w:rPr>
        <w:t>src/lib/institutional-authorization.ts</w:t>
      </w:r>
      <w:r>
        <w:t xml:space="preserve"> (347 lines)</w:t>
      </w:r>
    </w:p>
    <w:p>
      <w:r>
        <w:rPr>
          <w:b/>
        </w:rPr>
        <w:t>Status:</w:t>
      </w:r>
      <w:r>
        <w:t xml:space="preserve"> ✅ COMPLETE</w:t>
      </w:r>
    </w:p>
    <w:p>
      <w:pPr>
        <w:pStyle w:val="Heading3"/>
      </w:pPr>
      <w:r>
        <w:t>Deliverable C — Wholesale Settlement Module</w:t>
      </w:r>
    </w:p>
    <w:p>
      <w:r>
        <w:rPr>
          <w:b/>
        </w:rPr>
        <w:t>File:</w:t>
      </w:r>
      <w:r>
        <w:t xml:space="preserve"> </w:t>
      </w:r>
      <w:r>
        <w:rPr>
          <w:rFonts w:ascii="Consolas" w:hAnsi="Consolas"/>
          <w:color w:val="6B6B6B"/>
          <w:sz w:val="19"/>
        </w:rPr>
        <w:t>src/lib/wholesale-settlement.ts</w:t>
      </w:r>
      <w:r>
        <w:t xml:space="preserve"> (321 lines)</w:t>
      </w:r>
    </w:p>
    <w:p>
      <w:r>
        <w:rPr>
          <w:b/>
        </w:rPr>
        <w:t>Status:</w:t>
      </w:r>
      <w:r>
        <w:t xml:space="preserve"> ✅ COMPLETE</w:t>
      </w:r>
    </w:p>
    <w:p>
      <w:pPr>
        <w:pStyle w:val="Heading3"/>
      </w:pPr>
      <w:r>
        <w:t>Deliverable D — Corporate Settlement Account Module</w:t>
      </w:r>
    </w:p>
    <w:p>
      <w:r>
        <w:rPr>
          <w:b/>
        </w:rPr>
        <w:t>File:</w:t>
      </w:r>
      <w:r>
        <w:t xml:space="preserve"> </w:t>
      </w:r>
      <w:r>
        <w:rPr>
          <w:rFonts w:ascii="Consolas" w:hAnsi="Consolas"/>
          <w:color w:val="6B6B6B"/>
          <w:sz w:val="19"/>
        </w:rPr>
        <w:t>src/lib/corporate-settlement-account.ts</w:t>
      </w:r>
      <w:r>
        <w:t xml:space="preserve"> (248 lines)</w:t>
      </w:r>
    </w:p>
    <w:p>
      <w:r>
        <w:rPr>
          <w:b/>
        </w:rPr>
        <w:t>Status:</w:t>
      </w:r>
      <w:r>
        <w:t xml:space="preserve"> ✅ COMPLETE</w:t>
      </w:r>
    </w:p>
    <w:p>
      <w:pPr>
        <w:pStyle w:val="Heading3"/>
      </w:pPr>
      <w:r>
        <w:t>Deliverable E — Proof-of-Liabilities Module</w:t>
      </w:r>
    </w:p>
    <w:p>
      <w:r>
        <w:rPr>
          <w:b/>
        </w:rPr>
        <w:t>File:</w:t>
      </w:r>
      <w:r>
        <w:t xml:space="preserve"> </w:t>
      </w:r>
      <w:r>
        <w:rPr>
          <w:rFonts w:ascii="Consolas" w:hAnsi="Consolas"/>
          <w:color w:val="6B6B6B"/>
          <w:sz w:val="19"/>
        </w:rPr>
        <w:t>src/lib/proof-of-liabilities.ts</w:t>
      </w:r>
      <w:r>
        <w:t xml:space="preserve"> (235 lines)</w:t>
      </w:r>
    </w:p>
    <w:p>
      <w:r>
        <w:rPr>
          <w:b/>
        </w:rPr>
        <w:t>Status:</w:t>
      </w:r>
      <w:r>
        <w:t xml:space="preserve"> ✅ COMPLETE</w:t>
      </w:r>
    </w:p>
    <w:p>
      <w:pPr>
        <w:pStyle w:val="Heading3"/>
      </w:pPr>
      <w:r>
        <w:t>Deliverable F — Privacy/Revenue/Principles Module</w:t>
      </w:r>
    </w:p>
    <w:p>
      <w:r>
        <w:rPr>
          <w:b/>
        </w:rPr>
        <w:t>File:</w:t>
      </w:r>
      <w:r>
        <w:t xml:space="preserve"> </w:t>
      </w:r>
      <w:r>
        <w:rPr>
          <w:rFonts w:ascii="Consolas" w:hAnsi="Consolas"/>
          <w:color w:val="6B6B6B"/>
          <w:sz w:val="19"/>
        </w:rPr>
        <w:t>src/lib/v25-0-privacy-revenue-principles.ts</w:t>
      </w:r>
      <w:r>
        <w:t xml:space="preserve"> (355 lines)</w:t>
      </w:r>
    </w:p>
    <w:p>
      <w:r>
        <w:rPr>
          <w:b/>
        </w:rPr>
        <w:t>Status:</w:t>
      </w:r>
      <w:r>
        <w:t xml:space="preserve"> ✅ COMPLETE</w:t>
      </w:r>
    </w:p>
    <w:p>
      <w:pPr>
        <w:pStyle w:val="Heading3"/>
      </w:pPr>
      <w:r>
        <w:t>Deliverable G — v25.0 API Route</w:t>
      </w:r>
    </w:p>
    <w:p>
      <w:r>
        <w:rPr>
          <w:b/>
        </w:rPr>
        <w:t>File:</w:t>
      </w:r>
      <w:r>
        <w:t xml:space="preserve"> </w:t>
      </w:r>
      <w:r>
        <w:rPr>
          <w:rFonts w:ascii="Consolas" w:hAnsi="Consolas"/>
          <w:color w:val="6B6B6B"/>
          <w:sz w:val="19"/>
        </w:rPr>
        <w:t>src/app/api/v25.0/route.ts</w:t>
      </w:r>
    </w:p>
    <w:p>
      <w:r>
        <w:rPr>
          <w:b/>
        </w:rPr>
        <w:t>Status:</w:t>
      </w:r>
      <w:r>
        <w:t xml:space="preserve"> ✅ COMPLETE (live at /api/v25.0)</w:t>
      </w:r>
    </w:p>
    <w:p>
      <w:pPr>
        <w:pStyle w:val="Heading3"/>
      </w:pPr>
      <w:r>
        <w:t>Deliverable H — Canonical Blueprint</w:t>
      </w:r>
    </w:p>
    <w:p>
      <w:r>
        <w:rPr>
          <w:b/>
        </w:rPr>
        <w:t>File:</w:t>
      </w:r>
      <w:r>
        <w:t xml:space="preserve"> </w:t>
      </w:r>
      <w:r>
        <w:rPr>
          <w:rFonts w:ascii="Consolas" w:hAnsi="Consolas"/>
          <w:color w:val="6B6B6B"/>
          <w:sz w:val="19"/>
        </w:rPr>
        <w:t>docs/blueprint/mithqal-canonical-blueprint-v25.md</w:t>
      </w:r>
      <w:r>
        <w:t xml:space="preserve"> (3,090 lines)</w:t>
      </w:r>
    </w:p>
    <w:p>
      <w:r>
        <w:rPr>
          <w:b/>
        </w:rPr>
        <w:t>Status:</w:t>
      </w:r>
      <w:r>
        <w:t xml:space="preserve"> ✅ COMPLETE</w:t>
      </w:r>
    </w:p>
    <w:p>
      <w:pPr>
        <w:pStyle w:val="Heading3"/>
      </w:pPr>
      <w:r>
        <w:t>Deliverable I — Smart-Contract Remediation Matrix</w:t>
      </w:r>
    </w:p>
    <w:p>
      <w:r>
        <w:rPr>
          <w:b/>
        </w:rPr>
        <w:t>File:</w:t>
      </w:r>
      <w:r>
        <w:t xml:space="preserve"> </w:t>
      </w:r>
      <w:r>
        <w:rPr>
          <w:rFonts w:ascii="Consolas" w:hAnsi="Consolas"/>
          <w:color w:val="6B6B6B"/>
          <w:sz w:val="19"/>
        </w:rPr>
        <w:t>docs/verification/v25-0-smart-contract-remediation-matrix.md</w:t>
      </w:r>
    </w:p>
    <w:p>
      <w:r>
        <w:rPr>
          <w:b/>
        </w:rPr>
        <w:t>Status:</w:t>
      </w:r>
      <w:r>
        <w:t xml:space="preserve"> ✅ COMPLETE (9 contracts, 37 changes)</w:t>
      </w:r>
    </w:p>
    <w:p>
      <w:pPr>
        <w:pStyle w:val="Heading3"/>
      </w:pPr>
      <w:r>
        <w:t>Deliverable J — Final Reports</w:t>
      </w:r>
    </w:p>
    <w:p>
      <w:r>
        <w:rPr>
          <w:b/>
        </w:rPr>
        <w:t>File:</w:t>
      </w:r>
      <w:r>
        <w:t xml:space="preserve"> </w:t>
      </w:r>
      <w:r>
        <w:rPr>
          <w:rFonts w:ascii="Consolas" w:hAnsi="Consolas"/>
          <w:color w:val="6B6B6B"/>
          <w:sz w:val="19"/>
        </w:rPr>
        <w:t>docs/verification/v25-0-FINAL-REPORTS.md</w:t>
      </w:r>
    </w:p>
    <w:p>
      <w:r>
        <w:rPr>
          <w:b/>
        </w:rPr>
        <w:t>Status:</w:t>
      </w:r>
      <w:r>
        <w:t xml:space="preserve"> ✅ COMPLETE (10 reports A-J)</w:t>
      </w:r>
    </w:p>
    <w:p>
      <w:pPr>
        <w:pBdr>
          <w:bottom w:val="single" w:sz="12" w:space="1" w:color="C59B1E"/>
        </w:pBdr>
      </w:pPr>
    </w:p>
    <w:p>
      <w:pPr>
        <w:pStyle w:val="Heading2"/>
      </w:pPr>
      <w:r>
        <w:t>§63 — LANGUAGE DISCIPLINE</w:t>
      </w:r>
    </w:p>
    <w:p>
      <w:pPr>
        <w:pStyle w:val="Heading3"/>
      </w:pPr>
      <w:r>
        <w:t>§63.1 Prohibited Claims</w:t>
      </w:r>
    </w:p>
    <w:p>
      <w:r>
        <w:rPr>
          <w:b/>
        </w:rPr>
        <w:t>DO NOT claim:</w:t>
      </w:r>
    </w:p>
    <w:p>
      <w:pPr>
        <w:pStyle w:val="ListBullet"/>
        <w:ind w:left="425"/>
      </w:pPr>
      <w:r>
        <w:t>❌ risk-free</w:t>
      </w:r>
    </w:p>
    <w:p>
      <w:pPr>
        <w:pStyle w:val="ListBullet"/>
        <w:ind w:left="425"/>
      </w:pPr>
      <w:r>
        <w:t>❌ impossible to fail</w:t>
      </w:r>
    </w:p>
    <w:p>
      <w:pPr>
        <w:pStyle w:val="ListBullet"/>
        <w:ind w:left="425"/>
      </w:pPr>
      <w:r>
        <w:t>❌ zero LGD</w:t>
      </w:r>
    </w:p>
    <w:p>
      <w:pPr>
        <w:pStyle w:val="ListBullet"/>
        <w:ind w:left="425"/>
      </w:pPr>
      <w:r>
        <w:t>❌ zero counterparty risk</w:t>
      </w:r>
    </w:p>
    <w:p>
      <w:pPr>
        <w:pStyle w:val="ListBullet"/>
        <w:ind w:left="425"/>
      </w:pPr>
      <w:r>
        <w:t>❌ guaranteed PAR</w:t>
      </w:r>
    </w:p>
    <w:p>
      <w:pPr>
        <w:pStyle w:val="ListBullet"/>
        <w:ind w:left="425"/>
      </w:pPr>
      <w:r>
        <w:t>❌ guaranteed solvency</w:t>
      </w:r>
    </w:p>
    <w:p>
      <w:pPr>
        <w:pStyle w:val="ListBullet"/>
        <w:ind w:left="425"/>
      </w:pPr>
      <w:r>
        <w:t>❌ regulator approved</w:t>
      </w:r>
    </w:p>
    <w:p>
      <w:pPr>
        <w:pStyle w:val="ListBullet"/>
        <w:ind w:left="425"/>
      </w:pPr>
      <w:r>
        <w:t>❌ central-bank approved</w:t>
      </w:r>
    </w:p>
    <w:p>
      <w:pPr>
        <w:pStyle w:val="ListBullet"/>
        <w:ind w:left="425"/>
      </w:pPr>
      <w:r>
        <w:t>❌ Sharia certified</w:t>
      </w:r>
    </w:p>
    <w:p>
      <w:r>
        <w:t>...unless independently verified and legally documented.</w:t>
      </w:r>
    </w:p>
    <w:p>
      <w:pPr>
        <w:pStyle w:val="Heading3"/>
      </w:pPr>
      <w:r>
        <w:t>§63.2 Permitted Language</w:t>
      </w:r>
    </w:p>
    <w:p>
      <w:r>
        <w:t>Use:</w:t>
      </w:r>
    </w:p>
    <w:p>
      <w:pPr>
        <w:pStyle w:val="ListBullet"/>
        <w:ind w:left="425"/>
      </w:pPr>
      <w:r>
        <w:t>✅ "designed to"</w:t>
      </w:r>
    </w:p>
    <w:p>
      <w:pPr>
        <w:pStyle w:val="ListBullet"/>
        <w:ind w:left="425"/>
      </w:pPr>
      <w:r>
        <w:t>✅ "tested under"</w:t>
      </w:r>
    </w:p>
    <w:p>
      <w:pPr>
        <w:pStyle w:val="ListBullet"/>
        <w:ind w:left="425"/>
      </w:pPr>
      <w:r>
        <w:t>✅ "reproduced"</w:t>
      </w:r>
    </w:p>
    <w:p>
      <w:pPr>
        <w:pStyle w:val="ListBullet"/>
        <w:ind w:left="425"/>
      </w:pPr>
      <w:r>
        <w:t>✅ "provisionally validated"</w:t>
      </w:r>
    </w:p>
    <w:p>
      <w:pPr>
        <w:pStyle w:val="ListBullet"/>
        <w:ind w:left="425"/>
      </w:pPr>
      <w:r>
        <w:t>✅ "subject to independent validation"</w:t>
      </w:r>
    </w:p>
    <w:p>
      <w:pPr>
        <w:pBdr>
          <w:bottom w:val="single" w:sz="12" w:space="1" w:color="C59B1E"/>
        </w:pBdr>
      </w:pPr>
    </w:p>
    <w:p>
      <w:pPr>
        <w:pStyle w:val="Heading2"/>
      </w:pPr>
      <w:r>
        <w:t>§64 — FINAL COVERAGE CHECK</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Item</w:t>
            </w:r>
          </w:p>
        </w:tc>
        <w:tc>
          <w:tcPr>
            <w:tcW w:type="dxa" w:w="4536"/>
            <w:shd w:fill="1A365F"/>
            <w:vAlign w:val="center"/>
          </w:tcPr>
          <w:p>
            <w:pPr>
              <w:jc w:val="left"/>
            </w:pPr>
            <w:r/>
            <w:r>
              <w:rPr>
                <w:rFonts w:ascii="Calibri" w:hAnsi="Calibri"/>
                <w:b/>
                <w:color w:val="FFFFFF"/>
                <w:sz w:val="18"/>
              </w:rPr>
              <w:t>YES/NO</w:t>
            </w:r>
          </w:p>
        </w:tc>
      </w:tr>
      <w:tr>
        <w:tc>
          <w:tcPr>
            <w:tcW w:type="dxa" w:w="4536"/>
            <w:vAlign w:val="center"/>
          </w:tcPr>
          <w:p>
            <w:pPr>
              <w:jc w:val="left"/>
            </w:pPr>
            <w:r/>
            <w:r>
              <w:rPr>
                <w:rFonts w:ascii="Calibri" w:hAnsi="Calibri"/>
                <w:color w:val="2D2D2D"/>
                <w:sz w:val="18"/>
              </w:rPr>
              <w:t>v24.2 baseline preserved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Single canonical constants registry</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120% strategic RR preserved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102% architecture rejected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CALM NORMAL ≥ 120%</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S_max formula verified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250K MC reproduced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21.5432% governed explicitly</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Challenger models executed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Reverse stress executed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A/B/C/D/E executed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Formal lexicographic selection</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PAXG TGRS decomposed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TGRS threshold sweep</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TGLS implemented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TGBS implemented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TGDR measured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PAXG common-mode stress</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Attestation freshness</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PAXG fail-closed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Anti-double-counting verified</w:t>
            </w:r>
          </w:p>
        </w:tc>
        <w:tc>
          <w:tcPr>
            <w:tcW w:type="dxa" w:w="4536"/>
            <w:vAlign w:val="center"/>
          </w:tcPr>
          <w:p>
            <w:pPr>
              <w:jc w:val="left"/>
            </w:pPr>
            <w:r/>
            <w:r>
              <w:rPr>
                <w:rFonts w:ascii="Calibri" w:hAnsi="Calibri"/>
                <w:color w:val="2D2D2D"/>
                <w:sz w:val="18"/>
              </w:rPr>
              <w:t>YES (32/32)</w:t>
            </w:r>
          </w:p>
        </w:tc>
      </w:tr>
      <w:tr>
        <w:tc>
          <w:tcPr>
            <w:tcW w:type="dxa" w:w="4536"/>
            <w:shd w:fill="F0F0F0"/>
            <w:vAlign w:val="center"/>
          </w:tcPr>
          <w:p>
            <w:pPr>
              <w:jc w:val="left"/>
            </w:pPr>
            <w:r/>
            <w:r>
              <w:rPr>
                <w:rFonts w:ascii="Calibri" w:hAnsi="Calibri"/>
                <w:color w:val="2D2D2D"/>
                <w:sz w:val="18"/>
              </w:rPr>
              <w:t>Physical-vs-tokenized reconciled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Silver 0/1/2/3 executed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Stablecoin C1/C2/C3/C4 executed</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MPC λ sweep</w:t>
            </w:r>
          </w:p>
        </w:tc>
        <w:tc>
          <w:tcPr>
            <w:tcW w:type="dxa" w:w="4536"/>
            <w:vAlign w:val="center"/>
          </w:tcPr>
          <w:p>
            <w:pPr>
              <w:jc w:val="left"/>
            </w:pPr>
            <w:r/>
            <w:r>
              <w:rPr>
                <w:rFonts w:ascii="Calibri" w:hAnsi="Calibri"/>
                <w:color w:val="2D2D2D"/>
                <w:sz w:val="18"/>
              </w:rPr>
              <w:t>YES (NO FEASIBLE λ)</w:t>
            </w:r>
          </w:p>
        </w:tc>
      </w:tr>
      <w:tr>
        <w:tc>
          <w:tcPr>
            <w:tcW w:type="dxa" w:w="4536"/>
            <w:shd w:fill="F0F0F0"/>
            <w:vAlign w:val="center"/>
          </w:tcPr>
          <w:p>
            <w:pPr>
              <w:jc w:val="left"/>
            </w:pPr>
            <w:r/>
            <w:r>
              <w:rPr>
                <w:rFonts w:ascii="Calibri" w:hAnsi="Calibri"/>
                <w:color w:val="2D2D2D"/>
                <w:sz w:val="18"/>
              </w:rPr>
              <w:t>Custody matrix</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ERTF recovery matrix</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ERTF excluded from R_a</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Bullion 88% decomposed</w:t>
            </w:r>
          </w:p>
        </w:tc>
        <w:tc>
          <w:tcPr>
            <w:tcW w:type="dxa" w:w="4536"/>
            <w:vAlign w:val="center"/>
          </w:tcPr>
          <w:p>
            <w:pPr>
              <w:jc w:val="left"/>
            </w:pPr>
            <w:r/>
            <w:r>
              <w:rPr>
                <w:rFonts w:ascii="Calibri" w:hAnsi="Calibri"/>
                <w:color w:val="2D2D2D"/>
                <w:sz w:val="18"/>
              </w:rPr>
              <w:t>YES (GENUINE)</w:t>
            </w:r>
          </w:p>
        </w:tc>
      </w:tr>
      <w:tr>
        <w:tc>
          <w:tcPr>
            <w:tcW w:type="dxa" w:w="4536"/>
            <w:shd w:fill="F0F0F0"/>
            <w:vAlign w:val="center"/>
          </w:tcPr>
          <w:p>
            <w:pPr>
              <w:jc w:val="left"/>
            </w:pPr>
            <w:r/>
            <w:r>
              <w:rPr>
                <w:rFonts w:ascii="Calibri" w:hAnsi="Calibri"/>
                <w:color w:val="2D2D2D"/>
                <w:sz w:val="18"/>
              </w:rPr>
              <w:t>Liquidity ladder</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LSD verified</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Redemption matrix</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In-kind theorem</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Monad Oracle fixed</w:t>
            </w:r>
          </w:p>
        </w:tc>
        <w:tc>
          <w:tcPr>
            <w:tcW w:type="dxa" w:w="4536"/>
            <w:shd w:fill="F0F0F0"/>
            <w:vAlign w:val="center"/>
          </w:tcPr>
          <w:p>
            <w:pPr>
              <w:jc w:val="left"/>
            </w:pPr>
            <w:r/>
            <w:r>
              <w:rPr>
                <w:rFonts w:ascii="Calibri" w:hAnsi="Calibri"/>
                <w:color w:val="2D2D2D"/>
                <w:sz w:val="18"/>
              </w:rPr>
              <w:t>**NO**</w:t>
            </w:r>
          </w:p>
        </w:tc>
      </w:tr>
      <w:tr>
        <w:tc>
          <w:tcPr>
            <w:tcW w:type="dxa" w:w="4536"/>
            <w:vAlign w:val="center"/>
          </w:tcPr>
          <w:p>
            <w:pPr>
              <w:jc w:val="left"/>
            </w:pPr>
            <w:r/>
            <w:r>
              <w:rPr>
                <w:rFonts w:ascii="Calibri" w:hAnsi="Calibri"/>
                <w:color w:val="2D2D2D"/>
                <w:sz w:val="18"/>
              </w:rPr>
              <w:t>Arc silverPrice fixed</w:t>
            </w:r>
          </w:p>
        </w:tc>
        <w:tc>
          <w:tcPr>
            <w:tcW w:type="dxa" w:w="4536"/>
            <w:vAlign w:val="center"/>
          </w:tcPr>
          <w:p>
            <w:pPr>
              <w:jc w:val="left"/>
            </w:pPr>
            <w:r/>
            <w:r>
              <w:rPr>
                <w:rFonts w:ascii="Calibri" w:hAnsi="Calibri"/>
                <w:color w:val="2D2D2D"/>
                <w:sz w:val="18"/>
              </w:rPr>
              <w:t>**NO**</w:t>
            </w:r>
          </w:p>
        </w:tc>
      </w:tr>
      <w:tr>
        <w:tc>
          <w:tcPr>
            <w:tcW w:type="dxa" w:w="4536"/>
            <w:shd w:fill="F0F0F0"/>
            <w:vAlign w:val="center"/>
          </w:tcPr>
          <w:p>
            <w:pPr>
              <w:jc w:val="left"/>
            </w:pPr>
            <w:r/>
            <w:r>
              <w:rPr>
                <w:rFonts w:ascii="Calibri" w:hAnsi="Calibri"/>
                <w:color w:val="2D2D2D"/>
                <w:sz w:val="18"/>
              </w:rPr>
              <w:t>Solana supply invariant</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39-testnet suite</w:t>
            </w:r>
          </w:p>
        </w:tc>
        <w:tc>
          <w:tcPr>
            <w:tcW w:type="dxa" w:w="4536"/>
            <w:vAlign w:val="center"/>
          </w:tcPr>
          <w:p>
            <w:pPr>
              <w:jc w:val="left"/>
            </w:pPr>
            <w:r/>
            <w:r>
              <w:rPr>
                <w:rFonts w:ascii="Calibri" w:hAnsi="Calibri"/>
                <w:color w:val="2D2D2D"/>
                <w:sz w:val="18"/>
              </w:rPr>
              <w:t>YES (36/39)</w:t>
            </w:r>
          </w:p>
        </w:tc>
      </w:tr>
      <w:tr>
        <w:tc>
          <w:tcPr>
            <w:tcW w:type="dxa" w:w="4536"/>
            <w:shd w:fill="F0F0F0"/>
            <w:vAlign w:val="center"/>
          </w:tcPr>
          <w:p>
            <w:pPr>
              <w:jc w:val="left"/>
            </w:pPr>
            <w:r/>
            <w:r>
              <w:rPr>
                <w:rFonts w:ascii="Calibri" w:hAnsi="Calibri"/>
                <w:color w:val="2D2D2D"/>
                <w:sz w:val="18"/>
              </w:rPr>
              <w:t>18-scenario suite</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68-scenario suite</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Master test registry</w:t>
            </w:r>
          </w:p>
        </w:tc>
        <w:tc>
          <w:tcPr>
            <w:tcW w:type="dxa" w:w="4536"/>
            <w:shd w:fill="F0F0F0"/>
            <w:vAlign w:val="center"/>
          </w:tcPr>
          <w:p>
            <w:pPr>
              <w:jc w:val="left"/>
            </w:pPr>
            <w:r/>
            <w:r>
              <w:rPr>
                <w:rFonts w:ascii="Calibri" w:hAnsi="Calibri"/>
                <w:color w:val="2D2D2D"/>
                <w:sz w:val="18"/>
              </w:rPr>
              <w:t>YES (374 tests)</w:t>
            </w:r>
          </w:p>
        </w:tc>
      </w:tr>
      <w:tr>
        <w:tc>
          <w:tcPr>
            <w:tcW w:type="dxa" w:w="4536"/>
            <w:vAlign w:val="center"/>
          </w:tcPr>
          <w:p>
            <w:pPr>
              <w:jc w:val="left"/>
            </w:pPr>
            <w:r/>
            <w:r>
              <w:rPr>
                <w:rFonts w:ascii="Calibri" w:hAnsi="Calibri"/>
                <w:color w:val="2D2D2D"/>
                <w:sz w:val="18"/>
              </w:rPr>
              <w:t>Decision journal</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Minimum capital solver</w:t>
            </w:r>
          </w:p>
        </w:tc>
        <w:tc>
          <w:tcPr>
            <w:tcW w:type="dxa" w:w="4536"/>
            <w:shd w:fill="F0F0F0"/>
            <w:vAlign w:val="center"/>
          </w:tcPr>
          <w:p>
            <w:pPr>
              <w:jc w:val="left"/>
            </w:pPr>
            <w:r/>
            <w:r>
              <w:rPr>
                <w:rFonts w:ascii="Calibri" w:hAnsi="Calibri"/>
                <w:color w:val="2D2D2D"/>
                <w:sz w:val="18"/>
              </w:rPr>
              <w:t>YES ($15.8M)</w:t>
            </w:r>
          </w:p>
        </w:tc>
      </w:tr>
      <w:tr>
        <w:tc>
          <w:tcPr>
            <w:tcW w:type="dxa" w:w="4536"/>
            <w:vAlign w:val="center"/>
          </w:tcPr>
          <w:p>
            <w:pPr>
              <w:jc w:val="left"/>
            </w:pPr>
            <w:r/>
            <w:r>
              <w:rPr>
                <w:rFonts w:ascii="Calibri" w:hAnsi="Calibri"/>
                <w:color w:val="2D2D2D"/>
                <w:sz w:val="18"/>
              </w:rPr>
              <w:t>No FAIL→BDL conversion</w:t>
            </w:r>
          </w:p>
        </w:tc>
        <w:tc>
          <w:tcPr>
            <w:tcW w:type="dxa" w:w="4536"/>
            <w:vAlign w:val="center"/>
          </w:tcPr>
          <w:p>
            <w:pPr>
              <w:jc w:val="left"/>
            </w:pPr>
            <w:r/>
            <w:r>
              <w:rPr>
                <w:rFonts w:ascii="Calibri" w:hAnsi="Calibri"/>
                <w:color w:val="2D2D2D"/>
                <w:sz w:val="18"/>
              </w:rPr>
              <w:t>YES</w:t>
            </w:r>
          </w:p>
        </w:tc>
      </w:tr>
      <w:tr>
        <w:tc>
          <w:tcPr>
            <w:tcW w:type="dxa" w:w="4536"/>
            <w:shd w:fill="F0F0F0"/>
            <w:vAlign w:val="center"/>
          </w:tcPr>
          <w:p>
            <w:pPr>
              <w:jc w:val="left"/>
            </w:pPr>
            <w:r/>
            <w:r>
              <w:rPr>
                <w:rFonts w:ascii="Calibri" w:hAnsi="Calibri"/>
                <w:color w:val="2D2D2D"/>
                <w:sz w:val="18"/>
              </w:rPr>
              <w:t>No contradictory constants</w:t>
            </w:r>
          </w:p>
        </w:tc>
        <w:tc>
          <w:tcPr>
            <w:tcW w:type="dxa" w:w="4536"/>
            <w:shd w:fill="F0F0F0"/>
            <w:vAlign w:val="center"/>
          </w:tcPr>
          <w:p>
            <w:pPr>
              <w:jc w:val="left"/>
            </w:pPr>
            <w:r/>
            <w:r>
              <w:rPr>
                <w:rFonts w:ascii="Calibri" w:hAnsi="Calibri"/>
                <w:color w:val="2D2D2D"/>
                <w:sz w:val="18"/>
              </w:rPr>
              <w:t>YES</w:t>
            </w:r>
          </w:p>
        </w:tc>
      </w:tr>
      <w:tr>
        <w:tc>
          <w:tcPr>
            <w:tcW w:type="dxa" w:w="4536"/>
            <w:vAlign w:val="center"/>
          </w:tcPr>
          <w:p>
            <w:pPr>
              <w:jc w:val="left"/>
            </w:pPr>
            <w:r/>
            <w:r>
              <w:rPr>
                <w:rFonts w:ascii="Calibri" w:hAnsi="Calibri"/>
                <w:color w:val="2D2D2D"/>
                <w:sz w:val="18"/>
              </w:rPr>
              <w:t>Mainnet blockers explicit</w:t>
            </w:r>
          </w:p>
        </w:tc>
        <w:tc>
          <w:tcPr>
            <w:tcW w:type="dxa" w:w="4536"/>
            <w:vAlign w:val="center"/>
          </w:tcPr>
          <w:p>
            <w:pPr>
              <w:jc w:val="left"/>
            </w:pPr>
            <w:r/>
            <w:r>
              <w:rPr>
                <w:rFonts w:ascii="Calibri" w:hAnsi="Calibri"/>
                <w:color w:val="2D2D2D"/>
                <w:sz w:val="18"/>
              </w:rPr>
              <w:t>YES (3 UNRESOLVED)</w:t>
            </w:r>
          </w:p>
        </w:tc>
      </w:tr>
      <w:tr>
        <w:tc>
          <w:tcPr>
            <w:tcW w:type="dxa" w:w="4536"/>
            <w:shd w:fill="F0F0F0"/>
            <w:vAlign w:val="center"/>
          </w:tcPr>
          <w:p>
            <w:pPr>
              <w:jc w:val="left"/>
            </w:pPr>
            <w:r/>
            <w:r>
              <w:rPr>
                <w:rFonts w:ascii="Calibri" w:hAnsi="Calibri"/>
                <w:color w:val="2D2D2D"/>
                <w:sz w:val="18"/>
              </w:rPr>
              <w:t>Independent validation package</w:t>
            </w:r>
          </w:p>
        </w:tc>
        <w:tc>
          <w:tcPr>
            <w:tcW w:type="dxa" w:w="4536"/>
            <w:shd w:fill="F0F0F0"/>
            <w:vAlign w:val="center"/>
          </w:tcPr>
          <w:p>
            <w:pPr>
              <w:jc w:val="left"/>
            </w:pPr>
            <w:r/>
            <w:r>
              <w:rPr>
                <w:rFonts w:ascii="Calibri" w:hAnsi="Calibri"/>
                <w:color w:val="2D2D2D"/>
                <w:sz w:val="18"/>
              </w:rPr>
              <w:t>YES</w:t>
            </w:r>
          </w:p>
        </w:tc>
      </w:tr>
    </w:tbl>
    <w:p/>
    <w:p>
      <w:r>
        <w:rPr>
          <w:b/>
        </w:rPr>
        <w:t>46 YES / 2 NO</w:t>
      </w:r>
      <w:r>
        <w:t xml:space="preserve"> (Monad Oracle + Arc silverPrice — mainnet blockers)</w:t>
      </w:r>
    </w:p>
    <w:p>
      <w:pPr>
        <w:pBdr>
          <w:bottom w:val="single" w:sz="12" w:space="1" w:color="C59B1E"/>
        </w:pBdr>
      </w:pPr>
    </w:p>
    <w:p>
      <w:pPr>
        <w:pStyle w:val="Heading2"/>
      </w:pPr>
      <w:r>
        <w:t>§65 — FINAL COO RELEASE PRINCIPLE</w:t>
      </w:r>
    </w:p>
    <w:p>
      <w:r>
        <w:t>The system succeeds only when the evidence shows:</w:t>
      </w:r>
    </w:p>
    <w:p>
      <w:pPr>
        <w:spacing w:before="120" w:after="120"/>
        <w:ind w:left="567" w:right="567"/>
        <w:pBdr>
          <w:left w:val="single" w:sz="24" w:space="8" w:color="C59B1E"/>
        </w:pBdr>
        <w:shd w:fill="FFFBF0"/>
      </w:pPr>
      <w:r>
        <w:rPr>
          <w:b/>
          <w:i/>
          <w:color w:val="1A365F"/>
          <w:sz w:val="22"/>
        </w:rPr>
        <w:t>**Maximum verified resilience at minimum economically necessary capital.**</w:t>
      </w:r>
    </w:p>
    <w:p>
      <w:r>
        <w:t xml:space="preserve">The project is </w:t>
      </w:r>
      <w:r>
        <w:rPr>
          <w:b/>
        </w:rPr>
        <w:t>NOT</w:t>
      </w:r>
      <w:r>
        <w:t xml:space="preserve"> successful because:</w:t>
      </w:r>
    </w:p>
    <w:p>
      <w:pPr>
        <w:pStyle w:val="ListBullet"/>
        <w:ind w:left="425"/>
      </w:pPr>
      <w:r>
        <w:t>More code was written</w:t>
      </w:r>
    </w:p>
    <w:p>
      <w:pPr>
        <w:pStyle w:val="ListBullet"/>
        <w:ind w:left="425"/>
      </w:pPr>
      <w:r>
        <w:t>More tests were run</w:t>
      </w:r>
    </w:p>
    <w:p>
      <w:pPr>
        <w:pStyle w:val="ListBullet"/>
        <w:ind w:left="425"/>
      </w:pPr>
      <w:r>
        <w:t>PASS percentage increased</w:t>
      </w:r>
    </w:p>
    <w:p>
      <w:pPr>
        <w:pStyle w:val="ListBullet"/>
        <w:ind w:left="425"/>
      </w:pPr>
      <w:r>
        <w:t>Portfolio B was deployed</w:t>
      </w:r>
    </w:p>
    <w:p>
      <w:r>
        <w:t>It succeeds when:</w:t>
      </w:r>
    </w:p>
    <w:p>
      <w:pPr>
        <w:pStyle w:val="ListBullet"/>
        <w:ind w:left="425"/>
      </w:pPr>
      <w:r>
        <w:t>✅ The model is reproducible</w:t>
      </w:r>
    </w:p>
    <w:p>
      <w:pPr>
        <w:pStyle w:val="ListBullet"/>
        <w:ind w:left="425"/>
      </w:pPr>
      <w:r>
        <w:t>✅ The failures are understood</w:t>
      </w:r>
    </w:p>
    <w:p>
      <w:pPr>
        <w:pStyle w:val="ListBullet"/>
        <w:ind w:left="425"/>
      </w:pPr>
      <w:r>
        <w:t>✅ The portfolio is objectively selected</w:t>
      </w:r>
    </w:p>
    <w:p>
      <w:pPr>
        <w:pStyle w:val="ListBullet"/>
        <w:ind w:left="425"/>
      </w:pPr>
      <w:r>
        <w:t>✅ The reserve is mathematically conserved</w:t>
      </w:r>
    </w:p>
    <w:p>
      <w:pPr>
        <w:pStyle w:val="ListBullet"/>
        <w:ind w:left="425"/>
      </w:pPr>
      <w:r>
        <w:t>✅ The tokenized-gold exposure is controlled</w:t>
      </w:r>
    </w:p>
    <w:p>
      <w:pPr>
        <w:pStyle w:val="ListBullet"/>
        <w:ind w:left="425"/>
      </w:pPr>
      <w:r>
        <w:t>✅ Silver is used only if beneficial</w:t>
      </w:r>
    </w:p>
    <w:p>
      <w:pPr>
        <w:pStyle w:val="ListBullet"/>
        <w:ind w:left="425"/>
      </w:pPr>
      <w:r>
        <w:t>✅ Liquidity is sufficient</w:t>
      </w:r>
    </w:p>
    <w:p>
      <w:pPr>
        <w:pStyle w:val="ListBullet"/>
        <w:ind w:left="425"/>
      </w:pPr>
      <w:r>
        <w:t>✅ Custody is bounded</w:t>
      </w:r>
    </w:p>
    <w:p>
      <w:pPr>
        <w:pStyle w:val="ListBullet"/>
        <w:ind w:left="425"/>
      </w:pPr>
      <w:r>
        <w:t>✅ ERTF is correctly modeled</w:t>
      </w:r>
    </w:p>
    <w:p>
      <w:pPr>
        <w:pStyle w:val="ListBullet"/>
        <w:ind w:left="425"/>
      </w:pPr>
      <w:r>
        <w:t>✅ CALM is monotonic</w:t>
      </w:r>
    </w:p>
    <w:p>
      <w:pPr>
        <w:pStyle w:val="ListBullet"/>
        <w:ind w:left="425"/>
      </w:pPr>
      <w:r>
        <w:t>✅ Cross-chain supply is conserved</w:t>
      </w:r>
    </w:p>
    <w:p>
      <w:pPr>
        <w:pStyle w:val="ListBullet"/>
        <w:ind w:left="425"/>
      </w:pPr>
      <w:r>
        <w:t>✅ Testnet contracts match their source</w:t>
      </w:r>
    </w:p>
    <w:p>
      <w:pPr>
        <w:pStyle w:val="ListBullet"/>
        <w:ind w:left="425"/>
      </w:pPr>
      <w:r>
        <w:t>✅ No known hard blocker remains</w:t>
      </w:r>
    </w:p>
    <w:p>
      <w:pPr>
        <w:pStyle w:val="Heading3"/>
      </w:pPr>
      <w:r>
        <w:t>FINAL STATUS</w:t>
      </w:r>
    </w:p>
    <w:p>
      <w:pPr>
        <w:ind w:left="283"/>
        <w:shd w:fill="F5F5F5"/>
      </w:pPr>
      <w:r>
        <w:rPr>
          <w:rFonts w:ascii="Consolas" w:hAnsi="Consolas"/>
          <w:color w:val="6B6B6B"/>
          <w:sz w:val="18"/>
        </w:rPr>
        <w:t>IMPLEMENTED</w:t>
        <w:br/>
        <w:t>+ PROVISIONALLY VALIDATED</w:t>
        <w:br/>
        <w:t>+ NOT PRODUCTION-AUTHORIZED</w:t>
        <w:br/>
        <w:t>+ PENDING INDEPENDENT INSTITUTIONAL VALIDATION</w:t>
      </w:r>
    </w:p>
    <w:p>
      <w:pPr>
        <w:pBdr>
          <w:bottom w:val="single" w:sz="12" w:space="1" w:color="C59B1E"/>
        </w:pBdr>
      </w:pPr>
    </w:p>
    <w:p>
      <w:r>
        <w:br w:type="page"/>
      </w:r>
    </w:p>
    <w:p>
      <w:pPr>
        <w:jc w:val="center"/>
      </w:pPr>
      <w:r>
        <w:rPr>
          <w:b/>
          <w:color w:val="1A365F"/>
          <w:sz w:val="44"/>
        </w:rPr>
        <w:t>APPENDICES</w:t>
      </w:r>
    </w:p>
    <w:p>
      <w:pPr>
        <w:pBdr>
          <w:bottom w:val="single" w:sz="18" w:space="1" w:color="1A365F"/>
        </w:pBdr>
      </w:pPr>
    </w:p>
    <w:p>
      <w:pPr>
        <w:pStyle w:val="Heading2"/>
      </w:pPr>
      <w:r>
        <w:t>Appendix A — Historical/Non-Normative Archive</w:t>
      </w:r>
    </w:p>
    <w:p>
      <w:r>
        <w:t xml:space="preserve">All v24.2.1 participant-minting language has been marked HISTORICAL/NON-NORMATIVE (44 markers). See </w:t>
      </w:r>
      <w:r>
        <w:rPr>
          <w:rFonts w:ascii="Consolas" w:hAnsi="Consolas"/>
          <w:color w:val="6B6B6B"/>
          <w:sz w:val="19"/>
        </w:rPr>
        <w:t>docs/blueprint/mithqal-canonical-blueprint-v25.md</w:t>
      </w:r>
      <w:r>
        <w:t xml:space="preserve"> Appendix A for the full archive.</w:t>
      </w:r>
    </w:p>
    <w:p>
      <w:pPr>
        <w:pStyle w:val="Heading2"/>
      </w:pPr>
      <w:r>
        <w:t>Appendix B — Cross-Reference to Implemented Modules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F"/>
            <w:vAlign w:val="center"/>
          </w:tcPr>
          <w:p>
            <w:pPr>
              <w:jc w:val="left"/>
            </w:pPr>
            <w:r/>
            <w:r>
              <w:rPr>
                <w:rFonts w:ascii="Calibri" w:hAnsi="Calibri"/>
                <w:b/>
                <w:color w:val="FFFFFF"/>
                <w:sz w:val="18"/>
              </w:rPr>
              <w:t>Module</w:t>
            </w:r>
          </w:p>
        </w:tc>
        <w:tc>
          <w:tcPr>
            <w:tcW w:type="dxa" w:w="3024"/>
            <w:shd w:fill="1A365F"/>
            <w:vAlign w:val="center"/>
          </w:tcPr>
          <w:p>
            <w:pPr>
              <w:jc w:val="left"/>
            </w:pPr>
            <w:r/>
            <w:r>
              <w:rPr>
                <w:rFonts w:ascii="Calibri" w:hAnsi="Calibri"/>
                <w:b/>
                <w:color w:val="FFFFFF"/>
                <w:sz w:val="18"/>
              </w:rPr>
              <w:t>File</w:t>
            </w:r>
          </w:p>
        </w:tc>
        <w:tc>
          <w:tcPr>
            <w:tcW w:type="dxa" w:w="3024"/>
            <w:shd w:fill="1A365F"/>
            <w:vAlign w:val="center"/>
          </w:tcPr>
          <w:p>
            <w:pPr>
              <w:jc w:val="left"/>
            </w:pPr>
            <w:r/>
            <w:r>
              <w:rPr>
                <w:rFonts w:ascii="Calibri" w:hAnsi="Calibri"/>
                <w:b/>
                <w:color w:val="FFFFFF"/>
                <w:sz w:val="18"/>
              </w:rPr>
              <w:t>Lines</w:t>
            </w:r>
          </w:p>
        </w:tc>
      </w:tr>
      <w:tr>
        <w:tc>
          <w:tcPr>
            <w:tcW w:type="dxa" w:w="3024"/>
            <w:vAlign w:val="center"/>
          </w:tcPr>
          <w:p>
            <w:pPr>
              <w:jc w:val="left"/>
            </w:pPr>
            <w:r/>
            <w:r>
              <w:rPr>
                <w:rFonts w:ascii="Calibri" w:hAnsi="Calibri"/>
                <w:color w:val="2D2D2D"/>
                <w:sz w:val="18"/>
              </w:rPr>
              <w:t>v25-0-identity</w:t>
            </w:r>
          </w:p>
        </w:tc>
        <w:tc>
          <w:tcPr>
            <w:tcW w:type="dxa" w:w="3024"/>
            <w:vAlign w:val="center"/>
          </w:tcPr>
          <w:p>
            <w:pPr>
              <w:jc w:val="left"/>
            </w:pPr>
            <w:r/>
            <w:r>
              <w:rPr>
                <w:rFonts w:ascii="Calibri" w:hAnsi="Calibri"/>
                <w:color w:val="2D2D2D"/>
                <w:sz w:val="18"/>
              </w:rPr>
              <w:t>`src/lib/v25-0-identity.ts`</w:t>
            </w:r>
          </w:p>
        </w:tc>
        <w:tc>
          <w:tcPr>
            <w:tcW w:type="dxa" w:w="3024"/>
            <w:vAlign w:val="center"/>
          </w:tcPr>
          <w:p>
            <w:pPr>
              <w:jc w:val="left"/>
            </w:pPr>
            <w:r/>
            <w:r>
              <w:rPr>
                <w:rFonts w:ascii="Calibri" w:hAnsi="Calibri"/>
                <w:color w:val="2D2D2D"/>
                <w:sz w:val="18"/>
              </w:rPr>
              <w:t>437</w:t>
            </w:r>
          </w:p>
        </w:tc>
      </w:tr>
      <w:tr>
        <w:tc>
          <w:tcPr>
            <w:tcW w:type="dxa" w:w="3024"/>
            <w:shd w:fill="F0F0F0"/>
            <w:vAlign w:val="center"/>
          </w:tcPr>
          <w:p>
            <w:pPr>
              <w:jc w:val="left"/>
            </w:pPr>
            <w:r/>
            <w:r>
              <w:rPr>
                <w:rFonts w:ascii="Calibri" w:hAnsi="Calibri"/>
                <w:color w:val="2D2D2D"/>
                <w:sz w:val="18"/>
              </w:rPr>
              <w:t>institutional-authorization</w:t>
            </w:r>
          </w:p>
        </w:tc>
        <w:tc>
          <w:tcPr>
            <w:tcW w:type="dxa" w:w="3024"/>
            <w:shd w:fill="F0F0F0"/>
            <w:vAlign w:val="center"/>
          </w:tcPr>
          <w:p>
            <w:pPr>
              <w:jc w:val="left"/>
            </w:pPr>
            <w:r/>
            <w:r>
              <w:rPr>
                <w:rFonts w:ascii="Calibri" w:hAnsi="Calibri"/>
                <w:color w:val="2D2D2D"/>
                <w:sz w:val="18"/>
              </w:rPr>
              <w:t>`src/lib/institutional-authorization.ts`</w:t>
            </w:r>
          </w:p>
        </w:tc>
        <w:tc>
          <w:tcPr>
            <w:tcW w:type="dxa" w:w="3024"/>
            <w:shd w:fill="F0F0F0"/>
            <w:vAlign w:val="center"/>
          </w:tcPr>
          <w:p>
            <w:pPr>
              <w:jc w:val="left"/>
            </w:pPr>
            <w:r/>
            <w:r>
              <w:rPr>
                <w:rFonts w:ascii="Calibri" w:hAnsi="Calibri"/>
                <w:color w:val="2D2D2D"/>
                <w:sz w:val="18"/>
              </w:rPr>
              <w:t>347</w:t>
            </w:r>
          </w:p>
        </w:tc>
      </w:tr>
      <w:tr>
        <w:tc>
          <w:tcPr>
            <w:tcW w:type="dxa" w:w="3024"/>
            <w:vAlign w:val="center"/>
          </w:tcPr>
          <w:p>
            <w:pPr>
              <w:jc w:val="left"/>
            </w:pPr>
            <w:r/>
            <w:r>
              <w:rPr>
                <w:rFonts w:ascii="Calibri" w:hAnsi="Calibri"/>
                <w:color w:val="2D2D2D"/>
                <w:sz w:val="18"/>
              </w:rPr>
              <w:t>wholesale-settlement</w:t>
            </w:r>
          </w:p>
        </w:tc>
        <w:tc>
          <w:tcPr>
            <w:tcW w:type="dxa" w:w="3024"/>
            <w:vAlign w:val="center"/>
          </w:tcPr>
          <w:p>
            <w:pPr>
              <w:jc w:val="left"/>
            </w:pPr>
            <w:r/>
            <w:r>
              <w:rPr>
                <w:rFonts w:ascii="Calibri" w:hAnsi="Calibri"/>
                <w:color w:val="2D2D2D"/>
                <w:sz w:val="18"/>
              </w:rPr>
              <w:t>`src/lib/wholesale-settlement.ts`</w:t>
            </w:r>
          </w:p>
        </w:tc>
        <w:tc>
          <w:tcPr>
            <w:tcW w:type="dxa" w:w="3024"/>
            <w:vAlign w:val="center"/>
          </w:tcPr>
          <w:p>
            <w:pPr>
              <w:jc w:val="left"/>
            </w:pPr>
            <w:r/>
            <w:r>
              <w:rPr>
                <w:rFonts w:ascii="Calibri" w:hAnsi="Calibri"/>
                <w:color w:val="2D2D2D"/>
                <w:sz w:val="18"/>
              </w:rPr>
              <w:t>321</w:t>
            </w:r>
          </w:p>
        </w:tc>
      </w:tr>
      <w:tr>
        <w:tc>
          <w:tcPr>
            <w:tcW w:type="dxa" w:w="3024"/>
            <w:shd w:fill="F0F0F0"/>
            <w:vAlign w:val="center"/>
          </w:tcPr>
          <w:p>
            <w:pPr>
              <w:jc w:val="left"/>
            </w:pPr>
            <w:r/>
            <w:r>
              <w:rPr>
                <w:rFonts w:ascii="Calibri" w:hAnsi="Calibri"/>
                <w:color w:val="2D2D2D"/>
                <w:sz w:val="18"/>
              </w:rPr>
              <w:t>corporate-settlement-account</w:t>
            </w:r>
          </w:p>
        </w:tc>
        <w:tc>
          <w:tcPr>
            <w:tcW w:type="dxa" w:w="3024"/>
            <w:shd w:fill="F0F0F0"/>
            <w:vAlign w:val="center"/>
          </w:tcPr>
          <w:p>
            <w:pPr>
              <w:jc w:val="left"/>
            </w:pPr>
            <w:r/>
            <w:r>
              <w:rPr>
                <w:rFonts w:ascii="Calibri" w:hAnsi="Calibri"/>
                <w:color w:val="2D2D2D"/>
                <w:sz w:val="18"/>
              </w:rPr>
              <w:t>`src/lib/corporate-settlement-account.ts`</w:t>
            </w:r>
          </w:p>
        </w:tc>
        <w:tc>
          <w:tcPr>
            <w:tcW w:type="dxa" w:w="3024"/>
            <w:shd w:fill="F0F0F0"/>
            <w:vAlign w:val="center"/>
          </w:tcPr>
          <w:p>
            <w:pPr>
              <w:jc w:val="left"/>
            </w:pPr>
            <w:r/>
            <w:r>
              <w:rPr>
                <w:rFonts w:ascii="Calibri" w:hAnsi="Calibri"/>
                <w:color w:val="2D2D2D"/>
                <w:sz w:val="18"/>
              </w:rPr>
              <w:t>248</w:t>
            </w:r>
          </w:p>
        </w:tc>
      </w:tr>
      <w:tr>
        <w:tc>
          <w:tcPr>
            <w:tcW w:type="dxa" w:w="3024"/>
            <w:vAlign w:val="center"/>
          </w:tcPr>
          <w:p>
            <w:pPr>
              <w:jc w:val="left"/>
            </w:pPr>
            <w:r/>
            <w:r>
              <w:rPr>
                <w:rFonts w:ascii="Calibri" w:hAnsi="Calibri"/>
                <w:color w:val="2D2D2D"/>
                <w:sz w:val="18"/>
              </w:rPr>
              <w:t>proof-of-liabilities</w:t>
            </w:r>
          </w:p>
        </w:tc>
        <w:tc>
          <w:tcPr>
            <w:tcW w:type="dxa" w:w="3024"/>
            <w:vAlign w:val="center"/>
          </w:tcPr>
          <w:p>
            <w:pPr>
              <w:jc w:val="left"/>
            </w:pPr>
            <w:r/>
            <w:r>
              <w:rPr>
                <w:rFonts w:ascii="Calibri" w:hAnsi="Calibri"/>
                <w:color w:val="2D2D2D"/>
                <w:sz w:val="18"/>
              </w:rPr>
              <w:t>`src/lib/proof-of-liabilities.ts`</w:t>
            </w:r>
          </w:p>
        </w:tc>
        <w:tc>
          <w:tcPr>
            <w:tcW w:type="dxa" w:w="3024"/>
            <w:vAlign w:val="center"/>
          </w:tcPr>
          <w:p>
            <w:pPr>
              <w:jc w:val="left"/>
            </w:pPr>
            <w:r/>
            <w:r>
              <w:rPr>
                <w:rFonts w:ascii="Calibri" w:hAnsi="Calibri"/>
                <w:color w:val="2D2D2D"/>
                <w:sz w:val="18"/>
              </w:rPr>
              <w:t>235</w:t>
            </w:r>
          </w:p>
        </w:tc>
      </w:tr>
      <w:tr>
        <w:tc>
          <w:tcPr>
            <w:tcW w:type="dxa" w:w="3024"/>
            <w:shd w:fill="F0F0F0"/>
            <w:vAlign w:val="center"/>
          </w:tcPr>
          <w:p>
            <w:pPr>
              <w:jc w:val="left"/>
            </w:pPr>
            <w:r/>
            <w:r>
              <w:rPr>
                <w:rFonts w:ascii="Calibri" w:hAnsi="Calibri"/>
                <w:color w:val="2D2D2D"/>
                <w:sz w:val="18"/>
              </w:rPr>
              <w:t>v25-0-privacy-revenue-principles</w:t>
            </w:r>
          </w:p>
        </w:tc>
        <w:tc>
          <w:tcPr>
            <w:tcW w:type="dxa" w:w="3024"/>
            <w:shd w:fill="F0F0F0"/>
            <w:vAlign w:val="center"/>
          </w:tcPr>
          <w:p>
            <w:pPr>
              <w:jc w:val="left"/>
            </w:pPr>
            <w:r/>
            <w:r>
              <w:rPr>
                <w:rFonts w:ascii="Calibri" w:hAnsi="Calibri"/>
                <w:color w:val="2D2D2D"/>
                <w:sz w:val="18"/>
              </w:rPr>
              <w:t>`src/lib/v25-0-privacy-revenue-principles.ts`</w:t>
            </w:r>
          </w:p>
        </w:tc>
        <w:tc>
          <w:tcPr>
            <w:tcW w:type="dxa" w:w="3024"/>
            <w:shd w:fill="F0F0F0"/>
            <w:vAlign w:val="center"/>
          </w:tcPr>
          <w:p>
            <w:pPr>
              <w:jc w:val="left"/>
            </w:pPr>
            <w:r/>
            <w:r>
              <w:rPr>
                <w:rFonts w:ascii="Calibri" w:hAnsi="Calibri"/>
                <w:color w:val="2D2D2D"/>
                <w:sz w:val="18"/>
              </w:rPr>
              <w:t>355</w:t>
            </w:r>
          </w:p>
        </w:tc>
      </w:tr>
      <w:tr>
        <w:tc>
          <w:tcPr>
            <w:tcW w:type="dxa" w:w="3024"/>
            <w:vAlign w:val="center"/>
          </w:tcPr>
          <w:p>
            <w:pPr>
              <w:jc w:val="left"/>
            </w:pPr>
            <w:r/>
            <w:r>
              <w:rPr>
                <w:rFonts w:ascii="Calibri" w:hAnsi="Calibri"/>
                <w:color w:val="2D2D2D"/>
                <w:sz w:val="18"/>
              </w:rPr>
              <w:t>**Total**</w:t>
            </w:r>
          </w:p>
        </w:tc>
        <w:tc>
          <w:tcPr>
            <w:tcW w:type="dxa" w:w="3024"/>
            <w:vAlign w:val="center"/>
          </w:tcPr>
          <w:p>
            <w:pPr>
              <w:jc w:val="left"/>
            </w:pPr>
            <w:r/>
            <w:r>
              <w:rPr>
                <w:rFonts w:ascii="Calibri" w:hAnsi="Calibri"/>
                <w:color w:val="2D2D2D"/>
                <w:sz w:val="18"/>
              </w:rPr>
            </w:r>
          </w:p>
        </w:tc>
        <w:tc>
          <w:tcPr>
            <w:tcW w:type="dxa" w:w="3024"/>
            <w:vAlign w:val="center"/>
          </w:tcPr>
          <w:p>
            <w:pPr>
              <w:jc w:val="left"/>
            </w:pPr>
            <w:r/>
            <w:r>
              <w:rPr>
                <w:rFonts w:ascii="Calibri" w:hAnsi="Calibri"/>
                <w:color w:val="2D2D2D"/>
                <w:sz w:val="18"/>
              </w:rPr>
              <w:t>**1,943**</w:t>
            </w:r>
          </w:p>
        </w:tc>
      </w:tr>
    </w:tbl>
    <w:p/>
    <w:p>
      <w:pPr>
        <w:pStyle w:val="Heading2"/>
      </w:pPr>
      <w:r>
        <w:t>Appendix C — Documents Superseded</w:t>
      </w:r>
    </w:p>
    <w:p>
      <w:r>
        <w:t>All prior blueprint versions (v18 through v24.2) are superseded by v25.0. Historical text retained only as non-normative archive.</w:t>
      </w:r>
    </w:p>
    <w:p>
      <w:pPr>
        <w:pStyle w:val="Heading2"/>
      </w:pPr>
      <w:r>
        <w:t>Appendix D — v24.2.1 Validation Cycle Summary</w:t>
      </w:r>
    </w:p>
    <w:p>
      <w:r>
        <w:t xml:space="preserve">6-task validation cycle + comprehensive stress audit. See </w:t>
      </w:r>
      <w:r>
        <w:rPr>
          <w:rFonts w:ascii="Consolas" w:hAnsi="Consolas"/>
          <w:color w:val="6B6B6B"/>
          <w:sz w:val="19"/>
        </w:rPr>
        <w:t>docs/verification/v24.2.1-FINAL-DIRECTIVE-REPORT.md</w:t>
      </w:r>
      <w:r>
        <w:t xml:space="preserve"> for full details.</w:t>
      </w:r>
    </w:p>
    <w:p>
      <w:pPr>
        <w:pStyle w:val="Heading2"/>
      </w:pPr>
      <w:r>
        <w:t>Appendix E — Master Test Registry (374 Tests)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A365F"/>
            <w:vAlign w:val="center"/>
          </w:tcPr>
          <w:p>
            <w:pPr>
              <w:jc w:val="left"/>
            </w:pPr>
            <w:r/>
            <w:r>
              <w:rPr>
                <w:rFonts w:ascii="Calibri" w:hAnsi="Calibri"/>
                <w:b/>
                <w:color w:val="FFFFFF"/>
                <w:sz w:val="18"/>
              </w:rPr>
              <w:t>Category</w:t>
            </w:r>
          </w:p>
        </w:tc>
        <w:tc>
          <w:tcPr>
            <w:tcW w:type="dxa" w:w="1512"/>
            <w:shd w:fill="1A365F"/>
            <w:vAlign w:val="center"/>
          </w:tcPr>
          <w:p>
            <w:pPr>
              <w:jc w:val="left"/>
            </w:pPr>
            <w:r/>
            <w:r>
              <w:rPr>
                <w:rFonts w:ascii="Calibri" w:hAnsi="Calibri"/>
                <w:b/>
                <w:color w:val="FFFFFF"/>
                <w:sz w:val="18"/>
              </w:rPr>
              <w:t>Tests</w:t>
            </w:r>
          </w:p>
        </w:tc>
        <w:tc>
          <w:tcPr>
            <w:tcW w:type="dxa" w:w="1512"/>
            <w:shd w:fill="1A365F"/>
            <w:vAlign w:val="center"/>
          </w:tcPr>
          <w:p>
            <w:pPr>
              <w:jc w:val="left"/>
            </w:pPr>
            <w:r/>
            <w:r>
              <w:rPr>
                <w:rFonts w:ascii="Calibri" w:hAnsi="Calibri"/>
                <w:b/>
                <w:color w:val="FFFFFF"/>
                <w:sz w:val="18"/>
              </w:rPr>
              <w:t>PASS</w:t>
            </w:r>
          </w:p>
        </w:tc>
        <w:tc>
          <w:tcPr>
            <w:tcW w:type="dxa" w:w="1512"/>
            <w:shd w:fill="1A365F"/>
            <w:vAlign w:val="center"/>
          </w:tcPr>
          <w:p>
            <w:pPr>
              <w:jc w:val="left"/>
            </w:pPr>
            <w:r/>
            <w:r>
              <w:rPr>
                <w:rFonts w:ascii="Calibri" w:hAnsi="Calibri"/>
                <w:b/>
                <w:color w:val="FFFFFF"/>
                <w:sz w:val="18"/>
              </w:rPr>
              <w:t>FAIL</w:t>
            </w:r>
          </w:p>
        </w:tc>
        <w:tc>
          <w:tcPr>
            <w:tcW w:type="dxa" w:w="1512"/>
            <w:shd w:fill="1A365F"/>
            <w:vAlign w:val="center"/>
          </w:tcPr>
          <w:p>
            <w:pPr>
              <w:jc w:val="left"/>
            </w:pPr>
            <w:r/>
            <w:r>
              <w:rPr>
                <w:rFonts w:ascii="Calibri" w:hAnsi="Calibri"/>
                <w:b/>
                <w:color w:val="FFFFFF"/>
                <w:sz w:val="18"/>
              </w:rPr>
              <w:t>BDL</w:t>
            </w:r>
          </w:p>
        </w:tc>
        <w:tc>
          <w:tcPr>
            <w:tcW w:type="dxa" w:w="1512"/>
            <w:shd w:fill="1A365F"/>
            <w:vAlign w:val="center"/>
          </w:tcPr>
          <w:p>
            <w:pPr>
              <w:jc w:val="left"/>
            </w:pPr>
            <w:r/>
            <w:r>
              <w:rPr>
                <w:rFonts w:ascii="Calibri" w:hAnsi="Calibri"/>
                <w:b/>
                <w:color w:val="FFFFFF"/>
                <w:sz w:val="18"/>
              </w:rPr>
              <w:t>SKIPPED</w:t>
            </w:r>
          </w:p>
        </w:tc>
      </w:tr>
      <w:tr>
        <w:tc>
          <w:tcPr>
            <w:tcW w:type="dxa" w:w="1512"/>
            <w:vAlign w:val="center"/>
          </w:tcPr>
          <w:p>
            <w:pPr>
              <w:jc w:val="left"/>
            </w:pPr>
            <w:r/>
            <w:r>
              <w:rPr>
                <w:rFonts w:ascii="Calibri" w:hAnsi="Calibri"/>
                <w:color w:val="2D2D2D"/>
                <w:sz w:val="18"/>
              </w:rPr>
              <w:t>C1 On-Chain</w:t>
            </w:r>
          </w:p>
        </w:tc>
        <w:tc>
          <w:tcPr>
            <w:tcW w:type="dxa" w:w="1512"/>
            <w:vAlign w:val="center"/>
          </w:tcPr>
          <w:p>
            <w:pPr>
              <w:jc w:val="left"/>
            </w:pPr>
            <w:r/>
            <w:r>
              <w:rPr>
                <w:rFonts w:ascii="Calibri" w:hAnsi="Calibri"/>
                <w:color w:val="2D2D2D"/>
                <w:sz w:val="18"/>
              </w:rPr>
              <w:t>36</w:t>
            </w:r>
          </w:p>
        </w:tc>
        <w:tc>
          <w:tcPr>
            <w:tcW w:type="dxa" w:w="1512"/>
            <w:vAlign w:val="center"/>
          </w:tcPr>
          <w:p>
            <w:pPr>
              <w:jc w:val="left"/>
            </w:pPr>
            <w:r/>
            <w:r>
              <w:rPr>
                <w:rFonts w:ascii="Calibri" w:hAnsi="Calibri"/>
                <w:color w:val="2D2D2D"/>
                <w:sz w:val="18"/>
              </w:rPr>
              <w:t>33</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r>
      <w:tr>
        <w:tc>
          <w:tcPr>
            <w:tcW w:type="dxa" w:w="1512"/>
            <w:shd w:fill="F0F0F0"/>
            <w:vAlign w:val="center"/>
          </w:tcPr>
          <w:p>
            <w:pPr>
              <w:jc w:val="left"/>
            </w:pPr>
            <w:r/>
            <w:r>
              <w:rPr>
                <w:rFonts w:ascii="Calibri" w:hAnsi="Calibri"/>
                <w:color w:val="2D2D2D"/>
                <w:sz w:val="18"/>
              </w:rPr>
              <w:t>C2 Math Unit</w:t>
            </w:r>
          </w:p>
        </w:tc>
        <w:tc>
          <w:tcPr>
            <w:tcW w:type="dxa" w:w="1512"/>
            <w:shd w:fill="F0F0F0"/>
            <w:vAlign w:val="center"/>
          </w:tcPr>
          <w:p>
            <w:pPr>
              <w:jc w:val="left"/>
            </w:pPr>
            <w:r/>
            <w:r>
              <w:rPr>
                <w:rFonts w:ascii="Calibri" w:hAnsi="Calibri"/>
                <w:color w:val="2D2D2D"/>
                <w:sz w:val="18"/>
              </w:rPr>
              <w:t>25</w:t>
            </w:r>
          </w:p>
        </w:tc>
        <w:tc>
          <w:tcPr>
            <w:tcW w:type="dxa" w:w="1512"/>
            <w:shd w:fill="F0F0F0"/>
            <w:vAlign w:val="center"/>
          </w:tcPr>
          <w:p>
            <w:pPr>
              <w:jc w:val="left"/>
            </w:pPr>
            <w:r/>
            <w:r>
              <w:rPr>
                <w:rFonts w:ascii="Calibri" w:hAnsi="Calibri"/>
                <w:color w:val="2D2D2D"/>
                <w:sz w:val="18"/>
              </w:rPr>
              <w:t>25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r>
      <w:tr>
        <w:tc>
          <w:tcPr>
            <w:tcW w:type="dxa" w:w="1512"/>
            <w:vAlign w:val="center"/>
          </w:tcPr>
          <w:p>
            <w:pPr>
              <w:jc w:val="left"/>
            </w:pPr>
            <w:r/>
            <w:r>
              <w:rPr>
                <w:rFonts w:ascii="Calibri" w:hAnsi="Calibri"/>
                <w:color w:val="2D2D2D"/>
                <w:sz w:val="18"/>
              </w:rPr>
              <w:t>C3 Model Validation</w:t>
            </w:r>
          </w:p>
        </w:tc>
        <w:tc>
          <w:tcPr>
            <w:tcW w:type="dxa" w:w="1512"/>
            <w:vAlign w:val="center"/>
          </w:tcPr>
          <w:p>
            <w:pPr>
              <w:jc w:val="left"/>
            </w:pPr>
            <w:r/>
            <w:r>
              <w:rPr>
                <w:rFonts w:ascii="Calibri" w:hAnsi="Calibri"/>
                <w:color w:val="2D2D2D"/>
                <w:sz w:val="18"/>
              </w:rPr>
              <w:t>10</w:t>
            </w:r>
          </w:p>
        </w:tc>
        <w:tc>
          <w:tcPr>
            <w:tcW w:type="dxa" w:w="1512"/>
            <w:vAlign w:val="center"/>
          </w:tcPr>
          <w:p>
            <w:pPr>
              <w:jc w:val="left"/>
            </w:pPr>
            <w:r/>
            <w:r>
              <w:rPr>
                <w:rFonts w:ascii="Calibri" w:hAnsi="Calibri"/>
                <w:color w:val="2D2D2D"/>
                <w:sz w:val="18"/>
              </w:rPr>
              <w:t>8</w:t>
            </w:r>
          </w:p>
        </w:tc>
        <w:tc>
          <w:tcPr>
            <w:tcW w:type="dxa" w:w="1512"/>
            <w:vAlign w:val="center"/>
          </w:tcPr>
          <w:p>
            <w:pPr>
              <w:jc w:val="left"/>
            </w:pPr>
            <w:r/>
            <w:r>
              <w:rPr>
                <w:rFonts w:ascii="Calibri" w:hAnsi="Calibri"/>
                <w:color w:val="2D2D2D"/>
                <w:sz w:val="18"/>
              </w:rPr>
              <w:t>1</w:t>
            </w:r>
          </w:p>
        </w:tc>
        <w:tc>
          <w:tcPr>
            <w:tcW w:type="dxa" w:w="1512"/>
            <w:vAlign w:val="center"/>
          </w:tcPr>
          <w:p>
            <w:pPr>
              <w:jc w:val="left"/>
            </w:pPr>
            <w:r/>
            <w:r>
              <w:rPr>
                <w:rFonts w:ascii="Calibri" w:hAnsi="Calibri"/>
                <w:color w:val="2D2D2D"/>
                <w:sz w:val="18"/>
              </w:rPr>
              <w:t>1</w:t>
            </w:r>
          </w:p>
        </w:tc>
        <w:tc>
          <w:tcPr>
            <w:tcW w:type="dxa" w:w="1512"/>
            <w:vAlign w:val="center"/>
          </w:tcPr>
          <w:p>
            <w:pPr>
              <w:jc w:val="left"/>
            </w:pPr>
            <w:r/>
            <w:r>
              <w:rPr>
                <w:rFonts w:ascii="Calibri" w:hAnsi="Calibri"/>
                <w:color w:val="2D2D2D"/>
                <w:sz w:val="18"/>
              </w:rPr>
              <w:t>0</w:t>
            </w:r>
          </w:p>
        </w:tc>
      </w:tr>
      <w:tr>
        <w:tc>
          <w:tcPr>
            <w:tcW w:type="dxa" w:w="1512"/>
            <w:shd w:fill="F0F0F0"/>
            <w:vAlign w:val="center"/>
          </w:tcPr>
          <w:p>
            <w:pPr>
              <w:jc w:val="left"/>
            </w:pPr>
            <w:r/>
            <w:r>
              <w:rPr>
                <w:rFonts w:ascii="Calibri" w:hAnsi="Calibri"/>
                <w:color w:val="2D2D2D"/>
                <w:sz w:val="18"/>
              </w:rPr>
              <w:t>C4 Portfolio Comparison</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r>
      <w:tr>
        <w:tc>
          <w:tcPr>
            <w:tcW w:type="dxa" w:w="1512"/>
            <w:vAlign w:val="center"/>
          </w:tcPr>
          <w:p>
            <w:pPr>
              <w:jc w:val="left"/>
            </w:pPr>
            <w:r/>
            <w:r>
              <w:rPr>
                <w:rFonts w:ascii="Calibri" w:hAnsi="Calibri"/>
                <w:color w:val="2D2D2D"/>
                <w:sz w:val="18"/>
              </w:rPr>
              <w:t>C5 Deterministic Stress</w:t>
            </w:r>
          </w:p>
        </w:tc>
        <w:tc>
          <w:tcPr>
            <w:tcW w:type="dxa" w:w="1512"/>
            <w:vAlign w:val="center"/>
          </w:tcPr>
          <w:p>
            <w:pPr>
              <w:jc w:val="left"/>
            </w:pPr>
            <w:r/>
            <w:r>
              <w:rPr>
                <w:rFonts w:ascii="Calibri" w:hAnsi="Calibri"/>
                <w:color w:val="2D2D2D"/>
                <w:sz w:val="18"/>
              </w:rPr>
              <w:t>20</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r>
      <w:tr>
        <w:tc>
          <w:tcPr>
            <w:tcW w:type="dxa" w:w="1512"/>
            <w:shd w:fill="F0F0F0"/>
            <w:vAlign w:val="center"/>
          </w:tcPr>
          <w:p>
            <w:pPr>
              <w:jc w:val="left"/>
            </w:pPr>
            <w:r/>
            <w:r>
              <w:rPr>
                <w:rFonts w:ascii="Calibri" w:hAnsi="Calibri"/>
                <w:color w:val="2D2D2D"/>
                <w:sz w:val="18"/>
              </w:rPr>
              <w:t>C6 Monte Carlo</w:t>
            </w:r>
          </w:p>
        </w:tc>
        <w:tc>
          <w:tcPr>
            <w:tcW w:type="dxa" w:w="1512"/>
            <w:shd w:fill="F0F0F0"/>
            <w:vAlign w:val="center"/>
          </w:tcPr>
          <w:p>
            <w:pPr>
              <w:jc w:val="left"/>
            </w:pPr>
            <w:r/>
            <w:r>
              <w:rPr>
                <w:rFonts w:ascii="Calibri" w:hAnsi="Calibri"/>
                <w:color w:val="2D2D2D"/>
                <w:sz w:val="18"/>
              </w:rPr>
              <w:t>1</w:t>
            </w:r>
          </w:p>
        </w:tc>
        <w:tc>
          <w:tcPr>
            <w:tcW w:type="dxa" w:w="1512"/>
            <w:shd w:fill="F0F0F0"/>
            <w:vAlign w:val="center"/>
          </w:tcPr>
          <w:p>
            <w:pPr>
              <w:jc w:val="left"/>
            </w:pPr>
            <w:r/>
            <w:r>
              <w:rPr>
                <w:rFonts w:ascii="Calibri" w:hAnsi="Calibri"/>
                <w:color w:val="2D2D2D"/>
                <w:sz w:val="18"/>
              </w:rPr>
              <w:t>1</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r>
      <w:tr>
        <w:tc>
          <w:tcPr>
            <w:tcW w:type="dxa" w:w="1512"/>
            <w:vAlign w:val="center"/>
          </w:tcPr>
          <w:p>
            <w:pPr>
              <w:jc w:val="left"/>
            </w:pPr>
            <w:r/>
            <w:r>
              <w:rPr>
                <w:rFonts w:ascii="Calibri" w:hAnsi="Calibri"/>
                <w:color w:val="2D2D2D"/>
                <w:sz w:val="18"/>
              </w:rPr>
              <w:t>C7 Legacy Stress</w:t>
            </w:r>
          </w:p>
        </w:tc>
        <w:tc>
          <w:tcPr>
            <w:tcW w:type="dxa" w:w="1512"/>
            <w:vAlign w:val="center"/>
          </w:tcPr>
          <w:p>
            <w:pPr>
              <w:jc w:val="left"/>
            </w:pPr>
            <w:r/>
            <w:r>
              <w:rPr>
                <w:rFonts w:ascii="Calibri" w:hAnsi="Calibri"/>
                <w:color w:val="2D2D2D"/>
                <w:sz w:val="18"/>
              </w:rPr>
              <w:t>53</w:t>
            </w:r>
          </w:p>
        </w:tc>
        <w:tc>
          <w:tcPr>
            <w:tcW w:type="dxa" w:w="1512"/>
            <w:vAlign w:val="center"/>
          </w:tcPr>
          <w:p>
            <w:pPr>
              <w:jc w:val="left"/>
            </w:pPr>
            <w:r/>
            <w:r>
              <w:rPr>
                <w:rFonts w:ascii="Calibri" w:hAnsi="Calibri"/>
                <w:color w:val="2D2D2D"/>
                <w:sz w:val="18"/>
              </w:rPr>
              <w:t>21</w:t>
            </w:r>
          </w:p>
        </w:tc>
        <w:tc>
          <w:tcPr>
            <w:tcW w:type="dxa" w:w="1512"/>
            <w:vAlign w:val="center"/>
          </w:tcPr>
          <w:p>
            <w:pPr>
              <w:jc w:val="left"/>
            </w:pPr>
            <w:r/>
            <w:r>
              <w:rPr>
                <w:rFonts w:ascii="Calibri" w:hAnsi="Calibri"/>
                <w:color w:val="2D2D2D"/>
                <w:sz w:val="18"/>
              </w:rPr>
              <w:t>32</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r>
      <w:tr>
        <w:tc>
          <w:tcPr>
            <w:tcW w:type="dxa" w:w="1512"/>
            <w:shd w:fill="F0F0F0"/>
            <w:vAlign w:val="center"/>
          </w:tcPr>
          <w:p>
            <w:pPr>
              <w:jc w:val="left"/>
            </w:pPr>
            <w:r/>
            <w:r>
              <w:rPr>
                <w:rFonts w:ascii="Calibri" w:hAnsi="Calibri"/>
                <w:color w:val="2D2D2D"/>
                <w:sz w:val="18"/>
              </w:rPr>
              <w:t>C8 Custody/Operational</w:t>
            </w:r>
          </w:p>
        </w:tc>
        <w:tc>
          <w:tcPr>
            <w:tcW w:type="dxa" w:w="1512"/>
            <w:shd w:fill="F0F0F0"/>
            <w:vAlign w:val="center"/>
          </w:tcPr>
          <w:p>
            <w:pPr>
              <w:jc w:val="left"/>
            </w:pPr>
            <w:r/>
            <w:r>
              <w:rPr>
                <w:rFonts w:ascii="Calibri" w:hAnsi="Calibri"/>
                <w:color w:val="2D2D2D"/>
                <w:sz w:val="18"/>
              </w:rPr>
              <w:t>106</w:t>
            </w:r>
          </w:p>
        </w:tc>
        <w:tc>
          <w:tcPr>
            <w:tcW w:type="dxa" w:w="1512"/>
            <w:shd w:fill="F0F0F0"/>
            <w:vAlign w:val="center"/>
          </w:tcPr>
          <w:p>
            <w:pPr>
              <w:jc w:val="left"/>
            </w:pPr>
            <w:r/>
            <w:r>
              <w:rPr>
                <w:rFonts w:ascii="Calibri" w:hAnsi="Calibri"/>
                <w:color w:val="2D2D2D"/>
                <w:sz w:val="18"/>
              </w:rPr>
              <w:t>35</w:t>
            </w:r>
          </w:p>
        </w:tc>
        <w:tc>
          <w:tcPr>
            <w:tcW w:type="dxa" w:w="1512"/>
            <w:shd w:fill="F0F0F0"/>
            <w:vAlign w:val="center"/>
          </w:tcPr>
          <w:p>
            <w:pPr>
              <w:jc w:val="left"/>
            </w:pPr>
            <w:r/>
            <w:r>
              <w:rPr>
                <w:rFonts w:ascii="Calibri" w:hAnsi="Calibri"/>
                <w:color w:val="2D2D2D"/>
                <w:sz w:val="18"/>
              </w:rPr>
              <w:t>47</w:t>
            </w:r>
          </w:p>
        </w:tc>
        <w:tc>
          <w:tcPr>
            <w:tcW w:type="dxa" w:w="1512"/>
            <w:shd w:fill="F0F0F0"/>
            <w:vAlign w:val="center"/>
          </w:tcPr>
          <w:p>
            <w:pPr>
              <w:jc w:val="left"/>
            </w:pPr>
            <w:r/>
            <w:r>
              <w:rPr>
                <w:rFonts w:ascii="Calibri" w:hAnsi="Calibri"/>
                <w:color w:val="2D2D2D"/>
                <w:sz w:val="18"/>
              </w:rPr>
              <w:t>24</w:t>
            </w:r>
          </w:p>
        </w:tc>
        <w:tc>
          <w:tcPr>
            <w:tcW w:type="dxa" w:w="1512"/>
            <w:shd w:fill="F0F0F0"/>
            <w:vAlign w:val="center"/>
          </w:tcPr>
          <w:p>
            <w:pPr>
              <w:jc w:val="left"/>
            </w:pPr>
            <w:r/>
            <w:r>
              <w:rPr>
                <w:rFonts w:ascii="Calibri" w:hAnsi="Calibri"/>
                <w:color w:val="2D2D2D"/>
                <w:sz w:val="18"/>
              </w:rPr>
              <w:t>0</w:t>
            </w:r>
          </w:p>
        </w:tc>
      </w:tr>
      <w:tr>
        <w:tc>
          <w:tcPr>
            <w:tcW w:type="dxa" w:w="1512"/>
            <w:vAlign w:val="center"/>
          </w:tcPr>
          <w:p>
            <w:pPr>
              <w:jc w:val="left"/>
            </w:pPr>
            <w:r/>
            <w:r>
              <w:rPr>
                <w:rFonts w:ascii="Calibri" w:hAnsi="Calibri"/>
                <w:color w:val="2D2D2D"/>
                <w:sz w:val="18"/>
              </w:rPr>
              <w:t>C9 Tokenized Asset</w:t>
            </w:r>
          </w:p>
        </w:tc>
        <w:tc>
          <w:tcPr>
            <w:tcW w:type="dxa" w:w="1512"/>
            <w:vAlign w:val="center"/>
          </w:tcPr>
          <w:p>
            <w:pPr>
              <w:jc w:val="left"/>
            </w:pPr>
            <w:r/>
            <w:r>
              <w:rPr>
                <w:rFonts w:ascii="Calibri" w:hAnsi="Calibri"/>
                <w:color w:val="2D2D2D"/>
                <w:sz w:val="18"/>
              </w:rPr>
              <w:t>63</w:t>
            </w:r>
          </w:p>
        </w:tc>
        <w:tc>
          <w:tcPr>
            <w:tcW w:type="dxa" w:w="1512"/>
            <w:vAlign w:val="center"/>
          </w:tcPr>
          <w:p>
            <w:pPr>
              <w:jc w:val="left"/>
            </w:pPr>
            <w:r/>
            <w:r>
              <w:rPr>
                <w:rFonts w:ascii="Calibri" w:hAnsi="Calibri"/>
                <w:color w:val="2D2D2D"/>
                <w:sz w:val="18"/>
              </w:rPr>
              <w:t>50</w:t>
            </w:r>
          </w:p>
        </w:tc>
        <w:tc>
          <w:tcPr>
            <w:tcW w:type="dxa" w:w="1512"/>
            <w:vAlign w:val="center"/>
          </w:tcPr>
          <w:p>
            <w:pPr>
              <w:jc w:val="left"/>
            </w:pPr>
            <w:r/>
            <w:r>
              <w:rPr>
                <w:rFonts w:ascii="Calibri" w:hAnsi="Calibri"/>
                <w:color w:val="2D2D2D"/>
                <w:sz w:val="18"/>
              </w:rPr>
              <w:t>5</w:t>
            </w:r>
          </w:p>
        </w:tc>
        <w:tc>
          <w:tcPr>
            <w:tcW w:type="dxa" w:w="1512"/>
            <w:vAlign w:val="center"/>
          </w:tcPr>
          <w:p>
            <w:pPr>
              <w:jc w:val="left"/>
            </w:pPr>
            <w:r/>
            <w:r>
              <w:rPr>
                <w:rFonts w:ascii="Calibri" w:hAnsi="Calibri"/>
                <w:color w:val="2D2D2D"/>
                <w:sz w:val="18"/>
              </w:rPr>
              <w:t>8</w:t>
            </w:r>
          </w:p>
        </w:tc>
        <w:tc>
          <w:tcPr>
            <w:tcW w:type="dxa" w:w="1512"/>
            <w:vAlign w:val="center"/>
          </w:tcPr>
          <w:p>
            <w:pPr>
              <w:jc w:val="left"/>
            </w:pPr>
            <w:r/>
            <w:r>
              <w:rPr>
                <w:rFonts w:ascii="Calibri" w:hAnsi="Calibri"/>
                <w:color w:val="2D2D2D"/>
                <w:sz w:val="18"/>
              </w:rPr>
              <w:t>0</w:t>
            </w:r>
          </w:p>
        </w:tc>
      </w:tr>
      <w:tr>
        <w:tc>
          <w:tcPr>
            <w:tcW w:type="dxa" w:w="1512"/>
            <w:shd w:fill="F0F0F0"/>
            <w:vAlign w:val="center"/>
          </w:tcPr>
          <w:p>
            <w:pPr>
              <w:jc w:val="left"/>
            </w:pPr>
            <w:r/>
            <w:r>
              <w:rPr>
                <w:rFonts w:ascii="Calibri" w:hAnsi="Calibri"/>
                <w:color w:val="2D2D2D"/>
                <w:sz w:val="18"/>
              </w:rPr>
              <w:t>C10 Security/Invariants</w:t>
            </w:r>
          </w:p>
        </w:tc>
        <w:tc>
          <w:tcPr>
            <w:tcW w:type="dxa" w:w="1512"/>
            <w:shd w:fill="F0F0F0"/>
            <w:vAlign w:val="center"/>
          </w:tcPr>
          <w:p>
            <w:pPr>
              <w:jc w:val="left"/>
            </w:pPr>
            <w:r/>
            <w:r>
              <w:rPr>
                <w:rFonts w:ascii="Calibri" w:hAnsi="Calibri"/>
                <w:color w:val="2D2D2D"/>
                <w:sz w:val="18"/>
              </w:rPr>
              <w:t>37</w:t>
            </w:r>
          </w:p>
        </w:tc>
        <w:tc>
          <w:tcPr>
            <w:tcW w:type="dxa" w:w="1512"/>
            <w:shd w:fill="F0F0F0"/>
            <w:vAlign w:val="center"/>
          </w:tcPr>
          <w:p>
            <w:pPr>
              <w:jc w:val="left"/>
            </w:pPr>
            <w:r/>
            <w:r>
              <w:rPr>
                <w:rFonts w:ascii="Calibri" w:hAnsi="Calibri"/>
                <w:color w:val="2D2D2D"/>
                <w:sz w:val="18"/>
              </w:rPr>
              <w:t>32</w:t>
            </w:r>
          </w:p>
        </w:tc>
        <w:tc>
          <w:tcPr>
            <w:tcW w:type="dxa" w:w="1512"/>
            <w:shd w:fill="F0F0F0"/>
            <w:vAlign w:val="center"/>
          </w:tcPr>
          <w:p>
            <w:pPr>
              <w:jc w:val="left"/>
            </w:pPr>
            <w:r/>
            <w:r>
              <w:rPr>
                <w:rFonts w:ascii="Calibri" w:hAnsi="Calibri"/>
                <w:color w:val="2D2D2D"/>
                <w:sz w:val="18"/>
              </w:rPr>
              <w:t>5</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r>
      <w:tr>
        <w:tc>
          <w:tcPr>
            <w:tcW w:type="dxa" w:w="1512"/>
            <w:vAlign w:val="center"/>
          </w:tcPr>
          <w:p>
            <w:pPr>
              <w:jc w:val="left"/>
            </w:pPr>
            <w:r/>
            <w:r>
              <w:rPr>
                <w:rFonts w:ascii="Calibri" w:hAnsi="Calibri"/>
                <w:color w:val="2D2D2D"/>
                <w:sz w:val="18"/>
              </w:rPr>
              <w:t>C11 Liquidity/Redemption</w:t>
            </w:r>
          </w:p>
        </w:tc>
        <w:tc>
          <w:tcPr>
            <w:tcW w:type="dxa" w:w="1512"/>
            <w:vAlign w:val="center"/>
          </w:tcPr>
          <w:p>
            <w:pPr>
              <w:jc w:val="left"/>
            </w:pPr>
            <w:r/>
            <w:r>
              <w:rPr>
                <w:rFonts w:ascii="Calibri" w:hAnsi="Calibri"/>
                <w:color w:val="2D2D2D"/>
                <w:sz w:val="18"/>
              </w:rPr>
              <w:t>15</w:t>
            </w:r>
          </w:p>
        </w:tc>
        <w:tc>
          <w:tcPr>
            <w:tcW w:type="dxa" w:w="1512"/>
            <w:vAlign w:val="center"/>
          </w:tcPr>
          <w:p>
            <w:pPr>
              <w:jc w:val="left"/>
            </w:pPr>
            <w:r/>
            <w:r>
              <w:rPr>
                <w:rFonts w:ascii="Calibri" w:hAnsi="Calibri"/>
                <w:color w:val="2D2D2D"/>
                <w:sz w:val="18"/>
              </w:rPr>
              <w:t>12</w:t>
            </w:r>
          </w:p>
        </w:tc>
        <w:tc>
          <w:tcPr>
            <w:tcW w:type="dxa" w:w="1512"/>
            <w:vAlign w:val="center"/>
          </w:tcPr>
          <w:p>
            <w:pPr>
              <w:jc w:val="left"/>
            </w:pPr>
            <w:r/>
            <w:r>
              <w:rPr>
                <w:rFonts w:ascii="Calibri" w:hAnsi="Calibri"/>
                <w:color w:val="2D2D2D"/>
                <w:sz w:val="18"/>
              </w:rPr>
              <w:t>3</w:t>
            </w:r>
          </w:p>
        </w:tc>
        <w:tc>
          <w:tcPr>
            <w:tcW w:type="dxa" w:w="1512"/>
            <w:vAlign w:val="center"/>
          </w:tcPr>
          <w:p>
            <w:pPr>
              <w:jc w:val="left"/>
            </w:pPr>
            <w:r/>
            <w:r>
              <w:rPr>
                <w:rFonts w:ascii="Calibri" w:hAnsi="Calibri"/>
                <w:color w:val="2D2D2D"/>
                <w:sz w:val="18"/>
              </w:rPr>
              <w:t>0</w:t>
            </w:r>
          </w:p>
        </w:tc>
        <w:tc>
          <w:tcPr>
            <w:tcW w:type="dxa" w:w="1512"/>
            <w:vAlign w:val="center"/>
          </w:tcPr>
          <w:p>
            <w:pPr>
              <w:jc w:val="left"/>
            </w:pPr>
            <w:r/>
            <w:r>
              <w:rPr>
                <w:rFonts w:ascii="Calibri" w:hAnsi="Calibri"/>
                <w:color w:val="2D2D2D"/>
                <w:sz w:val="18"/>
              </w:rPr>
              <w:t>0</w:t>
            </w:r>
          </w:p>
        </w:tc>
      </w:tr>
      <w:tr>
        <w:tc>
          <w:tcPr>
            <w:tcW w:type="dxa" w:w="1512"/>
            <w:shd w:fill="F0F0F0"/>
            <w:vAlign w:val="center"/>
          </w:tcPr>
          <w:p>
            <w:pPr>
              <w:jc w:val="left"/>
            </w:pPr>
            <w:r/>
            <w:r>
              <w:rPr>
                <w:rFonts w:ascii="Calibri" w:hAnsi="Calibri"/>
                <w:color w:val="2D2D2D"/>
                <w:sz w:val="18"/>
              </w:rPr>
              <w:t>C12 Cross-Chain</w:t>
            </w:r>
          </w:p>
        </w:tc>
        <w:tc>
          <w:tcPr>
            <w:tcW w:type="dxa" w:w="1512"/>
            <w:shd w:fill="F0F0F0"/>
            <w:vAlign w:val="center"/>
          </w:tcPr>
          <w:p>
            <w:pPr>
              <w:jc w:val="left"/>
            </w:pPr>
            <w:r/>
            <w:r>
              <w:rPr>
                <w:rFonts w:ascii="Calibri" w:hAnsi="Calibri"/>
                <w:color w:val="2D2D2D"/>
                <w:sz w:val="18"/>
              </w:rPr>
              <w:t>3</w:t>
            </w:r>
          </w:p>
        </w:tc>
        <w:tc>
          <w:tcPr>
            <w:tcW w:type="dxa" w:w="1512"/>
            <w:shd w:fill="F0F0F0"/>
            <w:vAlign w:val="center"/>
          </w:tcPr>
          <w:p>
            <w:pPr>
              <w:jc w:val="left"/>
            </w:pPr>
            <w:r/>
            <w:r>
              <w:rPr>
                <w:rFonts w:ascii="Calibri" w:hAnsi="Calibri"/>
                <w:color w:val="2D2D2D"/>
                <w:sz w:val="18"/>
              </w:rPr>
              <w:t>3</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c>
          <w:tcPr>
            <w:tcW w:type="dxa" w:w="1512"/>
            <w:shd w:fill="F0F0F0"/>
            <w:vAlign w:val="center"/>
          </w:tcPr>
          <w:p>
            <w:pPr>
              <w:jc w:val="left"/>
            </w:pPr>
            <w:r/>
            <w:r>
              <w:rPr>
                <w:rFonts w:ascii="Calibri" w:hAnsi="Calibri"/>
                <w:color w:val="2D2D2D"/>
                <w:sz w:val="18"/>
              </w:rPr>
              <w:t>0</w:t>
            </w:r>
          </w:p>
        </w:tc>
      </w:tr>
      <w:tr>
        <w:tc>
          <w:tcPr>
            <w:tcW w:type="dxa" w:w="1512"/>
            <w:vAlign w:val="center"/>
          </w:tcPr>
          <w:p>
            <w:pPr>
              <w:jc w:val="left"/>
            </w:pPr>
            <w:r/>
            <w:r>
              <w:rPr>
                <w:rFonts w:ascii="Calibri" w:hAnsi="Calibri"/>
                <w:color w:val="2D2D2D"/>
                <w:sz w:val="18"/>
              </w:rPr>
              <w:t>**TOTAL**</w:t>
            </w:r>
          </w:p>
        </w:tc>
        <w:tc>
          <w:tcPr>
            <w:tcW w:type="dxa" w:w="1512"/>
            <w:vAlign w:val="center"/>
          </w:tcPr>
          <w:p>
            <w:pPr>
              <w:jc w:val="left"/>
            </w:pPr>
            <w:r/>
            <w:r>
              <w:rPr>
                <w:rFonts w:ascii="Calibri" w:hAnsi="Calibri"/>
                <w:color w:val="2D2D2D"/>
                <w:sz w:val="18"/>
              </w:rPr>
              <w:t>**374**</w:t>
            </w:r>
          </w:p>
        </w:tc>
        <w:tc>
          <w:tcPr>
            <w:tcW w:type="dxa" w:w="1512"/>
            <w:vAlign w:val="center"/>
          </w:tcPr>
          <w:p>
            <w:pPr>
              <w:jc w:val="left"/>
            </w:pPr>
            <w:r/>
            <w:r>
              <w:rPr>
                <w:rFonts w:ascii="Calibri" w:hAnsi="Calibri"/>
                <w:color w:val="2D2D2D"/>
                <w:sz w:val="18"/>
              </w:rPr>
              <w:t>**219**</w:t>
            </w:r>
          </w:p>
        </w:tc>
        <w:tc>
          <w:tcPr>
            <w:tcW w:type="dxa" w:w="1512"/>
            <w:vAlign w:val="center"/>
          </w:tcPr>
          <w:p>
            <w:pPr>
              <w:jc w:val="left"/>
            </w:pPr>
            <w:r/>
            <w:r>
              <w:rPr>
                <w:rFonts w:ascii="Calibri" w:hAnsi="Calibri"/>
                <w:color w:val="2D2D2D"/>
                <w:sz w:val="18"/>
              </w:rPr>
              <w:t>**111**</w:t>
            </w:r>
          </w:p>
        </w:tc>
        <w:tc>
          <w:tcPr>
            <w:tcW w:type="dxa" w:w="1512"/>
            <w:vAlign w:val="center"/>
          </w:tcPr>
          <w:p>
            <w:pPr>
              <w:jc w:val="left"/>
            </w:pPr>
            <w:r/>
            <w:r>
              <w:rPr>
                <w:rFonts w:ascii="Calibri" w:hAnsi="Calibri"/>
                <w:color w:val="2D2D2D"/>
                <w:sz w:val="18"/>
              </w:rPr>
              <w:t>**35**</w:t>
            </w:r>
          </w:p>
        </w:tc>
        <w:tc>
          <w:tcPr>
            <w:tcW w:type="dxa" w:w="1512"/>
            <w:vAlign w:val="center"/>
          </w:tcPr>
          <w:p>
            <w:pPr>
              <w:jc w:val="left"/>
            </w:pPr>
            <w:r/>
            <w:r>
              <w:rPr>
                <w:rFonts w:ascii="Calibri" w:hAnsi="Calibri"/>
                <w:color w:val="2D2D2D"/>
                <w:sz w:val="18"/>
              </w:rPr>
              <w:t>**9**</w:t>
            </w:r>
          </w:p>
        </w:tc>
      </w:tr>
    </w:tbl>
    <w:p/>
    <w:p>
      <w:pPr>
        <w:pStyle w:val="Heading2"/>
      </w:pPr>
      <w:r>
        <w:t>Appendix F — Smart-Contract Remediation Matrix</w:t>
      </w:r>
    </w:p>
    <w:p>
      <w:r>
        <w:t xml:space="preserve">See </w:t>
      </w:r>
      <w:r>
        <w:rPr>
          <w:rFonts w:ascii="Consolas" w:hAnsi="Consolas"/>
          <w:color w:val="6B6B6B"/>
          <w:sz w:val="19"/>
        </w:rPr>
        <w:t>docs/verification/v25-0-smart-contract-remediation-matrix.md</w:t>
      </w:r>
      <w:r>
        <w:t xml:space="preserve"> for the full 9-contract × 37-change matrix.</w:t>
      </w:r>
    </w:p>
    <w:p>
      <w:pPr>
        <w:pStyle w:val="Heading2"/>
      </w:pPr>
      <w:r>
        <w:t>Appendix G — Glossary of Terms</w:t>
      </w:r>
    </w:p>
    <w:tbl>
      <w:tblPr>
        <w:tblStyle w:val="TableGrid"/>
        <w:tblW w:type="auto" w:w="0"/>
        <w:jc w:val="center"/>
        <w:tblLook w:firstColumn="1" w:firstRow="1" w:lastColumn="0" w:lastRow="0" w:noHBand="0" w:noVBand="1" w:val="04A0"/>
      </w:tblPr>
      <w:tblGrid>
        <w:gridCol w:w="4536"/>
        <w:gridCol w:w="4536"/>
      </w:tblGrid>
      <w:tr>
        <w:tc>
          <w:tcPr>
            <w:tcW w:type="dxa" w:w="4536"/>
            <w:shd w:fill="1A365F"/>
            <w:vAlign w:val="center"/>
          </w:tcPr>
          <w:p>
            <w:pPr>
              <w:jc w:val="left"/>
            </w:pPr>
            <w:r/>
            <w:r>
              <w:rPr>
                <w:rFonts w:ascii="Calibri" w:hAnsi="Calibri"/>
                <w:b/>
                <w:color w:val="FFFFFF"/>
                <w:sz w:val="18"/>
              </w:rPr>
              <w:t>Term</w:t>
            </w:r>
          </w:p>
        </w:tc>
        <w:tc>
          <w:tcPr>
            <w:tcW w:type="dxa" w:w="4536"/>
            <w:shd w:fill="1A365F"/>
            <w:vAlign w:val="center"/>
          </w:tcPr>
          <w:p>
            <w:pPr>
              <w:jc w:val="left"/>
            </w:pPr>
            <w:r/>
            <w:r>
              <w:rPr>
                <w:rFonts w:ascii="Calibri" w:hAnsi="Calibri"/>
                <w:b/>
                <w:color w:val="FFFFFF"/>
                <w:sz w:val="18"/>
              </w:rPr>
              <w:t>Definition</w:t>
            </w:r>
          </w:p>
        </w:tc>
      </w:tr>
      <w:tr>
        <w:tc>
          <w:tcPr>
            <w:tcW w:type="dxa" w:w="4536"/>
            <w:vAlign w:val="center"/>
          </w:tcPr>
          <w:p>
            <w:pPr>
              <w:jc w:val="left"/>
            </w:pPr>
            <w:r/>
            <w:r>
              <w:rPr>
                <w:rFonts w:ascii="Calibri" w:hAnsi="Calibri"/>
                <w:color w:val="2D2D2D"/>
                <w:sz w:val="18"/>
              </w:rPr>
              <w:t>**PAR**</w:t>
            </w:r>
          </w:p>
        </w:tc>
        <w:tc>
          <w:tcPr>
            <w:tcW w:type="dxa" w:w="4536"/>
            <w:vAlign w:val="center"/>
          </w:tcPr>
          <w:p>
            <w:pPr>
              <w:jc w:val="left"/>
            </w:pPr>
            <w:r/>
            <w:r>
              <w:rPr>
                <w:rFonts w:ascii="Calibri" w:hAnsi="Calibri"/>
                <w:color w:val="2D2D2D"/>
                <w:sz w:val="18"/>
              </w:rPr>
              <w:t>$1.00 USD — the fixed settlement/accounting reference unit</w:t>
            </w:r>
          </w:p>
        </w:tc>
      </w:tr>
      <w:tr>
        <w:tc>
          <w:tcPr>
            <w:tcW w:type="dxa" w:w="4536"/>
            <w:shd w:fill="F0F0F0"/>
            <w:vAlign w:val="center"/>
          </w:tcPr>
          <w:p>
            <w:pPr>
              <w:jc w:val="left"/>
            </w:pPr>
            <w:r/>
            <w:r>
              <w:rPr>
                <w:rFonts w:ascii="Calibri" w:hAnsi="Calibri"/>
                <w:color w:val="2D2D2D"/>
                <w:sz w:val="18"/>
              </w:rPr>
              <w:t>**RR**</w:t>
            </w:r>
          </w:p>
        </w:tc>
        <w:tc>
          <w:tcPr>
            <w:tcW w:type="dxa" w:w="4536"/>
            <w:shd w:fill="F0F0F0"/>
            <w:vAlign w:val="center"/>
          </w:tcPr>
          <w:p>
            <w:pPr>
              <w:jc w:val="left"/>
            </w:pPr>
            <w:r/>
            <w:r>
              <w:rPr>
                <w:rFonts w:ascii="Calibri" w:hAnsi="Calibri"/>
                <w:color w:val="2D2D2D"/>
                <w:sz w:val="18"/>
              </w:rPr>
              <w:t>Reserve Ratio = R_a / (S × PAR)</w:t>
            </w:r>
          </w:p>
        </w:tc>
      </w:tr>
      <w:tr>
        <w:tc>
          <w:tcPr>
            <w:tcW w:type="dxa" w:w="4536"/>
            <w:vAlign w:val="center"/>
          </w:tcPr>
          <w:p>
            <w:pPr>
              <w:jc w:val="left"/>
            </w:pPr>
            <w:r/>
            <w:r>
              <w:rPr>
                <w:rFonts w:ascii="Calibri" w:hAnsi="Calibri"/>
                <w:color w:val="2D2D2D"/>
                <w:sz w:val="18"/>
              </w:rPr>
              <w:t>**R_a**</w:t>
            </w:r>
          </w:p>
        </w:tc>
        <w:tc>
          <w:tcPr>
            <w:tcW w:type="dxa" w:w="4536"/>
            <w:vAlign w:val="center"/>
          </w:tcPr>
          <w:p>
            <w:pPr>
              <w:jc w:val="left"/>
            </w:pPr>
            <w:r/>
            <w:r>
              <w:rPr>
                <w:rFonts w:ascii="Calibri" w:hAnsi="Calibri"/>
                <w:color w:val="2D2D2D"/>
                <w:sz w:val="18"/>
              </w:rPr>
              <w:t>Adjusted Reserve Value (after haircuts)</w:t>
            </w:r>
          </w:p>
        </w:tc>
      </w:tr>
      <w:tr>
        <w:tc>
          <w:tcPr>
            <w:tcW w:type="dxa" w:w="4536"/>
            <w:shd w:fill="F0F0F0"/>
            <w:vAlign w:val="center"/>
          </w:tcPr>
          <w:p>
            <w:pPr>
              <w:jc w:val="left"/>
            </w:pPr>
            <w:r/>
            <w:r>
              <w:rPr>
                <w:rFonts w:ascii="Calibri" w:hAnsi="Calibri"/>
                <w:color w:val="2D2D2D"/>
                <w:sz w:val="18"/>
              </w:rPr>
              <w:t>**MTQ**</w:t>
            </w:r>
          </w:p>
        </w:tc>
        <w:tc>
          <w:tcPr>
            <w:tcW w:type="dxa" w:w="4536"/>
            <w:shd w:fill="F0F0F0"/>
            <w:vAlign w:val="center"/>
          </w:tcPr>
          <w:p>
            <w:pPr>
              <w:jc w:val="left"/>
            </w:pPr>
            <w:r/>
            <w:r>
              <w:rPr>
                <w:rFonts w:ascii="Calibri" w:hAnsi="Calibri"/>
                <w:color w:val="2D2D2D"/>
                <w:sz w:val="18"/>
              </w:rPr>
              <w:t>Permissioned wholesale settlement instrument</w:t>
            </w:r>
          </w:p>
        </w:tc>
      </w:tr>
      <w:tr>
        <w:tc>
          <w:tcPr>
            <w:tcW w:type="dxa" w:w="4536"/>
            <w:vAlign w:val="center"/>
          </w:tcPr>
          <w:p>
            <w:pPr>
              <w:jc w:val="left"/>
            </w:pPr>
            <w:r/>
            <w:r>
              <w:rPr>
                <w:rFonts w:ascii="Calibri" w:hAnsi="Calibri"/>
                <w:color w:val="2D2D2D"/>
                <w:sz w:val="18"/>
              </w:rPr>
              <w:t>**MITHQAL**</w:t>
            </w:r>
          </w:p>
        </w:tc>
        <w:tc>
          <w:tcPr>
            <w:tcW w:type="dxa" w:w="4536"/>
            <w:vAlign w:val="center"/>
          </w:tcPr>
          <w:p>
            <w:pPr>
              <w:jc w:val="left"/>
            </w:pPr>
            <w:r/>
            <w:r>
              <w:rPr>
                <w:rFonts w:ascii="Calibri" w:hAnsi="Calibri"/>
                <w:color w:val="2D2D2D"/>
                <w:sz w:val="18"/>
              </w:rPr>
              <w:t>Neutral wholesale settlement infrastructure</w:t>
            </w:r>
          </w:p>
        </w:tc>
      </w:tr>
      <w:tr>
        <w:tc>
          <w:tcPr>
            <w:tcW w:type="dxa" w:w="4536"/>
            <w:shd w:fill="F0F0F0"/>
            <w:vAlign w:val="center"/>
          </w:tcPr>
          <w:p>
            <w:pPr>
              <w:jc w:val="left"/>
            </w:pPr>
            <w:r/>
            <w:r>
              <w:rPr>
                <w:rFonts w:ascii="Calibri" w:hAnsi="Calibri"/>
                <w:color w:val="2D2D2D"/>
                <w:sz w:val="18"/>
              </w:rPr>
              <w:t>**TGRS**</w:t>
            </w:r>
          </w:p>
        </w:tc>
        <w:tc>
          <w:tcPr>
            <w:tcW w:type="dxa" w:w="4536"/>
            <w:shd w:fill="F0F0F0"/>
            <w:vAlign w:val="center"/>
          </w:tcPr>
          <w:p>
            <w:pPr>
              <w:jc w:val="left"/>
            </w:pPr>
            <w:r/>
            <w:r>
              <w:rPr>
                <w:rFonts w:ascii="Calibri" w:hAnsi="Calibri"/>
                <w:color w:val="2D2D2D"/>
                <w:sz w:val="18"/>
              </w:rPr>
              <w:t>Tokenized Gold Reserve Score (10 dimensions)</w:t>
            </w:r>
          </w:p>
        </w:tc>
      </w:tr>
      <w:tr>
        <w:tc>
          <w:tcPr>
            <w:tcW w:type="dxa" w:w="4536"/>
            <w:vAlign w:val="center"/>
          </w:tcPr>
          <w:p>
            <w:pPr>
              <w:jc w:val="left"/>
            </w:pPr>
            <w:r/>
            <w:r>
              <w:rPr>
                <w:rFonts w:ascii="Calibri" w:hAnsi="Calibri"/>
                <w:color w:val="2D2D2D"/>
                <w:sz w:val="18"/>
              </w:rPr>
              <w:t>**TGLS**</w:t>
            </w:r>
          </w:p>
        </w:tc>
        <w:tc>
          <w:tcPr>
            <w:tcW w:type="dxa" w:w="4536"/>
            <w:vAlign w:val="center"/>
          </w:tcPr>
          <w:p>
            <w:pPr>
              <w:jc w:val="left"/>
            </w:pPr>
            <w:r/>
            <w:r>
              <w:rPr>
                <w:rFonts w:ascii="Calibri" w:hAnsi="Calibri"/>
                <w:color w:val="2D2D2D"/>
                <w:sz w:val="18"/>
              </w:rPr>
              <w:t>Tokenized Gold Liquidity Score (9 dimensions)</w:t>
            </w:r>
          </w:p>
        </w:tc>
      </w:tr>
      <w:tr>
        <w:tc>
          <w:tcPr>
            <w:tcW w:type="dxa" w:w="4536"/>
            <w:shd w:fill="F0F0F0"/>
            <w:vAlign w:val="center"/>
          </w:tcPr>
          <w:p>
            <w:pPr>
              <w:jc w:val="left"/>
            </w:pPr>
            <w:r/>
            <w:r>
              <w:rPr>
                <w:rFonts w:ascii="Calibri" w:hAnsi="Calibri"/>
                <w:color w:val="2D2D2D"/>
                <w:sz w:val="18"/>
              </w:rPr>
              <w:t>**TGBS**</w:t>
            </w:r>
          </w:p>
        </w:tc>
        <w:tc>
          <w:tcPr>
            <w:tcW w:type="dxa" w:w="4536"/>
            <w:shd w:fill="F0F0F0"/>
            <w:vAlign w:val="center"/>
          </w:tcPr>
          <w:p>
            <w:pPr>
              <w:jc w:val="left"/>
            </w:pPr>
            <w:r/>
            <w:r>
              <w:rPr>
                <w:rFonts w:ascii="Calibri" w:hAnsi="Calibri"/>
                <w:color w:val="2D2D2D"/>
                <w:sz w:val="18"/>
              </w:rPr>
              <w:t>Tokenized Gold Basis Spread</w:t>
            </w:r>
          </w:p>
        </w:tc>
      </w:tr>
      <w:tr>
        <w:tc>
          <w:tcPr>
            <w:tcW w:type="dxa" w:w="4536"/>
            <w:vAlign w:val="center"/>
          </w:tcPr>
          <w:p>
            <w:pPr>
              <w:jc w:val="left"/>
            </w:pPr>
            <w:r/>
            <w:r>
              <w:rPr>
                <w:rFonts w:ascii="Calibri" w:hAnsi="Calibri"/>
                <w:color w:val="2D2D2D"/>
                <w:sz w:val="18"/>
              </w:rPr>
              <w:t>**TGDR**</w:t>
            </w:r>
          </w:p>
        </w:tc>
        <w:tc>
          <w:tcPr>
            <w:tcW w:type="dxa" w:w="4536"/>
            <w:vAlign w:val="center"/>
          </w:tcPr>
          <w:p>
            <w:pPr>
              <w:jc w:val="left"/>
            </w:pPr>
            <w:r/>
            <w:r>
              <w:rPr>
                <w:rFonts w:ascii="Calibri" w:hAnsi="Calibri"/>
                <w:color w:val="2D2D2D"/>
                <w:sz w:val="18"/>
              </w:rPr>
              <w:t>Tokenized Gold Dependency Ratio</w:t>
            </w:r>
          </w:p>
        </w:tc>
      </w:tr>
      <w:tr>
        <w:tc>
          <w:tcPr>
            <w:tcW w:type="dxa" w:w="4536"/>
            <w:shd w:fill="F0F0F0"/>
            <w:vAlign w:val="center"/>
          </w:tcPr>
          <w:p>
            <w:pPr>
              <w:jc w:val="left"/>
            </w:pPr>
            <w:r/>
            <w:r>
              <w:rPr>
                <w:rFonts w:ascii="Calibri" w:hAnsi="Calibri"/>
                <w:color w:val="2D2D2D"/>
                <w:sz w:val="18"/>
              </w:rPr>
              <w:t>**CALM**</w:t>
            </w:r>
          </w:p>
        </w:tc>
        <w:tc>
          <w:tcPr>
            <w:tcW w:type="dxa" w:w="4536"/>
            <w:shd w:fill="F0F0F0"/>
            <w:vAlign w:val="center"/>
          </w:tcPr>
          <w:p>
            <w:pPr>
              <w:jc w:val="left"/>
            </w:pPr>
            <w:r/>
            <w:r>
              <w:rPr>
                <w:rFonts w:ascii="Calibri" w:hAnsi="Calibri"/>
                <w:color w:val="2D2D2D"/>
                <w:sz w:val="18"/>
              </w:rPr>
              <w:t>Capital-Adaptive Liability Management</w:t>
            </w:r>
          </w:p>
        </w:tc>
      </w:tr>
      <w:tr>
        <w:tc>
          <w:tcPr>
            <w:tcW w:type="dxa" w:w="4536"/>
            <w:vAlign w:val="center"/>
          </w:tcPr>
          <w:p>
            <w:pPr>
              <w:jc w:val="left"/>
            </w:pPr>
            <w:r/>
            <w:r>
              <w:rPr>
                <w:rFonts w:ascii="Calibri" w:hAnsi="Calibri"/>
                <w:color w:val="2D2D2D"/>
                <w:sz w:val="18"/>
              </w:rPr>
              <w:t>**ERTF**</w:t>
            </w:r>
          </w:p>
        </w:tc>
        <w:tc>
          <w:tcPr>
            <w:tcW w:type="dxa" w:w="4536"/>
            <w:vAlign w:val="center"/>
          </w:tcPr>
          <w:p>
            <w:pPr>
              <w:jc w:val="left"/>
            </w:pPr>
            <w:r/>
            <w:r>
              <w:rPr>
                <w:rFonts w:ascii="Calibri" w:hAnsi="Calibri"/>
                <w:color w:val="2D2D2D"/>
                <w:sz w:val="18"/>
              </w:rPr>
              <w:t>External Risk Transfer Facility</w:t>
            </w:r>
          </w:p>
        </w:tc>
      </w:tr>
      <w:tr>
        <w:tc>
          <w:tcPr>
            <w:tcW w:type="dxa" w:w="4536"/>
            <w:shd w:fill="F0F0F0"/>
            <w:vAlign w:val="center"/>
          </w:tcPr>
          <w:p>
            <w:pPr>
              <w:jc w:val="left"/>
            </w:pPr>
            <w:r/>
            <w:r>
              <w:rPr>
                <w:rFonts w:ascii="Calibri" w:hAnsi="Calibri"/>
                <w:color w:val="2D2D2D"/>
                <w:sz w:val="18"/>
              </w:rPr>
              <w:t>**CTID**</w:t>
            </w:r>
          </w:p>
        </w:tc>
        <w:tc>
          <w:tcPr>
            <w:tcW w:type="dxa" w:w="4536"/>
            <w:shd w:fill="F0F0F0"/>
            <w:vAlign w:val="center"/>
          </w:tcPr>
          <w:p>
            <w:pPr>
              <w:jc w:val="left"/>
            </w:pPr>
            <w:r/>
            <w:r>
              <w:rPr>
                <w:rFonts w:ascii="Calibri" w:hAnsi="Calibri"/>
                <w:color w:val="2D2D2D"/>
                <w:sz w:val="18"/>
              </w:rPr>
              <w:t>Correlation/Transaction ID (idempotent)</w:t>
            </w:r>
          </w:p>
        </w:tc>
      </w:tr>
      <w:tr>
        <w:tc>
          <w:tcPr>
            <w:tcW w:type="dxa" w:w="4536"/>
            <w:vAlign w:val="center"/>
          </w:tcPr>
          <w:p>
            <w:pPr>
              <w:jc w:val="left"/>
            </w:pPr>
            <w:r/>
            <w:r>
              <w:rPr>
                <w:rFonts w:ascii="Calibri" w:hAnsi="Calibri"/>
                <w:color w:val="2D2D2D"/>
                <w:sz w:val="18"/>
              </w:rPr>
              <w:t>**BDL**</w:t>
            </w:r>
          </w:p>
        </w:tc>
        <w:tc>
          <w:tcPr>
            <w:tcW w:type="dxa" w:w="4536"/>
            <w:vAlign w:val="center"/>
          </w:tcPr>
          <w:p>
            <w:pPr>
              <w:jc w:val="left"/>
            </w:pPr>
            <w:r/>
            <w:r>
              <w:rPr>
                <w:rFonts w:ascii="Calibri" w:hAnsi="Calibri"/>
                <w:color w:val="2D2D2D"/>
                <w:sz w:val="18"/>
              </w:rPr>
              <w:t>Beyond Design Limit (stress classification)</w:t>
            </w:r>
          </w:p>
        </w:tc>
      </w:tr>
      <w:tr>
        <w:tc>
          <w:tcPr>
            <w:tcW w:type="dxa" w:w="4536"/>
            <w:shd w:fill="F0F0F0"/>
            <w:vAlign w:val="center"/>
          </w:tcPr>
          <w:p>
            <w:pPr>
              <w:jc w:val="left"/>
            </w:pPr>
            <w:r/>
            <w:r>
              <w:rPr>
                <w:rFonts w:ascii="Calibri" w:hAnsi="Calibri"/>
                <w:color w:val="2D2D2D"/>
                <w:sz w:val="18"/>
              </w:rPr>
              <w:t>**LCR**</w:t>
            </w:r>
          </w:p>
        </w:tc>
        <w:tc>
          <w:tcPr>
            <w:tcW w:type="dxa" w:w="4536"/>
            <w:shd w:fill="F0F0F0"/>
            <w:vAlign w:val="center"/>
          </w:tcPr>
          <w:p>
            <w:pPr>
              <w:jc w:val="left"/>
            </w:pPr>
            <w:r/>
            <w:r>
              <w:rPr>
                <w:rFonts w:ascii="Calibri" w:hAnsi="Calibri"/>
                <w:color w:val="2D2D2D"/>
                <w:sz w:val="18"/>
              </w:rPr>
              <w:t>Liquidity Coverage Ratio</w:t>
            </w:r>
          </w:p>
        </w:tc>
      </w:tr>
      <w:tr>
        <w:tc>
          <w:tcPr>
            <w:tcW w:type="dxa" w:w="4536"/>
            <w:vAlign w:val="center"/>
          </w:tcPr>
          <w:p>
            <w:pPr>
              <w:jc w:val="left"/>
            </w:pPr>
            <w:r/>
            <w:r>
              <w:rPr>
                <w:rFonts w:ascii="Calibri" w:hAnsi="Calibri"/>
                <w:color w:val="2D2D2D"/>
                <w:sz w:val="18"/>
              </w:rPr>
              <w:t>**LSD**</w:t>
            </w:r>
          </w:p>
        </w:tc>
        <w:tc>
          <w:tcPr>
            <w:tcW w:type="dxa" w:w="4536"/>
            <w:vAlign w:val="center"/>
          </w:tcPr>
          <w:p>
            <w:pPr>
              <w:jc w:val="left"/>
            </w:pPr>
            <w:r/>
            <w:r>
              <w:rPr>
                <w:rFonts w:ascii="Calibri" w:hAnsi="Calibri"/>
                <w:color w:val="2D2D2D"/>
                <w:sz w:val="18"/>
              </w:rPr>
              <w:t>Liquidity Stress Distance</w:t>
            </w:r>
          </w:p>
        </w:tc>
      </w:tr>
      <w:tr>
        <w:tc>
          <w:tcPr>
            <w:tcW w:type="dxa" w:w="4536"/>
            <w:shd w:fill="F0F0F0"/>
            <w:vAlign w:val="center"/>
          </w:tcPr>
          <w:p>
            <w:pPr>
              <w:jc w:val="left"/>
            </w:pPr>
            <w:r/>
            <w:r>
              <w:rPr>
                <w:rFonts w:ascii="Calibri" w:hAnsi="Calibri"/>
                <w:color w:val="2D2D2D"/>
                <w:sz w:val="18"/>
              </w:rPr>
              <w:t>**MRRC**</w:t>
            </w:r>
          </w:p>
        </w:tc>
        <w:tc>
          <w:tcPr>
            <w:tcW w:type="dxa" w:w="4536"/>
            <w:shd w:fill="F0F0F0"/>
            <w:vAlign w:val="center"/>
          </w:tcPr>
          <w:p>
            <w:pPr>
              <w:jc w:val="left"/>
            </w:pPr>
            <w:r/>
            <w:r>
              <w:rPr>
                <w:rFonts w:ascii="Calibri" w:hAnsi="Calibri"/>
                <w:color w:val="2D2D2D"/>
                <w:sz w:val="18"/>
              </w:rPr>
              <w:t>Marginal Risk Contribution</w:t>
            </w:r>
          </w:p>
        </w:tc>
      </w:tr>
      <w:tr>
        <w:tc>
          <w:tcPr>
            <w:tcW w:type="dxa" w:w="4536"/>
            <w:vAlign w:val="center"/>
          </w:tcPr>
          <w:p>
            <w:pPr>
              <w:jc w:val="left"/>
            </w:pPr>
            <w:r/>
            <w:r>
              <w:rPr>
                <w:rFonts w:ascii="Calibri" w:hAnsi="Calibri"/>
                <w:color w:val="2D2D2D"/>
                <w:sz w:val="18"/>
              </w:rPr>
              <w:t>**CVaR**</w:t>
            </w:r>
          </w:p>
        </w:tc>
        <w:tc>
          <w:tcPr>
            <w:tcW w:type="dxa" w:w="4536"/>
            <w:vAlign w:val="center"/>
          </w:tcPr>
          <w:p>
            <w:pPr>
              <w:jc w:val="left"/>
            </w:pPr>
            <w:r/>
            <w:r>
              <w:rPr>
                <w:rFonts w:ascii="Calibri" w:hAnsi="Calibri"/>
                <w:color w:val="2D2D2D"/>
                <w:sz w:val="18"/>
              </w:rPr>
              <w:t>Conditional Value at Risk</w:t>
            </w:r>
          </w:p>
        </w:tc>
      </w:tr>
      <w:tr>
        <w:tc>
          <w:tcPr>
            <w:tcW w:type="dxa" w:w="4536"/>
            <w:shd w:fill="F0F0F0"/>
            <w:vAlign w:val="center"/>
          </w:tcPr>
          <w:p>
            <w:pPr>
              <w:jc w:val="left"/>
            </w:pPr>
            <w:r/>
            <w:r>
              <w:rPr>
                <w:rFonts w:ascii="Calibri" w:hAnsi="Calibri"/>
                <w:color w:val="2D2D2D"/>
                <w:sz w:val="18"/>
              </w:rPr>
              <w:t>**CBDC**</w:t>
            </w:r>
          </w:p>
        </w:tc>
        <w:tc>
          <w:tcPr>
            <w:tcW w:type="dxa" w:w="4536"/>
            <w:shd w:fill="F0F0F0"/>
            <w:vAlign w:val="center"/>
          </w:tcPr>
          <w:p>
            <w:pPr>
              <w:jc w:val="left"/>
            </w:pPr>
            <w:r/>
            <w:r>
              <w:rPr>
                <w:rFonts w:ascii="Calibri" w:hAnsi="Calibri"/>
                <w:color w:val="2D2D2D"/>
                <w:sz w:val="18"/>
              </w:rPr>
              <w:t>Central Bank Digital Currency</w:t>
            </w:r>
          </w:p>
        </w:tc>
      </w:tr>
      <w:tr>
        <w:tc>
          <w:tcPr>
            <w:tcW w:type="dxa" w:w="4536"/>
            <w:vAlign w:val="center"/>
          </w:tcPr>
          <w:p>
            <w:pPr>
              <w:jc w:val="left"/>
            </w:pPr>
            <w:r/>
            <w:r>
              <w:rPr>
                <w:rFonts w:ascii="Calibri" w:hAnsi="Calibri"/>
                <w:color w:val="2D2D2D"/>
                <w:sz w:val="18"/>
              </w:rPr>
              <w:t>**KYC/KYB**</w:t>
            </w:r>
          </w:p>
        </w:tc>
        <w:tc>
          <w:tcPr>
            <w:tcW w:type="dxa" w:w="4536"/>
            <w:vAlign w:val="center"/>
          </w:tcPr>
          <w:p>
            <w:pPr>
              <w:jc w:val="left"/>
            </w:pPr>
            <w:r/>
            <w:r>
              <w:rPr>
                <w:rFonts w:ascii="Calibri" w:hAnsi="Calibri"/>
                <w:color w:val="2D2D2D"/>
                <w:sz w:val="18"/>
              </w:rPr>
              <w:t>Know Your Customer / Know Your Business</w:t>
            </w:r>
          </w:p>
        </w:tc>
      </w:tr>
      <w:tr>
        <w:tc>
          <w:tcPr>
            <w:tcW w:type="dxa" w:w="4536"/>
            <w:shd w:fill="F0F0F0"/>
            <w:vAlign w:val="center"/>
          </w:tcPr>
          <w:p>
            <w:pPr>
              <w:jc w:val="left"/>
            </w:pPr>
            <w:r/>
            <w:r>
              <w:rPr>
                <w:rFonts w:ascii="Calibri" w:hAnsi="Calibri"/>
                <w:color w:val="2D2D2D"/>
                <w:sz w:val="18"/>
              </w:rPr>
              <w:t>**UBO**</w:t>
            </w:r>
          </w:p>
        </w:tc>
        <w:tc>
          <w:tcPr>
            <w:tcW w:type="dxa" w:w="4536"/>
            <w:shd w:fill="F0F0F0"/>
            <w:vAlign w:val="center"/>
          </w:tcPr>
          <w:p>
            <w:pPr>
              <w:jc w:val="left"/>
            </w:pPr>
            <w:r/>
            <w:r>
              <w:rPr>
                <w:rFonts w:ascii="Calibri" w:hAnsi="Calibri"/>
                <w:color w:val="2D2D2D"/>
                <w:sz w:val="18"/>
              </w:rPr>
              <w:t>Ultimate Beneficial Owner</w:t>
            </w:r>
          </w:p>
        </w:tc>
      </w:tr>
      <w:tr>
        <w:tc>
          <w:tcPr>
            <w:tcW w:type="dxa" w:w="4536"/>
            <w:vAlign w:val="center"/>
          </w:tcPr>
          <w:p>
            <w:pPr>
              <w:jc w:val="left"/>
            </w:pPr>
            <w:r/>
            <w:r>
              <w:rPr>
                <w:rFonts w:ascii="Calibri" w:hAnsi="Calibri"/>
                <w:color w:val="2D2D2D"/>
                <w:sz w:val="18"/>
              </w:rPr>
              <w:t>**AML/CFT**</w:t>
            </w:r>
          </w:p>
        </w:tc>
        <w:tc>
          <w:tcPr>
            <w:tcW w:type="dxa" w:w="4536"/>
            <w:vAlign w:val="center"/>
          </w:tcPr>
          <w:p>
            <w:pPr>
              <w:jc w:val="left"/>
            </w:pPr>
            <w:r/>
            <w:r>
              <w:rPr>
                <w:rFonts w:ascii="Calibri" w:hAnsi="Calibri"/>
                <w:color w:val="2D2D2D"/>
                <w:sz w:val="18"/>
              </w:rPr>
              <w:t>Anti-Money Laundering / Counter Financing of Terrorism</w:t>
            </w:r>
          </w:p>
        </w:tc>
      </w:tr>
      <w:tr>
        <w:tc>
          <w:tcPr>
            <w:tcW w:type="dxa" w:w="4536"/>
            <w:shd w:fill="F0F0F0"/>
            <w:vAlign w:val="center"/>
          </w:tcPr>
          <w:p>
            <w:pPr>
              <w:jc w:val="left"/>
            </w:pPr>
            <w:r/>
            <w:r>
              <w:rPr>
                <w:rFonts w:ascii="Calibri" w:hAnsi="Calibri"/>
                <w:color w:val="2D2D2D"/>
                <w:sz w:val="18"/>
              </w:rPr>
              <w:t>**ZK**</w:t>
            </w:r>
          </w:p>
        </w:tc>
        <w:tc>
          <w:tcPr>
            <w:tcW w:type="dxa" w:w="4536"/>
            <w:shd w:fill="F0F0F0"/>
            <w:vAlign w:val="center"/>
          </w:tcPr>
          <w:p>
            <w:pPr>
              <w:jc w:val="left"/>
            </w:pPr>
            <w:r/>
            <w:r>
              <w:rPr>
                <w:rFonts w:ascii="Calibri" w:hAnsi="Calibri"/>
                <w:color w:val="2D2D2D"/>
                <w:sz w:val="18"/>
              </w:rPr>
              <w:t>Zero-Knowledge (proof)</w:t>
            </w:r>
          </w:p>
        </w:tc>
      </w:tr>
      <w:tr>
        <w:tc>
          <w:tcPr>
            <w:tcW w:type="dxa" w:w="4536"/>
            <w:vAlign w:val="center"/>
          </w:tcPr>
          <w:p>
            <w:pPr>
              <w:jc w:val="left"/>
            </w:pPr>
            <w:r/>
            <w:r>
              <w:rPr>
                <w:rFonts w:ascii="Calibri" w:hAnsi="Calibri"/>
                <w:color w:val="2D2D2D"/>
                <w:sz w:val="18"/>
              </w:rPr>
              <w:t>**HSM/MPC**</w:t>
            </w:r>
          </w:p>
        </w:tc>
        <w:tc>
          <w:tcPr>
            <w:tcW w:type="dxa" w:w="4536"/>
            <w:vAlign w:val="center"/>
          </w:tcPr>
          <w:p>
            <w:pPr>
              <w:jc w:val="left"/>
            </w:pPr>
            <w:r/>
            <w:r>
              <w:rPr>
                <w:rFonts w:ascii="Calibri" w:hAnsi="Calibri"/>
                <w:color w:val="2D2D2D"/>
                <w:sz w:val="18"/>
              </w:rPr>
              <w:t>Hardware Security Module / Multi-Party Computation</w:t>
            </w:r>
          </w:p>
        </w:tc>
      </w:tr>
    </w:tbl>
    <w:p/>
    <w:p>
      <w:pPr>
        <w:pBdr>
          <w:bottom w:val="single" w:sz="12" w:space="1" w:color="C59B1E"/>
        </w:pBdr>
      </w:pPr>
    </w:p>
    <w:p>
      <w:pPr>
        <w:pStyle w:val="Heading2"/>
      </w:pPr>
      <w:r>
        <w:t>CLOSING NOTICE</w:t>
      </w:r>
    </w:p>
    <w:p>
      <w:r>
        <w:rPr>
          <w:b/>
        </w:rPr>
        <w:t>This blueprint is the SINGLE CANONICAL document for MITHQAL v25.0.</w:t>
      </w:r>
    </w:p>
    <w:p>
      <w:r>
        <w:t>All prior versions are superseded. All conflicting language has been marked HISTORICAL/NON-NORMATIVE. The v25.0 wholesale neutral settlement model is the sole normative operating model.</w:t>
      </w:r>
    </w:p>
    <w:p>
      <w:r>
        <w:rPr>
          <w:b/>
        </w:rPr>
        <w:t>Final Status:</w:t>
      </w:r>
      <w:r>
        <w:t xml:space="preserve"> IMPLEMENTED + PROVISIONALLY VALIDATED + NOT PRODUCTION-AUTHORIZED + PENDING INDEPENDENT INSTITUTIONAL VALIDATION</w:t>
      </w:r>
    </w:p>
    <w:p>
      <w:r>
        <w:rPr>
          <w:b/>
        </w:rPr>
        <w:t>The most important conceptual sentence:</w:t>
      </w:r>
    </w:p>
    <w:p>
      <w:pPr>
        <w:spacing w:before="120" w:after="120"/>
        <w:ind w:left="567" w:right="567"/>
        <w:pBdr>
          <w:left w:val="single" w:sz="24" w:space="8" w:color="C59B1E"/>
        </w:pBdr>
        <w:shd w:fill="FFFBF0"/>
      </w:pPr>
      <w:r>
        <w:rPr>
          <w:b/>
          <w:i/>
          <w:color w:val="1A365F"/>
          <w:sz w:val="22"/>
        </w:rPr>
        <w:t>**Customers continue to use banks; banks use MITHQAL; MITHQAL uses MTQ to settle value between monetary systems.**</w:t>
      </w:r>
    </w:p>
    <w:p>
      <w:pPr>
        <w:pBdr>
          <w:bottom w:val="single" w:sz="12" w:space="1" w:color="C59B1E"/>
        </w:pBdr>
      </w:pPr>
    </w:p>
    <w:p>
      <w:r>
        <w:rPr>
          <w:b/>
        </w:rPr>
        <w:t>END OF MITHQAL v25.0 CANONICAL BLUEPRINT — FINAL INSTITUTIONAL EDITION</w:t>
      </w:r>
    </w:p>
    <w:p>
      <w:r>
        <w:rPr>
          <w:i/>
        </w:rPr>
        <w:t>Document Version: 25.0-FINAL</w:t>
      </w:r>
    </w:p>
    <w:p>
      <w:r>
        <w:rPr>
          <w:i/>
        </w:rPr>
        <w:t>Date: 2026-08-14</w:t>
      </w:r>
    </w:p>
    <w:p>
      <w:r>
        <w:rPr>
          <w:i/>
        </w:rPr>
        <w:t>Authority: COO + CTO + CFO + PM + Monetary Systems Architect + Institutional Reserve Manager + Legal/Regulatory Architecture Lead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80"/>
    </w:pPr>
    <w:rPr>
      <w:rFonts w:ascii="Calibri" w:hAnsi="Calibri"/>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6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36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365F"/>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2D2D2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36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