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&lt;div align="center"&gt;</w:t>
      </w:r>
    </w:p>
    <w:p>
      <w:pPr>
        <w:pStyle w:val="Heading1"/>
      </w:pPr>
      <w:r>
        <w:t>MITHQAL v25.0</w:t>
      </w:r>
    </w:p>
    <w:p>
      <w:pPr>
        <w:pStyle w:val="Heading1"/>
      </w:pPr>
      <w:r>
        <w:t>CANONICAL BLUEPRINT</w:t>
      </w:r>
    </w:p>
    <w:p>
      <w:pPr>
        <w:pStyle w:val="Heading1"/>
      </w:pPr>
      <w:r>
        <w:t>FINAL INSTITUTIONAL EDITION — FULLY EXPANDED</w:t>
      </w:r>
    </w:p>
    <w:p>
      <w:pPr>
        <w:pStyle w:val="Heading2"/>
      </w:pPr>
      <w:r>
        <w:t>Neutral Wholesale Settlement Infrastructure</w:t>
      </w:r>
    </w:p>
    <w:p>
      <w:pPr>
        <w:pStyle w:val="Heading2"/>
      </w:pPr>
      <w:r>
        <w:t>Connecting Regulated Monetary Systems</w:t>
      </w:r>
    </w:p>
    <w:p>
      <w:pPr>
        <w:pBdr>
          <w:bottom w:val="single" w:sz="12" w:space="1" w:color="C59B1E"/>
        </w:pBdr>
      </w:pPr>
    </w:p>
    <w:p>
      <w:r>
        <w:rPr>
          <w:b/>
        </w:rPr>
        <w:t>Version:</w:t>
      </w:r>
      <w:r>
        <w:t xml:space="preserve"> 25.0-FINAL</w:t>
      </w:r>
    </w:p>
    <w:p>
      <w:r>
        <w:rPr>
          <w:b/>
        </w:rPr>
        <w:t>Document Type:</w:t>
      </w:r>
      <w:r>
        <w:t xml:space="preserve"> Canonical Institutional Blueprint — Fully Expanded</w:t>
      </w:r>
    </w:p>
    <w:p>
      <w:r>
        <w:rPr>
          <w:b/>
        </w:rPr>
        <w:t>Classification:</w:t>
      </w:r>
      <w:r>
        <w:t xml:space="preserve"> Institutional — For Regulated Financial Entities &amp; Authorized Participants</w:t>
      </w:r>
    </w:p>
    <w:p>
      <w:r>
        <w:rPr>
          <w:b/>
        </w:rPr>
        <w:t>Authority:</w:t>
      </w:r>
      <w:r>
        <w:t xml:space="preserve"> COO + CTO + CFO + Project Manager + Monetary Systems Architect + Institutional Reserve Manager + Legal/Regulatory Architecture Lead</w:t>
      </w:r>
    </w:p>
    <w:p>
      <w:r>
        <w:rPr>
          <w:b/>
        </w:rPr>
        <w:t>Date:</w:t>
      </w:r>
      <w:r>
        <w:t xml:space="preserve"> 2026-08-14</w:t>
      </w:r>
    </w:p>
    <w:p>
      <w:r>
        <w:rPr>
          <w:b/>
        </w:rPr>
        <w:t>Supersedes:</w:t>
      </w:r>
      <w:r>
        <w:t xml:space="preserve"> v24.2.1-FINAL and all prior versions (v18 through v24.2)</w:t>
      </w:r>
    </w:p>
    <w:p>
      <w:r>
        <w:rPr>
          <w:b/>
        </w:rPr>
        <w:t>Status:</w:t>
      </w:r>
      <w:r>
        <w:t xml:space="preserve"> APPROVED CANDIDATE FOR CONTROLLED TESTING — NOT PRODUCTION-AUTHORIZED</w:t>
      </w:r>
    </w:p>
    <w:p>
      <w:pPr>
        <w:pBdr>
          <w:bottom w:val="single" w:sz="12" w:space="1" w:color="C59B1E"/>
        </w:pBdr>
      </w:pPr>
    </w:p>
    <w:p>
      <w:pPr>
        <w:pStyle w:val="Heading3"/>
      </w:pPr>
      <w:r>
        <w:t>PRINCIPAL ARCHITECTURAL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Style w:val="Heading3"/>
      </w:pPr>
      <w:r>
        <w:t>THE SINGLE MOST IMPORTANT ARCHITECTURAL PRINCIPLE</w:t>
      </w:r>
    </w:p>
    <w:p>
      <w:pPr>
        <w:spacing w:before="120" w:after="120"/>
        <w:ind w:left="567" w:right="567"/>
        <w:pBdr>
          <w:left w:val="single" w:sz="24" w:space="8" w:color="C59B1E"/>
        </w:pBdr>
        <w:shd w:fill="FFFBF0"/>
      </w:pPr>
      <w:r>
        <w:rPr>
          <w:b/>
          <w:i/>
          <w:color w:val="1A365F"/>
          <w:sz w:val="22"/>
        </w:rPr>
        <w:t>**MTQ sits between monetary systems, not instead of monetary systems.**</w:t>
      </w:r>
    </w:p>
    <w:p>
      <w:pPr>
        <w:pStyle w:val="Heading3"/>
      </w:pPr>
      <w:r>
        <w:t>THE LOCKED COMMERCIAL FLOW</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r>
        <w:rPr>
          <w:b/>
        </w:rPr>
        <w:t>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t>&lt;/div&gt;</w:t>
      </w:r>
    </w:p>
    <w:p>
      <w:pPr>
        <w:pBdr>
          <w:bottom w:val="single" w:sz="12" w:space="1" w:color="C59B1E"/>
        </w:pBdr>
      </w:pPr>
    </w:p>
    <w:p>
      <w:r>
        <w:br w:type="page"/>
      </w:r>
    </w:p>
    <w:p>
      <w:pPr>
        <w:jc w:val="center"/>
      </w:pPr>
      <w:r>
        <w:rPr>
          <w:b/>
          <w:color w:val="1A365F"/>
          <w:sz w:val="44"/>
        </w:rPr>
        <w:t>INDEX</w:t>
      </w:r>
    </w:p>
    <w:p>
      <w:pPr>
        <w:pBdr>
          <w:bottom w:val="single" w:sz="18" w:space="1" w:color="1A365F"/>
        </w:pBdr>
      </w:pPr>
    </w:p>
    <w:p>
      <w:pPr>
        <w:pStyle w:val="Heading2"/>
      </w:pPr>
      <w:r>
        <w:t>v25.0 NEW ARCHITECTURE SECTIONS (Added)</w:t>
      </w:r>
    </w:p>
    <w:p>
      <w:pPr>
        <w:pStyle w:val="ListBullet"/>
        <w:ind w:left="425"/>
      </w:pPr>
      <w:r>
        <w:t>[§V25.0.0 — Non-Negotiable Execution Rules (17 Rules)](#v2500--non-negotiable-execution-rules)</w:t>
      </w:r>
    </w:p>
    <w:p>
      <w:pPr>
        <w:pStyle w:val="ListBullet"/>
        <w:ind w:left="425"/>
      </w:pPr>
      <w:r>
        <w:t>[§V25.0.1 — Canonical Identity](#v2501--canonical-identity)</w:t>
      </w:r>
    </w:p>
    <w:p>
      <w:pPr>
        <w:pStyle w:val="ListBullet"/>
        <w:ind w:left="425"/>
      </w:pPr>
      <w:r>
        <w:t>[§V25.0.2 — Participant Hierarchy (Class A-E)](#v2502--participant-hierarchy)</w:t>
      </w:r>
    </w:p>
    <w:p>
      <w:pPr>
        <w:pStyle w:val="ListBullet"/>
        <w:ind w:left="425"/>
      </w:pPr>
      <w:r>
        <w:t>[§V25.0.3 — Minting Model (Institutional Issuance Pipeline)](#v2503--minting-model)</w:t>
      </w:r>
    </w:p>
    <w:p>
      <w:pPr>
        <w:pStyle w:val="ListBullet"/>
        <w:ind w:left="425"/>
      </w:pPr>
      <w:r>
        <w:t>[§V25.0.4 — KYC/KYB Architecture (Layered)](#v2504--kyckyb-architecture)</w:t>
      </w:r>
    </w:p>
    <w:p>
      <w:pPr>
        <w:pStyle w:val="ListBullet"/>
        <w:ind w:left="425"/>
      </w:pPr>
      <w:r>
        <w:t>[§V25.0.5 — Neutral Cross-Border Settlement Flow](#v2505--neutral-cross-border-settlement-flow)</w:t>
      </w:r>
    </w:p>
    <w:p>
      <w:pPr>
        <w:pStyle w:val="ListBullet"/>
        <w:ind w:left="425"/>
      </w:pPr>
      <w:r>
        <w:t>[§V25.0.6 — Neutrality Doctrine (Immutable)](#v2506--neutrality-doctrine)</w:t>
      </w:r>
    </w:p>
    <w:p>
      <w:pPr>
        <w:pStyle w:val="ListBullet"/>
        <w:ind w:left="425"/>
      </w:pPr>
      <w:r>
        <w:t>[§V25.0.7 — CBDC Interoperability Layer](#v2507--cbdc-interoperability-layer)</w:t>
      </w:r>
    </w:p>
    <w:p>
      <w:pPr>
        <w:pStyle w:val="ListBullet"/>
        <w:ind w:left="425"/>
      </w:pPr>
      <w:r>
        <w:t>[§V25.0.8 — Central-Bank Participation Model](#v2508--central-bank-participation-model)</w:t>
      </w:r>
    </w:p>
    <w:p>
      <w:pPr>
        <w:pStyle w:val="ListBullet"/>
        <w:ind w:left="425"/>
      </w:pPr>
      <w:r>
        <w:t>[§V25.0.9 — Institutional Traceability](#v2509--institutional-traceability)</w:t>
      </w:r>
    </w:p>
    <w:p>
      <w:pPr>
        <w:pStyle w:val="ListBullet"/>
        <w:ind w:left="425"/>
      </w:pPr>
      <w:r>
        <w:t>[§V25.0.10 — Core Value Proposition](#v25010--core-value-proposition)</w:t>
      </w:r>
    </w:p>
    <w:p>
      <w:pPr>
        <w:pStyle w:val="ListBullet"/>
        <w:ind w:left="425"/>
      </w:pPr>
      <w:r>
        <w:t>[§V25.0.11 — Corporate MTQ Settlement Account](#v25011--corporate-mtq-settlement-account)</w:t>
      </w:r>
    </w:p>
    <w:p>
      <w:pPr>
        <w:pStyle w:val="ListBullet"/>
        <w:ind w:left="425"/>
      </w:pPr>
      <w:r>
        <w:t>[§V25.0.12 — Bank-Controlled Wallet Architecture](#v25012--bank-controlled-wallet-architecture)</w:t>
      </w:r>
    </w:p>
    <w:p>
      <w:pPr>
        <w:pStyle w:val="ListBullet"/>
        <w:ind w:left="425"/>
      </w:pPr>
      <w:r>
        <w:t>[§V25.0.13 — Trading Language Redefinition](#v25013--trading-language-redefinition)</w:t>
      </w:r>
    </w:p>
    <w:p>
      <w:pPr>
        <w:pStyle w:val="ListBullet"/>
        <w:ind w:left="425"/>
      </w:pPr>
      <w:r>
        <w:t>[§V25.0.14 — Redemption Flow (Institutional)](#v25014--redemption-flow)</w:t>
      </w:r>
    </w:p>
    <w:p>
      <w:pPr>
        <w:pStyle w:val="ListBullet"/>
        <w:ind w:left="425"/>
      </w:pPr>
      <w:r>
        <w:t>[§V25.0.15 — Jurisdictional Regulatory Perimeter Engine](#v25015--jurisdictional-regulatory-perimeter-engine)</w:t>
      </w:r>
    </w:p>
    <w:p>
      <w:pPr>
        <w:pStyle w:val="ListBullet"/>
        <w:ind w:left="425"/>
      </w:pPr>
      <w:r>
        <w:t>[§V25.0.16 — Jurisdictional Geo-Fencing](#v25016--jurisdictional-geo-fencing)</w:t>
      </w:r>
    </w:p>
    <w:p>
      <w:pPr>
        <w:pStyle w:val="ListBullet"/>
        <w:ind w:left="425"/>
      </w:pPr>
      <w:r>
        <w:t>[§V25.0.17 — Regulated Entry/Exit Rails](#v25017--regulated-entryexit-rails)</w:t>
      </w:r>
    </w:p>
    <w:p>
      <w:pPr>
        <w:pStyle w:val="ListBullet"/>
        <w:ind w:left="425"/>
      </w:pPr>
      <w:r>
        <w:t>[§V25.0.18 — Product / User Model](#v25018--product--user-model)</w:t>
      </w:r>
    </w:p>
    <w:p>
      <w:pPr>
        <w:pStyle w:val="ListBullet"/>
        <w:ind w:left="425"/>
      </w:pPr>
      <w:r>
        <w:t>[§V25.0.19 — Smart Contract Architecture (v25.0 Changes)](#v25019--smart-contract-architecture)</w:t>
      </w:r>
    </w:p>
    <w:p>
      <w:pPr>
        <w:pStyle w:val="ListBullet"/>
        <w:ind w:left="425"/>
      </w:pPr>
      <w:r>
        <w:t>[§V25.0.20 — Institutional Authorization Registry](#v25020--institutional-authorization-registry)</w:t>
      </w:r>
    </w:p>
    <w:p>
      <w:pPr>
        <w:pStyle w:val="ListBullet"/>
        <w:ind w:left="425"/>
      </w:pPr>
      <w:r>
        <w:t>[§V25.0.21 — Institutional Proof-of-Liabilities](#v25021--institutional-proof-of-liabilities)</w:t>
      </w:r>
    </w:p>
    <w:p>
      <w:pPr>
        <w:pStyle w:val="ListBullet"/>
        <w:ind w:left="425"/>
      </w:pPr>
      <w:r>
        <w:t>[§V25.0.22 — Three-Way Reconciliation](#v25022--three-way-reconciliation)</w:t>
      </w:r>
    </w:p>
    <w:p>
      <w:pPr>
        <w:pStyle w:val="ListBullet"/>
        <w:ind w:left="425"/>
      </w:pPr>
      <w:r>
        <w:t>[§V25.0.23 — Settlement Permission Engine (12-Check Gate)](#v25023--settlement-permission-engine)</w:t>
      </w:r>
    </w:p>
    <w:p>
      <w:pPr>
        <w:pStyle w:val="ListBullet"/>
        <w:ind w:left="425"/>
      </w:pPr>
      <w:r>
        <w:t>[§V25.0.24 — Privacy Architecture (3-Layer)](#v25024--privacy-architecture)</w:t>
      </w:r>
    </w:p>
    <w:p>
      <w:pPr>
        <w:pStyle w:val="ListBullet"/>
        <w:ind w:left="425"/>
      </w:pPr>
      <w:r>
        <w:t>[§V25.0.25 — Zero-Knowledge Architecture](#v25025--zero-knowledge-architecture)</w:t>
      </w:r>
    </w:p>
    <w:p>
      <w:pPr>
        <w:pStyle w:val="ListBullet"/>
        <w:ind w:left="425"/>
      </w:pPr>
      <w:r>
        <w:t>[§V25.0.26 — Settlement Finality](#v25026--settlement-finality)</w:t>
      </w:r>
    </w:p>
    <w:p>
      <w:pPr>
        <w:pStyle w:val="ListBullet"/>
        <w:ind w:left="425"/>
      </w:pPr>
      <w:r>
        <w:t>[§V25.0.27 — Architecture Diagram](#v25027--architecture-diagram)</w:t>
      </w:r>
    </w:p>
    <w:p>
      <w:pPr>
        <w:pStyle w:val="ListBullet"/>
        <w:ind w:left="425"/>
      </w:pPr>
      <w:r>
        <w:t>[§V25.0.28 — Canonical Terminology](#v25028--canonical-terminology)</w:t>
      </w:r>
    </w:p>
    <w:p>
      <w:pPr>
        <w:pStyle w:val="ListBullet"/>
        <w:ind w:left="425"/>
      </w:pPr>
      <w:r>
        <w:t>[§V25.0.29 — Bank Revenue Model](#v25029--bank-revenue-model)</w:t>
      </w:r>
    </w:p>
    <w:p>
      <w:pPr>
        <w:pStyle w:val="ListBullet"/>
        <w:ind w:left="425"/>
      </w:pPr>
      <w:r>
        <w:t>[§V25.0.30 — MITHQAL Operating Company](#v25030--mithqal-operating-company)</w:t>
      </w:r>
    </w:p>
    <w:p>
      <w:pPr>
        <w:pStyle w:val="ListBullet"/>
        <w:ind w:left="425"/>
      </w:pPr>
      <w:r>
        <w:t>[§V25.0.31 — Non-Compete Principle (MITHQAL vs Banks)](#v25031--non-compete-principle)</w:t>
      </w:r>
    </w:p>
    <w:p>
      <w:pPr>
        <w:pStyle w:val="ListBullet"/>
        <w:ind w:left="425"/>
      </w:pPr>
      <w:r>
        <w:t>[§V25.0.32 — FX Boundary](#v25032--fx-boundary)</w:t>
      </w:r>
    </w:p>
    <w:p>
      <w:pPr>
        <w:pStyle w:val="ListBullet"/>
        <w:ind w:left="425"/>
      </w:pPr>
      <w:r>
        <w:t>[§V25.0.33 — Product Hierarchy (9-Layer Stack)](#v25033--product-hierarchy)</w:t>
      </w:r>
    </w:p>
    <w:p>
      <w:pPr>
        <w:pStyle w:val="ListBullet"/>
        <w:ind w:left="425"/>
      </w:pPr>
      <w:r>
        <w:t>[§V25.0.34 — Authority Matrix](#v25034--authority-matrix)</w:t>
      </w:r>
    </w:p>
    <w:p>
      <w:pPr>
        <w:pStyle w:val="ListBullet"/>
        <w:ind w:left="425"/>
      </w:pPr>
      <w:r>
        <w:t>[§V25.0.35 — Ten Constitutional Principles](#v25035--ten-constitutional-principles)</w:t>
      </w:r>
    </w:p>
    <w:p>
      <w:pPr>
        <w:pStyle w:val="ListBullet"/>
        <w:ind w:left="425"/>
      </w:pPr>
      <w:r>
        <w:t>[§V25.0.36 — Economic Proposition](#v25036--economic-proposition)</w:t>
      </w:r>
    </w:p>
    <w:p>
      <w:pPr>
        <w:pStyle w:val="ListBullet"/>
        <w:ind w:left="425"/>
      </w:pPr>
      <w:r>
        <w:t>[§V25.0.37 — Regulatory Observability](#v25037--regulatory-observability)</w:t>
      </w:r>
    </w:p>
    <w:p>
      <w:pPr>
        <w:pStyle w:val="ListBullet"/>
        <w:ind w:left="425"/>
      </w:pPr>
      <w:r>
        <w:t>[§V25.0.38 — Minimum Capital Solver](#v25038--minimum-capital-solver)</w:t>
      </w:r>
    </w:p>
    <w:p>
      <w:pPr>
        <w:pStyle w:val="ListBullet"/>
        <w:ind w:left="425"/>
      </w:pPr>
      <w:r>
        <w:t>[§V25.0.39 — Formal Acceptance Criteria (34 Items)](#v25039--formal-acceptance-criteria)</w:t>
      </w:r>
    </w:p>
    <w:p>
      <w:pPr>
        <w:pStyle w:val="ListBullet"/>
        <w:ind w:left="425"/>
      </w:pPr>
      <w:r>
        <w:t>[§V25.0.40 — Final COO Decision (Locked Architecture)](#v25040--final-coo-decision)</w:t>
      </w:r>
    </w:p>
    <w:p>
      <w:pPr>
        <w:pStyle w:val="Heading2"/>
      </w:pPr>
      <w:r>
        <w:t>v24.2.1 PRESERVED SECTIONS (Full Text Below)</w:t>
      </w:r>
    </w:p>
    <w:p>
      <w:pPr>
        <w:pStyle w:val="ListBullet"/>
        <w:ind w:left="425"/>
      </w:pPr>
      <w:r>
        <w:t>Deployment Status</w:t>
      </w:r>
    </w:p>
    <w:p>
      <w:pPr>
        <w:pStyle w:val="ListBullet"/>
        <w:ind w:left="425"/>
      </w:pPr>
      <w:r>
        <w:t>V24 Amendment Lineage</w:t>
      </w:r>
    </w:p>
    <w:p>
      <w:pPr>
        <w:pStyle w:val="ListBullet"/>
        <w:ind w:left="425"/>
      </w:pPr>
      <w:r>
        <w:t>V24.2.1 Amendments</w:t>
      </w:r>
    </w:p>
    <w:p>
      <w:pPr>
        <w:pStyle w:val="ListBullet"/>
        <w:ind w:left="425"/>
      </w:pPr>
      <w:r>
        <w:t>V24.2 Amendment Registry</w:t>
      </w:r>
    </w:p>
    <w:p>
      <w:pPr>
        <w:pStyle w:val="ListBullet"/>
        <w:ind w:left="425"/>
      </w:pPr>
      <w:r>
        <w:t>V24.2 New Sections</w:t>
      </w:r>
    </w:p>
    <w:p>
      <w:pPr>
        <w:pStyle w:val="ListBullet"/>
        <w:ind w:left="425"/>
      </w:pPr>
      <w:r>
        <w:t>§0 Supremacy Clause → §22 Reserve Verification</w:t>
      </w:r>
    </w:p>
    <w:p>
      <w:pPr>
        <w:pStyle w:val="ListBullet"/>
        <w:ind w:left="425"/>
      </w:pPr>
      <w:r>
        <w:t>Appendix A-C</w:t>
      </w:r>
    </w:p>
    <w:p>
      <w:pPr>
        <w:pStyle w:val="ListBullet"/>
        <w:ind w:left="425"/>
      </w:pPr>
      <w:r>
        <w:t>V24.2 Release Gates</w:t>
      </w:r>
    </w:p>
    <w:p>
      <w:pPr>
        <w:pStyle w:val="ListBullet"/>
        <w:ind w:left="425"/>
      </w:pPr>
      <w:r>
        <w:t>V24.2 Final Release Decision</w:t>
      </w:r>
    </w:p>
    <w:p>
      <w:pPr>
        <w:pStyle w:val="ListBullet"/>
        <w:ind w:left="425"/>
      </w:pPr>
      <w:r>
        <w:t>ORIGINAL v19 Specification (Historical Archive — Layer 0 + all articles)</w:t>
      </w:r>
    </w:p>
    <w:p>
      <w:pPr>
        <w:pStyle w:val="ListBullet"/>
        <w:ind w:left="425"/>
      </w:pPr>
      <w:r>
        <w:t>§39 Cryptographic Governance</w:t>
      </w:r>
    </w:p>
    <w:p>
      <w:pPr>
        <w:pStyle w:val="ListBullet"/>
        <w:ind w:left="425"/>
      </w:pPr>
      <w:r>
        <w:t>§40-56 Constitutional Sections</w:t>
      </w:r>
    </w:p>
    <w:p>
      <w:pPr>
        <w:pStyle w:val="ListBullet"/>
        <w:ind w:left="425"/>
      </w:pPr>
      <w:r>
        <w:t>§57-58 Institutional Continuity + Engineering Lifecycle</w:t>
      </w:r>
    </w:p>
    <w:p>
      <w:pPr>
        <w:pStyle w:val="ListBullet"/>
        <w:ind w:left="425"/>
      </w:pPr>
      <w:r>
        <w:t>§59+ Constitutional Health, Performance, Reviews</w:t>
      </w:r>
    </w:p>
    <w:p>
      <w:pPr>
        <w:pStyle w:val="ListBullet"/>
        <w:ind w:left="425"/>
      </w:pPr>
      <w:r>
        <w:t>v19 Final Consolidated Specification</w:t>
      </w:r>
    </w:p>
    <w:p>
      <w:pPr>
        <w:pStyle w:val="ListBullet"/>
        <w:ind w:left="425"/>
      </w:pPr>
      <w:r>
        <w:t>Appendix V24.2.1-V (Validation Results)</w:t>
      </w:r>
    </w:p>
    <w:p>
      <w:pPr>
        <w:pStyle w:val="ListBullet"/>
        <w:ind w:left="425"/>
      </w:pPr>
      <w:r>
        <w:t>V24.2.1 Canonical Corrections (§§50-52)</w:t>
      </w:r>
    </w:p>
    <w:p>
      <w:pPr>
        <w:pBdr>
          <w:bottom w:val="single" w:sz="12" w:space="1" w:color="C59B1E"/>
        </w:pBdr>
      </w:pPr>
    </w:p>
    <w:p>
      <w:r>
        <w:br w:type="page"/>
      </w:r>
    </w:p>
    <w:p>
      <w:pPr>
        <w:jc w:val="center"/>
      </w:pPr>
      <w:r>
        <w:rPr>
          <w:b/>
          <w:color w:val="1A365F"/>
          <w:sz w:val="44"/>
        </w:rPr>
        <w:t>PART V25.0 — NEW ARCHITECTURE: NEUTRAL WHOLESALE SETTLEMENT</w:t>
      </w:r>
    </w:p>
    <w:p>
      <w:pPr>
        <w:pBdr>
          <w:bottom w:val="single" w:sz="18" w:space="1" w:color="1A365F"/>
        </w:pBdr>
      </w:pPr>
    </w:p>
    <w:p>
      <w:pPr>
        <w:spacing w:before="120" w:after="120"/>
        <w:ind w:left="567" w:right="567"/>
        <w:pBdr>
          <w:left w:val="single" w:sz="24" w:space="8" w:color="C59B1E"/>
        </w:pBdr>
        <w:shd w:fill="FFFBF0"/>
      </w:pPr>
      <w:r>
        <w:rPr>
          <w:b/>
          <w:i/>
          <w:color w:val="1A365F"/>
          <w:sz w:val="22"/>
        </w:rPr>
        <w:t>**The following sections are NEW v25.0 architecture. They are added on top of the v24.2.1 canonical blueprint (which follows in full below). Nothing from v24.2.1 is deleted — prior content is modified or marked HISTORICAL/NON-NORMATIVE where superseded by v25.0.**</w:t>
      </w:r>
    </w:p>
    <w:p>
      <w:pPr>
        <w:pStyle w:val="Heading2"/>
      </w:pPr>
      <w:r>
        <w:t>§V25.0.0 — NON-NEGOTIABLE EXECUTION RULES (17 Rules)</w:t>
      </w:r>
    </w:p>
    <w:p>
      <w:r>
        <w:t>The following 17 rules govern ALL MITHQAL v25.0 architecture, implementation, and operations. They are constitutional-level invariants that cannot be amended, waived, or overridden by any governance body.</w:t>
      </w:r>
    </w:p>
    <w:p>
      <w:pPr>
        <w:pStyle w:val="Heading3"/>
      </w:pPr>
      <w:r>
        <w:t>Rule 0.1 — Preserve the Constitutional Spine</w:t>
      </w:r>
    </w:p>
    <w:p>
      <w:r>
        <w:rPr>
          <w:b/>
        </w:rPr>
        <w:t>DO NOT discard the v24.2 constitutional spine.</w:t>
      </w:r>
      <w:r>
        <w:t xml:space="preserve"> The v24.2.1-FINAL invariants (PAR=$1.00, RR≥100%, no discretionary minting, no lending, reserve segregation, gold anchor) remain in full force. v25.0 transforms the *participant model* and *settlement architecture* — it does NOT weaken the *monetary constitution*.</w:t>
      </w:r>
    </w:p>
    <w:p>
      <w:pPr>
        <w:pStyle w:val="Heading3"/>
      </w:pPr>
      <w:r>
        <w:t>Rule 0.2 — No Discretionary Minting</w:t>
      </w:r>
    </w:p>
    <w:p>
      <w:r>
        <w:rPr>
          <w:b/>
        </w:rPr>
        <w:t>DO NOT weaken the no-discretionary-minting invariant.</w:t>
      </w:r>
      <w:r>
        <w:t xml:space="preserve"> No MTQ may exist without corresponding verified reserve backing. This applies to:</w:t>
      </w:r>
    </w:p>
    <w:p>
      <w:pPr>
        <w:pStyle w:val="ListBullet"/>
        <w:ind w:left="425"/>
      </w:pPr>
      <w:r>
        <w:t>Executive minting ❌</w:t>
      </w:r>
    </w:p>
    <w:p>
      <w:pPr>
        <w:pStyle w:val="ListBullet"/>
        <w:ind w:left="425"/>
      </w:pPr>
      <w:r>
        <w:t>Council minting ❌</w:t>
      </w:r>
    </w:p>
    <w:p>
      <w:pPr>
        <w:pStyle w:val="ListBullet"/>
        <w:ind w:left="425"/>
      </w:pPr>
      <w:r>
        <w:t>Emergency arbitrary minting ❌</w:t>
      </w:r>
    </w:p>
    <w:p>
      <w:pPr>
        <w:pStyle w:val="ListBullet"/>
        <w:ind w:left="425"/>
      </w:pPr>
      <w:r>
        <w:t>Treasury minting ❌</w:t>
      </w:r>
    </w:p>
    <w:p>
      <w:pPr>
        <w:pStyle w:val="ListBullet"/>
        <w:ind w:left="425"/>
      </w:pPr>
      <w:r>
        <w:t>Compensation minting ❌</w:t>
      </w:r>
    </w:p>
    <w:p>
      <w:pPr>
        <w:pStyle w:val="ListBullet"/>
        <w:ind w:left="425"/>
      </w:pPr>
      <w:r>
        <w:t>Operational funding minting ❌</w:t>
      </w:r>
    </w:p>
    <w:p>
      <w:pPr>
        <w:pStyle w:val="ListBullet"/>
        <w:ind w:left="425"/>
      </w:pPr>
      <w:r>
        <w:t>Governance minting ❌</w:t>
      </w:r>
    </w:p>
    <w:p>
      <w:pPr>
        <w:pStyle w:val="ListBullet"/>
        <w:ind w:left="425"/>
      </w:pPr>
      <w:r>
        <w:t>Promotional minting ❌</w:t>
      </w:r>
    </w:p>
    <w:p>
      <w:pPr>
        <w:pStyle w:val="Heading3"/>
      </w:pPr>
      <w:r>
        <w:t>Rule 0.3 — Anti-Platform Doctrine</w:t>
      </w:r>
    </w:p>
    <w:p>
      <w:r>
        <w:rPr>
          <w:b/>
        </w:rPr>
        <w:t>DO NOT turn MITHQAL into:</w:t>
      </w:r>
      <w:r>
        <w:t xml:space="preserve"> an exchange, a brokerage, a market maker, a bank, a lender, an investment manager, a DeFi platform, or a retail payment platform.</w:t>
      </w:r>
    </w:p>
    <w:p>
      <w:r>
        <w:t xml:space="preserve">MITHQAL is </w:t>
      </w:r>
      <w:r>
        <w:rPr>
          <w:b/>
        </w:rPr>
        <w:t>neutral wholesale settlement infrastructure</w:t>
      </w:r>
      <w:r>
        <w:t>. Period.</w:t>
      </w:r>
    </w:p>
    <w:p>
      <w:pPr>
        <w:pStyle w:val="Heading3"/>
      </w:pPr>
      <w:r>
        <w:t>Rule 0.4 — MTQ Is Not a Sovereign Currency</w:t>
      </w:r>
    </w:p>
    <w:p>
      <w:r>
        <w:rPr>
          <w:b/>
        </w:rPr>
        <w:t>DO NOT describe MTQ as:</w:t>
      </w:r>
      <w:r>
        <w:t xml:space="preserve"> a sovereign currency, a replacement currency, a global currency, a USD replacement, a CBDC replacement, or an investment asset.</w:t>
      </w:r>
    </w:p>
    <w:p>
      <w:r>
        <w:t xml:space="preserve">MTQ is a </w:t>
      </w:r>
      <w:r>
        <w:rPr>
          <w:b/>
        </w:rPr>
        <w:t>permissioned wholesale settlement instrument</w:t>
      </w:r>
      <w:r>
        <w:t xml:space="preserve"> that sits *between* monetary systems.</w:t>
      </w:r>
    </w:p>
    <w:p>
      <w:pPr>
        <w:pStyle w:val="Heading3"/>
      </w:pPr>
      <w:r>
        <w:t>Rule 0.5 — No Jurisdictional Exemption</w:t>
      </w:r>
    </w:p>
    <w:p>
      <w:r>
        <w:rPr>
          <w:b/>
        </w:rPr>
        <w:t>DO NOT claim that the new architecture is exempt from jurisdictional regulation.</w:t>
      </w:r>
    </w:p>
    <w:p>
      <w:pPr>
        <w:pStyle w:val="Heading3"/>
      </w:pPr>
      <w:r>
        <w:t>Rule 0.6 — No Automatic Regulatory Approval</w:t>
      </w:r>
    </w:p>
    <w:p>
      <w:r>
        <w:rPr>
          <w:b/>
        </w:rPr>
        <w:t>DO NOT claim automatic approval under any jurisdiction's law.</w:t>
      </w:r>
      <w:r>
        <w:t xml:space="preserve"> Each jurisdiction requires explicit licensing and authorization.</w:t>
      </w:r>
    </w:p>
    <w:p>
      <w:pPr>
        <w:pStyle w:val="Heading3"/>
      </w:pPr>
      <w:r>
        <w:t>Rule 0.7 — Jurisdiction-Specific Requirements</w:t>
      </w:r>
    </w:p>
    <w:p>
      <w:r>
        <w:rPr>
          <w:b/>
        </w:rPr>
        <w:t>DO NOT remove jurisdiction-specific legal classification, licensing requirements, or authorization requirements.</w:t>
      </w:r>
    </w:p>
    <w:p>
      <w:pPr>
        <w:pStyle w:val="Heading3"/>
      </w:pPr>
      <w:r>
        <w:t>Rule 0.8 — No Unrestricted Retail Minting</w:t>
      </w:r>
    </w:p>
    <w:p>
      <w:r>
        <w:rPr>
          <w:b/>
        </w:rPr>
        <w:t>DO NOT permit unrestricted retail minting.</w:t>
      </w:r>
      <w:r>
        <w:t xml:space="preserve"> Retail customers (Class E) cannot directly mint, hold, transfer, or redeem MTQ.</w:t>
      </w:r>
    </w:p>
    <w:p>
      <w:pPr>
        <w:pStyle w:val="Heading3"/>
      </w:pPr>
      <w:r>
        <w:t>Rule 0.9 — No Blind KYC Duplication</w:t>
      </w:r>
    </w:p>
    <w:p>
      <w:r>
        <w:rPr>
          <w:b/>
        </w:rPr>
        <w:t>DO NOT require MITHQAL to duplicate full customer KYC/KYB already legally performed by regulated participating institutions</w:t>
      </w:r>
      <w:r>
        <w:t>, except where local law requires direct collection or verification.</w:t>
      </w:r>
    </w:p>
    <w:p>
      <w:pPr>
        <w:pStyle w:val="Heading3"/>
      </w:pPr>
      <w:r>
        <w:t>Rule 0.10 — No Anonymity</w:t>
      </w:r>
    </w:p>
    <w:p>
      <w:r>
        <w:rPr>
          <w:b/>
        </w:rPr>
        <w:t>DO NOT make MTQ anonymous.</w:t>
      </w:r>
      <w:r>
        <w:t xml:space="preserve"> Every MTQ transaction is institutionally attributable and auditable subject to lawful access rights.</w:t>
      </w:r>
    </w:p>
    <w:p>
      <w:pPr>
        <w:pStyle w:val="Heading3"/>
      </w:pPr>
      <w:r>
        <w:t>Rule 0.11 — Central-Bank Participation Requires Authorization</w:t>
      </w:r>
    </w:p>
    <w:p>
      <w:r>
        <w:rPr>
          <w:b/>
        </w:rPr>
        <w:t>DO NOT make central-bank participation automatic.</w:t>
      </w:r>
    </w:p>
    <w:p>
      <w:pPr>
        <w:pStyle w:val="Heading3"/>
      </w:pPr>
      <w:r>
        <w:t>Rule 0.12 — No Sanctions/Control Circumvention</w:t>
      </w:r>
    </w:p>
    <w:p>
      <w:r>
        <w:rPr>
          <w:b/>
        </w:rPr>
        <w:t>DO NOT create any mechanism intended to circumvent sanctions, capital controls, payment restrictions, crypto prohibitions, geo-fencing, or other jurisdictional requirements.</w:t>
      </w:r>
    </w:p>
    <w:p>
      <w:pPr>
        <w:pStyle w:val="Heading3"/>
      </w:pPr>
      <w:r>
        <w:t>Rule 0.13 — No Speculative Token-Price Optimization</w:t>
      </w:r>
    </w:p>
    <w:p>
      <w:r>
        <w:rPr>
          <w:b/>
        </w:rPr>
        <w:t>DO NOT introduce speculative token-price optimization.</w:t>
      </w:r>
    </w:p>
    <w:p>
      <w:pPr>
        <w:pStyle w:val="Heading3"/>
      </w:pPr>
      <w:r>
        <w:t>Rule 0.14 — No Reserve/Custody Weakening</w:t>
      </w:r>
    </w:p>
    <w:p>
      <w:r>
        <w:rPr>
          <w:b/>
        </w:rPr>
        <w:t>DO NOT weaken reserve segregation, custody controls, proof-of-reserves, proof-of-solvency, redemption controls, or stress controls.</w:t>
      </w:r>
    </w:p>
    <w:p>
      <w:pPr>
        <w:pStyle w:val="Heading3"/>
      </w:pPr>
      <w:r>
        <w:t>Rule 0.15 — Backward Compatibility</w:t>
      </w:r>
    </w:p>
    <w:p>
      <w:r>
        <w:rPr>
          <w:b/>
        </w:rPr>
        <w:t>Every modification must be backward-compatible with the constitutional purpose.</w:t>
      </w:r>
    </w:p>
    <w:p>
      <w:pPr>
        <w:pStyle w:val="Heading3"/>
      </w:pPr>
      <w:r>
        <w:t>Rule 0.16 — Historical Language Marking</w:t>
      </w:r>
    </w:p>
    <w:p>
      <w:r>
        <w:rPr>
          <w:b/>
        </w:rPr>
        <w:t>Historical v18/v19/v24 material may remain for traceability, but conflicting historical language must be clearly marked NON-NORMATIVE.</w:t>
      </w:r>
    </w:p>
    <w:p>
      <w:pPr>
        <w:pStyle w:val="Heading3"/>
      </w:pPr>
      <w:r>
        <w:t>Rule 0.17 — v25.0 Is the Sole Normative Model</w:t>
      </w:r>
    </w:p>
    <w:p>
      <w:r>
        <w:rPr>
          <w:b/>
        </w:rPr>
        <w:t>The new wholesale settlement model becomes the sole normative operating model for production architecture.</w:t>
      </w:r>
    </w:p>
    <w:p>
      <w:pPr>
        <w:pBdr>
          <w:bottom w:val="single" w:sz="12" w:space="1" w:color="C59B1E"/>
        </w:pBdr>
      </w:pPr>
    </w:p>
    <w:p>
      <w:pPr>
        <w:pStyle w:val="Heading2"/>
      </w:pPr>
      <w:r>
        <w:t>§V25.0.1 — CANONICAL IDENTITY</w:t>
      </w:r>
    </w:p>
    <w:p>
      <w:pPr>
        <w:pStyle w:val="Heading3"/>
      </w:pPr>
      <w:r>
        <w:t>§V25.0.1.1 MITHQAL Canonical Identity</w:t>
      </w:r>
    </w:p>
    <w:p>
      <w:r>
        <w:rPr>
          <w:b/>
        </w:rPr>
        <w:t>MITHQAL is:</w:t>
      </w:r>
    </w:p>
    <w:p>
      <w:pPr>
        <w:spacing w:before="120" w:after="120"/>
        <w:ind w:left="567" w:right="567"/>
        <w:pBdr>
          <w:left w:val="single" w:sz="24" w:space="8" w:color="C59B1E"/>
        </w:pBdr>
        <w:shd w:fill="FFFBF0"/>
      </w:pPr>
      <w:r>
        <w:rPr>
          <w:b/>
          <w:i/>
          <w:color w:val="1A365F"/>
          <w:sz w:val="22"/>
        </w:rPr>
        <w:t>A neutral wholesale institutional settlement infrastructure connecting regulated monetary systems across jurisdictions.</w:t>
      </w:r>
    </w:p>
    <w:p>
      <w:r>
        <w:rPr>
          <w:b/>
        </w:rPr>
        <w:t>MITHQAL is NOT:</w:t>
      </w:r>
      <w:r>
        <w:t xml:space="preserve"> a central bank, a commercial bank, a sovereign currency issuer, a retail payment platform, an exchange, a brokerage, a market maker, a lending institution, a trade-finance institution, an investment fund, a wealth manager, a DeFi protocol, or a speculative vehicle.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MITHQAL_IDENTITY</w:t>
      </w:r>
    </w:p>
    <w:p>
      <w:pPr>
        <w:pStyle w:val="Heading3"/>
      </w:pPr>
      <w:r>
        <w:t>§V25.0.1.2 MTQ Canonical Definition</w:t>
      </w:r>
    </w:p>
    <w:p>
      <w:r>
        <w:rPr>
          <w:b/>
        </w:rPr>
        <w:t>MTQ is:</w:t>
      </w:r>
    </w:p>
    <w:p>
      <w:pPr>
        <w:spacing w:before="120" w:after="120"/>
        <w:ind w:left="567" w:right="567"/>
        <w:pBdr>
          <w:left w:val="single" w:sz="24" w:space="8" w:color="C59B1E"/>
        </w:pBdr>
        <w:shd w:fill="FFFBF0"/>
      </w:pPr>
      <w:r>
        <w:rPr>
          <w:b/>
          <w:i/>
          <w:color w:val="1A365F"/>
          <w:sz w:val="22"/>
        </w:rPr>
        <w:t>A permissioned wholesale settlement instrument used by approved regulated financial institutions and, where explicitly authorized, central banks or equivalent sovereign monetary authorities to transfer settlement value between participating monetary systems.</w:t>
      </w:r>
    </w:p>
    <w:p>
      <w:r>
        <w:rPr>
          <w:b/>
        </w:rPr>
        <w:t>MTQ IS:</w:t>
      </w:r>
      <w:r>
        <w:t xml:space="preserve"> neutral, wholesale, settlement-focused, reserve-disciplined, auditable, cryptographically secured, institutionally traceable, interoperable.</w:t>
      </w:r>
    </w:p>
    <w:p>
      <w:r>
        <w:rPr>
          <w:b/>
        </w:rPr>
        <w:t>MTQ is NOT:</w:t>
      </w:r>
      <w:r>
        <w:t xml:space="preserve"> a retail stablecoin, a consumer payment coin, a replacement for USD/JPY/EUR/AED or any sovereign currency, a CBDC, a sovereign liability, an investment product, or an exchange-traded speculative instrument.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MTQ_DEFINITION</w:t>
      </w:r>
    </w:p>
    <w:p>
      <w:pPr>
        <w:pStyle w:val="Heading3"/>
      </w:pPr>
      <w:r>
        <w:t>§V25.0.1.3 Required Final Blueprint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Bdr>
          <w:bottom w:val="single" w:sz="12" w:space="1" w:color="C59B1E"/>
        </w:pBdr>
      </w:pPr>
    </w:p>
    <w:p>
      <w:pPr>
        <w:pStyle w:val="Heading2"/>
      </w:pPr>
      <w:r>
        <w:t>§V25.0.2 — PARTICIPANT HIERARCHY (Class A-E)</w:t>
      </w:r>
    </w:p>
    <w:p>
      <w:r>
        <w:t xml:space="preserve">MITHQAL v25.0 introduces a </w:t>
      </w:r>
      <w:r>
        <w:rPr>
          <w:b/>
        </w:rPr>
        <w:t>5-class participant hierarchy</w:t>
      </w:r>
      <w:r>
        <w:t xml:space="preserve"> replacing the v24.2 open-participant model.</w:t>
      </w:r>
    </w:p>
    <w:p>
      <w:pPr>
        <w:pStyle w:val="Heading3"/>
      </w:pPr>
      <w:r>
        <w:t>§V25.0.2.1 Class A — Central Bank / Sovereign Monetary Authority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Permitted only when explicitly authorized by the relevant authority and applicable legal framework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 (even central banks go through institutional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EXPLICIT_SOVEREIGN</w:t>
            </w:r>
          </w:p>
        </w:tc>
      </w:tr>
    </w:tbl>
    <w:p/>
    <w:p>
      <w:r>
        <w:rPr>
          <w:b/>
        </w:rPr>
        <w:t>Capabilities:</w:t>
      </w:r>
      <w:r>
        <w:t xml:space="preserve"> Wholesale settlement participation, CBDC interoperability, institutional settlement routing, observation/reporting according to legal access rights.</w:t>
      </w:r>
    </w:p>
    <w:p>
      <w:pPr>
        <w:pStyle w:val="Heading3"/>
      </w:pPr>
      <w:r>
        <w:t>§V25.0.2.2 Class B — Regulated Commercial Bank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Primary production participant</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(through institutional issuance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REGULATORY</w:t>
            </w:r>
          </w:p>
        </w:tc>
      </w:tr>
    </w:tbl>
    <w:p/>
    <w:p>
      <w:r>
        <w:rPr>
          <w:b/>
        </w:rPr>
        <w:t>Capabilities:</w:t>
      </w:r>
      <w:r>
        <w:t xml:space="preserve"> MTQ settlement, acquisition, redemption, settlement routing, institutional liquidity management, transaction reporting, corporate MTQ settlement account administration, customer KYC/KYB/AML/CFT, FX services, treasury/liquidity services.</w:t>
      </w:r>
    </w:p>
    <w:p>
      <w:pPr>
        <w:pStyle w:val="Heading3"/>
      </w:pPr>
      <w:r>
        <w:t>§V25.0.2.3 Class C — Approved Regulated Financial Institution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Only where legally permitted. Capabilities explicitly scoped by jurisdiction and license.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(conditional on jurisdiction)</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JURISDICTIONAL</w:t>
            </w:r>
          </w:p>
        </w:tc>
      </w:tr>
    </w:tbl>
    <w:p/>
    <w:p>
      <w:pPr>
        <w:pStyle w:val="Heading3"/>
      </w:pPr>
      <w:r>
        <w:t>§V25.0.2.4 Class D — Corporate / Trade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Corporate customers do NOT directly mint MTQ. They interact through their regulated bank.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NONE (bank handles)</w:t>
            </w:r>
          </w:p>
        </w:tc>
      </w:tr>
    </w:tbl>
    <w:p/>
    <w:p>
      <w:r>
        <w:t xml:space="preserve">The corporation becomes the </w:t>
      </w:r>
      <w:r>
        <w:rPr>
          <w:b/>
        </w:rPr>
        <w:t>beneficial economic holder</w:t>
      </w:r>
      <w:r>
        <w:t xml:space="preserve"> of MTQ, while the bank remains the </w:t>
      </w:r>
      <w:r>
        <w:rPr>
          <w:b/>
        </w:rPr>
        <w:t>regulated access and security layer</w:t>
      </w:r>
      <w:r>
        <w:t>.</w:t>
      </w:r>
    </w:p>
    <w:p>
      <w:pPr>
        <w:pStyle w:val="Heading3"/>
      </w:pPr>
      <w:r>
        <w:t>§V25.0.2.5 Class E — Individual / Retail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No direct MTQ minting. No direct wholesale settlement access. No unrestricted retail MTQ issuance.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bl>
    <w:p/>
    <w:p>
      <w:r>
        <w:rPr>
          <w:b/>
        </w:rPr>
        <w:t>Hard Boundary:</w:t>
      </w:r>
      <w:r>
        <w:t xml:space="preserve"> Direct retail participation is PROHIBITED.</w:t>
      </w:r>
    </w:p>
    <w:p>
      <w:pPr>
        <w:pStyle w:val="Heading3"/>
      </w:pPr>
      <w:r>
        <w:t>§V25.0.2.6 Class Capability Matrix</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Capability</w:t>
            </w:r>
          </w:p>
        </w:tc>
        <w:tc>
          <w:tcPr>
            <w:tcW w:type="dxa" w:w="1512"/>
            <w:shd w:fill="1A365F"/>
            <w:vAlign w:val="center"/>
          </w:tcPr>
          <w:p>
            <w:pPr>
              <w:jc w:val="left"/>
            </w:pPr>
            <w:r/>
            <w:r>
              <w:rPr>
                <w:rFonts w:ascii="Calibri" w:hAnsi="Calibri"/>
                <w:b/>
                <w:color w:val="FFFFFF"/>
                <w:sz w:val="18"/>
              </w:rPr>
              <w:t>Class A (CB)</w:t>
            </w:r>
          </w:p>
        </w:tc>
        <w:tc>
          <w:tcPr>
            <w:tcW w:type="dxa" w:w="1512"/>
            <w:shd w:fill="1A365F"/>
            <w:vAlign w:val="center"/>
          </w:tcPr>
          <w:p>
            <w:pPr>
              <w:jc w:val="left"/>
            </w:pPr>
            <w:r/>
            <w:r>
              <w:rPr>
                <w:rFonts w:ascii="Calibri" w:hAnsi="Calibri"/>
                <w:b/>
                <w:color w:val="FFFFFF"/>
                <w:sz w:val="18"/>
              </w:rPr>
              <w:t>Class B (Bank)</w:t>
            </w:r>
          </w:p>
        </w:tc>
        <w:tc>
          <w:tcPr>
            <w:tcW w:type="dxa" w:w="1512"/>
            <w:shd w:fill="1A365F"/>
            <w:vAlign w:val="center"/>
          </w:tcPr>
          <w:p>
            <w:pPr>
              <w:jc w:val="left"/>
            </w:pPr>
            <w:r/>
            <w:r>
              <w:rPr>
                <w:rFonts w:ascii="Calibri" w:hAnsi="Calibri"/>
                <w:b/>
                <w:color w:val="FFFFFF"/>
                <w:sz w:val="18"/>
              </w:rPr>
              <w:t>Class C (Reg FI)</w:t>
            </w:r>
          </w:p>
        </w:tc>
        <w:tc>
          <w:tcPr>
            <w:tcW w:type="dxa" w:w="1512"/>
            <w:shd w:fill="1A365F"/>
            <w:vAlign w:val="center"/>
          </w:tcPr>
          <w:p>
            <w:pPr>
              <w:jc w:val="left"/>
            </w:pPr>
            <w:r/>
            <w:r>
              <w:rPr>
                <w:rFonts w:ascii="Calibri" w:hAnsi="Calibri"/>
                <w:b/>
                <w:color w:val="FFFFFF"/>
                <w:sz w:val="18"/>
              </w:rPr>
              <w:t>Class D (Corp)</w:t>
            </w:r>
          </w:p>
        </w:tc>
        <w:tc>
          <w:tcPr>
            <w:tcW w:type="dxa" w:w="1512"/>
            <w:shd w:fill="1A365F"/>
            <w:vAlign w:val="center"/>
          </w:tcPr>
          <w:p>
            <w:pPr>
              <w:jc w:val="left"/>
            </w:pPr>
            <w:r/>
            <w:r>
              <w:rPr>
                <w:rFonts w:ascii="Calibri" w:hAnsi="Calibri"/>
                <w:b/>
                <w:color w:val="FFFFFF"/>
                <w:sz w:val="18"/>
              </w:rPr>
              <w:t>Class E (Retail)</w:t>
            </w:r>
          </w:p>
        </w:tc>
      </w:tr>
      <w:tr>
        <w:tc>
          <w:tcPr>
            <w:tcW w:type="dxa" w:w="1512"/>
            <w:vAlign w:val="center"/>
          </w:tcPr>
          <w:p>
            <w:pPr>
              <w:jc w:val="left"/>
            </w:pPr>
            <w:r/>
            <w:r>
              <w:rPr>
                <w:rFonts w:ascii="Calibri" w:hAnsi="Calibri"/>
                <w:color w:val="2D2D2D"/>
                <w:sz w:val="18"/>
              </w:rPr>
              <w:t>Direct MTQ minting</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 (conditional)</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Direct MTQ settlement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Hold MTQ (direct)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Hold MTQ (bank-linked)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Customer KYC</w:t>
            </w:r>
          </w:p>
        </w:tc>
        <w:tc>
          <w:tcPr>
            <w:tcW w:type="dxa" w:w="1512"/>
            <w:vAlign w:val="center"/>
          </w:tcPr>
          <w:p>
            <w:pPr>
              <w:jc w:val="left"/>
            </w:pPr>
            <w:r/>
            <w:r>
              <w:rPr>
                <w:rFonts w:ascii="Calibri" w:hAnsi="Calibri"/>
                <w:color w:val="2D2D2D"/>
                <w:sz w:val="18"/>
              </w:rPr>
              <w:t>As applicable</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Redeem MTQ</w:t>
            </w:r>
          </w:p>
        </w:tc>
        <w:tc>
          <w:tcPr>
            <w:tcW w:type="dxa" w:w="1512"/>
            <w:shd w:fill="F0F0F0"/>
            <w:vAlign w:val="center"/>
          </w:tcPr>
          <w:p>
            <w:pPr>
              <w:jc w:val="left"/>
            </w:pPr>
            <w:r/>
            <w:r>
              <w:rPr>
                <w:rFonts w:ascii="Calibri" w:hAnsi="Calibri"/>
                <w:color w:val="2D2D2D"/>
                <w:sz w:val="18"/>
              </w:rPr>
              <w:t>✅ (authorized)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 (conditional)</w:t>
            </w:r>
          </w:p>
        </w:tc>
        <w:tc>
          <w:tcPr>
            <w:tcW w:type="dxa" w:w="1512"/>
            <w:shd w:fill="F0F0F0"/>
            <w:vAlign w:val="center"/>
          </w:tcPr>
          <w:p>
            <w:pPr>
              <w:jc w:val="left"/>
            </w:pPr>
            <w:r/>
            <w:r>
              <w:rPr>
                <w:rFonts w:ascii="Calibri" w:hAnsi="Calibri"/>
                <w:color w:val="2D2D2D"/>
                <w:sz w:val="18"/>
              </w:rPr>
              <w:t>✅ (via bank)</w:t>
            </w:r>
          </w:p>
        </w:tc>
        <w:tc>
          <w:tcPr>
            <w:tcW w:type="dxa" w:w="1512"/>
            <w:shd w:fill="F0F0F0"/>
            <w:vAlign w:val="center"/>
          </w:tcPr>
          <w:p>
            <w:pPr>
              <w:jc w:val="left"/>
            </w:pPr>
            <w:r/>
            <w:r>
              <w:rPr>
                <w:rFonts w:ascii="Calibri" w:hAnsi="Calibri"/>
                <w:color w:val="2D2D2D"/>
                <w:sz w:val="18"/>
              </w:rPr>
              <w:t>❌</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PARTICIPANT_CLASSES</w:t>
      </w:r>
      <w:r>
        <w:t xml:space="preserve">, </w:t>
      </w:r>
      <w:r>
        <w:rPr>
          <w:rFonts w:ascii="Consolas" w:hAnsi="Consolas"/>
          <w:color w:val="6B6B6B"/>
          <w:sz w:val="19"/>
        </w:rPr>
        <w:t>canMint()</w:t>
      </w:r>
      <w:r>
        <w:t xml:space="preserve">, </w:t>
      </w:r>
      <w:r>
        <w:rPr>
          <w:rFonts w:ascii="Consolas" w:hAnsi="Consolas"/>
          <w:color w:val="6B6B6B"/>
          <w:sz w:val="19"/>
        </w:rPr>
        <w:t>canSettle()</w:t>
      </w:r>
    </w:p>
    <w:p>
      <w:pPr>
        <w:pBdr>
          <w:bottom w:val="single" w:sz="12" w:space="1" w:color="C59B1E"/>
        </w:pBdr>
      </w:pPr>
    </w:p>
    <w:p>
      <w:pPr>
        <w:pStyle w:val="Heading2"/>
      </w:pPr>
      <w:r>
        <w:t>§V25.0.3 — MINTING MODEL (Institutional Issuance Pipeline)</w:t>
      </w:r>
    </w:p>
    <w:p>
      <w:pPr>
        <w:pStyle w:val="Heading3"/>
      </w:pPr>
      <w:r>
        <w:t>§V25.0.3.1 Old vs New</w:t>
      </w:r>
    </w:p>
    <w:p>
      <w:r>
        <w:rPr>
          <w:b/>
        </w:rPr>
        <w:t>OLD (v24.2 — RETIRED):</w:t>
      </w:r>
      <w:r>
        <w:t xml:space="preserve"> "Participant deposits assets and directly mints MTQ"</w:t>
      </w:r>
    </w:p>
    <w:p>
      <w:r>
        <w:rPr>
          <w:b/>
        </w:rPr>
        <w:t>NEW (v25.0 — CANONICAL):</w:t>
      </w:r>
      <w:r>
        <w:t xml:space="preserve"> "Only authorized institutional issuance channels may originate MTQ."</w:t>
      </w:r>
    </w:p>
    <w:p>
      <w:pPr>
        <w:pStyle w:val="Heading3"/>
      </w:pPr>
      <w:r>
        <w:t>§V25.0.3.2 Institutional Issuance Pipeline (15 Steps)</w:t>
      </w:r>
    </w:p>
    <w:p>
      <w:pPr>
        <w:ind w:left="283"/>
        <w:shd w:fill="F5F5F5"/>
      </w:pPr>
      <w:r>
        <w:rPr>
          <w:rFonts w:ascii="Consolas" w:hAnsi="Consolas"/>
          <w:color w:val="6B6B6B"/>
          <w:sz w:val="18"/>
        </w:rPr>
        <w:t>Step 1:  Underlying Customer (Corporate) →</w:t>
        <w:br/>
        <w:t>Step 2:  Regulated Bank / Approved Institution →</w:t>
        <w:br/>
        <w:t>Step 3:  Institutional Issuance Request →</w:t>
        <w:br/>
        <w:t>Step 4:  Institution Authentication →</w:t>
        <w:br/>
        <w:t>Step 5:  Institutional Authority Check →</w:t>
        <w:br/>
        <w:t>Step 6:  Eligible Reserve / Settlement Asset Verification →</w:t>
        <w:br/>
        <w:t>Step 7:  Custody Verification →</w:t>
        <w:br/>
        <w:t>Step 8:  NAV Calculation →</w:t>
        <w:br/>
        <w:t>Step 9:  Reserve Ratio / Stress-RR / Constitutional Checks →</w:t>
        <w:br/>
        <w:t>Step 10: Proof of Reserves →</w:t>
        <w:br/>
        <w:t>Step 11: Proof of Solvency →</w:t>
        <w:br/>
        <w:t>Step 12: Deterministic Issuance Authorization →</w:t>
        <w:br/>
        <w:t>Step 13: Mint.sol →</w:t>
        <w:br/>
        <w:t>Step 14: MTQ.sol →</w:t>
        <w:br/>
        <w:t>Step 15: MTQ enters wholesale settlement layer → Corporate Bank-Linked MTQ Settlement Account</w:t>
      </w:r>
    </w:p>
    <w:p>
      <w:pPr>
        <w:pStyle w:val="Heading3"/>
      </w:pPr>
      <w:r>
        <w:t>§V25.0.3.3 Prohibited: Discretionary Minting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Type</w:t>
            </w:r>
          </w:p>
        </w:tc>
        <w:tc>
          <w:tcPr>
            <w:tcW w:type="dxa" w:w="4536"/>
            <w:shd w:fill="1A365F"/>
            <w:vAlign w:val="center"/>
          </w:tcPr>
          <w:p>
            <w:pPr>
              <w:jc w:val="left"/>
            </w:pPr>
            <w:r/>
            <w:r>
              <w:rPr>
                <w:rFonts w:ascii="Calibri" w:hAnsi="Calibri"/>
                <w:b/>
                <w:color w:val="FFFFFF"/>
                <w:sz w:val="18"/>
              </w:rPr>
              <w:t>Status</w:t>
            </w:r>
          </w:p>
        </w:tc>
      </w:tr>
      <w:tr>
        <w:tc>
          <w:tcPr>
            <w:tcW w:type="dxa" w:w="4536"/>
            <w:vAlign w:val="center"/>
          </w:tcPr>
          <w:p>
            <w:pPr>
              <w:jc w:val="left"/>
            </w:pPr>
            <w:r/>
            <w:r>
              <w:rPr>
                <w:rFonts w:ascii="Calibri" w:hAnsi="Calibri"/>
                <w:color w:val="2D2D2D"/>
                <w:sz w:val="18"/>
              </w:rPr>
              <w:t>Executive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Council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Emergency arbitrary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Treasury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Compensation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Operational funding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Governance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Promotional minting</w:t>
            </w:r>
          </w:p>
        </w:tc>
        <w:tc>
          <w:tcPr>
            <w:tcW w:type="dxa" w:w="4536"/>
            <w:shd w:fill="F0F0F0"/>
            <w:vAlign w:val="center"/>
          </w:tcPr>
          <w:p>
            <w:pPr>
              <w:jc w:val="left"/>
            </w:pPr>
            <w:r/>
            <w:r>
              <w:rPr>
                <w:rFonts w:ascii="Calibri" w:hAnsi="Calibri"/>
                <w:color w:val="2D2D2D"/>
                <w:sz w:val="18"/>
              </w:rPr>
              <w:t>❌ PROHIBITED</w:t>
            </w:r>
          </w:p>
        </w:tc>
      </w:tr>
    </w:tbl>
    <w:p/>
    <w:p>
      <w:pPr>
        <w:pStyle w:val="Heading3"/>
      </w:pPr>
      <w:r>
        <w:t>§V25.0.3.4 Revenue Sequence Rule</w:t>
      </w:r>
    </w:p>
    <w:p>
      <w:r>
        <w:rPr>
          <w:b/>
        </w:rPr>
        <w:t>Revenue must never influence monetary issuance.</w:t>
      </w:r>
      <w:r>
        <w:t xml:space="preserve"> The sequence:</w:t>
      </w:r>
    </w:p>
    <w:p>
      <w:pPr>
        <w:pStyle w:val="ListNumber"/>
        <w:ind w:left="425"/>
      </w:pPr>
      <w:r>
        <w:t>Legal eligibility → 2. Institutional authorization → 3. Reserve/funding verification → 4. Risk checks → 5. Issuance → 6. Fee accounting</w:t>
      </w:r>
    </w:p>
    <w:p>
      <w:r>
        <w:rPr>
          <w:b/>
        </w:rPr>
        <w:t>NEVER:</w:t>
      </w:r>
      <w:r>
        <w:t xml:space="preserve"> Fee paid → MTQ issued.</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MINTING_MODEL</w:t>
      </w:r>
      <w:r>
        <w:t xml:space="preserve">, </w:t>
      </w:r>
      <w:r>
        <w:rPr>
          <w:rFonts w:ascii="Consolas" w:hAnsi="Consolas"/>
          <w:color w:val="6B6B6B"/>
          <w:sz w:val="19"/>
        </w:rPr>
        <w:t>ISSUANCE_PIPELINE</w:t>
      </w:r>
    </w:p>
    <w:p>
      <w:pPr>
        <w:pBdr>
          <w:bottom w:val="single" w:sz="12" w:space="1" w:color="C59B1E"/>
        </w:pBdr>
      </w:pPr>
    </w:p>
    <w:p>
      <w:pPr>
        <w:pStyle w:val="Heading2"/>
      </w:pPr>
      <w:r>
        <w:t>§V25.0.4 — KYC/KYB ARCHITECTURE (Layered)</w:t>
      </w:r>
    </w:p>
    <w:p>
      <w:pPr>
        <w:pStyle w:val="Heading3"/>
      </w:pPr>
      <w:r>
        <w:t>§V25.0.4.1 Principle</w:t>
      </w:r>
    </w:p>
    <w:p>
      <w:pPr>
        <w:spacing w:before="120" w:after="120"/>
        <w:ind w:left="567" w:right="567"/>
        <w:pBdr>
          <w:left w:val="single" w:sz="24" w:space="8" w:color="C59B1E"/>
        </w:pBdr>
        <w:shd w:fill="FFFBF0"/>
      </w:pPr>
      <w:r>
        <w:rPr>
          <w:b/>
          <w:i/>
          <w:color w:val="1A365F"/>
          <w:sz w:val="22"/>
        </w:rPr>
        <w:t>**The participating regulated institution knows its customer; MITHQAL knows and authorizes its participating institution and validates the institutional settlement transaction.**</w:t>
      </w:r>
    </w:p>
    <w:p>
      <w:pPr>
        <w:pStyle w:val="Heading3"/>
      </w:pPr>
      <w:r>
        <w:t>§V25.0.4.2 Customer-Level (Bank Responsibility)</w:t>
      </w:r>
    </w:p>
    <w:p>
      <w:r>
        <w:t>KYC, KYB, UBO identification, AML/CFT, source-of-funds/wealth checks, sanctions screening, transaction monitoring, customer risk assessment.</w:t>
      </w:r>
    </w:p>
    <w:p>
      <w:pPr>
        <w:pStyle w:val="Heading3"/>
      </w:pPr>
      <w:r>
        <w:t>§V25.0.4.3 MITHQAL-Level (MITHQAL Responsibility)</w:t>
      </w:r>
    </w:p>
    <w:p>
      <w:r>
        <w:t>Institution identification, authorization, credential verification, institutional permissions, jurisdiction eligibility, settlement instruction validation, sanctions/jurisdiction controls, transaction integrity checks, institutional auditability, immutable settlement records.</w:t>
      </w:r>
    </w:p>
    <w:p>
      <w:pPr>
        <w:pStyle w:val="Heading3"/>
      </w:pPr>
      <w:r>
        <w:t>§V25.0.4.4 Legal Exception</w:t>
      </w:r>
    </w:p>
    <w:p>
      <w:r>
        <w:t xml:space="preserve">If applicable law requires MITHQAL to collect, verify, retain, or disclose additional customer information, the architecture </w:t>
      </w:r>
      <w:r>
        <w:rPr>
          <w:b/>
        </w:rPr>
        <w:t>must</w:t>
      </w:r>
      <w:r>
        <w:t xml:space="preserve"> support that requirement.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KYC_ARCHITECTURE</w:t>
      </w:r>
    </w:p>
    <w:p>
      <w:pPr>
        <w:pBdr>
          <w:bottom w:val="single" w:sz="12" w:space="1" w:color="C59B1E"/>
        </w:pBdr>
      </w:pPr>
    </w:p>
    <w:p>
      <w:pPr>
        <w:pStyle w:val="Heading2"/>
      </w:pPr>
      <w:r>
        <w:t>§V25.0.5 — NEUTRAL CROSS-BORDER SETTLEMENT FLOW</w:t>
      </w:r>
    </w:p>
    <w:p>
      <w:pPr>
        <w:pStyle w:val="Heading3"/>
      </w:pPr>
      <w:r>
        <w:t>§V25.0.5.1 Canonical Flow</w:t>
      </w:r>
    </w:p>
    <w:p>
      <w:pPr>
        <w:ind w:left="283"/>
        <w:shd w:fill="F5F5F5"/>
      </w:pPr>
      <w:r>
        <w:rPr>
          <w:rFonts w:ascii="Consolas" w:hAnsi="Consolas"/>
          <w:color w:val="6B6B6B"/>
          <w:sz w:val="18"/>
        </w:rPr>
        <w:t>SOVEREIGN MONEY / CBDC A → REGULATED INSTITUTION A → MTQ → MITHQAL NEUTRAL SETTLEMENT LAYER → MTQ → REGULATED INSTITUTION B → SOVEREIGN MONEY / CBDC B</w:t>
      </w:r>
    </w:p>
    <w:p>
      <w:pPr>
        <w:pStyle w:val="Heading3"/>
      </w:pPr>
      <w:r>
        <w:t>§V25.0.5.2 Japan → USA Example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Step</w:t>
            </w:r>
          </w:p>
        </w:tc>
        <w:tc>
          <w:tcPr>
            <w:tcW w:type="dxa" w:w="3024"/>
            <w:shd w:fill="1A365F"/>
            <w:vAlign w:val="center"/>
          </w:tcPr>
          <w:p>
            <w:pPr>
              <w:jc w:val="left"/>
            </w:pPr>
            <w:r/>
            <w:r>
              <w:rPr>
                <w:rFonts w:ascii="Calibri" w:hAnsi="Calibri"/>
                <w:b/>
                <w:color w:val="FFFFFF"/>
                <w:sz w:val="18"/>
              </w:rPr>
              <w:t>Actor</w:t>
            </w:r>
          </w:p>
        </w:tc>
        <w:tc>
          <w:tcPr>
            <w:tcW w:type="dxa" w:w="3024"/>
            <w:shd w:fill="1A365F"/>
            <w:vAlign w:val="center"/>
          </w:tcPr>
          <w:p>
            <w:pPr>
              <w:jc w:val="left"/>
            </w:pPr>
            <w:r/>
            <w:r>
              <w:rPr>
                <w:rFonts w:ascii="Calibri" w:hAnsi="Calibri"/>
                <w:b/>
                <w:color w:val="FFFFFF"/>
                <w:sz w:val="18"/>
              </w:rPr>
              <w:t>Action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Japanese Importer</w:t>
            </w:r>
          </w:p>
        </w:tc>
        <w:tc>
          <w:tcPr>
            <w:tcW w:type="dxa" w:w="3024"/>
            <w:vAlign w:val="center"/>
          </w:tcPr>
          <w:p>
            <w:pPr>
              <w:jc w:val="left"/>
            </w:pPr>
            <w:r/>
            <w:r>
              <w:rPr>
                <w:rFonts w:ascii="Calibri" w:hAnsi="Calibri"/>
                <w:color w:val="2D2D2D"/>
                <w:sz w:val="18"/>
              </w:rPr>
              <w:t>Requests $10M payment via Japanese Bank</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Japanese Bank (INST-003)</w:t>
            </w:r>
          </w:p>
        </w:tc>
        <w:tc>
          <w:tcPr>
            <w:tcW w:type="dxa" w:w="3024"/>
            <w:shd w:fill="F0F0F0"/>
            <w:vAlign w:val="center"/>
          </w:tcPr>
          <w:p>
            <w:pPr>
              <w:jc w:val="left"/>
            </w:pPr>
            <w:r/>
            <w:r>
              <w:rPr>
                <w:rFonts w:ascii="Calibri" w:hAnsi="Calibri"/>
                <w:color w:val="2D2D2D"/>
                <w:sz w:val="18"/>
              </w:rPr>
              <w:t>Validates KYC/AML/funding</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Japanese Bank</w:t>
            </w:r>
          </w:p>
        </w:tc>
        <w:tc>
          <w:tcPr>
            <w:tcW w:type="dxa" w:w="3024"/>
            <w:vAlign w:val="center"/>
          </w:tcPr>
          <w:p>
            <w:pPr>
              <w:jc w:val="left"/>
            </w:pPr>
            <w:r/>
            <w:r>
              <w:rPr>
                <w:rFonts w:ascii="Calibri" w:hAnsi="Calibri"/>
                <w:color w:val="2D2D2D"/>
                <w:sz w:val="18"/>
              </w:rPr>
              <w:t>Submits institutional issuance request to MITHQAL</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Authenticates institution + jurisdiction + corridor</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Reserve verification + NAV + RR checks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Executes mint (deterministic, idempotent CTID)</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Settlement Layer</w:t>
            </w:r>
          </w:p>
        </w:tc>
        <w:tc>
          <w:tcPr>
            <w:tcW w:type="dxa" w:w="3024"/>
            <w:vAlign w:val="center"/>
          </w:tcPr>
          <w:p>
            <w:pPr>
              <w:jc w:val="left"/>
            </w:pPr>
            <w:r/>
            <w:r>
              <w:rPr>
                <w:rFonts w:ascii="Calibri" w:hAnsi="Calibri"/>
                <w:color w:val="2D2D2D"/>
                <w:sz w:val="18"/>
              </w:rPr>
              <w:t>MTQ transferred to U.S. Bank (INST-001)</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U.S. Bank</w:t>
            </w:r>
          </w:p>
        </w:tc>
        <w:tc>
          <w:tcPr>
            <w:tcW w:type="dxa" w:w="3024"/>
            <w:shd w:fill="F0F0F0"/>
            <w:vAlign w:val="center"/>
          </w:tcPr>
          <w:p>
            <w:pPr>
              <w:jc w:val="left"/>
            </w:pPr>
            <w:r/>
            <w:r>
              <w:rPr>
                <w:rFonts w:ascii="Calibri" w:hAnsi="Calibri"/>
                <w:color w:val="2D2D2D"/>
                <w:sz w:val="18"/>
              </w:rPr>
              <w:t>Burns MTQ for USD reserve release</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U.S. Bank</w:t>
            </w:r>
          </w:p>
        </w:tc>
        <w:tc>
          <w:tcPr>
            <w:tcW w:type="dxa" w:w="3024"/>
            <w:vAlign w:val="center"/>
          </w:tcPr>
          <w:p>
            <w:pPr>
              <w:jc w:val="left"/>
            </w:pPr>
            <w:r/>
            <w:r>
              <w:rPr>
                <w:rFonts w:ascii="Calibri" w:hAnsi="Calibri"/>
                <w:color w:val="2D2D2D"/>
                <w:sz w:val="18"/>
              </w:rPr>
              <w:t>Credits USD to U.S. Exporter</w:t>
            </w:r>
          </w:p>
        </w:tc>
      </w:tr>
    </w:tbl>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processWholesaleSettlement()</w:t>
      </w:r>
    </w:p>
    <w:p>
      <w:pPr>
        <w:pBdr>
          <w:bottom w:val="single" w:sz="12" w:space="1" w:color="C59B1E"/>
        </w:pBdr>
      </w:pPr>
    </w:p>
    <w:p>
      <w:pPr>
        <w:pStyle w:val="Heading2"/>
      </w:pPr>
      <w:r>
        <w:t>§V25.0.6 — NEUTRALITY DOCTRINE (Immutable)</w:t>
      </w:r>
    </w:p>
    <w:p>
      <w:pPr>
        <w:spacing w:before="120" w:after="120"/>
        <w:ind w:left="567" w:right="567"/>
        <w:pBdr>
          <w:left w:val="single" w:sz="24" w:space="8" w:color="C59B1E"/>
        </w:pBdr>
        <w:shd w:fill="FFFBF0"/>
      </w:pPr>
      <w:r>
        <w:rPr>
          <w:b/>
          <w:i/>
          <w:color w:val="1A365F"/>
          <w:sz w:val="22"/>
        </w:rPr>
        <w:t>**MITHQAL shall not compete with sovereign monetary systems.**</w:t>
      </w:r>
    </w:p>
    <w:p>
      <w:pPr>
        <w:pStyle w:val="Heading3"/>
      </w:pPr>
      <w:r>
        <w:t>Explicit Rules</w:t>
      </w:r>
    </w:p>
    <w:p>
      <w:pPr>
        <w:pStyle w:val="ListNumber"/>
        <w:ind w:left="425"/>
      </w:pPr>
      <w:r>
        <w:t>USD remains USD</w:t>
      </w:r>
    </w:p>
    <w:p>
      <w:pPr>
        <w:pStyle w:val="ListNumber"/>
        <w:ind w:left="425"/>
      </w:pPr>
      <w:r>
        <w:t>JPY remains JPY</w:t>
      </w:r>
    </w:p>
    <w:p>
      <w:pPr>
        <w:pStyle w:val="ListNumber"/>
        <w:ind w:left="425"/>
      </w:pPr>
      <w:r>
        <w:t>EUR remains EUR</w:t>
      </w:r>
    </w:p>
    <w:p>
      <w:pPr>
        <w:pStyle w:val="ListNumber"/>
        <w:ind w:left="425"/>
      </w:pPr>
      <w:r>
        <w:t>AED remains AED</w:t>
      </w:r>
    </w:p>
    <w:p>
      <w:pPr>
        <w:pStyle w:val="ListNumber"/>
        <w:ind w:left="425"/>
      </w:pPr>
      <w:r>
        <w:t>RMB remains RMB</w:t>
      </w:r>
    </w:p>
    <w:p>
      <w:pPr>
        <w:pStyle w:val="ListNumber"/>
        <w:ind w:left="425"/>
      </w:pPr>
      <w:r>
        <w:t>CBDCs remain liabilities of their issuing central banks</w:t>
      </w:r>
    </w:p>
    <w:p>
      <w:pPr>
        <w:pStyle w:val="ListNumber"/>
        <w:ind w:left="425"/>
      </w:pPr>
      <w:r>
        <w:t>MTQ does not replace domestic monetary systems</w:t>
      </w:r>
    </w:p>
    <w:p>
      <w:pPr>
        <w:pStyle w:val="ListNumber"/>
        <w:ind w:left="425"/>
      </w:pPr>
      <w:r>
        <w:t>MTQ does not establish monetary policy</w:t>
      </w:r>
    </w:p>
    <w:p>
      <w:pPr>
        <w:pStyle w:val="ListNumber"/>
        <w:ind w:left="425"/>
      </w:pPr>
      <w:r>
        <w:t>MITHQAL does not set sovereign interest rates</w:t>
      </w:r>
    </w:p>
    <w:p>
      <w:pPr>
        <w:pStyle w:val="ListNumber"/>
        <w:ind w:left="425"/>
      </w:pPr>
      <w:r>
        <w:t>MITHQAL does not attempt to displace any sovereign currency</w:t>
      </w:r>
    </w:p>
    <w:p>
      <w:pPr>
        <w:pStyle w:val="Heading3"/>
      </w:pPr>
      <w:r>
        <w:t>Strategic Statement</w:t>
      </w:r>
    </w:p>
    <w:p>
      <w:pPr>
        <w:spacing w:before="120" w:after="120"/>
        <w:ind w:left="567" w:right="567"/>
        <w:pBdr>
          <w:left w:val="single" w:sz="24" w:space="8" w:color="C59B1E"/>
        </w:pBdr>
        <w:shd w:fill="FFFBF0"/>
      </w:pPr>
      <w:r>
        <w:rPr>
          <w:b/>
          <w:i/>
          <w:color w:val="1A365F"/>
          <w:sz w:val="22"/>
        </w:rPr>
        <w:t>**MTQ exists between monetary systems, not instead of monetary systems.**</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NEUTRALITY_DOCTRINE</w:t>
      </w:r>
    </w:p>
    <w:p>
      <w:pPr>
        <w:pBdr>
          <w:bottom w:val="single" w:sz="12" w:space="1" w:color="C59B1E"/>
        </w:pBdr>
      </w:pPr>
    </w:p>
    <w:p>
      <w:pPr>
        <w:pStyle w:val="Heading2"/>
      </w:pPr>
      <w:r>
        <w:t>§V25.0.7 — CBDC INTEROPERABILITY LAYER</w:t>
      </w:r>
    </w:p>
    <w:p>
      <w:pPr>
        <w:pStyle w:val="Heading3"/>
      </w:pPr>
      <w:r>
        <w:t>§V25.0.7.1 Supported Flows (5)</w:t>
      </w:r>
    </w:p>
    <w:p>
      <w:pPr>
        <w:pStyle w:val="ListNumber"/>
        <w:ind w:left="425"/>
      </w:pPr>
      <w:r>
        <w:t>wholesale CBDC → MTQ → wholesale CBDC</w:t>
      </w:r>
    </w:p>
    <w:p>
      <w:pPr>
        <w:pStyle w:val="ListNumber"/>
        <w:ind w:left="425"/>
      </w:pPr>
      <w:r>
        <w:t>CBDC → MTQ → bank money</w:t>
      </w:r>
    </w:p>
    <w:p>
      <w:pPr>
        <w:pStyle w:val="ListNumber"/>
        <w:ind w:left="425"/>
      </w:pPr>
      <w:r>
        <w:t>bank money → MTQ → CBDC</w:t>
      </w:r>
    </w:p>
    <w:p>
      <w:pPr>
        <w:pStyle w:val="ListNumber"/>
        <w:ind w:left="425"/>
      </w:pPr>
      <w:r>
        <w:t>bank money → MTQ → bank money</w:t>
      </w:r>
    </w:p>
    <w:p>
      <w:pPr>
        <w:pStyle w:val="ListNumber"/>
        <w:ind w:left="425"/>
      </w:pPr>
      <w:r>
        <w:t>tokenized sovereign/cash-equivalent assets → MTQ → regulated destination settlement assets</w:t>
      </w:r>
    </w:p>
    <w:p>
      <w:pPr>
        <w:pStyle w:val="Heading3"/>
      </w:pPr>
      <w:r>
        <w:t>§V25.0.7.2 Principles</w:t>
      </w:r>
    </w:p>
    <w:p>
      <w:pPr>
        <w:pStyle w:val="ListBullet"/>
        <w:ind w:left="425"/>
      </w:pPr>
      <w:r>
        <w:t>Do NOT require every country to adopt the same CBDC technology</w:t>
      </w:r>
    </w:p>
    <w:p>
      <w:pPr>
        <w:pStyle w:val="ListBullet"/>
        <w:ind w:left="425"/>
      </w:pPr>
      <w:r>
        <w:t>Do NOT require one sovereign currency to become the international settlement currency</w:t>
      </w:r>
    </w:p>
    <w:p>
      <w:pPr>
        <w:pStyle w:val="ListBullet"/>
        <w:ind w:left="425"/>
      </w:pPr>
      <w:r>
        <w:t>Use MTQ as the neutral institutional bridge</w:t>
      </w:r>
    </w:p>
    <w:p>
      <w:pPr>
        <w:pStyle w:val="Heading3"/>
      </w:pPr>
      <w:r>
        <w:t>§V25.0.7.3 CBDC Neutrality</w:t>
      </w:r>
    </w:p>
    <w:p>
      <w:r>
        <w:t>CBDCs remain liabilities of their issuing central banks. MTQ does not become another CBDC.</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CBDC_INTEROP</w:t>
      </w:r>
      <w:r>
        <w:t xml:space="preserve">, </w:t>
      </w:r>
      <w:r>
        <w:rPr>
          <w:rFonts w:ascii="Consolas" w:hAnsi="Consolas"/>
          <w:color w:val="6B6B6B"/>
          <w:sz w:val="19"/>
        </w:rPr>
        <w:t>src/lib/wholesale-settlement.ts</w:t>
      </w:r>
      <w:r>
        <w:t xml:space="preserve"> → </w:t>
      </w:r>
      <w:r>
        <w:rPr>
          <w:rFonts w:ascii="Consolas" w:hAnsi="Consolas"/>
          <w:color w:val="6B6B6B"/>
          <w:sz w:val="19"/>
        </w:rPr>
        <w:t>checkCBDCInterop()</w:t>
      </w:r>
    </w:p>
    <w:p>
      <w:pPr>
        <w:pBdr>
          <w:bottom w:val="single" w:sz="12" w:space="1" w:color="C59B1E"/>
        </w:pBdr>
      </w:pPr>
    </w:p>
    <w:p>
      <w:pPr>
        <w:pStyle w:val="Heading2"/>
      </w:pPr>
      <w:r>
        <w:t>§V25.0.8 — CENTRAL-BANK PARTICIPATION MODEL</w:t>
      </w:r>
    </w:p>
    <w:p>
      <w:pPr>
        <w:pStyle w:val="Heading3"/>
      </w:pPr>
      <w:r>
        <w:t>Three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Name</w:t>
            </w:r>
          </w:p>
        </w:tc>
        <w:tc>
          <w:tcPr>
            <w:tcW w:type="dxa" w:w="2268"/>
            <w:shd w:fill="1A365F"/>
            <w:vAlign w:val="center"/>
          </w:tcPr>
          <w:p>
            <w:pPr>
              <w:jc w:val="left"/>
            </w:pPr>
            <w:r/>
            <w:r>
              <w:rPr>
                <w:rFonts w:ascii="Calibri" w:hAnsi="Calibri"/>
                <w:b/>
                <w:color w:val="FFFFFF"/>
                <w:sz w:val="18"/>
              </w:rPr>
              <w:t>Description</w:t>
            </w:r>
          </w:p>
        </w:tc>
        <w:tc>
          <w:tcPr>
            <w:tcW w:type="dxa" w:w="2268"/>
            <w:shd w:fill="1A365F"/>
            <w:vAlign w:val="center"/>
          </w:tcPr>
          <w:p>
            <w:pPr>
              <w:jc w:val="left"/>
            </w:pPr>
            <w:r/>
            <w:r>
              <w:rPr>
                <w:rFonts w:ascii="Calibri" w:hAnsi="Calibri"/>
                <w:b/>
                <w:color w:val="FFFFFF"/>
                <w:sz w:val="18"/>
              </w:rPr>
              <w:t>CB Role</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Bank-Only</w:t>
            </w:r>
          </w:p>
        </w:tc>
        <w:tc>
          <w:tcPr>
            <w:tcW w:type="dxa" w:w="2268"/>
            <w:vAlign w:val="center"/>
          </w:tcPr>
          <w:p>
            <w:pPr>
              <w:jc w:val="left"/>
            </w:pPr>
            <w:r/>
            <w:r>
              <w:rPr>
                <w:rFonts w:ascii="Calibri" w:hAnsi="Calibri"/>
                <w:color w:val="2D2D2D"/>
                <w:sz w:val="18"/>
              </w:rPr>
              <w:t>Commercial/regulated institutions interact with MTQ</w:t>
            </w:r>
          </w:p>
        </w:tc>
        <w:tc>
          <w:tcPr>
            <w:tcW w:type="dxa" w:w="2268"/>
            <w:vAlign w:val="center"/>
          </w:tcPr>
          <w:p>
            <w:pPr>
              <w:jc w:val="left"/>
            </w:pPr>
            <w:r/>
            <w:r>
              <w:rPr>
                <w:rFonts w:ascii="Calibri" w:hAnsi="Calibri"/>
                <w:color w:val="2D2D2D"/>
                <w:sz w:val="18"/>
              </w:rPr>
              <w:t>None (indirect)</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Central-Bank-Connected</w:t>
            </w:r>
          </w:p>
        </w:tc>
        <w:tc>
          <w:tcPr>
            <w:tcW w:type="dxa" w:w="2268"/>
            <w:shd w:fill="F0F0F0"/>
            <w:vAlign w:val="center"/>
          </w:tcPr>
          <w:p>
            <w:pPr>
              <w:jc w:val="left"/>
            </w:pPr>
            <w:r/>
            <w:r>
              <w:rPr>
                <w:rFonts w:ascii="Calibri" w:hAnsi="Calibri"/>
                <w:color w:val="2D2D2D"/>
                <w:sz w:val="18"/>
              </w:rPr>
              <w:t>Banks settle through CB/wholesale-CBDC interface</w:t>
            </w:r>
          </w:p>
        </w:tc>
        <w:tc>
          <w:tcPr>
            <w:tcW w:type="dxa" w:w="2268"/>
            <w:shd w:fill="F0F0F0"/>
            <w:vAlign w:val="center"/>
          </w:tcPr>
          <w:p>
            <w:pPr>
              <w:jc w:val="left"/>
            </w:pPr>
            <w:r/>
            <w:r>
              <w:rPr>
                <w:rFonts w:ascii="Calibri" w:hAnsi="Calibri"/>
                <w:color w:val="2D2D2D"/>
                <w:sz w:val="18"/>
              </w:rPr>
              <w:t>Settlement interface</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Direct Central-Bank Participation</w:t>
            </w:r>
          </w:p>
        </w:tc>
        <w:tc>
          <w:tcPr>
            <w:tcW w:type="dxa" w:w="2268"/>
            <w:vAlign w:val="center"/>
          </w:tcPr>
          <w:p>
            <w:pPr>
              <w:jc w:val="left"/>
            </w:pPr>
            <w:r/>
            <w:r>
              <w:rPr>
                <w:rFonts w:ascii="Calibri" w:hAnsi="Calibri"/>
                <w:color w:val="2D2D2D"/>
                <w:sz w:val="18"/>
              </w:rPr>
              <w:t>CB directly participates (only if formally authorized)</w:t>
            </w:r>
          </w:p>
        </w:tc>
        <w:tc>
          <w:tcPr>
            <w:tcW w:type="dxa" w:w="2268"/>
            <w:vAlign w:val="center"/>
          </w:tcPr>
          <w:p>
            <w:pPr>
              <w:jc w:val="left"/>
            </w:pPr>
            <w:r/>
            <w:r>
              <w:rPr>
                <w:rFonts w:ascii="Calibri" w:hAnsi="Calibri"/>
                <w:color w:val="2D2D2D"/>
                <w:sz w:val="18"/>
              </w:rPr>
              <w:t>Direct participant</w:t>
            </w:r>
          </w:p>
        </w:tc>
      </w:tr>
    </w:tbl>
    <w:p/>
    <w:p>
      <w:pPr>
        <w:pStyle w:val="Heading3"/>
      </w:pPr>
      <w:r>
        <w:t>Correct Jurisdictional Language</w:t>
      </w:r>
    </w:p>
    <w:p>
      <w:r>
        <w:rPr>
          <w:b/>
        </w:rPr>
        <w:t>DO NOT say:</w:t>
      </w:r>
      <w:r>
        <w:t xml:space="preserve"> "All banks are controlled by central banks."</w:t>
      </w:r>
    </w:p>
    <w:p>
      <w:r>
        <w:rPr>
          <w:b/>
        </w:rPr>
        <w:t>Correct:</w:t>
      </w:r>
      <w:r>
        <w:t xml:space="preserve"> "Each participating institution remains subject to the regulatory framework applicable in its jurisdiction, and MITHQAL enforces the permissions applicable to that institution and corridor."</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CB_PARTICIPATION_MODES</w:t>
      </w:r>
    </w:p>
    <w:p>
      <w:pPr>
        <w:pBdr>
          <w:bottom w:val="single" w:sz="12" w:space="1" w:color="C59B1E"/>
        </w:pBdr>
      </w:pPr>
    </w:p>
    <w:p>
      <w:pPr>
        <w:pStyle w:val="Heading2"/>
      </w:pPr>
      <w:r>
        <w:t>§V25.0.9 — INSTITUTIONAL TRACEABILITY</w:t>
      </w:r>
    </w:p>
    <w:p>
      <w:pPr>
        <w:pStyle w:val="Heading3"/>
      </w:pPr>
      <w:r>
        <w:t>Settlement Record Schema (14 Fields)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Field</w:t>
            </w:r>
          </w:p>
        </w:tc>
        <w:tc>
          <w:tcPr>
            <w:tcW w:type="dxa" w:w="4536"/>
            <w:shd w:fill="1A365F"/>
            <w:vAlign w:val="center"/>
          </w:tcPr>
          <w:p>
            <w:pPr>
              <w:jc w:val="left"/>
            </w:pPr>
            <w:r/>
            <w:r>
              <w:rPr>
                <w:rFonts w:ascii="Calibri" w:hAnsi="Calibri"/>
                <w:b/>
                <w:color w:val="FFFFFF"/>
                <w:sz w:val="18"/>
              </w:rPr>
              <w:t>Type</w:t>
            </w:r>
          </w:p>
        </w:tc>
      </w:tr>
      <w:tr>
        <w:tc>
          <w:tcPr>
            <w:tcW w:type="dxa" w:w="4536"/>
            <w:vAlign w:val="center"/>
          </w:tcPr>
          <w:p>
            <w:pPr>
              <w:jc w:val="left"/>
            </w:pPr>
            <w:r/>
            <w:r>
              <w:rPr>
                <w:rFonts w:ascii="Calibri" w:hAnsi="Calibri"/>
                <w:color w:val="2D2D2D"/>
                <w:sz w:val="18"/>
              </w:rPr>
              <w:t>institutionalSender</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institutionalReceiver</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transactionId</w:t>
            </w:r>
          </w:p>
        </w:tc>
        <w:tc>
          <w:tcPr>
            <w:tcW w:type="dxa" w:w="4536"/>
            <w:vAlign w:val="center"/>
          </w:tcPr>
          <w:p>
            <w:pPr>
              <w:jc w:val="left"/>
            </w:pPr>
            <w:r/>
            <w:r>
              <w:rPr>
                <w:rFonts w:ascii="Calibri" w:hAnsi="Calibri"/>
                <w:color w:val="2D2D2D"/>
                <w:sz w:val="18"/>
              </w:rPr>
              <w:t>string (idempotent CTID)</w:t>
            </w:r>
          </w:p>
        </w:tc>
      </w:tr>
      <w:tr>
        <w:tc>
          <w:tcPr>
            <w:tcW w:type="dxa" w:w="4536"/>
            <w:shd w:fill="F0F0F0"/>
            <w:vAlign w:val="center"/>
          </w:tcPr>
          <w:p>
            <w:pPr>
              <w:jc w:val="left"/>
            </w:pPr>
            <w:r/>
            <w:r>
              <w:rPr>
                <w:rFonts w:ascii="Calibri" w:hAnsi="Calibri"/>
                <w:color w:val="2D2D2D"/>
                <w:sz w:val="18"/>
              </w:rPr>
              <w:t>timestamp</w:t>
            </w:r>
          </w:p>
        </w:tc>
        <w:tc>
          <w:tcPr>
            <w:tcW w:type="dxa" w:w="4536"/>
            <w:shd w:fill="F0F0F0"/>
            <w:vAlign w:val="center"/>
          </w:tcPr>
          <w:p>
            <w:pPr>
              <w:jc w:val="left"/>
            </w:pPr>
            <w:r/>
            <w:r>
              <w:rPr>
                <w:rFonts w:ascii="Calibri" w:hAnsi="Calibri"/>
                <w:color w:val="2D2D2D"/>
                <w:sz w:val="18"/>
              </w:rPr>
              <w:t>ISO 8601</w:t>
            </w:r>
          </w:p>
        </w:tc>
      </w:tr>
      <w:tr>
        <w:tc>
          <w:tcPr>
            <w:tcW w:type="dxa" w:w="4536"/>
            <w:vAlign w:val="center"/>
          </w:tcPr>
          <w:p>
            <w:pPr>
              <w:jc w:val="left"/>
            </w:pPr>
            <w:r/>
            <w:r>
              <w:rPr>
                <w:rFonts w:ascii="Calibri" w:hAnsi="Calibri"/>
                <w:color w:val="2D2D2D"/>
                <w:sz w:val="18"/>
              </w:rPr>
              <w:t>mtqAmount</w:t>
            </w:r>
          </w:p>
        </w:tc>
        <w:tc>
          <w:tcPr>
            <w:tcW w:type="dxa" w:w="4536"/>
            <w:vAlign w:val="center"/>
          </w:tcPr>
          <w:p>
            <w:pPr>
              <w:jc w:val="left"/>
            </w:pPr>
            <w:r/>
            <w:r>
              <w:rPr>
                <w:rFonts w:ascii="Calibri" w:hAnsi="Calibri"/>
                <w:color w:val="2D2D2D"/>
                <w:sz w:val="18"/>
              </w:rPr>
              <w:t>number</w:t>
            </w:r>
          </w:p>
        </w:tc>
      </w:tr>
      <w:tr>
        <w:tc>
          <w:tcPr>
            <w:tcW w:type="dxa" w:w="4536"/>
            <w:shd w:fill="F0F0F0"/>
            <w:vAlign w:val="center"/>
          </w:tcPr>
          <w:p>
            <w:pPr>
              <w:jc w:val="left"/>
            </w:pPr>
            <w:r/>
            <w:r>
              <w:rPr>
                <w:rFonts w:ascii="Calibri" w:hAnsi="Calibri"/>
                <w:color w:val="2D2D2D"/>
                <w:sz w:val="18"/>
              </w:rPr>
              <w:t>settlementState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authorizationState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complianceState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reserveReference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cryptographicHash</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validatorSignature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ledgerCommitment</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jurisdiction</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settlementChannel</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finalityStatus</w:t>
            </w:r>
          </w:p>
        </w:tc>
        <w:tc>
          <w:tcPr>
            <w:tcW w:type="dxa" w:w="4536"/>
            <w:vAlign w:val="center"/>
          </w:tcPr>
          <w:p>
            <w:pPr>
              <w:jc w:val="left"/>
            </w:pPr>
            <w:r/>
            <w:r>
              <w:rPr>
                <w:rFonts w:ascii="Calibri" w:hAnsi="Calibri"/>
                <w:color w:val="2D2D2D"/>
                <w:sz w:val="18"/>
              </w:rPr>
              <w:t>PENDING / TECHNICAL_FINAL / LEGAL_FINAL / BANKING_FINAL</w:t>
            </w:r>
          </w:p>
        </w:tc>
      </w:tr>
    </w:tbl>
    <w:p/>
    <w:p>
      <w:pPr>
        <w:pStyle w:val="Heading3"/>
      </w:pPr>
      <w:r>
        <w:t>Trace Path (6-hop)</w:t>
      </w:r>
    </w:p>
    <w:p>
      <w:pPr>
        <w:ind w:left="283"/>
        <w:shd w:fill="F5F5F5"/>
      </w:pPr>
      <w:r>
        <w:rPr>
          <w:rFonts w:ascii="Consolas" w:hAnsi="Consolas"/>
          <w:color w:val="6B6B6B"/>
          <w:sz w:val="18"/>
        </w:rPr>
        <w:t>Customer → Bank Account Transaction ID → Bank Institutional Settlement ID → MITHQAL Settlement ID → MTQ Transaction Hash → Receiving Bank Settlement ID → Beneficiary Account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SettlementRecord</w:t>
      </w:r>
      <w:r>
        <w:t xml:space="preserve">, </w:t>
      </w:r>
      <w:r>
        <w:rPr>
          <w:rFonts w:ascii="Consolas" w:hAnsi="Consolas"/>
          <w:color w:val="6B6B6B"/>
          <w:sz w:val="19"/>
        </w:rPr>
        <w:t>TRACEABILITY</w:t>
      </w:r>
    </w:p>
    <w:p>
      <w:pPr>
        <w:pBdr>
          <w:bottom w:val="single" w:sz="12" w:space="1" w:color="C59B1E"/>
        </w:pBdr>
      </w:pPr>
    </w:p>
    <w:p>
      <w:pPr>
        <w:pStyle w:val="Heading2"/>
      </w:pPr>
      <w:r>
        <w:t>§V25.0.10 — CORE VALUE PROPOSITION</w:t>
      </w:r>
    </w:p>
    <w:p>
      <w:pPr>
        <w:spacing w:before="120" w:after="120"/>
        <w:ind w:left="567" w:right="567"/>
        <w:pBdr>
          <w:left w:val="single" w:sz="24" w:space="8" w:color="C59B1E"/>
        </w:pBdr>
        <w:shd w:fill="FFFBF0"/>
      </w:pPr>
      <w:r>
        <w:rPr>
          <w:b/>
          <w:i/>
          <w:color w:val="1A365F"/>
          <w:sz w:val="22"/>
        </w:rPr>
        <w:t>**MITHQAL combines digital settlement speed with regulated-money traceability and neutral cross-border interoperability.**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Pillar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Neutrality</w:t>
            </w:r>
          </w:p>
        </w:tc>
        <w:tc>
          <w:tcPr>
            <w:tcW w:type="dxa" w:w="4536"/>
            <w:vAlign w:val="center"/>
          </w:tcPr>
          <w:p>
            <w:pPr>
              <w:jc w:val="left"/>
            </w:pPr>
            <w:r/>
            <w:r>
              <w:rPr>
                <w:rFonts w:ascii="Calibri" w:hAnsi="Calibri"/>
                <w:color w:val="2D2D2D"/>
                <w:sz w:val="18"/>
              </w:rPr>
              <w:t>Does not compete with sovereign currencies</w:t>
            </w:r>
          </w:p>
        </w:tc>
      </w:tr>
      <w:tr>
        <w:tc>
          <w:tcPr>
            <w:tcW w:type="dxa" w:w="4536"/>
            <w:shd w:fill="F0F0F0"/>
            <w:vAlign w:val="center"/>
          </w:tcPr>
          <w:p>
            <w:pPr>
              <w:jc w:val="left"/>
            </w:pPr>
            <w:r/>
            <w:r>
              <w:rPr>
                <w:rFonts w:ascii="Calibri" w:hAnsi="Calibri"/>
                <w:color w:val="2D2D2D"/>
                <w:sz w:val="18"/>
              </w:rPr>
              <w:t>Speed</w:t>
            </w:r>
          </w:p>
        </w:tc>
        <w:tc>
          <w:tcPr>
            <w:tcW w:type="dxa" w:w="4536"/>
            <w:shd w:fill="F0F0F0"/>
            <w:vAlign w:val="center"/>
          </w:tcPr>
          <w:p>
            <w:pPr>
              <w:jc w:val="left"/>
            </w:pPr>
            <w:r/>
            <w:r>
              <w:rPr>
                <w:rFonts w:ascii="Calibri" w:hAnsi="Calibri"/>
                <w:color w:val="2D2D2D"/>
                <w:sz w:val="18"/>
              </w:rPr>
              <w:t>Digital settlement with cryptographic finality</w:t>
            </w:r>
          </w:p>
        </w:tc>
      </w:tr>
      <w:tr>
        <w:tc>
          <w:tcPr>
            <w:tcW w:type="dxa" w:w="4536"/>
            <w:vAlign w:val="center"/>
          </w:tcPr>
          <w:p>
            <w:pPr>
              <w:jc w:val="left"/>
            </w:pPr>
            <w:r/>
            <w:r>
              <w:rPr>
                <w:rFonts w:ascii="Calibri" w:hAnsi="Calibri"/>
                <w:color w:val="2D2D2D"/>
                <w:sz w:val="18"/>
              </w:rPr>
              <w:t>Traceability</w:t>
            </w:r>
          </w:p>
        </w:tc>
        <w:tc>
          <w:tcPr>
            <w:tcW w:type="dxa" w:w="4536"/>
            <w:vAlign w:val="center"/>
          </w:tcPr>
          <w:p>
            <w:pPr>
              <w:jc w:val="left"/>
            </w:pPr>
            <w:r/>
            <w:r>
              <w:rPr>
                <w:rFonts w:ascii="Calibri" w:hAnsi="Calibri"/>
                <w:color w:val="2D2D2D"/>
                <w:sz w:val="18"/>
              </w:rPr>
              <w:t>Institutionally attributable, auditable, compliance-aware</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VALUE_PROPOSITION</w:t>
      </w:r>
    </w:p>
    <w:p>
      <w:pPr>
        <w:pBdr>
          <w:bottom w:val="single" w:sz="12" w:space="1" w:color="C59B1E"/>
        </w:pBdr>
      </w:pPr>
    </w:p>
    <w:p>
      <w:pPr>
        <w:pStyle w:val="Heading2"/>
      </w:pPr>
      <w:r>
        <w:t>§V25.0.11 — CORPORATE MTQ SETTLEMENT ACCOUNT</w:t>
      </w:r>
    </w:p>
    <w:p>
      <w:pPr>
        <w:pStyle w:val="Heading3"/>
      </w:pPr>
      <w:r>
        <w:t>Concept</w:t>
      </w:r>
    </w:p>
    <w:p>
      <w:r>
        <w:t>A bank-controlled institutional MTQ settlement account linked to the corporate's existing regulated banking relationship.</w:t>
      </w:r>
    </w:p>
    <w:p>
      <w:pPr>
        <w:pStyle w:val="ListBullet"/>
        <w:ind w:left="425"/>
      </w:pPr>
      <w:r>
        <w:rPr>
          <w:b/>
        </w:rPr>
        <w:t>Corporation</w:t>
      </w:r>
      <w:r>
        <w:t xml:space="preserve"> = beneficial economic holder</w:t>
      </w:r>
    </w:p>
    <w:p>
      <w:pPr>
        <w:pStyle w:val="ListBullet"/>
        <w:ind w:left="425"/>
      </w:pPr>
      <w:r>
        <w:rPr>
          <w:b/>
        </w:rPr>
        <w:t>Bank</w:t>
      </w:r>
      <w:r>
        <w:t xml:space="preserve"> = regulated access and security layer</w:t>
      </w:r>
    </w:p>
    <w:p>
      <w:pPr>
        <w:pStyle w:val="ListBullet"/>
        <w:ind w:left="425"/>
      </w:pPr>
      <w:r>
        <w:rPr>
          <w:b/>
        </w:rPr>
        <w:t>MITHQAL</w:t>
      </w:r>
      <w:r>
        <w:t xml:space="preserve"> = controls MTQ settlement protocol</w:t>
      </w:r>
    </w:p>
    <w:p>
      <w:pPr>
        <w:pStyle w:val="Heading3"/>
      </w:pPr>
      <w:r>
        <w:t>Division of Control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Bank Controls</w:t>
            </w:r>
          </w:p>
        </w:tc>
        <w:tc>
          <w:tcPr>
            <w:tcW w:type="dxa" w:w="4536"/>
            <w:shd w:fill="1A365F"/>
            <w:vAlign w:val="center"/>
          </w:tcPr>
          <w:p>
            <w:pPr>
              <w:jc w:val="left"/>
            </w:pPr>
            <w:r/>
            <w:r>
              <w:rPr>
                <w:rFonts w:ascii="Calibri" w:hAnsi="Calibri"/>
                <w:b/>
                <w:color w:val="FFFFFF"/>
                <w:sz w:val="18"/>
              </w:rPr>
              <w:t>MITHQAL Controls</w:t>
            </w:r>
          </w:p>
        </w:tc>
      </w:tr>
      <w:tr>
        <w:tc>
          <w:tcPr>
            <w:tcW w:type="dxa" w:w="4536"/>
            <w:vAlign w:val="center"/>
          </w:tcPr>
          <w:p>
            <w:pPr>
              <w:jc w:val="left"/>
            </w:pPr>
            <w:r/>
            <w:r>
              <w:rPr>
                <w:rFonts w:ascii="Calibri" w:hAnsi="Calibri"/>
                <w:color w:val="2D2D2D"/>
                <w:sz w:val="18"/>
              </w:rPr>
              <w:t>Authentication</w:t>
            </w:r>
          </w:p>
        </w:tc>
        <w:tc>
          <w:tcPr>
            <w:tcW w:type="dxa" w:w="4536"/>
            <w:vAlign w:val="center"/>
          </w:tcPr>
          <w:p>
            <w:pPr>
              <w:jc w:val="left"/>
            </w:pPr>
            <w:r/>
            <w:r>
              <w:rPr>
                <w:rFonts w:ascii="Calibri" w:hAnsi="Calibri"/>
                <w:color w:val="2D2D2D"/>
                <w:sz w:val="18"/>
              </w:rPr>
              <w:t>MTQ protocol</w:t>
            </w:r>
          </w:p>
        </w:tc>
      </w:tr>
      <w:tr>
        <w:tc>
          <w:tcPr>
            <w:tcW w:type="dxa" w:w="4536"/>
            <w:shd w:fill="F0F0F0"/>
            <w:vAlign w:val="center"/>
          </w:tcPr>
          <w:p>
            <w:pPr>
              <w:jc w:val="left"/>
            </w:pPr>
            <w:r/>
            <w:r>
              <w:rPr>
                <w:rFonts w:ascii="Calibri" w:hAnsi="Calibri"/>
                <w:color w:val="2D2D2D"/>
                <w:sz w:val="18"/>
              </w:rPr>
              <w:t>Key management (HSM/MPC)</w:t>
            </w:r>
          </w:p>
        </w:tc>
        <w:tc>
          <w:tcPr>
            <w:tcW w:type="dxa" w:w="4536"/>
            <w:shd w:fill="F0F0F0"/>
            <w:vAlign w:val="center"/>
          </w:tcPr>
          <w:p>
            <w:pPr>
              <w:jc w:val="left"/>
            </w:pPr>
            <w:r/>
            <w:r>
              <w:rPr>
                <w:rFonts w:ascii="Calibri" w:hAnsi="Calibri"/>
                <w:color w:val="2D2D2D"/>
                <w:sz w:val="18"/>
              </w:rPr>
              <w:t>Issuance rules</w:t>
            </w:r>
          </w:p>
        </w:tc>
      </w:tr>
      <w:tr>
        <w:tc>
          <w:tcPr>
            <w:tcW w:type="dxa" w:w="4536"/>
            <w:vAlign w:val="center"/>
          </w:tcPr>
          <w:p>
            <w:pPr>
              <w:jc w:val="left"/>
            </w:pPr>
            <w:r/>
            <w:r>
              <w:rPr>
                <w:rFonts w:ascii="Calibri" w:hAnsi="Calibri"/>
                <w:color w:val="2D2D2D"/>
                <w:sz w:val="18"/>
              </w:rPr>
              <w:t>Corporate signatories</w:t>
            </w:r>
          </w:p>
        </w:tc>
        <w:tc>
          <w:tcPr>
            <w:tcW w:type="dxa" w:w="4536"/>
            <w:vAlign w:val="center"/>
          </w:tcPr>
          <w:p>
            <w:pPr>
              <w:jc w:val="left"/>
            </w:pPr>
            <w:r/>
            <w:r>
              <w:rPr>
                <w:rFonts w:ascii="Calibri" w:hAnsi="Calibri"/>
                <w:color w:val="2D2D2D"/>
                <w:sz w:val="18"/>
              </w:rPr>
              <w:t>Supply</w:t>
            </w:r>
          </w:p>
        </w:tc>
      </w:tr>
      <w:tr>
        <w:tc>
          <w:tcPr>
            <w:tcW w:type="dxa" w:w="4536"/>
            <w:shd w:fill="F0F0F0"/>
            <w:vAlign w:val="center"/>
          </w:tcPr>
          <w:p>
            <w:pPr>
              <w:jc w:val="left"/>
            </w:pPr>
            <w:r/>
            <w:r>
              <w:rPr>
                <w:rFonts w:ascii="Calibri" w:hAnsi="Calibri"/>
                <w:color w:val="2D2D2D"/>
                <w:sz w:val="18"/>
              </w:rPr>
              <w:t>Transaction policy</w:t>
            </w:r>
          </w:p>
        </w:tc>
        <w:tc>
          <w:tcPr>
            <w:tcW w:type="dxa" w:w="4536"/>
            <w:shd w:fill="F0F0F0"/>
            <w:vAlign w:val="center"/>
          </w:tcPr>
          <w:p>
            <w:pPr>
              <w:jc w:val="left"/>
            </w:pPr>
            <w:r/>
            <w:r>
              <w:rPr>
                <w:rFonts w:ascii="Calibri" w:hAnsi="Calibri"/>
                <w:color w:val="2D2D2D"/>
                <w:sz w:val="18"/>
              </w:rPr>
              <w:t>Settlement state</w:t>
            </w:r>
          </w:p>
        </w:tc>
      </w:tr>
      <w:tr>
        <w:tc>
          <w:tcPr>
            <w:tcW w:type="dxa" w:w="4536"/>
            <w:vAlign w:val="center"/>
          </w:tcPr>
          <w:p>
            <w:pPr>
              <w:jc w:val="left"/>
            </w:pPr>
            <w:r/>
            <w:r>
              <w:rPr>
                <w:rFonts w:ascii="Calibri" w:hAnsi="Calibri"/>
                <w:color w:val="2D2D2D"/>
                <w:sz w:val="18"/>
              </w:rPr>
              <w:t>Cybersecurity</w:t>
            </w:r>
          </w:p>
        </w:tc>
        <w:tc>
          <w:tcPr>
            <w:tcW w:type="dxa" w:w="4536"/>
            <w:vAlign w:val="center"/>
          </w:tcPr>
          <w:p>
            <w:pPr>
              <w:jc w:val="left"/>
            </w:pPr>
            <w:r/>
            <w:r>
              <w:rPr>
                <w:rFonts w:ascii="Calibri" w:hAnsi="Calibri"/>
                <w:color w:val="2D2D2D"/>
                <w:sz w:val="18"/>
              </w:rPr>
              <w:t>Institutional permissions</w:t>
            </w:r>
          </w:p>
        </w:tc>
      </w:tr>
      <w:tr>
        <w:tc>
          <w:tcPr>
            <w:tcW w:type="dxa" w:w="4536"/>
            <w:shd w:fill="F0F0F0"/>
            <w:vAlign w:val="center"/>
          </w:tcPr>
          <w:p>
            <w:pPr>
              <w:jc w:val="left"/>
            </w:pPr>
            <w:r/>
            <w:r>
              <w:rPr>
                <w:rFonts w:ascii="Calibri" w:hAnsi="Calibri"/>
                <w:color w:val="2D2D2D"/>
                <w:sz w:val="18"/>
              </w:rPr>
              <w:t>Fraud controls</w:t>
            </w:r>
          </w:p>
        </w:tc>
        <w:tc>
          <w:tcPr>
            <w:tcW w:type="dxa" w:w="4536"/>
            <w:shd w:fill="F0F0F0"/>
            <w:vAlign w:val="center"/>
          </w:tcPr>
          <w:p>
            <w:pPr>
              <w:jc w:val="left"/>
            </w:pPr>
            <w:r/>
            <w:r>
              <w:rPr>
                <w:rFonts w:ascii="Calibri" w:hAnsi="Calibri"/>
                <w:color w:val="2D2D2D"/>
                <w:sz w:val="18"/>
              </w:rPr>
              <w:t>Reserve/monetary integrity</w:t>
            </w:r>
          </w:p>
        </w:tc>
      </w:tr>
      <w:tr>
        <w:tc>
          <w:tcPr>
            <w:tcW w:type="dxa" w:w="4536"/>
            <w:vAlign w:val="center"/>
          </w:tcPr>
          <w:p>
            <w:pPr>
              <w:jc w:val="left"/>
            </w:pPr>
            <w:r/>
            <w:r>
              <w:rPr>
                <w:rFonts w:ascii="Calibri" w:hAnsi="Calibri"/>
                <w:color w:val="2D2D2D"/>
                <w:sz w:val="18"/>
              </w:rPr>
              <w:t>Account recovery</w:t>
            </w:r>
          </w:p>
        </w:tc>
        <w:tc>
          <w:tcPr>
            <w:tcW w:type="dxa" w:w="4536"/>
            <w:vAlign w:val="center"/>
          </w:tcPr>
          <w:p>
            <w:pPr>
              <w:jc w:val="left"/>
            </w:pPr>
            <w:r/>
            <w:r>
              <w:rPr>
                <w:rFonts w:ascii="Calibri" w:hAnsi="Calibri"/>
                <w:color w:val="2D2D2D"/>
                <w:sz w:val="18"/>
              </w:rPr>
            </w:r>
          </w:p>
        </w:tc>
      </w:tr>
      <w:tr>
        <w:tc>
          <w:tcPr>
            <w:tcW w:type="dxa" w:w="4536"/>
            <w:shd w:fill="F0F0F0"/>
            <w:vAlign w:val="center"/>
          </w:tcPr>
          <w:p>
            <w:pPr>
              <w:jc w:val="left"/>
            </w:pPr>
            <w:r/>
            <w:r>
              <w:rPr>
                <w:rFonts w:ascii="Calibri" w:hAnsi="Calibri"/>
                <w:color w:val="2D2D2D"/>
                <w:sz w:val="18"/>
              </w:rPr>
              <w:t>Segregation of duties</w:t>
            </w:r>
          </w:p>
        </w:tc>
        <w:tc>
          <w:tcPr>
            <w:tcW w:type="dxa" w:w="4536"/>
            <w:shd w:fill="F0F0F0"/>
            <w:vAlign w:val="center"/>
          </w:tcPr>
          <w:p>
            <w:pPr>
              <w:jc w:val="left"/>
            </w:pPr>
            <w:r/>
            <w:r>
              <w:rPr>
                <w:rFonts w:ascii="Calibri" w:hAnsi="Calibri"/>
                <w:color w:val="2D2D2D"/>
                <w:sz w:val="18"/>
              </w:rPr>
            </w:r>
          </w:p>
        </w:tc>
      </w:tr>
    </w:tbl>
    <w:p/>
    <w:p>
      <w:pPr>
        <w:pStyle w:val="Heading3"/>
      </w:pPr>
      <w:r>
        <w:t>Corporate Treasury Dashboard (UX)</w:t>
      </w:r>
    </w:p>
    <w:p>
      <w:r>
        <w:t xml:space="preserve">The blockchain should be </w:t>
      </w:r>
      <w:r>
        <w:rPr>
          <w:b/>
        </w:rPr>
        <w:t>infrastructure</w:t>
      </w:r>
      <w:r>
        <w:t>, not the customer experience. The corporate sees: JPY account, USD account, MTQ settlement account, with actions: [Make International Payment] [Receive Settlement] [Convert/Redeem] [View Settlement] [Reconcile].</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createCorporateSettlementAccount()</w:t>
      </w:r>
      <w:r>
        <w:t xml:space="preserve">, </w:t>
      </w:r>
      <w:r>
        <w:rPr>
          <w:rFonts w:ascii="Consolas" w:hAnsi="Consolas"/>
          <w:color w:val="6B6B6B"/>
          <w:sz w:val="19"/>
        </w:rPr>
        <w:t>CorporateSettlementAccount</w:t>
      </w:r>
      <w:r>
        <w:t xml:space="preserve">, </w:t>
      </w:r>
      <w:r>
        <w:rPr>
          <w:rFonts w:ascii="Consolas" w:hAnsi="Consolas"/>
          <w:color w:val="6B6B6B"/>
          <w:sz w:val="19"/>
        </w:rPr>
        <w:t>DIVISION_OF_CONTROL</w:t>
      </w:r>
    </w:p>
    <w:p>
      <w:pPr>
        <w:pBdr>
          <w:bottom w:val="single" w:sz="12" w:space="1" w:color="C59B1E"/>
        </w:pBdr>
      </w:pPr>
    </w:p>
    <w:p>
      <w:pPr>
        <w:pStyle w:val="Heading2"/>
      </w:pPr>
      <w:r>
        <w:t>§V25.0.12 — BANK-CONTROLLED WALLET ARCHITECTURE</w:t>
      </w:r>
    </w:p>
    <w:p>
      <w:pPr>
        <w:pStyle w:val="Heading3"/>
      </w:pPr>
      <w:r>
        <w:t>Hybrid Model</w:t>
      </w:r>
    </w:p>
    <w:p>
      <w:pPr>
        <w:ind w:left="283"/>
        <w:shd w:fill="F5F5F5"/>
      </w:pPr>
      <w:r>
        <w:rPr>
          <w:rFonts w:ascii="Consolas" w:hAnsi="Consolas"/>
          <w:color w:val="6B6B6B"/>
          <w:sz w:val="18"/>
        </w:rPr>
        <w:t>Bank A MTQ Institutional Wallet (on-chain)</w:t>
        <w:br/>
        <w:t xml:space="preserve">    ├── Corporate X subaccount</w:t>
        <w:br/>
        <w:t xml:space="preserve">    ├── Corporate Y subaccount</w:t>
        <w:br/>
        <w:t xml:space="preserve">    └── Corporate Z subaccount</w:t>
      </w:r>
    </w:p>
    <w:p>
      <w:pPr>
        <w:pStyle w:val="ListBullet"/>
        <w:ind w:left="425"/>
      </w:pPr>
      <w:r>
        <w:rPr>
          <w:b/>
        </w:rPr>
        <w:t>On-chain:</w:t>
      </w:r>
      <w:r>
        <w:t xml:space="preserve"> Single institutional wallet (bank-controlled)</w:t>
      </w:r>
    </w:p>
    <w:p>
      <w:pPr>
        <w:pStyle w:val="ListBullet"/>
        <w:ind w:left="425"/>
      </w:pPr>
      <w:r>
        <w:rPr>
          <w:b/>
        </w:rPr>
        <w:t>Internal:</w:t>
      </w:r>
      <w:r>
        <w:t xml:space="preserve"> Bank subaccounts (corporate-level)</w:t>
      </w:r>
    </w:p>
    <w:p>
      <w:pPr>
        <w:pStyle w:val="Heading3"/>
      </w:pPr>
      <w:r>
        <w:t>Bank Attestation</w:t>
      </w:r>
    </w:p>
    <w:p>
      <w:r>
        <w:t>Banks provide cryptographically signed attestations of wallet balance vs sum of subaccounts. ZK proofs can verify sufficient backing without revealing individual balances.</w:t>
      </w:r>
    </w:p>
    <w:p>
      <w:pPr>
        <w:pStyle w:val="Heading3"/>
      </w:pPr>
      <w:r>
        <w:t>Bank Cybersecurity</w:t>
      </w:r>
    </w:p>
    <w:p>
      <w:r>
        <w:t>Bank controls: authentication, HSM/MPC, signatories, MFA, fraud detection, key recovery.</w:t>
      </w:r>
    </w:p>
    <w:p>
      <w:r>
        <w:t>MITHQAL provides: cryptographic settlement, policy enforcement, issuance controls, ledger integrity.</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createBankInstitutionalWallet()</w:t>
      </w:r>
      <w:r>
        <w:t xml:space="preserve">, </w:t>
      </w:r>
      <w:r>
        <w:rPr>
          <w:rFonts w:ascii="Consolas" w:hAnsi="Consolas"/>
          <w:color w:val="6B6B6B"/>
          <w:sz w:val="19"/>
        </w:rPr>
        <w:t>addCorporateSubaccount()</w:t>
      </w:r>
      <w:r>
        <w:t xml:space="preserve">, </w:t>
      </w:r>
      <w:r>
        <w:rPr>
          <w:rFonts w:ascii="Consolas" w:hAnsi="Consolas"/>
          <w:color w:val="6B6B6B"/>
          <w:sz w:val="19"/>
        </w:rPr>
        <w:t>BankAttestation</w:t>
      </w:r>
    </w:p>
    <w:p>
      <w:pPr>
        <w:pBdr>
          <w:bottom w:val="single" w:sz="12" w:space="1" w:color="C59B1E"/>
        </w:pBdr>
      </w:pPr>
    </w:p>
    <w:p>
      <w:pPr>
        <w:pStyle w:val="Heading2"/>
      </w:pPr>
      <w:r>
        <w:t>§V25.0.13 — TRADING LANGUAGE REDEFINITION</w:t>
      </w:r>
    </w:p>
    <w:p>
      <w:pPr>
        <w:pStyle w:val="Heading3"/>
      </w:pPr>
      <w:r>
        <w:t>Permitted</w:t>
      </w:r>
    </w:p>
    <w:p>
      <w:r>
        <w:t>Institutional reserve acquisition/rebalancing necessary to maintain the constitutional reserve.</w:t>
      </w:r>
    </w:p>
    <w:p>
      <w:pPr>
        <w:pStyle w:val="Heading3"/>
      </w:pPr>
      <w:r>
        <w:t>Prohibited</w:t>
      </w:r>
    </w:p>
    <w:p>
      <w:r>
        <w:t>Speculative trading, return maximization, market making, order books, brokerage, exchange operation, portfolio management for customers, derivatives, leverage, yield farming.</w:t>
      </w:r>
    </w:p>
    <w:p>
      <w:pPr>
        <w:pStyle w:val="Heading3"/>
      </w:pPr>
      <w:r>
        <w:t>Constitutional Rule</w:t>
      </w:r>
    </w:p>
    <w:p>
      <w:pPr>
        <w:spacing w:before="120" w:after="120"/>
        <w:ind w:left="567" w:right="567"/>
        <w:pBdr>
          <w:left w:val="single" w:sz="24" w:space="8" w:color="C59B1E"/>
        </w:pBdr>
        <w:shd w:fill="FFFBF0"/>
      </w:pPr>
      <w:r>
        <w:rPr>
          <w:b/>
          <w:i/>
          <w:color w:val="1A365F"/>
          <w:sz w:val="22"/>
        </w:rPr>
        <w:t>**Reserve management exists to preserve settlement integrity, not to generate speculative profit.**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TRADING_LANGUAGE</w:t>
      </w:r>
    </w:p>
    <w:p>
      <w:pPr>
        <w:pBdr>
          <w:bottom w:val="single" w:sz="12" w:space="1" w:color="C59B1E"/>
        </w:pBdr>
      </w:pPr>
    </w:p>
    <w:p>
      <w:pPr>
        <w:pStyle w:val="Heading2"/>
      </w:pPr>
      <w:r>
        <w:t>§V25.0.14 — REDEMPTION FLOW (Institutional)</w:t>
      </w:r>
    </w:p>
    <w:p>
      <w:pPr>
        <w:pStyle w:val="Heading3"/>
      </w:pPr>
      <w:r>
        <w:t>Canonical Flow</w:t>
      </w:r>
    </w:p>
    <w:p>
      <w:pPr>
        <w:ind w:left="283"/>
        <w:shd w:fill="F5F5F5"/>
      </w:pPr>
      <w:r>
        <w:rPr>
          <w:rFonts w:ascii="Consolas" w:hAnsi="Consolas"/>
          <w:color w:val="6B6B6B"/>
          <w:sz w:val="18"/>
        </w:rPr>
        <w:t>Receiving Bank → Redemption Instruction → Institutional Validation → MTQ Burn → Reserve Claim Calculation → Reserve Release → Approved Banking/Settlement Rail → Destination Institution</w:t>
      </w:r>
    </w:p>
    <w:p>
      <w:pPr>
        <w:pStyle w:val="Heading3"/>
      </w:pPr>
      <w:r>
        <w:t>No Unrestricted Public Redemption</w:t>
      </w:r>
    </w:p>
    <w:p>
      <w:r>
        <w:t>Redemption must go through authorized institutional channels, respect jurisdictional rules, enforce banking-rail requirements, and maintain atomicity (burn + release are atomic).</w:t>
      </w:r>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processRedemption()</w:t>
      </w:r>
    </w:p>
    <w:p>
      <w:pPr>
        <w:pBdr>
          <w:bottom w:val="single" w:sz="12" w:space="1" w:color="C59B1E"/>
        </w:pBdr>
      </w:pPr>
    </w:p>
    <w:p>
      <w:pPr>
        <w:pStyle w:val="Heading2"/>
      </w:pPr>
      <w:r>
        <w:t>§V25.0.15 — JURISDICTIONAL REGULATORY PERIMETER ENGINE</w:t>
      </w:r>
    </w:p>
    <w:p>
      <w:pPr>
        <w:pStyle w:val="Heading3"/>
      </w:pPr>
      <w:r>
        <w:t>19 Classifications Per Jurisdiction</w:t>
      </w:r>
    </w:p>
    <w:p>
      <w:r>
        <w:t>MTQ legal status, issuance, settlement, custody, redemption, payment services, stablecoin, ART/RWA, securities, commodity, financial market, AML/CFT, sanctions, data privacy, cross-border transfer, capital controls, tax/accounting, licensing, institutional eligibility.</w:t>
      </w:r>
    </w:p>
    <w:p>
      <w:pPr>
        <w:pStyle w:val="Heading3"/>
      </w:pPr>
      <w:r>
        <w:t>Status Values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Status</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ALLOWED</w:t>
            </w:r>
          </w:p>
        </w:tc>
        <w:tc>
          <w:tcPr>
            <w:tcW w:type="dxa" w:w="4536"/>
            <w:vAlign w:val="center"/>
          </w:tcPr>
          <w:p>
            <w:pPr>
              <w:jc w:val="left"/>
            </w:pPr>
            <w:r/>
            <w:r>
              <w:rPr>
                <w:rFonts w:ascii="Calibri" w:hAnsi="Calibri"/>
                <w:color w:val="2D2D2D"/>
                <w:sz w:val="18"/>
              </w:rPr>
              <w:t>Proceed</w:t>
            </w:r>
          </w:p>
        </w:tc>
      </w:tr>
      <w:tr>
        <w:tc>
          <w:tcPr>
            <w:tcW w:type="dxa" w:w="4536"/>
            <w:shd w:fill="F0F0F0"/>
            <w:vAlign w:val="center"/>
          </w:tcPr>
          <w:p>
            <w:pPr>
              <w:jc w:val="left"/>
            </w:pPr>
            <w:r/>
            <w:r>
              <w:rPr>
                <w:rFonts w:ascii="Calibri" w:hAnsi="Calibri"/>
                <w:color w:val="2D2D2D"/>
                <w:sz w:val="18"/>
              </w:rPr>
              <w:t>CONDITIONAL</w:t>
            </w:r>
          </w:p>
        </w:tc>
        <w:tc>
          <w:tcPr>
            <w:tcW w:type="dxa" w:w="4536"/>
            <w:shd w:fill="F0F0F0"/>
            <w:vAlign w:val="center"/>
          </w:tcPr>
          <w:p>
            <w:pPr>
              <w:jc w:val="left"/>
            </w:pPr>
            <w:r/>
            <w:r>
              <w:rPr>
                <w:rFonts w:ascii="Calibri" w:hAnsi="Calibri"/>
                <w:color w:val="2D2D2D"/>
                <w:sz w:val="18"/>
              </w:rPr>
              <w:t>Require additional review</w:t>
            </w:r>
          </w:p>
        </w:tc>
      </w:tr>
      <w:tr>
        <w:tc>
          <w:tcPr>
            <w:tcW w:type="dxa" w:w="4536"/>
            <w:vAlign w:val="center"/>
          </w:tcPr>
          <w:p>
            <w:pPr>
              <w:jc w:val="left"/>
            </w:pPr>
            <w:r/>
            <w:r>
              <w:rPr>
                <w:rFonts w:ascii="Calibri" w:hAnsi="Calibri"/>
                <w:color w:val="2D2D2D"/>
                <w:sz w:val="18"/>
              </w:rPr>
              <w:t>RESTRICTED</w:t>
            </w:r>
          </w:p>
        </w:tc>
        <w:tc>
          <w:tcPr>
            <w:tcW w:type="dxa" w:w="4536"/>
            <w:vAlign w:val="center"/>
          </w:tcPr>
          <w:p>
            <w:pPr>
              <w:jc w:val="left"/>
            </w:pPr>
            <w:r/>
            <w:r>
              <w:rPr>
                <w:rFonts w:ascii="Calibri" w:hAnsi="Calibri"/>
                <w:color w:val="2D2D2D"/>
                <w:sz w:val="18"/>
              </w:rPr>
              <w:t>Apply restrictions</w:t>
            </w:r>
          </w:p>
        </w:tc>
      </w:tr>
      <w:tr>
        <w:tc>
          <w:tcPr>
            <w:tcW w:type="dxa" w:w="4536"/>
            <w:shd w:fill="F0F0F0"/>
            <w:vAlign w:val="center"/>
          </w:tcPr>
          <w:p>
            <w:pPr>
              <w:jc w:val="left"/>
            </w:pPr>
            <w:r/>
            <w:r>
              <w:rPr>
                <w:rFonts w:ascii="Calibri" w:hAnsi="Calibri"/>
                <w:color w:val="2D2D2D"/>
                <w:sz w:val="18"/>
              </w:rPr>
              <w:t>PROHIBITED</w:t>
            </w:r>
          </w:p>
        </w:tc>
        <w:tc>
          <w:tcPr>
            <w:tcW w:type="dxa" w:w="4536"/>
            <w:shd w:fill="F0F0F0"/>
            <w:vAlign w:val="center"/>
          </w:tcPr>
          <w:p>
            <w:pPr>
              <w:jc w:val="left"/>
            </w:pPr>
            <w:r/>
            <w:r>
              <w:rPr>
                <w:rFonts w:ascii="Calibri" w:hAnsi="Calibri"/>
                <w:color w:val="2D2D2D"/>
                <w:sz w:val="18"/>
              </w:rPr>
              <w:t>BLOCK</w:t>
            </w:r>
          </w:p>
        </w:tc>
      </w:tr>
      <w:tr>
        <w:tc>
          <w:tcPr>
            <w:tcW w:type="dxa" w:w="4536"/>
            <w:vAlign w:val="center"/>
          </w:tcPr>
          <w:p>
            <w:pPr>
              <w:jc w:val="left"/>
            </w:pPr>
            <w:r/>
            <w:r>
              <w:rPr>
                <w:rFonts w:ascii="Calibri" w:hAnsi="Calibri"/>
                <w:color w:val="2D2D2D"/>
                <w:sz w:val="18"/>
              </w:rPr>
              <w:t>UNKNOWN</w:t>
            </w:r>
          </w:p>
        </w:tc>
        <w:tc>
          <w:tcPr>
            <w:tcW w:type="dxa" w:w="4536"/>
            <w:vAlign w:val="center"/>
          </w:tcPr>
          <w:p>
            <w:pPr>
              <w:jc w:val="left"/>
            </w:pPr>
            <w:r/>
            <w:r>
              <w:rPr>
                <w:rFonts w:ascii="Calibri" w:hAnsi="Calibri"/>
                <w:color w:val="2D2D2D"/>
                <w:sz w:val="18"/>
              </w:rPr>
              <w:t>**CONSERVATIVE BLOCK**</w:t>
            </w:r>
          </w:p>
        </w:tc>
      </w:tr>
    </w:tbl>
    <w:p/>
    <w:p>
      <w:pPr>
        <w:pStyle w:val="Heading3"/>
      </w:pPr>
      <w:r>
        <w:t>Critical Rule</w:t>
      </w:r>
    </w:p>
    <w:p>
      <w:pPr>
        <w:spacing w:before="120" w:after="120"/>
        <w:ind w:left="567" w:right="567"/>
        <w:pBdr>
          <w:left w:val="single" w:sz="24" w:space="8" w:color="C59B1E"/>
        </w:pBdr>
        <w:shd w:fill="FFFBF0"/>
      </w:pPr>
      <w:r>
        <w:rPr>
          <w:b/>
          <w:i/>
          <w:color w:val="1A365F"/>
          <w:sz w:val="22"/>
        </w:rPr>
        <w:t>**UNKNOWN = CONSERVATIVE BLOCK. Never infer legal permission from MITHQAL's internal label.**</w:t>
      </w:r>
    </w:p>
    <w:p>
      <w:pPr>
        <w:pStyle w:val="Heading3"/>
      </w:pPr>
      <w:r>
        <w:t>Current Jurisdiction Registry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Jurisdiction</w:t>
            </w:r>
          </w:p>
        </w:tc>
        <w:tc>
          <w:tcPr>
            <w:tcW w:type="dxa" w:w="2268"/>
            <w:shd w:fill="1A365F"/>
            <w:vAlign w:val="center"/>
          </w:tcPr>
          <w:p>
            <w:pPr>
              <w:jc w:val="left"/>
            </w:pPr>
            <w:r/>
            <w:r>
              <w:rPr>
                <w:rFonts w:ascii="Calibri" w:hAnsi="Calibri"/>
                <w:b/>
                <w:color w:val="FFFFFF"/>
                <w:sz w:val="18"/>
              </w:rPr>
              <w:t>MTQ Legal</w:t>
            </w:r>
          </w:p>
        </w:tc>
        <w:tc>
          <w:tcPr>
            <w:tcW w:type="dxa" w:w="2268"/>
            <w:shd w:fill="1A365F"/>
            <w:vAlign w:val="center"/>
          </w:tcPr>
          <w:p>
            <w:pPr>
              <w:jc w:val="left"/>
            </w:pPr>
            <w:r/>
            <w:r>
              <w:rPr>
                <w:rFonts w:ascii="Calibri" w:hAnsi="Calibri"/>
                <w:b/>
                <w:color w:val="FFFFFF"/>
                <w:sz w:val="18"/>
              </w:rPr>
              <w:t>Settlement</w:t>
            </w:r>
          </w:p>
        </w:tc>
        <w:tc>
          <w:tcPr>
            <w:tcW w:type="dxa" w:w="2268"/>
            <w:shd w:fill="1A365F"/>
            <w:vAlign w:val="center"/>
          </w:tcPr>
          <w:p>
            <w:pPr>
              <w:jc w:val="left"/>
            </w:pPr>
            <w:r/>
            <w:r>
              <w:rPr>
                <w:rFonts w:ascii="Calibri" w:hAnsi="Calibri"/>
                <w:b/>
                <w:color w:val="FFFFFF"/>
                <w:sz w:val="18"/>
              </w:rPr>
              <w:t>Geo-Fenced</w:t>
            </w:r>
          </w:p>
        </w:tc>
      </w:tr>
      <w:tr>
        <w:tc>
          <w:tcPr>
            <w:tcW w:type="dxa" w:w="2268"/>
            <w:vAlign w:val="center"/>
          </w:tcPr>
          <w:p>
            <w:pPr>
              <w:jc w:val="left"/>
            </w:pPr>
            <w:r/>
            <w:r>
              <w:rPr>
                <w:rFonts w:ascii="Calibri" w:hAnsi="Calibri"/>
                <w:color w:val="2D2D2D"/>
                <w:sz w:val="18"/>
              </w:rPr>
              <w:t>US</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EU</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AE</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SG</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JP</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GB</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HK</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CN</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**YES**</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JURISDICTION_REGISTRY</w:t>
      </w:r>
      <w:r>
        <w:t xml:space="preserve">, </w:t>
      </w:r>
      <w:r>
        <w:rPr>
          <w:rFonts w:ascii="Consolas" w:hAnsi="Consolas"/>
          <w:color w:val="6B6B6B"/>
          <w:sz w:val="19"/>
        </w:rPr>
        <w:t>JurisdictionClassification</w:t>
      </w:r>
    </w:p>
    <w:p>
      <w:pPr>
        <w:pBdr>
          <w:bottom w:val="single" w:sz="12" w:space="1" w:color="C59B1E"/>
        </w:pBdr>
      </w:pPr>
    </w:p>
    <w:p>
      <w:pPr>
        <w:pStyle w:val="Heading2"/>
      </w:pPr>
      <w:r>
        <w:t>§V25.0.16 — JURISDICTIONAL GEO-FENCING</w:t>
      </w:r>
    </w:p>
    <w:p>
      <w:pPr>
        <w:pStyle w:val="Heading3"/>
      </w:pPr>
      <w:r>
        <w:t>Fail-Closed Philosophy</w:t>
      </w:r>
    </w:p>
    <w:p>
      <w:r>
        <w:t>Keep and strengthen the existing China geo-fence. Implement the same approach for ANY jurisdiction where MTQ issuance, settlement, or crypto activity is prohibited.</w:t>
      </w:r>
    </w:p>
    <w:p>
      <w:pPr>
        <w:pStyle w:val="Heading3"/>
      </w:pPr>
      <w:r>
        <w:t>Prohibited Circumvention</w:t>
      </w:r>
    </w:p>
    <w:p>
      <w:r>
        <w:t>VPN circumvention ❌ | Alternate routing ❌ | Hidden interfaces ❌ | Indirect access designed to evade law ❌</w:t>
      </w:r>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isGeoFenced()</w:t>
      </w:r>
    </w:p>
    <w:p>
      <w:pPr>
        <w:pBdr>
          <w:bottom w:val="single" w:sz="12" w:space="1" w:color="C59B1E"/>
        </w:pBdr>
      </w:pPr>
    </w:p>
    <w:p>
      <w:pPr>
        <w:pStyle w:val="Heading2"/>
      </w:pPr>
      <w:r>
        <w:t>§V25.0.17 — REGULATED ENTRY/EXIT RAILS</w:t>
      </w:r>
    </w:p>
    <w:p>
      <w:r>
        <w:t xml:space="preserve">MITHQAL should </w:t>
      </w:r>
      <w:r>
        <w:rPr>
          <w:b/>
        </w:rPr>
        <w:t>NOT</w:t>
      </w:r>
      <w:r>
        <w:t xml:space="preserve"> become the global FX exchange. Create explicit interfaces for:</w:t>
      </w:r>
    </w:p>
    <w:p>
      <w:pPr>
        <w:pStyle w:val="ListBullet"/>
        <w:ind w:left="425"/>
      </w:pPr>
      <w:r>
        <w:t>Regulated bank conversion</w:t>
      </w:r>
    </w:p>
    <w:p>
      <w:pPr>
        <w:pStyle w:val="ListBullet"/>
        <w:ind w:left="425"/>
      </w:pPr>
      <w:r>
        <w:t>Central-bank settlement balances</w:t>
      </w:r>
    </w:p>
    <w:p>
      <w:pPr>
        <w:pStyle w:val="ListBullet"/>
        <w:ind w:left="425"/>
      </w:pPr>
      <w:r>
        <w:t>Authorized payment rails</w:t>
      </w:r>
    </w:p>
    <w:p>
      <w:pPr>
        <w:pStyle w:val="ListBullet"/>
        <w:ind w:left="425"/>
      </w:pPr>
      <w:r>
        <w:t>Approved CBDC systems</w:t>
      </w:r>
    </w:p>
    <w:p>
      <w:pPr>
        <w:pStyle w:val="ListBullet"/>
        <w:ind w:left="425"/>
      </w:pPr>
      <w:r>
        <w:t>Approved tokenized cash equivalents</w:t>
      </w:r>
    </w:p>
    <w:p>
      <w:r>
        <w:rPr>
          <w:b/>
        </w:rPr>
        <w:t>Principle:</w:t>
      </w:r>
      <w:r>
        <w:t xml:space="preserve"> MITHQAL provides the settlement bridge; regulated institutions provide local monetary conversion.</w:t>
      </w:r>
    </w:p>
    <w:p>
      <w:pPr>
        <w:pBdr>
          <w:bottom w:val="single" w:sz="12" w:space="1" w:color="C59B1E"/>
        </w:pBdr>
      </w:pPr>
    </w:p>
    <w:p>
      <w:pPr>
        <w:pStyle w:val="Heading2"/>
      </w:pPr>
      <w:r>
        <w:t>§V25.0.18 — PRODUCT / USER MODEL</w:t>
      </w:r>
    </w:p>
    <w:p>
      <w:pPr>
        <w:pStyle w:val="Heading3"/>
      </w:pPr>
      <w:r>
        <w:t>New Terminology (Replaces v24.2)</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v24.2 (Retired)</w:t>
            </w:r>
          </w:p>
        </w:tc>
        <w:tc>
          <w:tcPr>
            <w:tcW w:type="dxa" w:w="4536"/>
            <w:shd w:fill="1A365F"/>
            <w:vAlign w:val="center"/>
          </w:tcPr>
          <w:p>
            <w:pPr>
              <w:jc w:val="left"/>
            </w:pPr>
            <w:r/>
            <w:r>
              <w:rPr>
                <w:rFonts w:ascii="Calibri" w:hAnsi="Calibri"/>
                <w:b/>
                <w:color w:val="FFFFFF"/>
                <w:sz w:val="18"/>
              </w:rPr>
              <w:t>v25.0 (Canonical)</w:t>
            </w:r>
          </w:p>
        </w:tc>
      </w:tr>
      <w:tr>
        <w:tc>
          <w:tcPr>
            <w:tcW w:type="dxa" w:w="4536"/>
            <w:vAlign w:val="center"/>
          </w:tcPr>
          <w:p>
            <w:pPr>
              <w:jc w:val="left"/>
            </w:pPr>
            <w:r/>
            <w:r>
              <w:rPr>
                <w:rFonts w:ascii="Calibri" w:hAnsi="Calibri"/>
                <w:color w:val="2D2D2D"/>
                <w:sz w:val="18"/>
              </w:rPr>
              <w:t>Participant</w:t>
            </w:r>
          </w:p>
        </w:tc>
        <w:tc>
          <w:tcPr>
            <w:tcW w:type="dxa" w:w="4536"/>
            <w:vAlign w:val="center"/>
          </w:tcPr>
          <w:p>
            <w:pPr>
              <w:jc w:val="left"/>
            </w:pPr>
            <w:r/>
            <w:r>
              <w:rPr>
                <w:rFonts w:ascii="Calibri" w:hAnsi="Calibri"/>
                <w:color w:val="2D2D2D"/>
                <w:sz w:val="18"/>
              </w:rPr>
              <w:t>Participating institution</w:t>
            </w:r>
          </w:p>
        </w:tc>
      </w:tr>
      <w:tr>
        <w:tc>
          <w:tcPr>
            <w:tcW w:type="dxa" w:w="4536"/>
            <w:shd w:fill="F0F0F0"/>
            <w:vAlign w:val="center"/>
          </w:tcPr>
          <w:p>
            <w:pPr>
              <w:jc w:val="left"/>
            </w:pPr>
            <w:r/>
            <w:r>
              <w:rPr>
                <w:rFonts w:ascii="Calibri" w:hAnsi="Calibri"/>
                <w:color w:val="2D2D2D"/>
                <w:sz w:val="18"/>
              </w:rPr>
              <w:t>User</w:t>
            </w:r>
          </w:p>
        </w:tc>
        <w:tc>
          <w:tcPr>
            <w:tcW w:type="dxa" w:w="4536"/>
            <w:shd w:fill="F0F0F0"/>
            <w:vAlign w:val="center"/>
          </w:tcPr>
          <w:p>
            <w:pPr>
              <w:jc w:val="left"/>
            </w:pPr>
            <w:r/>
            <w:r>
              <w:rPr>
                <w:rFonts w:ascii="Calibri" w:hAnsi="Calibri"/>
                <w:color w:val="2D2D2D"/>
                <w:sz w:val="18"/>
              </w:rPr>
              <w:t>Authorized institution</w:t>
            </w:r>
          </w:p>
        </w:tc>
      </w:tr>
      <w:tr>
        <w:tc>
          <w:tcPr>
            <w:tcW w:type="dxa" w:w="4536"/>
            <w:vAlign w:val="center"/>
          </w:tcPr>
          <w:p>
            <w:pPr>
              <w:jc w:val="left"/>
            </w:pPr>
            <w:r/>
            <w:r>
              <w:rPr>
                <w:rFonts w:ascii="Calibri" w:hAnsi="Calibri"/>
                <w:color w:val="2D2D2D"/>
                <w:sz w:val="18"/>
              </w:rPr>
              <w:t>Depositor</w:t>
            </w:r>
          </w:p>
        </w:tc>
        <w:tc>
          <w:tcPr>
            <w:tcW w:type="dxa" w:w="4536"/>
            <w:vAlign w:val="center"/>
          </w:tcPr>
          <w:p>
            <w:pPr>
              <w:jc w:val="left"/>
            </w:pPr>
            <w:r/>
            <w:r>
              <w:rPr>
                <w:rFonts w:ascii="Calibri" w:hAnsi="Calibri"/>
                <w:color w:val="2D2D2D"/>
                <w:sz w:val="18"/>
              </w:rPr>
              <w:t>Settlement institution</w:t>
            </w:r>
          </w:p>
        </w:tc>
      </w:tr>
      <w:tr>
        <w:tc>
          <w:tcPr>
            <w:tcW w:type="dxa" w:w="4536"/>
            <w:shd w:fill="F0F0F0"/>
            <w:vAlign w:val="center"/>
          </w:tcPr>
          <w:p>
            <w:pPr>
              <w:jc w:val="left"/>
            </w:pPr>
            <w:r/>
            <w:r>
              <w:rPr>
                <w:rFonts w:ascii="Calibri" w:hAnsi="Calibri"/>
                <w:color w:val="2D2D2D"/>
                <w:sz w:val="18"/>
              </w:rPr>
              <w:t>Retail user</w:t>
            </w:r>
          </w:p>
        </w:tc>
        <w:tc>
          <w:tcPr>
            <w:tcW w:type="dxa" w:w="4536"/>
            <w:shd w:fill="F0F0F0"/>
            <w:vAlign w:val="center"/>
          </w:tcPr>
          <w:p>
            <w:pPr>
              <w:jc w:val="left"/>
            </w:pPr>
            <w:r/>
            <w:r>
              <w:rPr>
                <w:rFonts w:ascii="Calibri" w:hAnsi="Calibri"/>
                <w:color w:val="2D2D2D"/>
                <w:sz w:val="18"/>
              </w:rPr>
              <w:t>(removed)</w:t>
            </w:r>
          </w:p>
        </w:tc>
      </w:tr>
      <w:tr>
        <w:tc>
          <w:tcPr>
            <w:tcW w:type="dxa" w:w="4536"/>
            <w:vAlign w:val="center"/>
          </w:tcPr>
          <w:p>
            <w:pPr>
              <w:jc w:val="left"/>
            </w:pPr>
            <w:r/>
            <w:r>
              <w:rPr>
                <w:rFonts w:ascii="Calibri" w:hAnsi="Calibri"/>
                <w:color w:val="2D2D2D"/>
                <w:sz w:val="18"/>
              </w:rPr>
              <w:t>Direct minter</w:t>
            </w:r>
          </w:p>
        </w:tc>
        <w:tc>
          <w:tcPr>
            <w:tcW w:type="dxa" w:w="4536"/>
            <w:vAlign w:val="center"/>
          </w:tcPr>
          <w:p>
            <w:pPr>
              <w:jc w:val="left"/>
            </w:pPr>
            <w:r/>
            <w:r>
              <w:rPr>
                <w:rFonts w:ascii="Calibri" w:hAnsi="Calibri"/>
                <w:color w:val="2D2D2D"/>
                <w:sz w:val="18"/>
              </w:rPr>
              <w:t>Authorized issuer/originator</w:t>
            </w:r>
          </w:p>
        </w:tc>
      </w:tr>
    </w:tbl>
    <w:p/>
    <w:p>
      <w:pPr>
        <w:pStyle w:val="Heading3"/>
      </w:pPr>
      <w:r>
        <w:t>Canonical Roles</w:t>
      </w:r>
    </w:p>
    <w:p>
      <w:r>
        <w:t>Participating institution, settlement institution, authorized issuer/originator, receiving institution, central-bank participant, institutional settlement gateway, underlying customer.</w:t>
      </w:r>
    </w:p>
    <w:p>
      <w:pPr>
        <w:pBdr>
          <w:bottom w:val="single" w:sz="12" w:space="1" w:color="C59B1E"/>
        </w:pBdr>
      </w:pPr>
    </w:p>
    <w:p>
      <w:pPr>
        <w:pStyle w:val="Heading2"/>
      </w:pPr>
      <w:r>
        <w:t>§V25.0.19 — SMART CONTRACT ARCHITECTURE (v25.0 Changes)</w:t>
      </w:r>
    </w:p>
    <w:p>
      <w:pPr>
        <w:pStyle w:val="Heading3"/>
      </w:pPr>
      <w:r>
        <w:t>9-Contract Audit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Contract</w:t>
            </w:r>
          </w:p>
        </w:tc>
        <w:tc>
          <w:tcPr>
            <w:tcW w:type="dxa" w:w="2268"/>
            <w:shd w:fill="1A365F"/>
            <w:vAlign w:val="center"/>
          </w:tcPr>
          <w:p>
            <w:pPr>
              <w:jc w:val="left"/>
            </w:pPr>
            <w:r/>
            <w:r>
              <w:rPr>
                <w:rFonts w:ascii="Calibri" w:hAnsi="Calibri"/>
                <w:b/>
                <w:color w:val="FFFFFF"/>
                <w:sz w:val="18"/>
              </w:rPr>
              <w:t>Changes</w:t>
            </w:r>
          </w:p>
        </w:tc>
        <w:tc>
          <w:tcPr>
            <w:tcW w:type="dxa" w:w="2268"/>
            <w:shd w:fill="1A365F"/>
            <w:vAlign w:val="center"/>
          </w:tcPr>
          <w:p>
            <w:pPr>
              <w:jc w:val="left"/>
            </w:pPr>
            <w:r/>
            <w:r>
              <w:rPr>
                <w:rFonts w:ascii="Calibri" w:hAnsi="Calibri"/>
                <w:b/>
                <w:color w:val="FFFFFF"/>
                <w:sz w:val="18"/>
              </w:rPr>
              <w:t>Priority</w:t>
            </w:r>
          </w:p>
        </w:tc>
        <w:tc>
          <w:tcPr>
            <w:tcW w:type="dxa" w:w="2268"/>
            <w:shd w:fill="1A365F"/>
            <w:vAlign w:val="center"/>
          </w:tcPr>
          <w:p>
            <w:pPr>
              <w:jc w:val="left"/>
            </w:pPr>
            <w:r/>
            <w:r>
              <w:rPr>
                <w:rFonts w:ascii="Calibri" w:hAnsi="Calibri"/>
                <w:b/>
                <w:color w:val="FFFFFF"/>
                <w:sz w:val="18"/>
              </w:rPr>
              <w:t>Key Finding</w:t>
            </w:r>
          </w:p>
        </w:tc>
      </w:tr>
      <w:tr>
        <w:tc>
          <w:tcPr>
            <w:tcW w:type="dxa" w:w="2268"/>
            <w:vAlign w:val="center"/>
          </w:tcPr>
          <w:p>
            <w:pPr>
              <w:jc w:val="left"/>
            </w:pPr>
            <w:r/>
            <w:r>
              <w:rPr>
                <w:rFonts w:ascii="Calibri" w:hAnsi="Calibri"/>
                <w:color w:val="2D2D2D"/>
                <w:sz w:val="18"/>
              </w:rPr>
              <w:t>MTQ.sol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Pre-mint RR assertion; institutional auth hooks</w:t>
            </w:r>
          </w:p>
        </w:tc>
      </w:tr>
      <w:tr>
        <w:tc>
          <w:tcPr>
            <w:tcW w:type="dxa" w:w="2268"/>
            <w:shd w:fill="F0F0F0"/>
            <w:vAlign w:val="center"/>
          </w:tcPr>
          <w:p>
            <w:pPr>
              <w:jc w:val="left"/>
            </w:pPr>
            <w:r/>
            <w:r>
              <w:rPr>
                <w:rFonts w:ascii="Calibri" w:hAnsi="Calibri"/>
                <w:color w:val="2D2D2D"/>
                <w:sz w:val="18"/>
              </w:rPr>
              <w:t>Mint.sol</w:t>
            </w:r>
          </w:p>
        </w:tc>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perimeter NOT enforced on-chain</w:t>
            </w:r>
          </w:p>
        </w:tc>
      </w:tr>
      <w:tr>
        <w:tc>
          <w:tcPr>
            <w:tcW w:type="dxa" w:w="2268"/>
            <w:vAlign w:val="center"/>
          </w:tcPr>
          <w:p>
            <w:pPr>
              <w:jc w:val="left"/>
            </w:pPr>
            <w:r/>
            <w:r>
              <w:rPr>
                <w:rFonts w:ascii="Calibri" w:hAnsi="Calibri"/>
                <w:color w:val="2D2D2D"/>
                <w:sz w:val="18"/>
              </w:rPr>
              <w:t>Redeem.sol</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Invariant 5 vs §14 conflict; jurisdiction gate</w:t>
            </w:r>
          </w:p>
        </w:tc>
      </w:tr>
      <w:tr>
        <w:tc>
          <w:tcPr>
            <w:tcW w:type="dxa" w:w="2268"/>
            <w:shd w:fill="F0F0F0"/>
            <w:vAlign w:val="center"/>
          </w:tcPr>
          <w:p>
            <w:pPr>
              <w:jc w:val="left"/>
            </w:pPr>
            <w:r/>
            <w:r>
              <w:rPr>
                <w:rFonts w:ascii="Calibri" w:hAnsi="Calibri"/>
                <w:color w:val="2D2D2D"/>
                <w:sz w:val="18"/>
              </w:rPr>
              <w:t>Reserve.sol</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HIGH</w:t>
            </w:r>
          </w:p>
        </w:tc>
        <w:tc>
          <w:tcPr>
            <w:tcW w:type="dxa" w:w="2268"/>
            <w:shd w:fill="F0F0F0"/>
            <w:vAlign w:val="center"/>
          </w:tcPr>
          <w:p>
            <w:pPr>
              <w:jc w:val="left"/>
            </w:pPr>
            <w:r/>
            <w:r>
              <w:rPr>
                <w:rFonts w:ascii="Calibri" w:hAnsi="Calibri"/>
                <w:color w:val="2D2D2D"/>
                <w:sz w:val="18"/>
              </w:rPr>
              <w:t>Legal segregation; jurisdiction tracking</w:t>
            </w:r>
          </w:p>
        </w:tc>
      </w:tr>
      <w:tr>
        <w:tc>
          <w:tcPr>
            <w:tcW w:type="dxa" w:w="2268"/>
            <w:vAlign w:val="center"/>
          </w:tcPr>
          <w:p>
            <w:pPr>
              <w:jc w:val="left"/>
            </w:pPr>
            <w:r/>
            <w:r>
              <w:rPr>
                <w:rFonts w:ascii="Calibri" w:hAnsi="Calibri"/>
                <w:color w:val="2D2D2D"/>
                <w:sz w:val="18"/>
              </w:rPr>
              <w:t>Governance.sol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4-arg mint selector NOT in forbidden list</w:t>
            </w:r>
          </w:p>
        </w:tc>
      </w:tr>
      <w:tr>
        <w:tc>
          <w:tcPr>
            <w:tcW w:type="dxa" w:w="2268"/>
            <w:shd w:fill="F0F0F0"/>
            <w:vAlign w:val="center"/>
          </w:tcPr>
          <w:p>
            <w:pPr>
              <w:jc w:val="left"/>
            </w:pPr>
            <w:r/>
            <w:r>
              <w:rPr>
                <w:rFonts w:ascii="Calibri" w:hAnsi="Calibri"/>
                <w:color w:val="2D2D2D"/>
                <w:sz w:val="18"/>
              </w:rPr>
              <w:t>Algorithm.sol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gate needed</w:t>
            </w:r>
          </w:p>
        </w:tc>
      </w:tr>
      <w:tr>
        <w:tc>
          <w:tcPr>
            <w:tcW w:type="dxa" w:w="2268"/>
            <w:vAlign w:val="center"/>
          </w:tcPr>
          <w:p>
            <w:pPr>
              <w:jc w:val="left"/>
            </w:pPr>
            <w:r/>
            <w:r>
              <w:rPr>
                <w:rFonts w:ascii="Calibri" w:hAnsi="Calibri"/>
                <w:color w:val="2D2D2D"/>
                <w:sz w:val="18"/>
              </w:rPr>
              <w:t>Oracle.sol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HIGH</w:t>
            </w:r>
          </w:p>
        </w:tc>
        <w:tc>
          <w:tcPr>
            <w:tcW w:type="dxa" w:w="2268"/>
            <w:vAlign w:val="center"/>
          </w:tcPr>
          <w:p>
            <w:pPr>
              <w:jc w:val="left"/>
            </w:pPr>
            <w:r/>
            <w:r>
              <w:rPr>
                <w:rFonts w:ascii="Calibri" w:hAnsi="Calibri"/>
                <w:color w:val="2D2D2D"/>
                <w:sz w:val="18"/>
              </w:rPr>
              <w:t>Multi-source consensus (§21 separated)</w:t>
            </w:r>
          </w:p>
        </w:tc>
      </w:tr>
      <w:tr>
        <w:tc>
          <w:tcPr>
            <w:tcW w:type="dxa" w:w="2268"/>
            <w:shd w:fill="F0F0F0"/>
            <w:vAlign w:val="center"/>
          </w:tcPr>
          <w:p>
            <w:pPr>
              <w:jc w:val="left"/>
            </w:pPr>
            <w:r/>
            <w:r>
              <w:rPr>
                <w:rFonts w:ascii="Calibri" w:hAnsi="Calibri"/>
                <w:color w:val="2D2D2D"/>
                <w:sz w:val="18"/>
              </w:rPr>
              <w:t>Safe.sol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1-of-1 → 3-of-5 NEVER EXECUTED</w:t>
            </w:r>
          </w:p>
        </w:tc>
      </w:tr>
      <w:tr>
        <w:tc>
          <w:tcPr>
            <w:tcW w:type="dxa" w:w="2268"/>
            <w:vAlign w:val="center"/>
          </w:tcPr>
          <w:p>
            <w:pPr>
              <w:jc w:val="left"/>
            </w:pPr>
            <w:r/>
            <w:r>
              <w:rPr>
                <w:rFonts w:ascii="Calibri" w:hAnsi="Calibri"/>
                <w:color w:val="2D2D2D"/>
                <w:sz w:val="18"/>
              </w:rPr>
              <w:t>Takaful.sol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MEDIUM</w:t>
            </w:r>
          </w:p>
        </w:tc>
        <w:tc>
          <w:tcPr>
            <w:tcW w:type="dxa" w:w="2268"/>
            <w:vAlign w:val="center"/>
          </w:tcPr>
          <w:p>
            <w:pPr>
              <w:jc w:val="left"/>
            </w:pPr>
            <w:r/>
            <w:r>
              <w:rPr>
                <w:rFonts w:ascii="Calibri" w:hAnsi="Calibri"/>
                <w:color w:val="2D2D2D"/>
                <w:sz w:val="18"/>
              </w:rPr>
              <w:t>Institutional framework scope update</w:t>
            </w:r>
          </w:p>
        </w:tc>
      </w:tr>
    </w:tbl>
    <w:p/>
    <w:p>
      <w:r>
        <w:rPr>
          <w:b/>
        </w:rPr>
        <w:t>Total: 37 required changes</w:t>
      </w:r>
      <w:r>
        <w:t xml:space="preserve"> (15 CRITICAL, 15 HIGH, 7 MEDIUM)</w:t>
      </w:r>
    </w:p>
    <w:p>
      <w:r>
        <w:rPr>
          <w:b/>
        </w:rPr>
        <w:t>Full matrix:</w:t>
      </w:r>
      <w:r>
        <w:t xml:space="preserve"> </w:t>
      </w:r>
      <w:r>
        <w:rPr>
          <w:rFonts w:ascii="Consolas" w:hAnsi="Consolas"/>
          <w:color w:val="6B6B6B"/>
          <w:sz w:val="19"/>
        </w:rPr>
        <w:t>docs/verification/v25-0-smart-contract-remediation-matrix.md</w:t>
      </w:r>
    </w:p>
    <w:p>
      <w:pPr>
        <w:pBdr>
          <w:bottom w:val="single" w:sz="12" w:space="1" w:color="C59B1E"/>
        </w:pBdr>
      </w:pPr>
    </w:p>
    <w:p>
      <w:pPr>
        <w:pStyle w:val="Heading2"/>
      </w:pPr>
      <w:r>
        <w:t>§V25.0.20 — INSTITUTIONAL AUTHORIZATION REGISTRY</w:t>
      </w:r>
    </w:p>
    <w:p>
      <w:pPr>
        <w:pStyle w:val="Heading3"/>
      </w:pPr>
      <w:r>
        <w:t>Registry Schema</w:t>
      </w:r>
    </w:p>
    <w:p>
      <w:pPr>
        <w:ind w:left="283"/>
        <w:shd w:fill="F5F5F5"/>
      </w:pPr>
      <w:r>
        <w:rPr>
          <w:rFonts w:ascii="Consolas" w:hAnsi="Consolas"/>
          <w:color w:val="6B6B6B"/>
          <w:sz w:val="18"/>
        </w:rPr>
        <w:t>interface InstitutionRecord {</w:t>
        <w:br/>
        <w:t xml:space="preserve">  institutionId: string;</w:t>
        <w:br/>
        <w:t xml:space="preserve">  legalName: string;</w:t>
        <w:br/>
        <w:t xml:space="preserve">  jurisdiction: string;</w:t>
        <w:br/>
        <w:t xml:space="preserve">  regulator: string;</w:t>
        <w:br/>
        <w:t xml:space="preserve">  licenseReference: string;</w:t>
        <w:br/>
        <w:t xml:space="preserve">  participantClass: "A" | "B" | "C";</w:t>
        <w:br/>
        <w:t xml:space="preserve">  permittedMTQFunctions: MTQFunction[];</w:t>
        <w:br/>
        <w:t xml:space="preserve">  permittedCurrencies: string[];</w:t>
        <w:br/>
        <w:t xml:space="preserve">  permittedCorridors: string[];</w:t>
        <w:br/>
        <w:t xml:space="preserve">  maxTransactionSize: number;</w:t>
        <w:br/>
        <w:t xml:space="preserve">  permittedIssuanceLimit: number;</w:t>
        <w:br/>
        <w:t xml:space="preserve">  permittedRedemptionLimit: number;</w:t>
        <w:br/>
        <w:t xml:space="preserve">  operationalStatus: "ACTIVE" | "SUSPENDED" | "REVOKED" | "PENDING";</w:t>
        <w:br/>
        <w:t xml:space="preserve">  sanctionsStatus: "CLEAR" | "FLAGGED" | "BLOCKED";</w:t>
        <w:br/>
        <w:t xml:space="preserve">  expirationDate: string;</w:t>
        <w:br/>
        <w:t xml:space="preserve">  authorizationDate: string;</w:t>
        <w:br/>
        <w:t>}</w:t>
      </w:r>
    </w:p>
    <w:p>
      <w:pPr>
        <w:pStyle w:val="Heading3"/>
      </w:pPr>
      <w:r>
        <w:t>Testnet Institution Registry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Institution ID</w:t>
            </w:r>
          </w:p>
        </w:tc>
        <w:tc>
          <w:tcPr>
            <w:tcW w:type="dxa" w:w="1512"/>
            <w:shd w:fill="1A365F"/>
            <w:vAlign w:val="center"/>
          </w:tcPr>
          <w:p>
            <w:pPr>
              <w:jc w:val="left"/>
            </w:pPr>
            <w:r/>
            <w:r>
              <w:rPr>
                <w:rFonts w:ascii="Calibri" w:hAnsi="Calibri"/>
                <w:b/>
                <w:color w:val="FFFFFF"/>
                <w:sz w:val="18"/>
              </w:rPr>
              <w:t>Name</w:t>
            </w:r>
          </w:p>
        </w:tc>
        <w:tc>
          <w:tcPr>
            <w:tcW w:type="dxa" w:w="1512"/>
            <w:shd w:fill="1A365F"/>
            <w:vAlign w:val="center"/>
          </w:tcPr>
          <w:p>
            <w:pPr>
              <w:jc w:val="left"/>
            </w:pPr>
            <w:r/>
            <w:r>
              <w:rPr>
                <w:rFonts w:ascii="Calibri" w:hAnsi="Calibri"/>
                <w:b/>
                <w:color w:val="FFFFFF"/>
                <w:sz w:val="18"/>
              </w:rPr>
              <w:t>Jurisdiction</w:t>
            </w:r>
          </w:p>
        </w:tc>
        <w:tc>
          <w:tcPr>
            <w:tcW w:type="dxa" w:w="1512"/>
            <w:shd w:fill="1A365F"/>
            <w:vAlign w:val="center"/>
          </w:tcPr>
          <w:p>
            <w:pPr>
              <w:jc w:val="left"/>
            </w:pPr>
            <w:r/>
            <w:r>
              <w:rPr>
                <w:rFonts w:ascii="Calibri" w:hAnsi="Calibri"/>
                <w:b/>
                <w:color w:val="FFFFFF"/>
                <w:sz w:val="18"/>
              </w:rPr>
              <w:t>Regulator</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Status</w:t>
            </w:r>
          </w:p>
        </w:tc>
      </w:tr>
      <w:tr>
        <w:tc>
          <w:tcPr>
            <w:tcW w:type="dxa" w:w="1512"/>
            <w:vAlign w:val="center"/>
          </w:tcPr>
          <w:p>
            <w:pPr>
              <w:jc w:val="left"/>
            </w:pPr>
            <w:r/>
            <w:r>
              <w:rPr>
                <w:rFonts w:ascii="Calibri" w:hAnsi="Calibri"/>
                <w:color w:val="2D2D2D"/>
                <w:sz w:val="18"/>
              </w:rPr>
              <w:t>INST-001</w:t>
            </w:r>
          </w:p>
        </w:tc>
        <w:tc>
          <w:tcPr>
            <w:tcW w:type="dxa" w:w="1512"/>
            <w:vAlign w:val="center"/>
          </w:tcPr>
          <w:p>
            <w:pPr>
              <w:jc w:val="left"/>
            </w:pPr>
            <w:r/>
            <w:r>
              <w:rPr>
                <w:rFonts w:ascii="Calibri" w:hAnsi="Calibri"/>
                <w:color w:val="2D2D2D"/>
                <w:sz w:val="18"/>
              </w:rPr>
              <w:t>Test Bank A (US)</w:t>
            </w:r>
          </w:p>
        </w:tc>
        <w:tc>
          <w:tcPr>
            <w:tcW w:type="dxa" w:w="1512"/>
            <w:vAlign w:val="center"/>
          </w:tcPr>
          <w:p>
            <w:pPr>
              <w:jc w:val="left"/>
            </w:pPr>
            <w:r/>
            <w:r>
              <w:rPr>
                <w:rFonts w:ascii="Calibri" w:hAnsi="Calibri"/>
                <w:color w:val="2D2D2D"/>
                <w:sz w:val="18"/>
              </w:rPr>
              <w:t>US</w:t>
            </w:r>
          </w:p>
        </w:tc>
        <w:tc>
          <w:tcPr>
            <w:tcW w:type="dxa" w:w="1512"/>
            <w:vAlign w:val="center"/>
          </w:tcPr>
          <w:p>
            <w:pPr>
              <w:jc w:val="left"/>
            </w:pPr>
            <w:r/>
            <w:r>
              <w:rPr>
                <w:rFonts w:ascii="Calibri" w:hAnsi="Calibri"/>
                <w:color w:val="2D2D2D"/>
                <w:sz w:val="18"/>
              </w:rPr>
              <w:t>OCC</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INST-002</w:t>
            </w:r>
          </w:p>
        </w:tc>
        <w:tc>
          <w:tcPr>
            <w:tcW w:type="dxa" w:w="1512"/>
            <w:shd w:fill="F0F0F0"/>
            <w:vAlign w:val="center"/>
          </w:tcPr>
          <w:p>
            <w:pPr>
              <w:jc w:val="left"/>
            </w:pPr>
            <w:r/>
            <w:r>
              <w:rPr>
                <w:rFonts w:ascii="Calibri" w:hAnsi="Calibri"/>
                <w:color w:val="2D2D2D"/>
                <w:sz w:val="18"/>
              </w:rPr>
              <w:t>Test Bank B (EU)</w:t>
            </w:r>
          </w:p>
        </w:tc>
        <w:tc>
          <w:tcPr>
            <w:tcW w:type="dxa" w:w="1512"/>
            <w:shd w:fill="F0F0F0"/>
            <w:vAlign w:val="center"/>
          </w:tcPr>
          <w:p>
            <w:pPr>
              <w:jc w:val="left"/>
            </w:pPr>
            <w:r/>
            <w:r>
              <w:rPr>
                <w:rFonts w:ascii="Calibri" w:hAnsi="Calibri"/>
                <w:color w:val="2D2D2D"/>
                <w:sz w:val="18"/>
              </w:rPr>
              <w:t>EU</w:t>
            </w:r>
          </w:p>
        </w:tc>
        <w:tc>
          <w:tcPr>
            <w:tcW w:type="dxa" w:w="1512"/>
            <w:shd w:fill="F0F0F0"/>
            <w:vAlign w:val="center"/>
          </w:tcPr>
          <w:p>
            <w:pPr>
              <w:jc w:val="left"/>
            </w:pPr>
            <w:r/>
            <w:r>
              <w:rPr>
                <w:rFonts w:ascii="Calibri" w:hAnsi="Calibri"/>
                <w:color w:val="2D2D2D"/>
                <w:sz w:val="18"/>
              </w:rPr>
              <w:t>ECB</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r>
        <w:tc>
          <w:tcPr>
            <w:tcW w:type="dxa" w:w="1512"/>
            <w:vAlign w:val="center"/>
          </w:tcPr>
          <w:p>
            <w:pPr>
              <w:jc w:val="left"/>
            </w:pPr>
            <w:r/>
            <w:r>
              <w:rPr>
                <w:rFonts w:ascii="Calibri" w:hAnsi="Calibri"/>
                <w:color w:val="2D2D2D"/>
                <w:sz w:val="18"/>
              </w:rPr>
              <w:t>INST-003</w:t>
            </w:r>
          </w:p>
        </w:tc>
        <w:tc>
          <w:tcPr>
            <w:tcW w:type="dxa" w:w="1512"/>
            <w:vAlign w:val="center"/>
          </w:tcPr>
          <w:p>
            <w:pPr>
              <w:jc w:val="left"/>
            </w:pPr>
            <w:r/>
            <w:r>
              <w:rPr>
                <w:rFonts w:ascii="Calibri" w:hAnsi="Calibri"/>
                <w:color w:val="2D2D2D"/>
                <w:sz w:val="18"/>
              </w:rPr>
              <w:t>Test Bank C (JP)</w:t>
            </w:r>
          </w:p>
        </w:tc>
        <w:tc>
          <w:tcPr>
            <w:tcW w:type="dxa" w:w="1512"/>
            <w:vAlign w:val="center"/>
          </w:tcPr>
          <w:p>
            <w:pPr>
              <w:jc w:val="left"/>
            </w:pPr>
            <w:r/>
            <w:r>
              <w:rPr>
                <w:rFonts w:ascii="Calibri" w:hAnsi="Calibri"/>
                <w:color w:val="2D2D2D"/>
                <w:sz w:val="18"/>
              </w:rPr>
              <w:t>JP</w:t>
            </w:r>
          </w:p>
        </w:tc>
        <w:tc>
          <w:tcPr>
            <w:tcW w:type="dxa" w:w="1512"/>
            <w:vAlign w:val="center"/>
          </w:tcPr>
          <w:p>
            <w:pPr>
              <w:jc w:val="left"/>
            </w:pPr>
            <w:r/>
            <w:r>
              <w:rPr>
                <w:rFonts w:ascii="Calibri" w:hAnsi="Calibri"/>
                <w:color w:val="2D2D2D"/>
                <w:sz w:val="18"/>
              </w:rPr>
              <w:t>FSA</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INST-004</w:t>
            </w:r>
          </w:p>
        </w:tc>
        <w:tc>
          <w:tcPr>
            <w:tcW w:type="dxa" w:w="1512"/>
            <w:shd w:fill="F0F0F0"/>
            <w:vAlign w:val="center"/>
          </w:tcPr>
          <w:p>
            <w:pPr>
              <w:jc w:val="left"/>
            </w:pPr>
            <w:r/>
            <w:r>
              <w:rPr>
                <w:rFonts w:ascii="Calibri" w:hAnsi="Calibri"/>
                <w:color w:val="2D2D2D"/>
                <w:sz w:val="18"/>
              </w:rPr>
              <w:t>Test Bank D (AE)</w:t>
            </w:r>
          </w:p>
        </w:tc>
        <w:tc>
          <w:tcPr>
            <w:tcW w:type="dxa" w:w="1512"/>
            <w:shd w:fill="F0F0F0"/>
            <w:vAlign w:val="center"/>
          </w:tcPr>
          <w:p>
            <w:pPr>
              <w:jc w:val="left"/>
            </w:pPr>
            <w:r/>
            <w:r>
              <w:rPr>
                <w:rFonts w:ascii="Calibri" w:hAnsi="Calibri"/>
                <w:color w:val="2D2D2D"/>
                <w:sz w:val="18"/>
              </w:rPr>
              <w:t>AE</w:t>
            </w:r>
          </w:p>
        </w:tc>
        <w:tc>
          <w:tcPr>
            <w:tcW w:type="dxa" w:w="1512"/>
            <w:shd w:fill="F0F0F0"/>
            <w:vAlign w:val="center"/>
          </w:tcPr>
          <w:p>
            <w:pPr>
              <w:jc w:val="left"/>
            </w:pPr>
            <w:r/>
            <w:r>
              <w:rPr>
                <w:rFonts w:ascii="Calibri" w:hAnsi="Calibri"/>
                <w:color w:val="2D2D2D"/>
                <w:sz w:val="18"/>
              </w:rPr>
              <w:t>CBUAE</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bl>
    <w:p/>
    <w:p>
      <w:pPr>
        <w:pStyle w:val="Heading3"/>
      </w:pPr>
      <w:r>
        <w:t>Stress-State-Indexed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Stress State</w:t>
            </w:r>
          </w:p>
        </w:tc>
        <w:tc>
          <w:tcPr>
            <w:tcW w:type="dxa" w:w="2268"/>
            <w:shd w:fill="1A365F"/>
            <w:vAlign w:val="center"/>
          </w:tcPr>
          <w:p>
            <w:pPr>
              <w:jc w:val="left"/>
            </w:pPr>
            <w:r/>
            <w:r>
              <w:rPr>
                <w:rFonts w:ascii="Calibri" w:hAnsi="Calibri"/>
                <w:b/>
                <w:color w:val="FFFFFF"/>
                <w:sz w:val="18"/>
              </w:rPr>
              <w:t>Max Transaction</w:t>
            </w:r>
          </w:p>
        </w:tc>
        <w:tc>
          <w:tcPr>
            <w:tcW w:type="dxa" w:w="2268"/>
            <w:shd w:fill="1A365F"/>
            <w:vAlign w:val="center"/>
          </w:tcPr>
          <w:p>
            <w:pPr>
              <w:jc w:val="left"/>
            </w:pPr>
            <w:r/>
            <w:r>
              <w:rPr>
                <w:rFonts w:ascii="Calibri" w:hAnsi="Calibri"/>
                <w:b/>
                <w:color w:val="FFFFFF"/>
                <w:sz w:val="18"/>
              </w:rPr>
              <w:t>Issuance</w:t>
            </w:r>
          </w:p>
        </w:tc>
        <w:tc>
          <w:tcPr>
            <w:tcW w:type="dxa" w:w="2268"/>
            <w:shd w:fill="1A365F"/>
            <w:vAlign w:val="center"/>
          </w:tcPr>
          <w:p>
            <w:pPr>
              <w:jc w:val="left"/>
            </w:pPr>
            <w:r/>
            <w:r>
              <w:rPr>
                <w:rFonts w:ascii="Calibri" w:hAnsi="Calibri"/>
                <w:b/>
                <w:color w:val="FFFFFF"/>
                <w:sz w:val="18"/>
              </w:rPr>
              <w:t>Redemption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INSTITUTION_REGISTRY</w:t>
      </w:r>
      <w:r>
        <w:t xml:space="preserve">, </w:t>
      </w:r>
      <w:r>
        <w:rPr>
          <w:rFonts w:ascii="Consolas" w:hAnsi="Consolas"/>
          <w:color w:val="6B6B6B"/>
          <w:sz w:val="19"/>
        </w:rPr>
        <w:t>checkInstitutionAuthorization()</w:t>
      </w:r>
      <w:r>
        <w:t xml:space="preserve">, </w:t>
      </w:r>
      <w:r>
        <w:rPr>
          <w:rFonts w:ascii="Consolas" w:hAnsi="Consolas"/>
          <w:color w:val="6B6B6B"/>
          <w:sz w:val="19"/>
        </w:rPr>
        <w:t>getInstitutionalLimits()</w:t>
      </w:r>
    </w:p>
    <w:p>
      <w:pPr>
        <w:pBdr>
          <w:bottom w:val="single" w:sz="12" w:space="1" w:color="C59B1E"/>
        </w:pBdr>
      </w:pPr>
    </w:p>
    <w:p>
      <w:pPr>
        <w:pStyle w:val="Heading2"/>
      </w:pPr>
      <w:r>
        <w:t>§V25.0.21 — INSTITUTIONAL PROOF-OF-LIABILITIES</w:t>
      </w:r>
    </w:p>
    <w:p>
      <w:pPr>
        <w:pStyle w:val="Heading3"/>
      </w:pPr>
      <w:r>
        <w:t>Concept</w:t>
      </w:r>
    </w:p>
    <w:p>
      <w:r>
        <w:t>Reconcile: Reserve assets vs Total MTQ outstanding vs Institutional positions vs Bank-level positions vs Corporate sub-positions.</w:t>
      </w:r>
    </w:p>
    <w:p>
      <w:pPr>
        <w:pStyle w:val="Heading3"/>
      </w:pPr>
      <w:r>
        <w:t>Example</w:t>
      </w:r>
    </w:p>
    <w:p>
      <w:pPr>
        <w:ind w:left="283"/>
        <w:shd w:fill="F5F5F5"/>
      </w:pPr>
      <w:r>
        <w:rPr>
          <w:rFonts w:ascii="Consolas" w:hAnsi="Consolas"/>
          <w:color w:val="6B6B6B"/>
          <w:sz w:val="18"/>
        </w:rPr>
        <w:t>Reserve Value: $1.25B</w:t>
        <w:br/>
        <w:t>Outstanding MTQ: $1.00B</w:t>
        <w:br/>
        <w:t>RR: 125%</w:t>
        <w:br/>
        <w:br/>
        <w:t>Bank A: $250M MTQ</w:t>
        <w:br/>
        <w:t>Bank B: $400M MTQ</w:t>
        <w:br/>
        <w:t>Bank C: $200M MTQ</w:t>
        <w:br/>
        <w:t>Other: $150M MTQ</w:t>
        <w:br/>
        <w:t>Total: $1.00B ✅ reconciled</w:t>
      </w:r>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generateProofOfLiabilities()</w:t>
      </w:r>
    </w:p>
    <w:p>
      <w:pPr>
        <w:pBdr>
          <w:bottom w:val="single" w:sz="12" w:space="1" w:color="C59B1E"/>
        </w:pBdr>
      </w:pPr>
    </w:p>
    <w:p>
      <w:pPr>
        <w:pStyle w:val="Heading2"/>
      </w:pPr>
      <w:r>
        <w:t>§V25.0.22 — THREE-WAY RECONCILIATION</w:t>
      </w:r>
    </w:p>
    <w:p>
      <w:pPr>
        <w:pStyle w:val="Heading3"/>
      </w:pPr>
      <w:r>
        <w:t>Architecture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Source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A. Canonical MITHQAL ledger</w:t>
            </w:r>
          </w:p>
        </w:tc>
        <w:tc>
          <w:tcPr>
            <w:tcW w:type="dxa" w:w="4536"/>
            <w:vAlign w:val="center"/>
          </w:tcPr>
          <w:p>
            <w:pPr>
              <w:jc w:val="left"/>
            </w:pPr>
            <w:r/>
            <w:r>
              <w:rPr>
                <w:rFonts w:ascii="Calibri" w:hAnsi="Calibri"/>
                <w:color w:val="2D2D2D"/>
                <w:sz w:val="18"/>
              </w:rPr>
              <w:t>What MTQ actually exists (on-chain)</w:t>
            </w:r>
          </w:p>
        </w:tc>
      </w:tr>
      <w:tr>
        <w:tc>
          <w:tcPr>
            <w:tcW w:type="dxa" w:w="4536"/>
            <w:shd w:fill="F0F0F0"/>
            <w:vAlign w:val="center"/>
          </w:tcPr>
          <w:p>
            <w:pPr>
              <w:jc w:val="left"/>
            </w:pPr>
            <w:r/>
            <w:r>
              <w:rPr>
                <w:rFonts w:ascii="Calibri" w:hAnsi="Calibri"/>
                <w:color w:val="2D2D2D"/>
                <w:sz w:val="18"/>
              </w:rPr>
              <w:t>B. Bank institutional subledger</w:t>
            </w:r>
          </w:p>
        </w:tc>
        <w:tc>
          <w:tcPr>
            <w:tcW w:type="dxa" w:w="4536"/>
            <w:shd w:fill="F0F0F0"/>
            <w:vAlign w:val="center"/>
          </w:tcPr>
          <w:p>
            <w:pPr>
              <w:jc w:val="left"/>
            </w:pPr>
            <w:r/>
            <w:r>
              <w:rPr>
                <w:rFonts w:ascii="Calibri" w:hAnsi="Calibri"/>
                <w:color w:val="2D2D2D"/>
                <w:sz w:val="18"/>
              </w:rPr>
              <w:t>What the bank attributes to corporate customers</w:t>
            </w:r>
          </w:p>
        </w:tc>
      </w:tr>
      <w:tr>
        <w:tc>
          <w:tcPr>
            <w:tcW w:type="dxa" w:w="4536"/>
            <w:vAlign w:val="center"/>
          </w:tcPr>
          <w:p>
            <w:pPr>
              <w:jc w:val="left"/>
            </w:pPr>
            <w:r/>
            <w:r>
              <w:rPr>
                <w:rFonts w:ascii="Calibri" w:hAnsi="Calibri"/>
                <w:color w:val="2D2D2D"/>
                <w:sz w:val="18"/>
              </w:rPr>
              <w:t>C. Signed bank attestation</w:t>
            </w:r>
          </w:p>
        </w:tc>
        <w:tc>
          <w:tcPr>
            <w:tcW w:type="dxa" w:w="4536"/>
            <w:vAlign w:val="center"/>
          </w:tcPr>
          <w:p>
            <w:pPr>
              <w:jc w:val="left"/>
            </w:pPr>
            <w:r/>
            <w:r>
              <w:rPr>
                <w:rFonts w:ascii="Calibri" w:hAnsi="Calibri"/>
                <w:color w:val="2D2D2D"/>
                <w:sz w:val="18"/>
              </w:rPr>
              <w:t>What the bank certifies</w:t>
            </w:r>
          </w:p>
        </w:tc>
      </w:tr>
    </w:tbl>
    <w:p/>
    <w:p>
      <w:pPr>
        <w:pStyle w:val="Heading3"/>
      </w:pPr>
      <w:r>
        <w:t>Rule</w:t>
      </w:r>
    </w:p>
    <w:p>
      <w:pPr>
        <w:ind w:left="283"/>
        <w:shd w:fill="F5F5F5"/>
      </w:pPr>
      <w:r>
        <w:rPr>
          <w:rFonts w:ascii="Consolas" w:hAnsi="Consolas"/>
          <w:color w:val="6B6B6B"/>
          <w:sz w:val="18"/>
        </w:rPr>
        <w:t>MITHQAL ledger = bank position = bank attestation</w:t>
        <w:br/>
        <w:t>IF mismatch → reconciliation failure → escalation → restrictions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 = B = C</w:t>
            </w:r>
          </w:p>
        </w:tc>
        <w:tc>
          <w:tcPr>
            <w:tcW w:type="dxa" w:w="4536"/>
            <w:vAlign w:val="center"/>
          </w:tcPr>
          <w:p>
            <w:pPr>
              <w:jc w:val="left"/>
            </w:pPr>
            <w:r/>
            <w:r>
              <w:rPr>
                <w:rFonts w:ascii="Calibri" w:hAnsi="Calibri"/>
                <w:color w:val="2D2D2D"/>
                <w:sz w:val="18"/>
              </w:rPr>
              <w:t>RECONCILED ✅</w:t>
            </w:r>
          </w:p>
        </w:tc>
      </w:tr>
      <w:tr>
        <w:tc>
          <w:tcPr>
            <w:tcW w:type="dxa" w:w="4536"/>
            <w:shd w:fill="F0F0F0"/>
            <w:vAlign w:val="center"/>
          </w:tcPr>
          <w:p>
            <w:pPr>
              <w:jc w:val="left"/>
            </w:pPr>
            <w:r/>
            <w:r>
              <w:rPr>
                <w:rFonts w:ascii="Calibri" w:hAnsi="Calibri"/>
                <w:color w:val="2D2D2D"/>
                <w:sz w:val="18"/>
              </w:rPr>
              <w:t>1 mismatch</w:t>
            </w:r>
          </w:p>
        </w:tc>
        <w:tc>
          <w:tcPr>
            <w:tcW w:type="dxa" w:w="4536"/>
            <w:shd w:fill="F0F0F0"/>
            <w:vAlign w:val="center"/>
          </w:tcPr>
          <w:p>
            <w:pPr>
              <w:jc w:val="left"/>
            </w:pPr>
            <w:r/>
            <w:r>
              <w:rPr>
                <w:rFonts w:ascii="Calibri" w:hAnsi="Calibri"/>
                <w:color w:val="2D2D2D"/>
                <w:sz w:val="18"/>
              </w:rPr>
              <w:t>MISMATCH ⚠️</w:t>
            </w:r>
          </w:p>
        </w:tc>
      </w:tr>
      <w:tr>
        <w:tc>
          <w:tcPr>
            <w:tcW w:type="dxa" w:w="4536"/>
            <w:vAlign w:val="center"/>
          </w:tcPr>
          <w:p>
            <w:pPr>
              <w:jc w:val="left"/>
            </w:pPr>
            <w:r/>
            <w:r>
              <w:rPr>
                <w:rFonts w:ascii="Calibri" w:hAnsi="Calibri"/>
                <w:color w:val="2D2D2D"/>
                <w:sz w:val="18"/>
              </w:rPr>
              <w:t>2+ mismatches</w:t>
            </w:r>
          </w:p>
        </w:tc>
        <w:tc>
          <w:tcPr>
            <w:tcW w:type="dxa" w:w="4536"/>
            <w:vAlign w:val="center"/>
          </w:tcPr>
          <w:p>
            <w:pPr>
              <w:jc w:val="left"/>
            </w:pPr>
            <w:r/>
            <w:r>
              <w:rPr>
                <w:rFonts w:ascii="Calibri" w:hAnsi="Calibri"/>
                <w:color w:val="2D2D2D"/>
                <w:sz w:val="18"/>
              </w:rPr>
              <w:t>ESCALATION_REQUIRED 🚨</w:t>
            </w:r>
          </w:p>
        </w:tc>
      </w:tr>
    </w:tbl>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reconcileThreeWay()</w:t>
      </w:r>
    </w:p>
    <w:p>
      <w:pPr>
        <w:pBdr>
          <w:bottom w:val="single" w:sz="12" w:space="1" w:color="C59B1E"/>
        </w:pBdr>
      </w:pPr>
    </w:p>
    <w:p>
      <w:pPr>
        <w:pStyle w:val="Heading2"/>
      </w:pPr>
      <w:r>
        <w:t>§V25.0.23 — SETTLEMENT PERMISSION ENGINE (12-Check Gate)</w:t>
      </w:r>
    </w:p>
    <w:p>
      <w:r>
        <w:t xml:space="preserve">Every transaction must pass </w:t>
      </w:r>
      <w:r>
        <w:rPr>
          <w:b/>
        </w:rPr>
        <w:t>ALL 12 checks</w:t>
      </w:r>
      <w:r>
        <w:t>. Any failure = BLOCK. No partial settlement.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Check</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Institution A authorized</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Institution B authorized</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Corridor allowed</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Jurisdiction allowed</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Currency pair allowed</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Customer authorization attested</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AML/KYC status valid</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Sanctions clear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Transaction within limit</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Reserve/liquidity state allows</w:t>
            </w:r>
          </w:p>
        </w:tc>
      </w:tr>
      <w:tr>
        <w:tc>
          <w:tcPr>
            <w:tcW w:type="dxa" w:w="4536"/>
            <w:vAlign w:val="center"/>
          </w:tcPr>
          <w:p>
            <w:pPr>
              <w:jc w:val="left"/>
            </w:pPr>
            <w:r/>
            <w:r>
              <w:rPr>
                <w:rFonts w:ascii="Calibri" w:hAnsi="Calibri"/>
                <w:color w:val="2D2D2D"/>
                <w:sz w:val="18"/>
              </w:rPr>
              <w:t>11</w:t>
            </w:r>
          </w:p>
        </w:tc>
        <w:tc>
          <w:tcPr>
            <w:tcW w:type="dxa" w:w="4536"/>
            <w:vAlign w:val="center"/>
          </w:tcPr>
          <w:p>
            <w:pPr>
              <w:jc w:val="left"/>
            </w:pPr>
            <w:r/>
            <w:r>
              <w:rPr>
                <w:rFonts w:ascii="Calibri" w:hAnsi="Calibri"/>
                <w:color w:val="2D2D2D"/>
                <w:sz w:val="18"/>
              </w:rPr>
              <w:t>Network healthy</w:t>
            </w:r>
          </w:p>
        </w:tc>
      </w:tr>
      <w:tr>
        <w:tc>
          <w:tcPr>
            <w:tcW w:type="dxa" w:w="4536"/>
            <w:shd w:fill="F0F0F0"/>
            <w:vAlign w:val="center"/>
          </w:tcPr>
          <w:p>
            <w:pPr>
              <w:jc w:val="left"/>
            </w:pPr>
            <w:r/>
            <w:r>
              <w:rPr>
                <w:rFonts w:ascii="Calibri" w:hAnsi="Calibri"/>
                <w:color w:val="2D2D2D"/>
                <w:sz w:val="18"/>
              </w:rPr>
              <w:t>12</w:t>
            </w:r>
          </w:p>
        </w:tc>
        <w:tc>
          <w:tcPr>
            <w:tcW w:type="dxa" w:w="4536"/>
            <w:shd w:fill="F0F0F0"/>
            <w:vAlign w:val="center"/>
          </w:tcPr>
          <w:p>
            <w:pPr>
              <w:jc w:val="left"/>
            </w:pPr>
            <w:r/>
            <w:r>
              <w:rPr>
                <w:rFonts w:ascii="Calibri" w:hAnsi="Calibri"/>
                <w:color w:val="2D2D2D"/>
                <w:sz w:val="18"/>
              </w:rPr>
              <w:t>Policy version valid</w:t>
            </w:r>
          </w:p>
        </w:tc>
      </w:tr>
    </w:tbl>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checkSettlementPermissions()</w:t>
      </w:r>
    </w:p>
    <w:p>
      <w:pPr>
        <w:pBdr>
          <w:bottom w:val="single" w:sz="12" w:space="1" w:color="C59B1E"/>
        </w:pBdr>
      </w:pPr>
    </w:p>
    <w:p>
      <w:pPr>
        <w:pStyle w:val="Heading2"/>
      </w:pPr>
      <w:r>
        <w:t>§V25.0.24 — PRIVACY ARCHITECTURE (3-Layer)</w:t>
      </w:r>
    </w:p>
    <w:p>
      <w:pPr>
        <w:pStyle w:val="Heading3"/>
      </w:pPr>
      <w:r>
        <w:t>Canonical Principle</w:t>
      </w:r>
    </w:p>
    <w:p>
      <w:pPr>
        <w:spacing w:before="120" w:after="120"/>
        <w:ind w:left="567" w:right="567"/>
        <w:pBdr>
          <w:left w:val="single" w:sz="24" w:space="8" w:color="C59B1E"/>
        </w:pBdr>
        <w:shd w:fill="FFFBF0"/>
      </w:pPr>
      <w:r>
        <w:rPr>
          <w:b/>
          <w:i/>
          <w:color w:val="1A365F"/>
          <w:sz w:val="22"/>
        </w:rPr>
        <w:t>**Privacy by default. Traceability by authorization. Disclosure by law.**</w:t>
      </w:r>
    </w:p>
    <w:p>
      <w:pPr>
        <w:pStyle w:val="Heading3"/>
      </w:pPr>
      <w:r>
        <w:t>Three Layers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Layer</w:t>
            </w:r>
          </w:p>
        </w:tc>
        <w:tc>
          <w:tcPr>
            <w:tcW w:type="dxa" w:w="2268"/>
            <w:shd w:fill="1A365F"/>
            <w:vAlign w:val="center"/>
          </w:tcPr>
          <w:p>
            <w:pPr>
              <w:jc w:val="left"/>
            </w:pPr>
            <w:r/>
            <w:r>
              <w:rPr>
                <w:rFonts w:ascii="Calibri" w:hAnsi="Calibri"/>
                <w:b/>
                <w:color w:val="FFFFFF"/>
                <w:sz w:val="18"/>
              </w:rPr>
              <w:t>Holder</w:t>
            </w:r>
          </w:p>
        </w:tc>
        <w:tc>
          <w:tcPr>
            <w:tcW w:type="dxa" w:w="2268"/>
            <w:shd w:fill="1A365F"/>
            <w:vAlign w:val="center"/>
          </w:tcPr>
          <w:p>
            <w:pPr>
              <w:jc w:val="left"/>
            </w:pPr>
            <w:r/>
            <w:r>
              <w:rPr>
                <w:rFonts w:ascii="Calibri" w:hAnsi="Calibri"/>
                <w:b/>
                <w:color w:val="FFFFFF"/>
                <w:sz w:val="18"/>
              </w:rPr>
              <w:t>Contains</w:t>
            </w:r>
          </w:p>
        </w:tc>
        <w:tc>
          <w:tcPr>
            <w:tcW w:type="dxa" w:w="2268"/>
            <w:shd w:fill="1A365F"/>
            <w:vAlign w:val="center"/>
          </w:tcPr>
          <w:p>
            <w:pPr>
              <w:jc w:val="left"/>
            </w:pPr>
            <w:r/>
            <w:r>
              <w:rPr>
                <w:rFonts w:ascii="Calibri" w:hAnsi="Calibri"/>
                <w:b/>
                <w:color w:val="FFFFFF"/>
                <w:sz w:val="18"/>
              </w:rPr>
              <w:t>MITHQAL Access</w:t>
            </w:r>
          </w:p>
        </w:tc>
      </w:tr>
      <w:tr>
        <w:tc>
          <w:tcPr>
            <w:tcW w:type="dxa" w:w="2268"/>
            <w:vAlign w:val="center"/>
          </w:tcPr>
          <w:p>
            <w:pPr>
              <w:jc w:val="left"/>
            </w:pPr>
            <w:r/>
            <w:r>
              <w:rPr>
                <w:rFonts w:ascii="Calibri" w:hAnsi="Calibri"/>
                <w:color w:val="2D2D2D"/>
                <w:sz w:val="18"/>
              </w:rPr>
              <w:t>1. Bank Identity Vault</w:t>
            </w:r>
          </w:p>
        </w:tc>
        <w:tc>
          <w:tcPr>
            <w:tcW w:type="dxa" w:w="2268"/>
            <w:vAlign w:val="center"/>
          </w:tcPr>
          <w:p>
            <w:pPr>
              <w:jc w:val="left"/>
            </w:pPr>
            <w:r/>
            <w:r>
              <w:rPr>
                <w:rFonts w:ascii="Calibri" w:hAnsi="Calibri"/>
                <w:color w:val="2D2D2D"/>
                <w:sz w:val="18"/>
              </w:rPr>
              <w:t>Bank</w:t>
            </w:r>
          </w:p>
        </w:tc>
        <w:tc>
          <w:tcPr>
            <w:tcW w:type="dxa" w:w="2268"/>
            <w:vAlign w:val="center"/>
          </w:tcPr>
          <w:p>
            <w:pPr>
              <w:jc w:val="left"/>
            </w:pPr>
            <w:r/>
            <w:r>
              <w:rPr>
                <w:rFonts w:ascii="Calibri" w:hAnsi="Calibri"/>
                <w:color w:val="2D2D2D"/>
                <w:sz w:val="18"/>
              </w:rPr>
              <w:t>Legal identity, UBO, KYC/KYB, risk info</w:t>
            </w:r>
          </w:p>
        </w:tc>
        <w:tc>
          <w:tcPr>
            <w:tcW w:type="dxa" w:w="2268"/>
            <w:vAlign w:val="center"/>
          </w:tcPr>
          <w:p>
            <w:pPr>
              <w:jc w:val="left"/>
            </w:pPr>
            <w:r/>
            <w:r>
              <w:rPr>
                <w:rFonts w:ascii="Calibri" w:hAnsi="Calibri"/>
                <w:color w:val="2D2D2D"/>
                <w:sz w:val="18"/>
              </w:rPr>
              <w:t>NONE by default</w:t>
            </w:r>
          </w:p>
        </w:tc>
      </w:tr>
      <w:tr>
        <w:tc>
          <w:tcPr>
            <w:tcW w:type="dxa" w:w="2268"/>
            <w:shd w:fill="F0F0F0"/>
            <w:vAlign w:val="center"/>
          </w:tcPr>
          <w:p>
            <w:pPr>
              <w:jc w:val="left"/>
            </w:pPr>
            <w:r/>
            <w:r>
              <w:rPr>
                <w:rFonts w:ascii="Calibri" w:hAnsi="Calibri"/>
                <w:color w:val="2D2D2D"/>
                <w:sz w:val="18"/>
              </w:rPr>
              <w:t>2. MITHQAL Institutional</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Bank ID, corporate ref (pseudonymous), KYC/AML status, sanctions, jurisdiction</w:t>
            </w:r>
          </w:p>
        </w:tc>
        <w:tc>
          <w:tcPr>
            <w:tcW w:type="dxa" w:w="2268"/>
            <w:shd w:fill="F0F0F0"/>
            <w:vAlign w:val="center"/>
          </w:tcPr>
          <w:p>
            <w:pPr>
              <w:jc w:val="left"/>
            </w:pPr>
            <w:r/>
            <w:r>
              <w:rPr>
                <w:rFonts w:ascii="Calibri" w:hAnsi="Calibri"/>
                <w:color w:val="2D2D2D"/>
                <w:sz w:val="18"/>
              </w:rPr>
              <w:t>FULL</w:t>
            </w:r>
          </w:p>
        </w:tc>
      </w:tr>
      <w:tr>
        <w:tc>
          <w:tcPr>
            <w:tcW w:type="dxa" w:w="2268"/>
            <w:vAlign w:val="center"/>
          </w:tcPr>
          <w:p>
            <w:pPr>
              <w:jc w:val="left"/>
            </w:pPr>
            <w:r/>
            <w:r>
              <w:rPr>
                <w:rFonts w:ascii="Calibri" w:hAnsi="Calibri"/>
                <w:color w:val="2D2D2D"/>
                <w:sz w:val="18"/>
              </w:rPr>
              <w:t>3. Authorized Disclosure</w:t>
            </w:r>
          </w:p>
        </w:tc>
        <w:tc>
          <w:tcPr>
            <w:tcW w:type="dxa" w:w="2268"/>
            <w:vAlign w:val="center"/>
          </w:tcPr>
          <w:p>
            <w:pPr>
              <w:jc w:val="left"/>
            </w:pPr>
            <w:r/>
            <w:r>
              <w:rPr>
                <w:rFonts w:ascii="Calibri" w:hAnsi="Calibri"/>
                <w:color w:val="2D2D2D"/>
                <w:sz w:val="18"/>
              </w:rPr>
              <w:t>Regulator/CB</w:t>
            </w:r>
          </w:p>
        </w:tc>
        <w:tc>
          <w:tcPr>
            <w:tcW w:type="dxa" w:w="2268"/>
            <w:vAlign w:val="center"/>
          </w:tcPr>
          <w:p>
            <w:pPr>
              <w:jc w:val="left"/>
            </w:pPr>
            <w:r/>
            <w:r>
              <w:rPr>
                <w:rFonts w:ascii="Calibri" w:hAnsi="Calibri"/>
                <w:color w:val="2D2D2D"/>
                <w:sz w:val="18"/>
              </w:rPr>
              <w:t>Underlying customer identity (where law permits)</w:t>
            </w:r>
          </w:p>
        </w:tc>
        <w:tc>
          <w:tcPr>
            <w:tcW w:type="dxa" w:w="2268"/>
            <w:vAlign w:val="center"/>
          </w:tcPr>
          <w:p>
            <w:pPr>
              <w:jc w:val="left"/>
            </w:pPr>
            <w:r/>
            <w:r>
              <w:rPr>
                <w:rFonts w:ascii="Calibri" w:hAnsi="Calibri"/>
                <w:color w:val="2D2D2D"/>
                <w:sz w:val="18"/>
              </w:rPr>
              <w:t>BY LAW only</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PRIVACY_ARCHITECTURE</w:t>
      </w:r>
    </w:p>
    <w:p>
      <w:pPr>
        <w:pBdr>
          <w:bottom w:val="single" w:sz="12" w:space="1" w:color="C59B1E"/>
        </w:pBdr>
      </w:pPr>
    </w:p>
    <w:p>
      <w:pPr>
        <w:pStyle w:val="Heading2"/>
      </w:pPr>
      <w:r>
        <w:t>§V25.0.25 — ZERO-KNOWLEDGE ARCHITECTURE</w:t>
      </w:r>
    </w:p>
    <w:p>
      <w:pPr>
        <w:pStyle w:val="Heading3"/>
      </w:pPr>
      <w:r>
        <w:t>Principle</w:t>
      </w:r>
    </w:p>
    <w:p>
      <w:pPr>
        <w:spacing w:before="120" w:after="120"/>
        <w:ind w:left="567" w:right="567"/>
        <w:pBdr>
          <w:left w:val="single" w:sz="24" w:space="8" w:color="C59B1E"/>
        </w:pBdr>
        <w:shd w:fill="FFFBF0"/>
      </w:pPr>
      <w:r>
        <w:rPr>
          <w:b/>
          <w:i/>
          <w:color w:val="1A365F"/>
          <w:sz w:val="22"/>
        </w:rPr>
        <w:t>**Do not make "zero knowledge" a marketing term. Implement real privacy mechanisms where appropriate.**</w:t>
      </w:r>
    </w:p>
    <w:p>
      <w:pPr>
        <w:pStyle w:val="Heading3"/>
      </w:pPr>
      <w:r>
        <w:t>Mechanisms</w:t>
      </w:r>
    </w:p>
    <w:p>
      <w:r>
        <w:t>ZK proofs (zk-SNARKs), verifiable credentials, cryptographic attestations, encrypted identifiers, selective disclosure, policy-bound disclosure, commitment structures.</w:t>
      </w:r>
    </w:p>
    <w:p>
      <w:pPr>
        <w:pStyle w:val="Heading3"/>
      </w:pPr>
      <w:r>
        <w:t>Use Case</w:t>
      </w:r>
    </w:p>
    <w:p>
      <w:r>
        <w:t xml:space="preserve">MITHQAL can verify "This corporate is KYC-valid" </w:t>
      </w:r>
      <w:r>
        <w:rPr>
          <w:b/>
        </w:rPr>
        <w:t>without</w:t>
      </w:r>
      <w:r>
        <w:t xml:space="preserve"> receiving the entire customer file.</w:t>
      </w:r>
    </w:p>
    <w:p>
      <w:pPr>
        <w:pStyle w:val="Heading3"/>
      </w:pPr>
      <w:r>
        <w:t>Legal Exception</w:t>
      </w:r>
    </w:p>
    <w:p>
      <w:r>
        <w:t xml:space="preserve">When law requires information, the architecture </w:t>
      </w:r>
      <w:r>
        <w:rPr>
          <w:b/>
        </w:rPr>
        <w:t>must</w:t>
      </w:r>
      <w:r>
        <w:t xml:space="preserve"> support lawful disclosure.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ZK_ARCHITECTURE</w:t>
      </w:r>
    </w:p>
    <w:p>
      <w:pPr>
        <w:pBdr>
          <w:bottom w:val="single" w:sz="12" w:space="1" w:color="C59B1E"/>
        </w:pBdr>
      </w:pPr>
    </w:p>
    <w:p>
      <w:pPr>
        <w:pStyle w:val="Heading2"/>
      </w:pPr>
      <w:r>
        <w:t>§V25.0.26 — SETTLEMENT FINALITY</w:t>
      </w:r>
    </w:p>
    <w:p>
      <w:pPr>
        <w:pStyle w:val="Heading3"/>
      </w:pPr>
      <w:r>
        <w:t>Three Layers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Technical finality</w:t>
            </w:r>
          </w:p>
        </w:tc>
        <w:tc>
          <w:tcPr>
            <w:tcW w:type="dxa" w:w="4536"/>
            <w:vAlign w:val="center"/>
          </w:tcPr>
          <w:p>
            <w:pPr>
              <w:jc w:val="left"/>
            </w:pPr>
            <w:r/>
            <w:r>
              <w:rPr>
                <w:rFonts w:ascii="Calibri" w:hAnsi="Calibri"/>
                <w:color w:val="2D2D2D"/>
                <w:sz w:val="18"/>
              </w:rPr>
              <w:t>Cryptographic (blockchain confirmation)</w:t>
            </w:r>
          </w:p>
        </w:tc>
      </w:tr>
      <w:tr>
        <w:tc>
          <w:tcPr>
            <w:tcW w:type="dxa" w:w="4536"/>
            <w:shd w:fill="F0F0F0"/>
            <w:vAlign w:val="center"/>
          </w:tcPr>
          <w:p>
            <w:pPr>
              <w:jc w:val="left"/>
            </w:pPr>
            <w:r/>
            <w:r>
              <w:rPr>
                <w:rFonts w:ascii="Calibri" w:hAnsi="Calibri"/>
                <w:color w:val="2D2D2D"/>
                <w:sz w:val="18"/>
              </w:rPr>
              <w:t>Legal finality</w:t>
            </w:r>
          </w:p>
        </w:tc>
        <w:tc>
          <w:tcPr>
            <w:tcW w:type="dxa" w:w="4536"/>
            <w:shd w:fill="F0F0F0"/>
            <w:vAlign w:val="center"/>
          </w:tcPr>
          <w:p>
            <w:pPr>
              <w:jc w:val="left"/>
            </w:pPr>
            <w:r/>
            <w:r>
              <w:rPr>
                <w:rFonts w:ascii="Calibri" w:hAnsi="Calibri"/>
                <w:color w:val="2D2D2D"/>
                <w:sz w:val="18"/>
              </w:rPr>
              <w:t>Jurisdiction-dependent</w:t>
            </w:r>
          </w:p>
        </w:tc>
      </w:tr>
      <w:tr>
        <w:tc>
          <w:tcPr>
            <w:tcW w:type="dxa" w:w="4536"/>
            <w:vAlign w:val="center"/>
          </w:tcPr>
          <w:p>
            <w:pPr>
              <w:jc w:val="left"/>
            </w:pPr>
            <w:r/>
            <w:r>
              <w:rPr>
                <w:rFonts w:ascii="Calibri" w:hAnsi="Calibri"/>
                <w:color w:val="2D2D2D"/>
                <w:sz w:val="18"/>
              </w:rPr>
              <w:t>Banking finality</w:t>
            </w:r>
          </w:p>
        </w:tc>
        <w:tc>
          <w:tcPr>
            <w:tcW w:type="dxa" w:w="4536"/>
            <w:vAlign w:val="center"/>
          </w:tcPr>
          <w:p>
            <w:pPr>
              <w:jc w:val="left"/>
            </w:pPr>
            <w:r/>
            <w:r>
              <w:rPr>
                <w:rFonts w:ascii="Calibri" w:hAnsi="Calibri"/>
                <w:color w:val="2D2D2D"/>
                <w:sz w:val="18"/>
              </w:rPr>
              <w:t>Rail-dependent</w:t>
            </w:r>
          </w:p>
        </w:tc>
      </w:tr>
    </w:tbl>
    <w:p/>
    <w:p>
      <w:pPr>
        <w:pStyle w:val="Heading3"/>
      </w:pPr>
      <w:r>
        <w:t>Critical Rule</w:t>
      </w:r>
    </w:p>
    <w:p>
      <w:pPr>
        <w:spacing w:before="120" w:after="120"/>
        <w:ind w:left="567" w:right="567"/>
        <w:pBdr>
          <w:left w:val="single" w:sz="24" w:space="8" w:color="C59B1E"/>
        </w:pBdr>
        <w:shd w:fill="FFFBF0"/>
      </w:pPr>
      <w:r>
        <w:rPr>
          <w:b/>
          <w:i/>
          <w:color w:val="1A365F"/>
          <w:sz w:val="22"/>
        </w:rPr>
        <w:t>**No blueprint section may imply that blockchain confirmation alone automatically determines legal finality in every jurisdiction.**</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FINALITY</w:t>
      </w:r>
    </w:p>
    <w:p>
      <w:pPr>
        <w:pBdr>
          <w:bottom w:val="single" w:sz="12" w:space="1" w:color="C59B1E"/>
        </w:pBdr>
      </w:pPr>
    </w:p>
    <w:p>
      <w:pPr>
        <w:pStyle w:val="Heading2"/>
      </w:pPr>
      <w:r>
        <w:t>§V25.0.27 — ARCHITECTURE DIAGRAM</w:t>
      </w:r>
    </w:p>
    <w:p>
      <w:pPr>
        <w:ind w:left="283"/>
        <w:shd w:fill="F5F5F5"/>
      </w:pPr>
      <w:r>
        <w:rPr>
          <w:rFonts w:ascii="Consolas" w:hAnsi="Consolas"/>
          <w:color w:val="6B6B6B"/>
          <w:sz w:val="18"/>
        </w:rPr>
        <w:t xml:space="preserve">                 SOVEREIGN MONETARY SYSTEM A</w:t>
        <w:br/>
        <w:t xml:space="preserve">                           │</w:t>
        <w:br/>
        <w:t xml:space="preserve">                    CENTRAL BANK / BANK</w:t>
        <w:br/>
        <w:t xml:space="preserve">                           │</w:t>
        <w:br/>
        <w:t xml:space="preserve">                 REGULATED GATEWAY</w:t>
        <w:br/>
        <w:t xml:space="preserve">                           │</w:t>
        <w:br/>
        <w:t xml:space="preserve">                           ▼</w:t>
        <w:br/>
        <w:t xml:space="preserve">              ┌─────────────────────────┐</w:t>
        <w:br/>
        <w:t xml:space="preserve">              │       MITHQAL           │</w:t>
        <w:br/>
        <w:t xml:space="preserve">              │  Institutional Identity │</w:t>
        <w:br/>
        <w:t xml:space="preserve">              │  Authorization          │</w:t>
        <w:br/>
        <w:t xml:space="preserve">              │  Reserve Engine         │</w:t>
        <w:br/>
        <w:t xml:space="preserve">              │  Issuance Engine        │</w:t>
        <w:br/>
        <w:t xml:space="preserve">              │  MTQ Settlement         │</w:t>
        <w:br/>
        <w:t xml:space="preserve">              │  Compliance Controls    │</w:t>
        <w:br/>
        <w:t xml:space="preserve">              │  Audit / Traceability   │</w:t>
        <w:br/>
        <w:t xml:space="preserve">              │  CBDC Interoperability  │</w:t>
        <w:br/>
        <w:t xml:space="preserve">              │  Proof / Finality        │</w:t>
        <w:br/>
        <w:t xml:space="preserve">              └─────────────────────────┘</w:t>
        <w:br/>
        <w:t xml:space="preserve">                           │</w:t>
        <w:br/>
        <w:t xml:space="preserve">                          MTQ</w:t>
        <w:br/>
        <w:t xml:space="preserve">                           │</w:t>
        <w:br/>
        <w:t xml:space="preserve">                           ▼</w:t>
        <w:br/>
        <w:t xml:space="preserve">                 REGULATED GATEWAY</w:t>
        <w:br/>
        <w:t xml:space="preserve">                           │</w:t>
        <w:br/>
        <w:t xml:space="preserve">                    BANK / CENTRAL BANK</w:t>
        <w:br/>
        <w:t xml:space="preserve">                           │</w:t>
        <w:br/>
        <w:t xml:space="preserve">                 SOVEREIGN SYSTEM B</w:t>
      </w:r>
    </w:p>
    <w:p>
      <w:pPr>
        <w:pBdr>
          <w:bottom w:val="single" w:sz="12" w:space="1" w:color="C59B1E"/>
        </w:pBdr>
      </w:pPr>
    </w:p>
    <w:p>
      <w:pPr>
        <w:pStyle w:val="Heading2"/>
      </w:pPr>
      <w:r>
        <w:t>§V25.0.28 — CANONICAL TERMINOLOGY</w:t>
      </w:r>
    </w:p>
    <w:p>
      <w:pPr>
        <w:pStyle w:val="Heading3"/>
      </w:pPr>
      <w:r>
        <w:t>Preferred (12 terms)</w:t>
      </w:r>
    </w:p>
    <w:p>
      <w:r>
        <w:t>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p>
      <w:pPr>
        <w:pStyle w:val="Heading3"/>
      </w:pPr>
      <w:r>
        <w:t>Avoid (10 terms)</w:t>
      </w:r>
    </w:p>
    <w:p>
      <w:r>
        <w:t>Consumer coin, public minting, retail stablecoin, global currency, replacement currency, speculative asset, exchange token, investment token, universal money, permissionless issuance.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TERMINOLOGY</w:t>
      </w:r>
    </w:p>
    <w:p>
      <w:pPr>
        <w:pBdr>
          <w:bottom w:val="single" w:sz="12" w:space="1" w:color="C59B1E"/>
        </w:pBdr>
      </w:pPr>
    </w:p>
    <w:p>
      <w:pPr>
        <w:pStyle w:val="Heading2"/>
      </w:pPr>
      <w:r>
        <w:t>§V25.0.29 — BANK REVENUE MODEL</w:t>
      </w:r>
    </w:p>
    <w:p>
      <w:pPr>
        <w:pStyle w:val="Heading3"/>
      </w:pPr>
      <w:r>
        <w:t>Bank Revenue (9 streams)</w:t>
      </w:r>
    </w:p>
    <w:p>
      <w:r>
        <w:t>MTQ origination/service fee, settlement fee, redemption service fee, FX spread/service fee, treasury/liquidity services, corporate settlement account fees, API/connectivity fees, reconciliation/reporting services, institutional wallet administration.</w:t>
      </w:r>
    </w:p>
    <w:p>
      <w:pPr>
        <w:pStyle w:val="Heading3"/>
      </w:pPr>
      <w:r>
        <w:t>MITHQAL Revenue (8 streams)</w:t>
      </w:r>
    </w:p>
    <w:p>
      <w:r>
        <w:t>Issuance infrastructure fee, settlement infrastructure fee, redemption infrastructure fee, institutional connectivity, API infrastructure, enterprise infrastructure, compliance/attestation infrastructure, network services.</w:t>
      </w:r>
    </w:p>
    <w:p>
      <w:pPr>
        <w:pStyle w:val="Heading3"/>
      </w:pPr>
      <w:r>
        <w:t>Fundamental Rule</w:t>
      </w:r>
    </w:p>
    <w:p>
      <w:pPr>
        <w:spacing w:before="120" w:after="120"/>
        <w:ind w:left="567" w:right="567"/>
        <w:pBdr>
          <w:left w:val="single" w:sz="24" w:space="8" w:color="C59B1E"/>
        </w:pBdr>
        <w:shd w:fill="FFFBF0"/>
      </w:pPr>
      <w:r>
        <w:rPr>
          <w:b/>
          <w:i/>
          <w:color w:val="1A365F"/>
          <w:sz w:val="22"/>
        </w:rPr>
        <w:t>**Revenue must never influence monetary issuance.** Sequence: eligibility → authorization → verification → risk checks → issuance → fee accounting. **NEVER:** fee paid → MTQ issued.</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BANK_REVENUE_MODEL</w:t>
      </w:r>
    </w:p>
    <w:p>
      <w:pPr>
        <w:pBdr>
          <w:bottom w:val="single" w:sz="12" w:space="1" w:color="C59B1E"/>
        </w:pBdr>
      </w:pPr>
    </w:p>
    <w:p>
      <w:pPr>
        <w:pStyle w:val="Heading2"/>
      </w:pPr>
      <w:r>
        <w:t>§V25.0.30 — MITHQAL OPERATING COMPANY</w:t>
      </w:r>
    </w:p>
    <w:p>
      <w:pPr>
        <w:pStyle w:val="Heading3"/>
      </w:pPr>
      <w:r>
        <w:t>Role</w:t>
      </w:r>
    </w:p>
    <w:p>
      <w:r>
        <w:t>MTQ Operating / Issuance Company — narrowly defined.</w:t>
      </w:r>
    </w:p>
    <w:p>
      <w:pPr>
        <w:pStyle w:val="Heading3"/>
      </w:pPr>
      <w:r>
        <w:t>Operates</w:t>
      </w:r>
    </w:p>
    <w:p>
      <w:r>
        <w:t>Issuance infrastructure, settlement infrastructure, MTQ protocol, institutional connectivity, reserve administration, proof systems, operational systems.</w:t>
      </w:r>
    </w:p>
    <w:p>
      <w:pPr>
        <w:pStyle w:val="Heading3"/>
      </w:pPr>
      <w:r>
        <w:t>Is NOT</w:t>
      </w:r>
    </w:p>
    <w:p>
      <w:r>
        <w:t>A bank, the customer's primary banking relationship, an FX dealer, an exchange, a broker.</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MITHQAL_OPERATING_COMPANY</w:t>
      </w:r>
    </w:p>
    <w:p>
      <w:pPr>
        <w:pBdr>
          <w:bottom w:val="single" w:sz="12" w:space="1" w:color="C59B1E"/>
        </w:pBdr>
      </w:pPr>
    </w:p>
    <w:p>
      <w:pPr>
        <w:pStyle w:val="Heading2"/>
      </w:pPr>
      <w:r>
        <w:t>§V25.0.31 — NON-COMPETE PRINCIPLE (MITHQAL vs Banks)</w:t>
      </w:r>
    </w:p>
    <w:p>
      <w:pPr>
        <w:spacing w:before="120" w:after="120"/>
        <w:ind w:left="567" w:right="567"/>
        <w:pBdr>
          <w:left w:val="single" w:sz="24" w:space="8" w:color="C59B1E"/>
        </w:pBdr>
        <w:shd w:fill="FFFBF0"/>
      </w:pPr>
      <w:r>
        <w:rPr>
          <w:b/>
          <w:i/>
          <w:color w:val="1A365F"/>
          <w:sz w:val="22"/>
        </w:rPr>
        <w:t>**MITHQAL makes banks more useful, not less useful.**</w:t>
      </w:r>
    </w:p>
    <w:p>
      <w:r>
        <w:t>Banks retain: customers, accounts, KYC, deposits, FX, treasury, lending, corporate services.</w:t>
      </w:r>
    </w:p>
    <w:p>
      <w:r>
        <w:t>MITHQAL gives them: neutral cross-border settlement, lower settlement friction, efficient reconciliation, institutional MTQ infrastructure, cross-CBDC interoperability.</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NON_COMPETE_PRINCIPLE</w:t>
      </w:r>
    </w:p>
    <w:p>
      <w:pPr>
        <w:pBdr>
          <w:bottom w:val="single" w:sz="12" w:space="1" w:color="C59B1E"/>
        </w:pBdr>
      </w:pPr>
    </w:p>
    <w:p>
      <w:pPr>
        <w:pStyle w:val="Heading2"/>
      </w:pPr>
      <w:r>
        <w:t>§V25.0.32 — FX BOUNDARY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Actor</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JPY → MTQ → USD settlement (neutral bridge)</w:t>
            </w:r>
          </w:p>
        </w:tc>
      </w:tr>
      <w:tr>
        <w:tc>
          <w:tcPr>
            <w:tcW w:type="dxa" w:w="4536"/>
            <w:shd w:fill="F0F0F0"/>
            <w:vAlign w:val="center"/>
          </w:tcPr>
          <w:p>
            <w:pPr>
              <w:jc w:val="left"/>
            </w:pPr>
            <w:r/>
            <w:r>
              <w:rPr>
                <w:rFonts w:ascii="Calibri" w:hAnsi="Calibri"/>
                <w:color w:val="2D2D2D"/>
                <w:sz w:val="18"/>
              </w:rPr>
              <w:t>Banks</w:t>
            </w:r>
          </w:p>
        </w:tc>
        <w:tc>
          <w:tcPr>
            <w:tcW w:type="dxa" w:w="4536"/>
            <w:shd w:fill="F0F0F0"/>
            <w:vAlign w:val="center"/>
          </w:tcPr>
          <w:p>
            <w:pPr>
              <w:jc w:val="left"/>
            </w:pPr>
            <w:r/>
            <w:r>
              <w:rPr>
                <w:rFonts w:ascii="Calibri" w:hAnsi="Calibri"/>
                <w:color w:val="2D2D2D"/>
                <w:sz w:val="18"/>
              </w:rPr>
              <w:t>JPY ↔ USD economic conversion / customer FX</w:t>
            </w:r>
          </w:p>
        </w:tc>
      </w:tr>
    </w:tbl>
    <w:p/>
    <w:p>
      <w:r>
        <w:rPr>
          <w:b/>
        </w:rPr>
        <w:t>Boundary:</w:t>
      </w:r>
      <w:r>
        <w:t xml:space="preserve"> FX remains within regulated banking infrastructure. MITHQAL does not operate an FX exchange.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FX_BOUNDARY</w:t>
      </w:r>
    </w:p>
    <w:p>
      <w:pPr>
        <w:pBdr>
          <w:bottom w:val="single" w:sz="12" w:space="1" w:color="C59B1E"/>
        </w:pBdr>
      </w:pPr>
    </w:p>
    <w:p>
      <w:pPr>
        <w:pStyle w:val="Heading2"/>
      </w:pPr>
      <w:r>
        <w:t>§V25.0.33 — PRODUCT HIERARCHY (9-Layer Stack)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Name</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MITHQAL (institutional infrastructure)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MTQ (neutral settlement instrument)</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MTQ Institutional Settlement Account (bank-linked corporate)</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MITHQAL Issuance Engine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MITHQAL Settlement Network</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MITHQAL CBDC Interoperability Layer</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MITHQAL Regulatory Policy Engine</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MITHQAL Privacy / Attestation Layer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MITHQAL Reserve Engine</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PRODUCT_HIERARCHY</w:t>
      </w:r>
    </w:p>
    <w:p>
      <w:pPr>
        <w:pBdr>
          <w:bottom w:val="single" w:sz="12" w:space="1" w:color="C59B1E"/>
        </w:pBdr>
      </w:pPr>
    </w:p>
    <w:p>
      <w:pPr>
        <w:pStyle w:val="Heading2"/>
      </w:pPr>
      <w:r>
        <w:t>§V25.0.34 — AUTHORITY MATRIX</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Actor</w:t>
            </w:r>
          </w:p>
        </w:tc>
        <w:tc>
          <w:tcPr>
            <w:tcW w:type="dxa" w:w="1296"/>
            <w:shd w:fill="1A365F"/>
            <w:vAlign w:val="center"/>
          </w:tcPr>
          <w:p>
            <w:pPr>
              <w:jc w:val="left"/>
            </w:pPr>
            <w:r/>
            <w:r>
              <w:rPr>
                <w:rFonts w:ascii="Calibri" w:hAnsi="Calibri"/>
                <w:b/>
                <w:color w:val="FFFFFF"/>
                <w:sz w:val="18"/>
              </w:rPr>
              <w:t>Customer KYC</w:t>
            </w:r>
          </w:p>
        </w:tc>
        <w:tc>
          <w:tcPr>
            <w:tcW w:type="dxa" w:w="1296"/>
            <w:shd w:fill="1A365F"/>
            <w:vAlign w:val="center"/>
          </w:tcPr>
          <w:p>
            <w:pPr>
              <w:jc w:val="left"/>
            </w:pPr>
            <w:r/>
            <w:r>
              <w:rPr>
                <w:rFonts w:ascii="Calibri" w:hAnsi="Calibri"/>
                <w:b/>
                <w:color w:val="FFFFFF"/>
                <w:sz w:val="18"/>
              </w:rPr>
              <w:t>MTQ Issuance</w:t>
            </w:r>
          </w:p>
        </w:tc>
        <w:tc>
          <w:tcPr>
            <w:tcW w:type="dxa" w:w="1296"/>
            <w:shd w:fill="1A365F"/>
            <w:vAlign w:val="center"/>
          </w:tcPr>
          <w:p>
            <w:pPr>
              <w:jc w:val="left"/>
            </w:pPr>
            <w:r/>
            <w:r>
              <w:rPr>
                <w:rFonts w:ascii="Calibri" w:hAnsi="Calibri"/>
                <w:b/>
                <w:color w:val="FFFFFF"/>
                <w:sz w:val="18"/>
              </w:rPr>
              <w:t>Hold MTQ</w:t>
            </w:r>
          </w:p>
        </w:tc>
        <w:tc>
          <w:tcPr>
            <w:tcW w:type="dxa" w:w="1296"/>
            <w:shd w:fill="1A365F"/>
            <w:vAlign w:val="center"/>
          </w:tcPr>
          <w:p>
            <w:pPr>
              <w:jc w:val="left"/>
            </w:pPr>
            <w:r/>
            <w:r>
              <w:rPr>
                <w:rFonts w:ascii="Calibri" w:hAnsi="Calibri"/>
                <w:b/>
                <w:color w:val="FFFFFF"/>
                <w:sz w:val="18"/>
              </w:rPr>
              <w:t>Transfer</w:t>
            </w:r>
          </w:p>
        </w:tc>
        <w:tc>
          <w:tcPr>
            <w:tcW w:type="dxa" w:w="1296"/>
            <w:shd w:fill="1A365F"/>
            <w:vAlign w:val="center"/>
          </w:tcPr>
          <w:p>
            <w:pPr>
              <w:jc w:val="left"/>
            </w:pPr>
            <w:r/>
            <w:r>
              <w:rPr>
                <w:rFonts w:ascii="Calibri" w:hAnsi="Calibri"/>
                <w:b/>
                <w:color w:val="FFFFFF"/>
                <w:sz w:val="18"/>
              </w:rPr>
              <w:t>Redeem</w:t>
            </w:r>
          </w:p>
        </w:tc>
        <w:tc>
          <w:tcPr>
            <w:tcW w:type="dxa" w:w="1296"/>
            <w:shd w:fill="1A365F"/>
            <w:vAlign w:val="center"/>
          </w:tcPr>
          <w:p>
            <w:pPr>
              <w:jc w:val="left"/>
            </w:pPr>
            <w:r/>
            <w:r>
              <w:rPr>
                <w:rFonts w:ascii="Calibri" w:hAnsi="Calibri"/>
                <w:b/>
                <w:color w:val="FFFFFF"/>
                <w:sz w:val="18"/>
              </w:rPr>
              <w:t>Regulatory Visibility</w:t>
            </w:r>
          </w:p>
        </w:tc>
      </w:tr>
      <w:tr>
        <w:tc>
          <w:tcPr>
            <w:tcW w:type="dxa" w:w="1296"/>
            <w:vAlign w:val="center"/>
          </w:tcPr>
          <w:p>
            <w:pPr>
              <w:jc w:val="left"/>
            </w:pPr>
            <w:r/>
            <w:r>
              <w:rPr>
                <w:rFonts w:ascii="Calibri" w:hAnsi="Calibri"/>
                <w:color w:val="2D2D2D"/>
                <w:sz w:val="18"/>
              </w:rPr>
              <w:t>Individual</w:t>
            </w:r>
          </w:p>
        </w:tc>
        <w:tc>
          <w:tcPr>
            <w:tcW w:type="dxa" w:w="1296"/>
            <w:vAlign w:val="center"/>
          </w:tcPr>
          <w:p>
            <w:pPr>
              <w:jc w:val="left"/>
            </w:pPr>
            <w:r/>
            <w:r>
              <w:rPr>
                <w:rFonts w:ascii="Calibri" w:hAnsi="Calibri"/>
                <w:color w:val="2D2D2D"/>
                <w:sz w:val="18"/>
              </w:rPr>
              <w:t>Bank</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 direct</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Per local law</w:t>
            </w:r>
          </w:p>
        </w:tc>
      </w:tr>
      <w:tr>
        <w:tc>
          <w:tcPr>
            <w:tcW w:type="dxa" w:w="1296"/>
            <w:shd w:fill="F0F0F0"/>
            <w:vAlign w:val="center"/>
          </w:tcPr>
          <w:p>
            <w:pPr>
              <w:jc w:val="left"/>
            </w:pPr>
            <w:r/>
            <w:r>
              <w:rPr>
                <w:rFonts w:ascii="Calibri" w:hAnsi="Calibri"/>
                <w:color w:val="2D2D2D"/>
                <w:sz w:val="18"/>
              </w:rPr>
              <w:t>Corporate</w:t>
            </w:r>
          </w:p>
        </w:tc>
        <w:tc>
          <w:tcPr>
            <w:tcW w:type="dxa" w:w="1296"/>
            <w:shd w:fill="F0F0F0"/>
            <w:vAlign w:val="center"/>
          </w:tcPr>
          <w:p>
            <w:pPr>
              <w:jc w:val="left"/>
            </w:pPr>
            <w:r/>
            <w:r>
              <w:rPr>
                <w:rFonts w:ascii="Calibri" w:hAnsi="Calibri"/>
                <w:color w:val="2D2D2D"/>
                <w:sz w:val="18"/>
              </w:rPr>
              <w:t>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bank-linked</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Per local law</w:t>
            </w:r>
          </w:p>
        </w:tc>
      </w:tr>
      <w:tr>
        <w:tc>
          <w:tcPr>
            <w:tcW w:type="dxa" w:w="1296"/>
            <w:vAlign w:val="center"/>
          </w:tcPr>
          <w:p>
            <w:pPr>
              <w:jc w:val="left"/>
            </w:pPr>
            <w:r/>
            <w:r>
              <w:rPr>
                <w:rFonts w:ascii="Calibri" w:hAnsi="Calibri"/>
                <w:color w:val="2D2D2D"/>
                <w:sz w:val="18"/>
              </w:rPr>
              <w:t>Regulated Bank</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r>
      <w:tr>
        <w:tc>
          <w:tcPr>
            <w:tcW w:type="dxa" w:w="1296"/>
            <w:shd w:fill="F0F0F0"/>
            <w:vAlign w:val="center"/>
          </w:tcPr>
          <w:p>
            <w:pPr>
              <w:jc w:val="left"/>
            </w:pPr>
            <w:r/>
            <w:r>
              <w:rPr>
                <w:rFonts w:ascii="Calibri" w:hAnsi="Calibri"/>
                <w:color w:val="2D2D2D"/>
                <w:sz w:val="18"/>
              </w:rPr>
              <w:t>Central Bank</w:t>
            </w:r>
          </w:p>
        </w:tc>
        <w:tc>
          <w:tcPr>
            <w:tcW w:type="dxa" w:w="1296"/>
            <w:shd w:fill="F0F0F0"/>
            <w:vAlign w:val="center"/>
          </w:tcPr>
          <w:p>
            <w:pPr>
              <w:jc w:val="left"/>
            </w:pPr>
            <w:r/>
            <w:r>
              <w:rPr>
                <w:rFonts w:ascii="Calibri" w:hAnsi="Calibri"/>
                <w:color w:val="2D2D2D"/>
                <w:sz w:val="18"/>
              </w:rPr>
              <w:t>As applicable</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w:t>
            </w:r>
          </w:p>
        </w:tc>
      </w:tr>
      <w:tr>
        <w:tc>
          <w:tcPr>
            <w:tcW w:type="dxa" w:w="1296"/>
            <w:vAlign w:val="center"/>
          </w:tcPr>
          <w:p>
            <w:pPr>
              <w:jc w:val="left"/>
            </w:pPr>
            <w:r/>
            <w:r>
              <w:rPr>
                <w:rFonts w:ascii="Calibri" w:hAnsi="Calibri"/>
                <w:color w:val="2D2D2D"/>
                <w:sz w:val="18"/>
              </w:rPr>
              <w:t>MITHQAL Op Co</w:t>
            </w:r>
          </w:p>
        </w:tc>
        <w:tc>
          <w:tcPr>
            <w:tcW w:type="dxa" w:w="1296"/>
            <w:vAlign w:val="center"/>
          </w:tcPr>
          <w:p>
            <w:pPr>
              <w:jc w:val="left"/>
            </w:pPr>
            <w:r/>
            <w:r>
              <w:rPr>
                <w:rFonts w:ascii="Calibri" w:hAnsi="Calibri"/>
                <w:color w:val="2D2D2D"/>
                <w:sz w:val="18"/>
              </w:rPr>
              <w:t>No routine</w:t>
            </w:r>
          </w:p>
        </w:tc>
        <w:tc>
          <w:tcPr>
            <w:tcW w:type="dxa" w:w="1296"/>
            <w:vAlign w:val="center"/>
          </w:tcPr>
          <w:p>
            <w:pPr>
              <w:jc w:val="left"/>
            </w:pPr>
            <w:r/>
            <w:r>
              <w:rPr>
                <w:rFonts w:ascii="Calibri" w:hAnsi="Calibri"/>
                <w:color w:val="2D2D2D"/>
                <w:sz w:val="18"/>
              </w:rPr>
              <w:t>Processes request</w:t>
            </w:r>
          </w:p>
        </w:tc>
        <w:tc>
          <w:tcPr>
            <w:tcW w:type="dxa" w:w="1296"/>
            <w:vAlign w:val="center"/>
          </w:tcPr>
          <w:p>
            <w:pPr>
              <w:jc w:val="left"/>
            </w:pPr>
            <w:r/>
            <w:r>
              <w:rPr>
                <w:rFonts w:ascii="Calibri" w:hAnsi="Calibri"/>
                <w:color w:val="2D2D2D"/>
                <w:sz w:val="18"/>
              </w:rPr>
              <w:t>Network role</w:t>
            </w:r>
          </w:p>
        </w:tc>
        <w:tc>
          <w:tcPr>
            <w:tcW w:type="dxa" w:w="1296"/>
            <w:vAlign w:val="center"/>
          </w:tcPr>
          <w:p>
            <w:pPr>
              <w:jc w:val="left"/>
            </w:pPr>
            <w:r/>
            <w:r>
              <w:rPr>
                <w:rFonts w:ascii="Calibri" w:hAnsi="Calibri"/>
                <w:color w:val="2D2D2D"/>
                <w:sz w:val="18"/>
              </w:rPr>
              <w:t>Settlement infra</w:t>
            </w:r>
          </w:p>
        </w:tc>
        <w:tc>
          <w:tcPr>
            <w:tcW w:type="dxa" w:w="1296"/>
            <w:vAlign w:val="center"/>
          </w:tcPr>
          <w:p>
            <w:pPr>
              <w:jc w:val="left"/>
            </w:pPr>
            <w:r/>
            <w:r>
              <w:rPr>
                <w:rFonts w:ascii="Calibri" w:hAnsi="Calibri"/>
                <w:color w:val="2D2D2D"/>
                <w:sz w:val="18"/>
              </w:rPr>
              <w:t>Infrastructure</w:t>
            </w:r>
          </w:p>
        </w:tc>
        <w:tc>
          <w:tcPr>
            <w:tcW w:type="dxa" w:w="1296"/>
            <w:vAlign w:val="center"/>
          </w:tcPr>
          <w:p>
            <w:pPr>
              <w:jc w:val="left"/>
            </w:pPr>
            <w:r/>
            <w:r>
              <w:rPr>
                <w:rFonts w:ascii="Calibri" w:hAnsi="Calibri"/>
                <w:color w:val="2D2D2D"/>
                <w:sz w:val="18"/>
              </w:rPr>
              <w:t>Lawful access</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AUTHORITY_MATRIX</w:t>
      </w:r>
    </w:p>
    <w:p>
      <w:pPr>
        <w:pBdr>
          <w:bottom w:val="single" w:sz="12" w:space="1" w:color="C59B1E"/>
        </w:pBdr>
      </w:pPr>
    </w:p>
    <w:p>
      <w:pPr>
        <w:pStyle w:val="Heading2"/>
      </w:pPr>
      <w:r>
        <w:t>§V25.0.35 — TEN CONSTITUTIONAL PRINCIPLES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Principle</w:t>
            </w:r>
          </w:p>
        </w:tc>
        <w:tc>
          <w:tcPr>
            <w:tcW w:type="dxa" w:w="3024"/>
            <w:shd w:fill="1A365F"/>
            <w:vAlign w:val="center"/>
          </w:tcPr>
          <w:p>
            <w:pPr>
              <w:jc w:val="left"/>
            </w:pPr>
            <w:r/>
            <w:r>
              <w:rPr>
                <w:rFonts w:ascii="Calibri" w:hAnsi="Calibri"/>
                <w:b/>
                <w:color w:val="FFFFFF"/>
                <w:sz w:val="18"/>
              </w:rPr>
              <w:t>Statement</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Neutrality</w:t>
            </w:r>
          </w:p>
        </w:tc>
        <w:tc>
          <w:tcPr>
            <w:tcW w:type="dxa" w:w="3024"/>
            <w:vAlign w:val="center"/>
          </w:tcPr>
          <w:p>
            <w:pPr>
              <w:jc w:val="left"/>
            </w:pPr>
            <w:r/>
            <w:r>
              <w:rPr>
                <w:rFonts w:ascii="Calibri" w:hAnsi="Calibri"/>
                <w:color w:val="2D2D2D"/>
                <w:sz w:val="18"/>
              </w:rPr>
              <w:t>MTQ connects sovereign systems, doesn't compete</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Institutional Access</w:t>
            </w:r>
          </w:p>
        </w:tc>
        <w:tc>
          <w:tcPr>
            <w:tcW w:type="dxa" w:w="3024"/>
            <w:shd w:fill="F0F0F0"/>
            <w:vAlign w:val="center"/>
          </w:tcPr>
          <w:p>
            <w:pPr>
              <w:jc w:val="left"/>
            </w:pPr>
            <w:r/>
            <w:r>
              <w:rPr>
                <w:rFonts w:ascii="Calibri" w:hAnsi="Calibri"/>
                <w:color w:val="2D2D2D"/>
                <w:sz w:val="18"/>
              </w:rPr>
              <w:t>Wholesale B2B through regulated institutions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Bank Partnership</w:t>
            </w:r>
          </w:p>
        </w:tc>
        <w:tc>
          <w:tcPr>
            <w:tcW w:type="dxa" w:w="3024"/>
            <w:vAlign w:val="center"/>
          </w:tcPr>
          <w:p>
            <w:pPr>
              <w:jc w:val="left"/>
            </w:pPr>
            <w:r/>
            <w:r>
              <w:rPr>
                <w:rFonts w:ascii="Calibri" w:hAnsi="Calibri"/>
                <w:color w:val="2D2D2D"/>
                <w:sz w:val="18"/>
              </w:rPr>
              <w:t>Banks are the customer gateway</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Non-Discretionary Issuance</w:t>
            </w:r>
          </w:p>
        </w:tc>
        <w:tc>
          <w:tcPr>
            <w:tcW w:type="dxa" w:w="3024"/>
            <w:shd w:fill="F0F0F0"/>
            <w:vAlign w:val="center"/>
          </w:tcPr>
          <w:p>
            <w:pPr>
              <w:jc w:val="left"/>
            </w:pPr>
            <w:r/>
            <w:r>
              <w:rPr>
                <w:rFonts w:ascii="Calibri" w:hAnsi="Calibri"/>
                <w:color w:val="2D2D2D"/>
                <w:sz w:val="18"/>
              </w:rPr>
              <w:t>No MTQ without verified backing</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Privacy</w:t>
            </w:r>
          </w:p>
        </w:tc>
        <w:tc>
          <w:tcPr>
            <w:tcW w:type="dxa" w:w="3024"/>
            <w:vAlign w:val="center"/>
          </w:tcPr>
          <w:p>
            <w:pPr>
              <w:jc w:val="left"/>
            </w:pPr>
            <w:r/>
            <w:r>
              <w:rPr>
                <w:rFonts w:ascii="Calibri" w:hAnsi="Calibri"/>
                <w:color w:val="2D2D2D"/>
                <w:sz w:val="18"/>
              </w:rPr>
              <w:t>Minimum necessary info, cryptographic attestations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Traceability</w:t>
            </w:r>
          </w:p>
        </w:tc>
        <w:tc>
          <w:tcPr>
            <w:tcW w:type="dxa" w:w="3024"/>
            <w:shd w:fill="F0F0F0"/>
            <w:vAlign w:val="center"/>
          </w:tcPr>
          <w:p>
            <w:pPr>
              <w:jc w:val="left"/>
            </w:pPr>
            <w:r/>
            <w:r>
              <w:rPr>
                <w:rFonts w:ascii="Calibri" w:hAnsi="Calibri"/>
                <w:color w:val="2D2D2D"/>
                <w:sz w:val="18"/>
              </w:rPr>
              <w:t>Attributable, auditable, lawful access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CBDC Neutrality</w:t>
            </w:r>
          </w:p>
        </w:tc>
        <w:tc>
          <w:tcPr>
            <w:tcW w:type="dxa" w:w="3024"/>
            <w:vAlign w:val="center"/>
          </w:tcPr>
          <w:p>
            <w:pPr>
              <w:jc w:val="left"/>
            </w:pPr>
            <w:r/>
            <w:r>
              <w:rPr>
                <w:rFonts w:ascii="Calibri" w:hAnsi="Calibri"/>
                <w:color w:val="2D2D2D"/>
                <w:sz w:val="18"/>
              </w:rPr>
              <w:t>CBDCs remain sovereign; MTQ is the bridge</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Regulatory Compatibility</w:t>
            </w:r>
          </w:p>
        </w:tc>
        <w:tc>
          <w:tcPr>
            <w:tcW w:type="dxa" w:w="3024"/>
            <w:shd w:fill="F0F0F0"/>
            <w:vAlign w:val="center"/>
          </w:tcPr>
          <w:p>
            <w:pPr>
              <w:jc w:val="left"/>
            </w:pPr>
            <w:r/>
            <w:r>
              <w:rPr>
                <w:rFonts w:ascii="Calibri" w:hAnsi="Calibri"/>
                <w:color w:val="2D2D2D"/>
                <w:sz w:val="18"/>
              </w:rPr>
              <w:t>Jurisdiction-specific enforcement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Monetary Integrity</w:t>
            </w:r>
          </w:p>
        </w:tc>
        <w:tc>
          <w:tcPr>
            <w:tcW w:type="dxa" w:w="3024"/>
            <w:vAlign w:val="center"/>
          </w:tcPr>
          <w:p>
            <w:pPr>
              <w:jc w:val="left"/>
            </w:pPr>
            <w:r/>
            <w:r>
              <w:rPr>
                <w:rFonts w:ascii="Calibri" w:hAnsi="Calibri"/>
                <w:color w:val="2D2D2D"/>
                <w:sz w:val="18"/>
              </w:rPr>
              <w:t>Reserve, liquidity, solvency priorities</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Institutional Economics</w:t>
            </w:r>
          </w:p>
        </w:tc>
        <w:tc>
          <w:tcPr>
            <w:tcW w:type="dxa" w:w="3024"/>
            <w:shd w:fill="F0F0F0"/>
            <w:vAlign w:val="center"/>
          </w:tcPr>
          <w:p>
            <w:pPr>
              <w:jc w:val="left"/>
            </w:pPr>
            <w:r/>
            <w:r>
              <w:rPr>
                <w:rFonts w:ascii="Calibri" w:hAnsi="Calibri"/>
                <w:color w:val="2D2D2D"/>
                <w:sz w:val="18"/>
              </w:rPr>
              <w:t>Banks remain economically incentivized</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TEN_PRINCIPLES</w:t>
      </w:r>
    </w:p>
    <w:p>
      <w:pPr>
        <w:pBdr>
          <w:bottom w:val="single" w:sz="12" w:space="1" w:color="C59B1E"/>
        </w:pBdr>
      </w:pPr>
    </w:p>
    <w:p>
      <w:pPr>
        <w:pStyle w:val="Heading2"/>
      </w:pPr>
      <w:r>
        <w:t>§V25.0.36 — ECONOMIC PROPOSITION</w:t>
      </w:r>
    </w:p>
    <w:p>
      <w:pPr>
        <w:spacing w:before="120" w:after="120"/>
        <w:ind w:left="567" w:right="567"/>
        <w:pBdr>
          <w:left w:val="single" w:sz="24" w:space="8" w:color="C59B1E"/>
        </w:pBdr>
        <w:shd w:fill="FFFBF0"/>
      </w:pPr>
      <w:r>
        <w:rPr>
          <w:b/>
          <w:i/>
          <w:color w:val="1A365F"/>
          <w:sz w:val="22"/>
        </w:rPr>
        <w:t>**Do not promise specific savings before pilots. Measure instead.**</w:t>
      </w:r>
    </w:p>
    <w:p>
      <w:pPr>
        <w:pStyle w:val="Heading3"/>
      </w:pPr>
      <w:r>
        <w:t>Measure</w:t>
      </w:r>
    </w:p>
    <w:p>
      <w:r>
        <w:t>Settlement time, failure rate, reconciliation cost, correspondent handoffs, trapped liquidity, intraday liquidity, operational cost, investigation time, compliance-processing time, transaction transparency.</w:t>
      </w:r>
    </w:p>
    <w:p>
      <w:pPr>
        <w:pStyle w:val="Heading3"/>
      </w:pPr>
      <w:r>
        <w:t>Statement</w:t>
      </w:r>
    </w:p>
    <w:p>
      <w:pPr>
        <w:spacing w:before="120" w:after="120"/>
        <w:ind w:left="567" w:right="567"/>
        <w:pBdr>
          <w:left w:val="single" w:sz="24" w:space="8" w:color="C59B1E"/>
        </w:pBdr>
        <w:shd w:fill="FFFBF0"/>
      </w:pPr>
      <w:r>
        <w:rPr>
          <w:b/>
          <w:i/>
          <w:color w:val="1A365F"/>
          <w:sz w:val="22"/>
        </w:rPr>
        <w:t>**MITHQAL seeks to reduce the friction, settlement risk, liquidity cost and operational complexity of cross-border trade.**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ECONOMIC_PROPOSITION</w:t>
      </w:r>
    </w:p>
    <w:p>
      <w:pPr>
        <w:pBdr>
          <w:bottom w:val="single" w:sz="12" w:space="1" w:color="C59B1E"/>
        </w:pBdr>
      </w:pPr>
    </w:p>
    <w:p>
      <w:pPr>
        <w:pStyle w:val="Heading2"/>
      </w:pPr>
      <w:r>
        <w:t>§V25.0.37 — REGULATORY OBSERVABILITY</w:t>
      </w:r>
    </w:p>
    <w:p>
      <w:pPr>
        <w:pStyle w:val="Heading3"/>
      </w:pPr>
      <w:r>
        <w:t>Correct Wording</w:t>
      </w:r>
    </w:p>
    <w:p>
      <w:pPr>
        <w:spacing w:before="120" w:after="120"/>
        <w:ind w:left="567" w:right="567"/>
        <w:pBdr>
          <w:left w:val="single" w:sz="24" w:space="8" w:color="C59B1E"/>
        </w:pBdr>
        <w:shd w:fill="FFFBF0"/>
      </w:pPr>
      <w:r>
        <w:rPr>
          <w:b/>
          <w:i/>
          <w:color w:val="1A365F"/>
          <w:sz w:val="22"/>
        </w:rPr>
        <w:t>**Full regulatory observability and control within legal authority** (NOT "full central-bank control")</w:t>
      </w:r>
    </w:p>
    <w:p>
      <w:pPr>
        <w:pStyle w:val="Heading3"/>
      </w:pPr>
      <w:r>
        <w:t>Observability Scope</w:t>
      </w:r>
    </w:p>
    <w:p>
      <w:r>
        <w:t>Participating institutions, corridors, settlement volumes, systemic liquidity, sanctions, jurisdiction blocks, institutional risk, abnormal flows, settlement health, reserves where legally relevant.</w:t>
      </w:r>
    </w:p>
    <w:p>
      <w:pPr>
        <w:pStyle w:val="Heading3"/>
      </w:pPr>
      <w:r>
        <w:t>Privacy Rule</w:t>
      </w:r>
    </w:p>
    <w:p>
      <w:r>
        <w:t>Access to underlying corporate/customer identity remains governed by legal authority. This avoids creating a global surveillance system.</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REGULATORY_OBSERVABILITY</w:t>
      </w:r>
    </w:p>
    <w:p>
      <w:pPr>
        <w:pBdr>
          <w:bottom w:val="single" w:sz="12" w:space="1" w:color="C59B1E"/>
        </w:pBdr>
      </w:pPr>
    </w:p>
    <w:p>
      <w:pPr>
        <w:pStyle w:val="Heading2"/>
      </w:pPr>
      <w:r>
        <w:t>§V25.0.38 — MINIMUM CAPITAL SOLVER</w:t>
      </w:r>
    </w:p>
    <w:p>
      <w:pPr>
        <w:pStyle w:val="Heading3"/>
      </w:pPr>
      <w:r>
        <w:t>Finding</w:t>
      </w:r>
    </w:p>
    <w:p>
      <w:r>
        <w:t xml:space="preserve">After ALL non-capital mitigations: </w:t>
      </w:r>
      <w:r>
        <w:rPr>
          <w:b/>
        </w:rPr>
        <w:t>ΔCapital_min = $15,814,667</w:t>
      </w:r>
    </w:p>
    <w:p>
      <w:pPr>
        <w:pStyle w:val="Heading3"/>
      </w:pPr>
      <w:r>
        <w:t>Binding Constraint</w:t>
      </w:r>
    </w:p>
    <w:p>
      <w:r>
        <w:t>P(RR&lt;100%) ≤ 5% governance threshold</w:t>
      </w:r>
    </w:p>
    <w:p>
      <w:pPr>
        <w:pStyle w:val="Heading3"/>
      </w:pPr>
      <w:r>
        <w:t>Why Non-Capital Methods Are Insufficient</w:t>
      </w:r>
    </w:p>
    <w:p>
      <w:pPr>
        <w:pStyle w:val="ListNumber"/>
        <w:ind w:left="425"/>
      </w:pPr>
      <w:r>
        <w:t>Portfolio already optimized</w:t>
      </w:r>
    </w:p>
    <w:p>
      <w:pPr>
        <w:pStyle w:val="ListNumber"/>
        <w:ind w:left="425"/>
      </w:pPr>
      <w:r>
        <w:t>CALM at maximum restriction</w:t>
      </w:r>
    </w:p>
    <w:p>
      <w:pPr>
        <w:pStyle w:val="ListNumber"/>
        <w:ind w:left="425"/>
      </w:pPr>
      <w:r>
        <w:t>TGRS fail-closed</w:t>
      </w:r>
    </w:p>
    <w:p>
      <w:pPr>
        <w:pStyle w:val="ListNumber"/>
        <w:ind w:left="425"/>
      </w:pPr>
      <w:r>
        <w:t>MPC: NO FEASIBLE λ produces StressRR ≥ 100%</w:t>
      </w:r>
    </w:p>
    <w:p>
      <w:pPr>
        <w:pStyle w:val="ListNumber"/>
        <w:ind w:left="425"/>
      </w:pPr>
      <w:r>
        <w:t>Breach probability is structural</w:t>
      </w:r>
    </w:p>
    <w:p>
      <w:pPr>
        <w:pStyle w:val="ListNumber"/>
        <w:ind w:left="425"/>
      </w:pPr>
      <w:r>
        <w:t>Only capital injection raises the entire RR distribution</w:t>
      </w:r>
    </w:p>
    <w:p>
      <w:pPr>
        <w:pStyle w:val="Heading3"/>
      </w:pPr>
      <w:r>
        <w:t>At ΔCapital_min</w:t>
      </w:r>
    </w:p>
    <w:p>
      <w:pPr>
        <w:pStyle w:val="ListBullet"/>
        <w:ind w:left="425"/>
      </w:pPr>
      <w:r>
        <w:t>StressRR → ~127.8%</w:t>
      </w:r>
    </w:p>
    <w:p>
      <w:pPr>
        <w:pStyle w:val="ListBullet"/>
        <w:ind w:left="425"/>
      </w:pPr>
      <w:r>
        <w:t>P(RR&lt;100%) → ~5%</w:t>
      </w:r>
    </w:p>
    <w:p>
      <w:pPr>
        <w:pBdr>
          <w:bottom w:val="single" w:sz="12" w:space="1" w:color="C59B1E"/>
        </w:pBdr>
      </w:pPr>
    </w:p>
    <w:p>
      <w:pPr>
        <w:pStyle w:val="Heading2"/>
      </w:pPr>
      <w:r>
        <w:t>§V25.0.39 — FORMAL ACCEPTANCE CRITERIA (34 Items)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Criterion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MTQ = permissioned wholesale settlement instrument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MITHQAL = neutral wholesale settlement infrastructure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Retail/customer direct minting removed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Institutional issuance replaced participant issuance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Regulated institutions are primary participants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CB participation is explicit-authorization only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Customer KYC primarily by regulated institutions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MITHQAL institution-level authorization implemented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Institutional transaction compliance implemented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MTQ traceability is institutional and permissioned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Immutable settlement records mandatory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CBDC interoperability is first-class layer</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Sovereign currencies remain sovereign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14</w:t>
            </w:r>
          </w:p>
        </w:tc>
        <w:tc>
          <w:tcPr>
            <w:tcW w:type="dxa" w:w="3024"/>
            <w:shd w:fill="F0F0F0"/>
            <w:vAlign w:val="center"/>
          </w:tcPr>
          <w:p>
            <w:pPr>
              <w:jc w:val="left"/>
            </w:pPr>
            <w:r/>
            <w:r>
              <w:rPr>
                <w:rFonts w:ascii="Calibri" w:hAnsi="Calibri"/>
                <w:color w:val="2D2D2D"/>
                <w:sz w:val="18"/>
              </w:rPr>
              <w:t>MTQ not positioned as replacement currency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No exchange operation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16</w:t>
            </w:r>
          </w:p>
        </w:tc>
        <w:tc>
          <w:tcPr>
            <w:tcW w:type="dxa" w:w="3024"/>
            <w:shd w:fill="F0F0F0"/>
            <w:vAlign w:val="center"/>
          </w:tcPr>
          <w:p>
            <w:pPr>
              <w:jc w:val="left"/>
            </w:pPr>
            <w:r/>
            <w:r>
              <w:rPr>
                <w:rFonts w:ascii="Calibri" w:hAnsi="Calibri"/>
                <w:color w:val="2D2D2D"/>
                <w:sz w:val="18"/>
              </w:rPr>
              <w:t>No brokerage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17</w:t>
            </w:r>
          </w:p>
        </w:tc>
        <w:tc>
          <w:tcPr>
            <w:tcW w:type="dxa" w:w="3024"/>
            <w:vAlign w:val="center"/>
          </w:tcPr>
          <w:p>
            <w:pPr>
              <w:jc w:val="left"/>
            </w:pPr>
            <w:r/>
            <w:r>
              <w:rPr>
                <w:rFonts w:ascii="Calibri" w:hAnsi="Calibri"/>
                <w:color w:val="2D2D2D"/>
                <w:sz w:val="18"/>
              </w:rPr>
              <w:t>No market making</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18</w:t>
            </w:r>
          </w:p>
        </w:tc>
        <w:tc>
          <w:tcPr>
            <w:tcW w:type="dxa" w:w="3024"/>
            <w:shd w:fill="F0F0F0"/>
            <w:vAlign w:val="center"/>
          </w:tcPr>
          <w:p>
            <w:pPr>
              <w:jc w:val="left"/>
            </w:pPr>
            <w:r/>
            <w:r>
              <w:rPr>
                <w:rFonts w:ascii="Calibri" w:hAnsi="Calibri"/>
                <w:color w:val="2D2D2D"/>
                <w:sz w:val="18"/>
              </w:rPr>
              <w:t>No lending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19</w:t>
            </w:r>
          </w:p>
        </w:tc>
        <w:tc>
          <w:tcPr>
            <w:tcW w:type="dxa" w:w="3024"/>
            <w:vAlign w:val="center"/>
          </w:tcPr>
          <w:p>
            <w:pPr>
              <w:jc w:val="left"/>
            </w:pPr>
            <w:r/>
            <w:r>
              <w:rPr>
                <w:rFonts w:ascii="Calibri" w:hAnsi="Calibri"/>
                <w:color w:val="2D2D2D"/>
                <w:sz w:val="18"/>
              </w:rPr>
              <w:t>No trade finance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20</w:t>
            </w:r>
          </w:p>
        </w:tc>
        <w:tc>
          <w:tcPr>
            <w:tcW w:type="dxa" w:w="3024"/>
            <w:shd w:fill="F0F0F0"/>
            <w:vAlign w:val="center"/>
          </w:tcPr>
          <w:p>
            <w:pPr>
              <w:jc w:val="left"/>
            </w:pPr>
            <w:r/>
            <w:r>
              <w:rPr>
                <w:rFonts w:ascii="Calibri" w:hAnsi="Calibri"/>
                <w:color w:val="2D2D2D"/>
                <w:sz w:val="18"/>
              </w:rPr>
              <w:t>No discretionary minting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21</w:t>
            </w:r>
          </w:p>
        </w:tc>
        <w:tc>
          <w:tcPr>
            <w:tcW w:type="dxa" w:w="3024"/>
            <w:vAlign w:val="center"/>
          </w:tcPr>
          <w:p>
            <w:pPr>
              <w:jc w:val="left"/>
            </w:pPr>
            <w:r/>
            <w:r>
              <w:rPr>
                <w:rFonts w:ascii="Calibri" w:hAnsi="Calibri"/>
                <w:color w:val="2D2D2D"/>
                <w:sz w:val="18"/>
              </w:rPr>
              <w:t>Institutional authorization registry exists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22</w:t>
            </w:r>
          </w:p>
        </w:tc>
        <w:tc>
          <w:tcPr>
            <w:tcW w:type="dxa" w:w="3024"/>
            <w:shd w:fill="F0F0F0"/>
            <w:vAlign w:val="center"/>
          </w:tcPr>
          <w:p>
            <w:pPr>
              <w:jc w:val="left"/>
            </w:pPr>
            <w:r/>
            <w:r>
              <w:rPr>
                <w:rFonts w:ascii="Calibri" w:hAnsi="Calibri"/>
                <w:color w:val="2D2D2D"/>
                <w:sz w:val="18"/>
              </w:rPr>
              <w:t>Jurisdictional authorization matrix controls access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23</w:t>
            </w:r>
          </w:p>
        </w:tc>
        <w:tc>
          <w:tcPr>
            <w:tcW w:type="dxa" w:w="3024"/>
            <w:vAlign w:val="center"/>
          </w:tcPr>
          <w:p>
            <w:pPr>
              <w:jc w:val="left"/>
            </w:pPr>
            <w:r/>
            <w:r>
              <w:rPr>
                <w:rFonts w:ascii="Calibri" w:hAnsi="Calibri"/>
                <w:color w:val="2D2D2D"/>
                <w:sz w:val="18"/>
              </w:rPr>
              <w:t>Prohibited jurisdictions technically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24</w:t>
            </w:r>
          </w:p>
        </w:tc>
        <w:tc>
          <w:tcPr>
            <w:tcW w:type="dxa" w:w="3024"/>
            <w:shd w:fill="F0F0F0"/>
            <w:vAlign w:val="center"/>
          </w:tcPr>
          <w:p>
            <w:pPr>
              <w:jc w:val="left"/>
            </w:pPr>
            <w:r/>
            <w:r>
              <w:rPr>
                <w:rFonts w:ascii="Calibri" w:hAnsi="Calibri"/>
                <w:color w:val="2D2D2D"/>
                <w:sz w:val="18"/>
              </w:rPr>
              <w:t>Entry/exit through regulated gateways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25</w:t>
            </w:r>
          </w:p>
        </w:tc>
        <w:tc>
          <w:tcPr>
            <w:tcW w:type="dxa" w:w="3024"/>
            <w:vAlign w:val="center"/>
          </w:tcPr>
          <w:p>
            <w:pPr>
              <w:jc w:val="left"/>
            </w:pPr>
            <w:r/>
            <w:r>
              <w:rPr>
                <w:rFonts w:ascii="Calibri" w:hAnsi="Calibri"/>
                <w:color w:val="2D2D2D"/>
                <w:sz w:val="18"/>
              </w:rPr>
              <w:t>Legal finality separated from technical finality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26</w:t>
            </w:r>
          </w:p>
        </w:tc>
        <w:tc>
          <w:tcPr>
            <w:tcW w:type="dxa" w:w="3024"/>
            <w:shd w:fill="F0F0F0"/>
            <w:vAlign w:val="center"/>
          </w:tcPr>
          <w:p>
            <w:pPr>
              <w:jc w:val="left"/>
            </w:pPr>
            <w:r/>
            <w:r>
              <w:rPr>
                <w:rFonts w:ascii="Calibri" w:hAnsi="Calibri"/>
                <w:color w:val="2D2D2D"/>
                <w:sz w:val="18"/>
              </w:rPr>
              <w:t>Sharia review scope updated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27</w:t>
            </w:r>
          </w:p>
        </w:tc>
        <w:tc>
          <w:tcPr>
            <w:tcW w:type="dxa" w:w="3024"/>
            <w:vAlign w:val="center"/>
          </w:tcPr>
          <w:p>
            <w:pPr>
              <w:jc w:val="left"/>
            </w:pPr>
            <w:r/>
            <w:r>
              <w:rPr>
                <w:rFonts w:ascii="Calibri" w:hAnsi="Calibri"/>
                <w:color w:val="2D2D2D"/>
                <w:sz w:val="18"/>
              </w:rPr>
              <w:t>Conflicting historical language quarantined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28</w:t>
            </w:r>
          </w:p>
        </w:tc>
        <w:tc>
          <w:tcPr>
            <w:tcW w:type="dxa" w:w="3024"/>
            <w:shd w:fill="F0F0F0"/>
            <w:vAlign w:val="center"/>
          </w:tcPr>
          <w:p>
            <w:pPr>
              <w:jc w:val="left"/>
            </w:pPr>
            <w:r/>
            <w:r>
              <w:rPr>
                <w:rFonts w:ascii="Calibri" w:hAnsi="Calibri"/>
                <w:color w:val="2D2D2D"/>
                <w:sz w:val="18"/>
              </w:rPr>
              <w:t>Smart contracts enforce institutional issuance</w:t>
            </w:r>
          </w:p>
        </w:tc>
        <w:tc>
          <w:tcPr>
            <w:tcW w:type="dxa" w:w="3024"/>
            <w:shd w:fill="F0F0F0"/>
            <w:vAlign w:val="center"/>
          </w:tcPr>
          <w:p>
            <w:pPr>
              <w:jc w:val="left"/>
            </w:pPr>
            <w:r/>
            <w:r>
              <w:rPr>
                <w:rFonts w:ascii="Calibri" w:hAnsi="Calibri"/>
                <w:color w:val="2D2D2D"/>
                <w:sz w:val="18"/>
              </w:rPr>
              <w:t>⚠️ PENDING</w:t>
            </w:r>
          </w:p>
        </w:tc>
      </w:tr>
      <w:tr>
        <w:tc>
          <w:tcPr>
            <w:tcW w:type="dxa" w:w="3024"/>
            <w:vAlign w:val="center"/>
          </w:tcPr>
          <w:p>
            <w:pPr>
              <w:jc w:val="left"/>
            </w:pPr>
            <w:r/>
            <w:r>
              <w:rPr>
                <w:rFonts w:ascii="Calibri" w:hAnsi="Calibri"/>
                <w:color w:val="2D2D2D"/>
                <w:sz w:val="18"/>
              </w:rPr>
              <w:t>29</w:t>
            </w:r>
          </w:p>
        </w:tc>
        <w:tc>
          <w:tcPr>
            <w:tcW w:type="dxa" w:w="3024"/>
            <w:vAlign w:val="center"/>
          </w:tcPr>
          <w:p>
            <w:pPr>
              <w:jc w:val="left"/>
            </w:pPr>
            <w:r/>
            <w:r>
              <w:rPr>
                <w:rFonts w:ascii="Calibri" w:hAnsi="Calibri"/>
                <w:color w:val="2D2D2D"/>
                <w:sz w:val="18"/>
              </w:rPr>
              <w:t>Tests prove unauthorized retail issuance impossible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30</w:t>
            </w:r>
          </w:p>
        </w:tc>
        <w:tc>
          <w:tcPr>
            <w:tcW w:type="dxa" w:w="3024"/>
            <w:shd w:fill="F0F0F0"/>
            <w:vAlign w:val="center"/>
          </w:tcPr>
          <w:p>
            <w:pPr>
              <w:jc w:val="left"/>
            </w:pPr>
            <w:r/>
            <w:r>
              <w:rPr>
                <w:rFonts w:ascii="Calibri" w:hAnsi="Calibri"/>
                <w:color w:val="2D2D2D"/>
                <w:sz w:val="18"/>
              </w:rPr>
              <w:t>Tests prove unauthorized institutional issuance impossible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31</w:t>
            </w:r>
          </w:p>
        </w:tc>
        <w:tc>
          <w:tcPr>
            <w:tcW w:type="dxa" w:w="3024"/>
            <w:vAlign w:val="center"/>
          </w:tcPr>
          <w:p>
            <w:pPr>
              <w:jc w:val="left"/>
            </w:pPr>
            <w:r/>
            <w:r>
              <w:rPr>
                <w:rFonts w:ascii="Calibri" w:hAnsi="Calibri"/>
                <w:color w:val="2D2D2D"/>
                <w:sz w:val="18"/>
              </w:rPr>
              <w:t>Tests prove unauthorized cross-jurisdiction settlement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32</w:t>
            </w:r>
          </w:p>
        </w:tc>
        <w:tc>
          <w:tcPr>
            <w:tcW w:type="dxa" w:w="3024"/>
            <w:shd w:fill="F0F0F0"/>
            <w:vAlign w:val="center"/>
          </w:tcPr>
          <w:p>
            <w:pPr>
              <w:jc w:val="left"/>
            </w:pPr>
            <w:r/>
            <w:r>
              <w:rPr>
                <w:rFonts w:ascii="Calibri" w:hAnsi="Calibri"/>
                <w:color w:val="2D2D2D"/>
                <w:sz w:val="18"/>
              </w:rPr>
              <w:t>Tests prove audit traceability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33</w:t>
            </w:r>
          </w:p>
        </w:tc>
        <w:tc>
          <w:tcPr>
            <w:tcW w:type="dxa" w:w="3024"/>
            <w:vAlign w:val="center"/>
          </w:tcPr>
          <w:p>
            <w:pPr>
              <w:jc w:val="left"/>
            </w:pPr>
            <w:r/>
            <w:r>
              <w:rPr>
                <w:rFonts w:ascii="Calibri" w:hAnsi="Calibri"/>
                <w:color w:val="2D2D2D"/>
                <w:sz w:val="18"/>
              </w:rPr>
              <w:t>Tests prove reserve integrity after issuance/redemption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34</w:t>
            </w:r>
          </w:p>
        </w:tc>
        <w:tc>
          <w:tcPr>
            <w:tcW w:type="dxa" w:w="3024"/>
            <w:shd w:fill="F0F0F0"/>
            <w:vAlign w:val="center"/>
          </w:tcPr>
          <w:p>
            <w:pPr>
              <w:jc w:val="left"/>
            </w:pPr>
            <w:r/>
            <w:r>
              <w:rPr>
                <w:rFonts w:ascii="Calibri" w:hAnsi="Calibri"/>
                <w:color w:val="2D2D2D"/>
                <w:sz w:val="18"/>
              </w:rPr>
              <w:t>Full regression testing passes</w:t>
            </w:r>
          </w:p>
        </w:tc>
        <w:tc>
          <w:tcPr>
            <w:tcW w:type="dxa" w:w="3024"/>
            <w:shd w:fill="F0F0F0"/>
            <w:vAlign w:val="center"/>
          </w:tcPr>
          <w:p>
            <w:pPr>
              <w:jc w:val="left"/>
            </w:pPr>
            <w:r/>
            <w:r>
              <w:rPr>
                <w:rFonts w:ascii="Calibri" w:hAnsi="Calibri"/>
                <w:color w:val="2D2D2D"/>
                <w:sz w:val="18"/>
              </w:rPr>
              <w:t>✅</w:t>
            </w:r>
          </w:p>
        </w:tc>
      </w:tr>
    </w:tbl>
    <w:p/>
    <w:p>
      <w:r>
        <w:rPr>
          <w:b/>
        </w:rPr>
        <w:t>32/34 fully YES. 2 PENDING (on-chain smart-contract enforcement).</w:t>
      </w:r>
    </w:p>
    <w:p>
      <w:pPr>
        <w:pBdr>
          <w:bottom w:val="single" w:sz="12" w:space="1" w:color="C59B1E"/>
        </w:pBdr>
      </w:pPr>
    </w:p>
    <w:p>
      <w:pPr>
        <w:pStyle w:val="Heading2"/>
      </w:pPr>
      <w:r>
        <w:t>§V25.0.40 — FINAL COO DECISION (Locked Architecture)</w:t>
      </w:r>
    </w:p>
    <w:p>
      <w:pPr>
        <w:pStyle w:val="Heading3"/>
      </w:pPr>
      <w:r>
        <w:t>Locked Flow</w:t>
      </w:r>
    </w:p>
    <w:p>
      <w:pPr>
        <w:spacing w:before="120" w:after="120"/>
        <w:ind w:left="567" w:right="567"/>
        <w:pBdr>
          <w:left w:val="single" w:sz="24" w:space="8" w:color="C59B1E"/>
        </w:pBdr>
        <w:shd w:fill="FFFBF0"/>
      </w:pPr>
      <w:r>
        <w:rPr>
          <w:b/>
          <w:i/>
          <w:color w:val="1A365F"/>
          <w:sz w:val="22"/>
        </w:rPr>
        <w:t>**Corporate customer → regulated bank → bank-linked corporate MTQ settlement account → MITHQAL neutral wholesale settlement → receiving bank → corporate account.**</w:t>
      </w:r>
    </w:p>
    <w:p>
      <w:pPr>
        <w:pStyle w:val="Heading3"/>
      </w:pPr>
      <w:r>
        <w:t>Roles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Entity</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Neutral infrastructure</w:t>
            </w:r>
          </w:p>
        </w:tc>
      </w:tr>
      <w:tr>
        <w:tc>
          <w:tcPr>
            <w:tcW w:type="dxa" w:w="4536"/>
            <w:shd w:fill="F0F0F0"/>
            <w:vAlign w:val="center"/>
          </w:tcPr>
          <w:p>
            <w:pPr>
              <w:jc w:val="left"/>
            </w:pPr>
            <w:r/>
            <w:r>
              <w:rPr>
                <w:rFonts w:ascii="Calibri" w:hAnsi="Calibri"/>
                <w:color w:val="2D2D2D"/>
                <w:sz w:val="18"/>
              </w:rPr>
              <w:t>MTQ</w:t>
            </w:r>
          </w:p>
        </w:tc>
        <w:tc>
          <w:tcPr>
            <w:tcW w:type="dxa" w:w="4536"/>
            <w:shd w:fill="F0F0F0"/>
            <w:vAlign w:val="center"/>
          </w:tcPr>
          <w:p>
            <w:pPr>
              <w:jc w:val="left"/>
            </w:pPr>
            <w:r/>
            <w:r>
              <w:rPr>
                <w:rFonts w:ascii="Calibri" w:hAnsi="Calibri"/>
                <w:color w:val="2D2D2D"/>
                <w:sz w:val="18"/>
              </w:rPr>
              <w:t>Neutral wholesale settlement instrument</w:t>
            </w:r>
          </w:p>
        </w:tc>
      </w:tr>
      <w:tr>
        <w:tc>
          <w:tcPr>
            <w:tcW w:type="dxa" w:w="4536"/>
            <w:vAlign w:val="center"/>
          </w:tcPr>
          <w:p>
            <w:pPr>
              <w:jc w:val="left"/>
            </w:pPr>
            <w:r/>
            <w:r>
              <w:rPr>
                <w:rFonts w:ascii="Calibri" w:hAnsi="Calibri"/>
                <w:color w:val="2D2D2D"/>
                <w:sz w:val="18"/>
              </w:rPr>
              <w:t>Banks</w:t>
            </w:r>
          </w:p>
        </w:tc>
        <w:tc>
          <w:tcPr>
            <w:tcW w:type="dxa" w:w="4536"/>
            <w:vAlign w:val="center"/>
          </w:tcPr>
          <w:p>
            <w:pPr>
              <w:jc w:val="left"/>
            </w:pPr>
            <w:r/>
            <w:r>
              <w:rPr>
                <w:rFonts w:ascii="Calibri" w:hAnsi="Calibri"/>
                <w:color w:val="2D2D2D"/>
                <w:sz w:val="18"/>
              </w:rPr>
              <w:t>Customer gateway, compliance, security, liquidity, revenue partner</w:t>
            </w:r>
          </w:p>
        </w:tc>
      </w:tr>
      <w:tr>
        <w:tc>
          <w:tcPr>
            <w:tcW w:type="dxa" w:w="4536"/>
            <w:shd w:fill="F0F0F0"/>
            <w:vAlign w:val="center"/>
          </w:tcPr>
          <w:p>
            <w:pPr>
              <w:jc w:val="left"/>
            </w:pPr>
            <w:r/>
            <w:r>
              <w:rPr>
                <w:rFonts w:ascii="Calibri" w:hAnsi="Calibri"/>
                <w:color w:val="2D2D2D"/>
                <w:sz w:val="18"/>
              </w:rPr>
              <w:t>Corporates</w:t>
            </w:r>
          </w:p>
        </w:tc>
        <w:tc>
          <w:tcPr>
            <w:tcW w:type="dxa" w:w="4536"/>
            <w:shd w:fill="F0F0F0"/>
            <w:vAlign w:val="center"/>
          </w:tcPr>
          <w:p>
            <w:pPr>
              <w:jc w:val="left"/>
            </w:pPr>
            <w:r/>
            <w:r>
              <w:rPr>
                <w:rFonts w:ascii="Calibri" w:hAnsi="Calibri"/>
                <w:color w:val="2D2D2D"/>
                <w:sz w:val="18"/>
              </w:rPr>
              <w:t>Beneficial institutional users/holders</w:t>
            </w:r>
          </w:p>
        </w:tc>
      </w:tr>
      <w:tr>
        <w:tc>
          <w:tcPr>
            <w:tcW w:type="dxa" w:w="4536"/>
            <w:vAlign w:val="center"/>
          </w:tcPr>
          <w:p>
            <w:pPr>
              <w:jc w:val="left"/>
            </w:pPr>
            <w:r/>
            <w:r>
              <w:rPr>
                <w:rFonts w:ascii="Calibri" w:hAnsi="Calibri"/>
                <w:color w:val="2D2D2D"/>
                <w:sz w:val="18"/>
              </w:rPr>
              <w:t>Central banks</w:t>
            </w:r>
          </w:p>
        </w:tc>
        <w:tc>
          <w:tcPr>
            <w:tcW w:type="dxa" w:w="4536"/>
            <w:vAlign w:val="center"/>
          </w:tcPr>
          <w:p>
            <w:pPr>
              <w:jc w:val="left"/>
            </w:pPr>
            <w:r/>
            <w:r>
              <w:rPr>
                <w:rFonts w:ascii="Calibri" w:hAnsi="Calibri"/>
                <w:color w:val="2D2D2D"/>
                <w:sz w:val="18"/>
              </w:rPr>
              <w:t>Supervisory/settlement anchors where authorized</w:t>
            </w:r>
          </w:p>
        </w:tc>
      </w:tr>
      <w:tr>
        <w:tc>
          <w:tcPr>
            <w:tcW w:type="dxa" w:w="4536"/>
            <w:shd w:fill="F0F0F0"/>
            <w:vAlign w:val="center"/>
          </w:tcPr>
          <w:p>
            <w:pPr>
              <w:jc w:val="left"/>
            </w:pPr>
            <w:r/>
            <w:r>
              <w:rPr>
                <w:rFonts w:ascii="Calibri" w:hAnsi="Calibri"/>
                <w:color w:val="2D2D2D"/>
                <w:sz w:val="18"/>
              </w:rPr>
              <w:t>CBDCs</w:t>
            </w:r>
          </w:p>
        </w:tc>
        <w:tc>
          <w:tcPr>
            <w:tcW w:type="dxa" w:w="4536"/>
            <w:shd w:fill="F0F0F0"/>
            <w:vAlign w:val="center"/>
          </w:tcPr>
          <w:p>
            <w:pPr>
              <w:jc w:val="left"/>
            </w:pPr>
            <w:r/>
            <w:r>
              <w:rPr>
                <w:rFonts w:ascii="Calibri" w:hAnsi="Calibri"/>
                <w:color w:val="2D2D2D"/>
                <w:sz w:val="18"/>
              </w:rPr>
              <w:t>Sovereign monetary liabilities</w:t>
            </w:r>
          </w:p>
        </w:tc>
      </w:tr>
      <w:tr>
        <w:tc>
          <w:tcPr>
            <w:tcW w:type="dxa" w:w="4536"/>
            <w:vAlign w:val="center"/>
          </w:tcPr>
          <w:p>
            <w:pPr>
              <w:jc w:val="left"/>
            </w:pPr>
            <w:r/>
            <w:r>
              <w:rPr>
                <w:rFonts w:ascii="Calibri" w:hAnsi="Calibri"/>
                <w:color w:val="2D2D2D"/>
                <w:sz w:val="18"/>
              </w:rPr>
              <w:t>ZK/Privacy</w:t>
            </w:r>
          </w:p>
        </w:tc>
        <w:tc>
          <w:tcPr>
            <w:tcW w:type="dxa" w:w="4536"/>
            <w:vAlign w:val="center"/>
          </w:tcPr>
          <w:p>
            <w:pPr>
              <w:jc w:val="left"/>
            </w:pPr>
            <w:r/>
            <w:r>
              <w:rPr>
                <w:rFonts w:ascii="Calibri" w:hAnsi="Calibri"/>
                <w:color w:val="2D2D2D"/>
                <w:sz w:val="18"/>
              </w:rPr>
              <w:t>Minimize unnecessary customer disclosure</w:t>
            </w:r>
          </w:p>
        </w:tc>
      </w:tr>
      <w:tr>
        <w:tc>
          <w:tcPr>
            <w:tcW w:type="dxa" w:w="4536"/>
            <w:shd w:fill="F0F0F0"/>
            <w:vAlign w:val="center"/>
          </w:tcPr>
          <w:p>
            <w:pPr>
              <w:jc w:val="left"/>
            </w:pPr>
            <w:r/>
            <w:r>
              <w:rPr>
                <w:rFonts w:ascii="Calibri" w:hAnsi="Calibri"/>
                <w:color w:val="2D2D2D"/>
                <w:sz w:val="18"/>
              </w:rPr>
              <w:t>MITHQAL ledger</w:t>
            </w:r>
          </w:p>
        </w:tc>
        <w:tc>
          <w:tcPr>
            <w:tcW w:type="dxa" w:w="4536"/>
            <w:shd w:fill="F0F0F0"/>
            <w:vAlign w:val="center"/>
          </w:tcPr>
          <w:p>
            <w:pPr>
              <w:jc w:val="left"/>
            </w:pPr>
            <w:r/>
            <w:r>
              <w:rPr>
                <w:rFonts w:ascii="Calibri" w:hAnsi="Calibri"/>
                <w:color w:val="2D2D2D"/>
                <w:sz w:val="18"/>
              </w:rPr>
              <w:t>Canonical institutional settlement record</w:t>
            </w:r>
          </w:p>
        </w:tc>
      </w:tr>
      <w:tr>
        <w:tc>
          <w:tcPr>
            <w:tcW w:type="dxa" w:w="4536"/>
            <w:vAlign w:val="center"/>
          </w:tcPr>
          <w:p>
            <w:pPr>
              <w:jc w:val="left"/>
            </w:pPr>
            <w:r/>
            <w:r>
              <w:rPr>
                <w:rFonts w:ascii="Calibri" w:hAnsi="Calibri"/>
                <w:color w:val="2D2D2D"/>
                <w:sz w:val="18"/>
              </w:rPr>
              <w:t>Proof-of-liabilities</w:t>
            </w:r>
          </w:p>
        </w:tc>
        <w:tc>
          <w:tcPr>
            <w:tcW w:type="dxa" w:w="4536"/>
            <w:vAlign w:val="center"/>
          </w:tcPr>
          <w:p>
            <w:pPr>
              <w:jc w:val="left"/>
            </w:pPr>
            <w:r/>
            <w:r>
              <w:rPr>
                <w:rFonts w:ascii="Calibri" w:hAnsi="Calibri"/>
                <w:color w:val="2D2D2D"/>
                <w:sz w:val="18"/>
              </w:rPr>
              <w:t>Reconcile institutional MTQ positions</w:t>
            </w:r>
          </w:p>
        </w:tc>
      </w:tr>
      <w:tr>
        <w:tc>
          <w:tcPr>
            <w:tcW w:type="dxa" w:w="4536"/>
            <w:shd w:fill="F0F0F0"/>
            <w:vAlign w:val="center"/>
          </w:tcPr>
          <w:p>
            <w:pPr>
              <w:jc w:val="left"/>
            </w:pPr>
            <w:r/>
            <w:r>
              <w:rPr>
                <w:rFonts w:ascii="Calibri" w:hAnsi="Calibri"/>
                <w:color w:val="2D2D2D"/>
                <w:sz w:val="18"/>
              </w:rPr>
              <w:t>Reserve engine</w:t>
            </w:r>
          </w:p>
        </w:tc>
        <w:tc>
          <w:tcPr>
            <w:tcW w:type="dxa" w:w="4536"/>
            <w:shd w:fill="F0F0F0"/>
            <w:vAlign w:val="center"/>
          </w:tcPr>
          <w:p>
            <w:pPr>
              <w:jc w:val="left"/>
            </w:pPr>
            <w:r/>
            <w:r>
              <w:rPr>
                <w:rFonts w:ascii="Calibri" w:hAnsi="Calibri"/>
                <w:color w:val="2D2D2D"/>
                <w:sz w:val="18"/>
              </w:rPr>
              <w:t>Knows aggregate outstanding MTQ and rebalances</w:t>
            </w:r>
          </w:p>
        </w:tc>
      </w:tr>
      <w:tr>
        <w:tc>
          <w:tcPr>
            <w:tcW w:type="dxa" w:w="4536"/>
            <w:vAlign w:val="center"/>
          </w:tcPr>
          <w:p>
            <w:pPr>
              <w:jc w:val="left"/>
            </w:pPr>
            <w:r/>
            <w:r>
              <w:rPr>
                <w:rFonts w:ascii="Calibri" w:hAnsi="Calibri"/>
                <w:color w:val="2D2D2D"/>
                <w:sz w:val="18"/>
              </w:rPr>
              <w:t>Regulatory engine</w:t>
            </w:r>
          </w:p>
        </w:tc>
        <w:tc>
          <w:tcPr>
            <w:tcW w:type="dxa" w:w="4536"/>
            <w:vAlign w:val="center"/>
          </w:tcPr>
          <w:p>
            <w:pPr>
              <w:jc w:val="left"/>
            </w:pPr>
            <w:r/>
            <w:r>
              <w:rPr>
                <w:rFonts w:ascii="Calibri" w:hAnsi="Calibri"/>
                <w:color w:val="2D2D2D"/>
                <w:sz w:val="18"/>
              </w:rPr>
              <w:t>Jurisdiction-by-jurisdiction enforcement</w:t>
            </w:r>
          </w:p>
        </w:tc>
      </w:tr>
    </w:tbl>
    <w:p/>
    <w:p>
      <w:pPr>
        <w:pStyle w:val="Heading3"/>
      </w:pPr>
      <w:r>
        <w:t>Prohibitions</w:t>
      </w:r>
    </w:p>
    <w:p>
      <w:r>
        <w:t>No retail MTQ | No exchange | No brokerage | No speculative trading | No discretionary minting</w:t>
      </w:r>
    </w:p>
    <w:p>
      <w:pPr>
        <w:pStyle w:val="Heading3"/>
      </w:pPr>
      <w:r>
        <w:t>Key Sentence</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pPr>
        <w:pStyle w:val="Heading2"/>
      </w:pPr>
      <w:r>
        <w:t>V25.0 SEMANTIC SWEEP NOTICE</w:t>
      </w:r>
    </w:p>
    <w:p>
      <w:pPr>
        <w:spacing w:before="120" w:after="120"/>
        <w:ind w:left="567" w:right="567"/>
        <w:pBdr>
          <w:left w:val="single" w:sz="24" w:space="8" w:color="C59B1E"/>
        </w:pBdr>
        <w:shd w:fill="FFFBF0"/>
      </w:pPr>
      <w:r>
        <w:rPr>
          <w:b/>
          <w:i/>
          <w:color w:val="1A365F"/>
          <w:sz w:val="22"/>
        </w:rPr>
        <w:t>**The following v24.2.1 content is PRESERVED IN FULL below. Where participant-minting, retail-minting, or public-minting language appears, it is marked HISTORICAL/NON-NORMATIVE and superseded by the v25.0 architecture above. No content has been deleted — only modified or marked.**</w:t>
      </w:r>
    </w:p>
    <w:p>
      <w:pPr>
        <w:pBdr>
          <w:bottom w:val="single" w:sz="12" w:space="1" w:color="C59B1E"/>
        </w:pBdr>
      </w:pPr>
    </w:p>
    <w:p>
      <w:pPr>
        <w:pBdr>
          <w:bottom w:val="single" w:sz="12" w:space="1" w:color="C59B1E"/>
        </w:pBdr>
      </w:pPr>
    </w:p>
    <w:p>
      <w:r>
        <w:br w:type="page"/>
      </w:r>
    </w:p>
    <w:p>
      <w:pPr>
        <w:jc w:val="center"/>
      </w:pPr>
      <w:r>
        <w:rPr>
          <w:b/>
          <w:color w:val="1A365F"/>
          <w:sz w:val="44"/>
        </w:rPr>
        <w:t>PART V25.0-BRICS — BRICS / U.S. / JURISDICTIONAL NEUTRALITY AMENDMENT</w:t>
      </w:r>
    </w:p>
    <w:p>
      <w:pPr>
        <w:pBdr>
          <w:bottom w:val="single" w:sz="18" w:space="1" w:color="1A365F"/>
        </w:pBdr>
      </w:pPr>
    </w:p>
    <w:p>
      <w:pPr>
        <w:spacing w:before="120" w:after="120"/>
        <w:ind w:left="567" w:right="567"/>
        <w:pBdr>
          <w:left w:val="single" w:sz="24" w:space="8" w:color="C59B1E"/>
        </w:pBdr>
        <w:shd w:fill="FFFBF0"/>
      </w:pPr>
      <w:r>
        <w:rPr>
          <w:b/>
          <w:i/>
          <w:color w:val="1A365F"/>
          <w:sz w:val="22"/>
        </w:rPr>
        <w:t>**This amendment is INSERTED into the existing v25.0 architecture. It does NOT replace the earlier v25.0 architecture — it supplements it. Where these provisions conflict with older BRICS/CBDC/interoperability language, these provisions are NORMATIVE.**</w:t>
      </w:r>
    </w:p>
    <w:p>
      <w:pPr>
        <w:pStyle w:val="Heading2"/>
      </w:pPr>
      <w:r>
        <w:t>§B.1 — INSTITUTIONAL IDENTITY / NEUTRALITY</w:t>
      </w:r>
    </w:p>
    <w:p>
      <w:pPr>
        <w:spacing w:before="120" w:after="120"/>
        <w:ind w:left="567" w:right="567"/>
        <w:pBdr>
          <w:left w:val="single" w:sz="24" w:space="8" w:color="C59B1E"/>
        </w:pBdr>
        <w:shd w:fill="FFFBF0"/>
      </w:pPr>
      <w:r>
        <w:rPr>
          <w:b/>
          <w:i/>
          <w:color w:val="1A365F"/>
          <w:sz w:val="22"/>
        </w:rPr>
        <w:t>**MITHQAL shall remain politically, monetarily and jurisdictionally neutral.**</w:t>
      </w:r>
    </w:p>
    <w:p>
      <w:r>
        <w:t>MITHQAL shall NOT constitute:</w:t>
      </w:r>
    </w:p>
    <w:p>
      <w:pPr>
        <w:pStyle w:val="ListBullet"/>
        <w:ind w:left="425"/>
      </w:pPr>
      <w:r>
        <w:t>a BRICS monetary instrument</w:t>
      </w:r>
    </w:p>
    <w:p>
      <w:pPr>
        <w:pStyle w:val="ListBullet"/>
        <w:ind w:left="425"/>
      </w:pPr>
      <w:r>
        <w:t>a Western monetary instrument</w:t>
      </w:r>
    </w:p>
    <w:p>
      <w:pPr>
        <w:pStyle w:val="ListBullet"/>
        <w:ind w:left="425"/>
      </w:pPr>
      <w:r>
        <w:t>an anti-dollar mechanism</w:t>
      </w:r>
    </w:p>
    <w:p>
      <w:pPr>
        <w:pStyle w:val="ListBullet"/>
        <w:ind w:left="425"/>
      </w:pPr>
      <w:r>
        <w:t>a sanctions-evasion mechanism</w:t>
      </w:r>
    </w:p>
    <w:p>
      <w:pPr>
        <w:pStyle w:val="ListBullet"/>
        <w:ind w:left="425"/>
      </w:pPr>
      <w:r>
        <w:t>a geopolitical settlement bloc</w:t>
      </w:r>
    </w:p>
    <w:p>
      <w:r>
        <w:t>MTQ shall function as a neutral wholesale settlement instrument between authorized monetary systems.</w:t>
      </w:r>
    </w:p>
    <w:p>
      <w:r>
        <w:t>MITHQAL shall not require participating jurisdictions to abandon, replace, subordinate or adopt another jurisdiction's sovereign currency, central-bank money, CBDC or monetary policy.</w:t>
      </w:r>
    </w:p>
    <w:p>
      <w:r>
        <w:t>Sovereign currencies and CBDCs remain under the authority of their respective issuing jurisdictions.</w:t>
      </w:r>
    </w:p>
    <w:p>
      <w:r>
        <w:t>MITHQAL's role is interoperability and settlement, not monetary substitution.</w:t>
      </w:r>
    </w:p>
    <w:p>
      <w:pPr>
        <w:pBdr>
          <w:bottom w:val="single" w:sz="12" w:space="1" w:color="C59B1E"/>
        </w:pBdr>
      </w:pPr>
    </w:p>
    <w:p>
      <w:pPr>
        <w:pStyle w:val="Heading2"/>
      </w:pPr>
      <w:r>
        <w:t>§B.2 — MTQ DEFINITION (Neutral Cross-Jurisdictional)</w:t>
      </w:r>
    </w:p>
    <w:p>
      <w:pPr>
        <w:spacing w:before="120" w:after="120"/>
        <w:ind w:left="567" w:right="567"/>
        <w:pBdr>
          <w:left w:val="single" w:sz="24" w:space="8" w:color="C59B1E"/>
        </w:pBdr>
        <w:shd w:fill="FFFBF0"/>
      </w:pPr>
      <w:r>
        <w:rPr>
          <w:b/>
          <w:i/>
          <w:color w:val="1A365F"/>
          <w:sz w:val="22"/>
        </w:rPr>
        <w:t>**MTQ is a permissioned wholesale settlement instrument capable of settling value between authorized regulated financial institutions and, where explicitly authorized, central banks or sovereign monetary authorities.**</w:t>
      </w:r>
    </w:p>
    <w:p>
      <w:r>
        <w:t>MTQ does NOT constitute:</w:t>
      </w:r>
    </w:p>
    <w:p>
      <w:pPr>
        <w:pStyle w:val="ListBullet"/>
        <w:ind w:left="425"/>
      </w:pPr>
      <w:r>
        <w:t>a BRICS currency</w:t>
      </w:r>
    </w:p>
    <w:p>
      <w:pPr>
        <w:pStyle w:val="ListBullet"/>
        <w:ind w:left="425"/>
      </w:pPr>
      <w:r>
        <w:t>a U.S. currency</w:t>
      </w:r>
    </w:p>
    <w:p>
      <w:pPr>
        <w:pStyle w:val="ListBullet"/>
        <w:ind w:left="425"/>
      </w:pPr>
      <w:r>
        <w:t>a replacement reserve currency</w:t>
      </w:r>
    </w:p>
    <w:p>
      <w:pPr>
        <w:pStyle w:val="ListBullet"/>
        <w:ind w:left="425"/>
      </w:pPr>
      <w:r>
        <w:t>a CBDC</w:t>
      </w:r>
    </w:p>
    <w:p>
      <w:pPr>
        <w:pStyle w:val="ListBullet"/>
        <w:ind w:left="425"/>
      </w:pPr>
      <w:r>
        <w:t>a sovereign liability</w:t>
      </w:r>
    </w:p>
    <w:p>
      <w:pPr>
        <w:pStyle w:val="ListBullet"/>
        <w:ind w:left="425"/>
      </w:pPr>
      <w:r>
        <w:t>a geopolitical settlement instrument</w:t>
      </w:r>
    </w:p>
    <w:p>
      <w:pPr>
        <w:pStyle w:val="ListBullet"/>
        <w:ind w:left="425"/>
      </w:pPr>
      <w:r>
        <w:t>a mechanism for bypassing sanctions or capital controls</w:t>
      </w:r>
    </w:p>
    <w:p>
      <w:r>
        <w:rPr>
          <w:b/>
        </w:rPr>
        <w:t>Canonical principle:</w:t>
      </w:r>
      <w:r>
        <w:t xml:space="preserve"> MTQ sits between monetary systems, not instead of monetary systems.</w:t>
      </w:r>
    </w:p>
    <w:p>
      <w:pPr>
        <w:pBdr>
          <w:bottom w:val="single" w:sz="12" w:space="1" w:color="C59B1E"/>
        </w:pBdr>
      </w:pPr>
    </w:p>
    <w:p>
      <w:pPr>
        <w:pStyle w:val="Heading2"/>
      </w:pPr>
      <w:r>
        <w:t>§B.3 — BRICS INTEGRATION PRINCIPLE</w:t>
      </w:r>
    </w:p>
    <w:p>
      <w:pPr>
        <w:pStyle w:val="ListNumber"/>
        <w:ind w:left="425"/>
      </w:pPr>
      <w:r>
        <w:t>MITHQAL shall not seek to replace or compete with any formally established BRICS monetary or settlement instrument.</w:t>
      </w:r>
    </w:p>
    <w:p>
      <w:pPr>
        <w:pStyle w:val="ListNumber"/>
        <w:ind w:left="425"/>
      </w:pPr>
      <w:r>
        <w:t>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ListNumber"/>
        <w:ind w:left="425"/>
      </w:pPr>
      <w:r>
        <w:t>MITHQAL shall not assume that any privately proposed, unofficial or externally branded "BRICS Unit" constitutes an official BRICS monetary instrument.</w:t>
      </w:r>
    </w:p>
    <w:p>
      <w:pPr>
        <w:pStyle w:val="ListNumber"/>
        <w:ind w:left="425"/>
      </w:pPr>
      <w:r>
        <w:t>Any future BRICS instrument shall be treated as an external authorized settlement asset/interface unless and until formally recognized by the competent institutions.</w:t>
      </w:r>
    </w:p>
    <w:p>
      <w:r>
        <w:rPr>
          <w:b/>
        </w:rPr>
        <w:t>Critical rule:</w:t>
      </w:r>
      <w:r>
        <w:t xml:space="preserve"> MITHQAL shall integrate with BRICS where authorized; MITHQAL shall not become the BRICS monetary system.</w:t>
      </w:r>
    </w:p>
    <w:p>
      <w:pPr>
        <w:pBdr>
          <w:bottom w:val="single" w:sz="12" w:space="1" w:color="C59B1E"/>
        </w:pBdr>
      </w:pPr>
    </w:p>
    <w:p>
      <w:pPr>
        <w:pStyle w:val="Heading2"/>
      </w:pPr>
      <w:r>
        <w:t>§B.4 — BRICS SETTLEMENT INTEROPERABILITY ADAPTER (BSIA)</w:t>
      </w:r>
    </w:p>
    <w:p>
      <w:pPr>
        <w:pStyle w:val="Heading3"/>
      </w:pPr>
      <w:r>
        <w:t>Purpose</w:t>
      </w:r>
    </w:p>
    <w:p>
      <w:r>
        <w:t>Provide a controlled interface between MITHQAL's neutral MTQ settlement core and officially authorized BRICS payment/settlement instruments, including any future BRICS unit of account, approved CBDCs, local-currency settlement systems, or participating-bank settlement assets.</w:t>
      </w:r>
    </w:p>
    <w:p>
      <w:pPr>
        <w:pStyle w:val="Heading3"/>
      </w:pPr>
      <w:r>
        <w:t>Flow</w:t>
      </w:r>
    </w:p>
    <w:p>
      <w:pPr>
        <w:ind w:left="283"/>
        <w:shd w:fill="F5F5F5"/>
      </w:pPr>
      <w:r>
        <w:rPr>
          <w:rFonts w:ascii="Consolas" w:hAnsi="Consolas"/>
          <w:color w:val="6B6B6B"/>
          <w:sz w:val="18"/>
        </w:rPr>
        <w:t>BRICS Unit / Authorized BRICS Instrument</w:t>
        <w:br/>
        <w:t xml:space="preserve">                    ↕</w:t>
        <w:br/>
        <w:t xml:space="preserve">                   MTQ</w:t>
        <w:br/>
        <w:t xml:space="preserve">                    ↕</w:t>
        <w:br/>
        <w:t xml:space="preserve">        Participating Bank / CBDC</w:t>
      </w:r>
    </w:p>
    <w:p>
      <w:pPr>
        <w:pStyle w:val="Heading3"/>
      </w:pPr>
      <w:r>
        <w:t>Adapter Properties</w:t>
      </w:r>
    </w:p>
    <w:p>
      <w:r>
        <w:t>The adapter must be:</w:t>
      </w:r>
    </w:p>
    <w:p>
      <w:pPr>
        <w:pStyle w:val="ListBullet"/>
        <w:ind w:left="425"/>
      </w:pPr>
      <w:r>
        <w:t>modular</w:t>
      </w:r>
    </w:p>
    <w:p>
      <w:pPr>
        <w:pStyle w:val="ListBullet"/>
        <w:ind w:left="425"/>
      </w:pPr>
      <w:r>
        <w:t>optional</w:t>
      </w:r>
    </w:p>
    <w:p>
      <w:pPr>
        <w:pStyle w:val="ListBullet"/>
        <w:ind w:left="425"/>
      </w:pPr>
      <w:r>
        <w:t>jurisdiction-controlled</w:t>
      </w:r>
    </w:p>
    <w:p>
      <w:pPr>
        <w:pStyle w:val="ListBullet"/>
        <w:ind w:left="425"/>
      </w:pPr>
      <w:r>
        <w:t>policy-controlled</w:t>
      </w:r>
    </w:p>
    <w:p>
      <w:pPr>
        <w:pStyle w:val="ListBullet"/>
        <w:ind w:left="425"/>
      </w:pPr>
      <w:r>
        <w:t>auditable</w:t>
      </w:r>
    </w:p>
    <w:p>
      <w:pPr>
        <w:pStyle w:val="ListBullet"/>
        <w:ind w:left="425"/>
      </w:pPr>
      <w:r>
        <w:t>replaceable</w:t>
      </w:r>
    </w:p>
    <w:p>
      <w:pPr>
        <w:pStyle w:val="ListBullet"/>
        <w:ind w:left="425"/>
      </w:pPr>
      <w:r>
        <w:t>independent of MTQ's constitutional identity</w:t>
      </w:r>
    </w:p>
    <w:p>
      <w:pPr>
        <w:pStyle w:val="Heading3"/>
      </w:pPr>
      <w:r>
        <w:t>Architectural Rule</w:t>
      </w:r>
    </w:p>
    <w:p>
      <w:pPr>
        <w:spacing w:before="120" w:after="120"/>
        <w:ind w:left="567" w:right="567"/>
        <w:pBdr>
          <w:left w:val="single" w:sz="24" w:space="8" w:color="C59B1E"/>
        </w:pBdr>
        <w:shd w:fill="FFFBF0"/>
      </w:pPr>
      <w:r>
        <w:rPr>
          <w:b/>
          <w:i/>
          <w:color w:val="1A365F"/>
          <w:sz w:val="22"/>
        </w:rPr>
        <w:t>**The BRICS adapter is not part of MTQ's monetary identity. If BRICS changes its architecture, the adapter may be replaced without changing MTQ's constitutional identity.**</w:t>
      </w:r>
    </w:p>
    <w:p>
      <w:r>
        <w:rPr>
          <w:b/>
        </w:rPr>
        <w:t>Implementation:</w:t>
      </w:r>
      <w:r>
        <w:t xml:space="preserve"> </w:t>
      </w:r>
      <w:r>
        <w:rPr>
          <w:rFonts w:ascii="Consolas" w:hAnsi="Consolas"/>
          <w:color w:val="6B6B6B"/>
          <w:sz w:val="19"/>
        </w:rPr>
        <w:t>src/lib/v25-0-brics-neutrality-amendment.ts</w:t>
      </w:r>
      <w:r>
        <w:t xml:space="preserve"> → </w:t>
      </w:r>
      <w:r>
        <w:rPr>
          <w:rFonts w:ascii="Consolas" w:hAnsi="Consolas"/>
          <w:color w:val="6B6B6B"/>
          <w:sz w:val="19"/>
        </w:rPr>
        <w:t>BSIA_PROPERTIES</w:t>
      </w:r>
      <w:r>
        <w:t xml:space="preserve">, </w:t>
      </w:r>
      <w:r>
        <w:rPr>
          <w:rFonts w:ascii="Consolas" w:hAnsi="Consolas"/>
          <w:color w:val="6B6B6B"/>
          <w:sz w:val="19"/>
        </w:rPr>
        <w:t>src/lib/brics-jsg-runtime.ts</w:t>
      </w:r>
      <w:r>
        <w:t xml:space="preserve"> → </w:t>
      </w:r>
      <w:r>
        <w:rPr>
          <w:rFonts w:ascii="Consolas" w:hAnsi="Consolas"/>
          <w:color w:val="6B6B6B"/>
          <w:sz w:val="19"/>
        </w:rPr>
        <w:t>BRICSInteroperabilityAdapter</w:t>
      </w:r>
    </w:p>
    <w:p>
      <w:pPr>
        <w:pBdr>
          <w:bottom w:val="single" w:sz="12" w:space="1" w:color="C59B1E"/>
        </w:pBdr>
      </w:pPr>
    </w:p>
    <w:p>
      <w:pPr>
        <w:pStyle w:val="Heading2"/>
      </w:pPr>
      <w:r>
        <w:t>§B.5 — GLOBAL MONETARY INTEROPERABILITY MODEL</w:t>
      </w:r>
    </w:p>
    <w:p>
      <w:pPr>
        <w:pStyle w:val="Heading3"/>
      </w:pPr>
      <w:r>
        <w:t>Neutral Multi-Jurisdictional Interoperability Model</w:t>
      </w:r>
    </w:p>
    <w:p>
      <w:pPr>
        <w:ind w:left="283"/>
        <w:shd w:fill="F5F5F5"/>
      </w:pPr>
      <w:r>
        <w:rPr>
          <w:rFonts w:ascii="Consolas" w:hAnsi="Consolas"/>
          <w:color w:val="6B6B6B"/>
          <w:sz w:val="18"/>
        </w:rPr>
        <w:t xml:space="preserve">                    MITHQAL</w:t>
        <w:br/>
        <w:t xml:space="preserve">              NEUTRAL MTQ SETTLEMENT CORE</w:t>
        <w:br/>
        <w:t xml:space="preserve">                            │</w:t>
        <w:br/>
        <w:t xml:space="preserve">           ┌────────────────┼────────────────┐</w:t>
        <w:br/>
        <w:t xml:space="preserve">           │                │                │</w:t>
        <w:br/>
        <w:t xml:space="preserve">           ▼                ▼                ▼</w:t>
        <w:br/>
        <w:t xml:space="preserve">        U.S. JSG        BRICS JSG        Japan JSG</w:t>
        <w:br/>
        <w:t xml:space="preserve">           │                │                │</w:t>
        <w:br/>
        <w:t xml:space="preserve">           ▼                ▼                ▼</w:t>
        <w:br/>
        <w:t xml:space="preserve">      U.S. Banks       BRICS Banks      Japanese Banks</w:t>
        <w:br/>
        <w:t xml:space="preserve">           │                │                │</w:t>
        <w:br/>
        <w:t xml:space="preserve">           ▼                ▼                ▼</w:t>
        <w:br/>
        <w:t xml:space="preserve">     USD / CBDC       BRICS Assets*     JPY / CBDC</w:t>
        <w:br/>
        <w:br/>
        <w:t xml:space="preserve">  * Only formally authorized instruments.</w:t>
      </w:r>
    </w:p>
    <w:p>
      <w:r>
        <w:rPr>
          <w:b/>
        </w:rPr>
        <w:t>Canonical rule:</w:t>
      </w:r>
      <w:r>
        <w:t xml:space="preserve"> MITHQAL Core is neutral. Access to MITHQAL Core is jurisdictionally controlled.</w:t>
      </w:r>
    </w:p>
    <w:p>
      <w:pPr>
        <w:pBdr>
          <w:bottom w:val="single" w:sz="12" w:space="1" w:color="C59B1E"/>
        </w:pBdr>
      </w:pPr>
    </w:p>
    <w:p>
      <w:pPr>
        <w:pStyle w:val="Heading2"/>
      </w:pPr>
      <w:r>
        <w:t>§B.6 — JURISDICTIONAL SETTLEMENT GATEWAY (JSG)</w:t>
      </w:r>
    </w:p>
    <w:p>
      <w:pPr>
        <w:pStyle w:val="Heading3"/>
      </w:pPr>
      <w:r>
        <w:t>Component Definition</w:t>
      </w:r>
    </w:p>
    <w:p>
      <w:r>
        <w:t xml:space="preserve">Every participating jurisdiction shall connect to MITHQAL through a jurisdiction-specific policy and authorization boundary called a </w:t>
      </w:r>
      <w:r>
        <w:rPr>
          <w:b/>
        </w:rPr>
        <w:t>Jurisdictional Settlement Gateway (JSG)</w:t>
      </w:r>
      <w:r>
        <w:t>.</w:t>
      </w:r>
    </w:p>
    <w:p>
      <w:pPr>
        <w:pStyle w:val="Heading3"/>
      </w:pPr>
      <w:r>
        <w:t>Known JSGs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JSG ID</w:t>
            </w:r>
          </w:p>
        </w:tc>
        <w:tc>
          <w:tcPr>
            <w:tcW w:type="dxa" w:w="3024"/>
            <w:shd w:fill="1A365F"/>
            <w:vAlign w:val="center"/>
          </w:tcPr>
          <w:p>
            <w:pPr>
              <w:jc w:val="left"/>
            </w:pPr>
            <w:r/>
            <w:r>
              <w:rPr>
                <w:rFonts w:ascii="Calibri" w:hAnsi="Calibri"/>
                <w:b/>
                <w:color w:val="FFFFFF"/>
                <w:sz w:val="18"/>
              </w:rPr>
              <w:t>Jurisdiction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US-JSG</w:t>
            </w:r>
          </w:p>
        </w:tc>
        <w:tc>
          <w:tcPr>
            <w:tcW w:type="dxa" w:w="3024"/>
            <w:vAlign w:val="center"/>
          </w:tcPr>
          <w:p>
            <w:pPr>
              <w:jc w:val="left"/>
            </w:pPr>
            <w:r/>
            <w:r>
              <w:rPr>
                <w:rFonts w:ascii="Calibri" w:hAnsi="Calibri"/>
                <w:color w:val="2D2D2D"/>
                <w:sz w:val="18"/>
              </w:rPr>
              <w:t>US</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JP-JSG</w:t>
            </w:r>
          </w:p>
        </w:tc>
        <w:tc>
          <w:tcPr>
            <w:tcW w:type="dxa" w:w="3024"/>
            <w:shd w:fill="F0F0F0"/>
            <w:vAlign w:val="center"/>
          </w:tcPr>
          <w:p>
            <w:pPr>
              <w:jc w:val="left"/>
            </w:pPr>
            <w:r/>
            <w:r>
              <w:rPr>
                <w:rFonts w:ascii="Calibri" w:hAnsi="Calibri"/>
                <w:color w:val="2D2D2D"/>
                <w:sz w:val="18"/>
              </w:rPr>
              <w:t>JP</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AE-JSG</w:t>
            </w:r>
          </w:p>
        </w:tc>
        <w:tc>
          <w:tcPr>
            <w:tcW w:type="dxa" w:w="3024"/>
            <w:vAlign w:val="center"/>
          </w:tcPr>
          <w:p>
            <w:pPr>
              <w:jc w:val="left"/>
            </w:pPr>
            <w:r/>
            <w:r>
              <w:rPr>
                <w:rFonts w:ascii="Calibri" w:hAnsi="Calibri"/>
                <w:color w:val="2D2D2D"/>
                <w:sz w:val="18"/>
              </w:rPr>
              <w:t>AE</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IN-JSG</w:t>
            </w:r>
          </w:p>
        </w:tc>
        <w:tc>
          <w:tcPr>
            <w:tcW w:type="dxa" w:w="3024"/>
            <w:shd w:fill="F0F0F0"/>
            <w:vAlign w:val="center"/>
          </w:tcPr>
          <w:p>
            <w:pPr>
              <w:jc w:val="left"/>
            </w:pPr>
            <w:r/>
            <w:r>
              <w:rPr>
                <w:rFonts w:ascii="Calibri" w:hAnsi="Calibri"/>
                <w:color w:val="2D2D2D"/>
                <w:sz w:val="18"/>
              </w:rPr>
              <w:t>IN</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BR-JSG</w:t>
            </w:r>
          </w:p>
        </w:tc>
        <w:tc>
          <w:tcPr>
            <w:tcW w:type="dxa" w:w="3024"/>
            <w:vAlign w:val="center"/>
          </w:tcPr>
          <w:p>
            <w:pPr>
              <w:jc w:val="left"/>
            </w:pPr>
            <w:r/>
            <w:r>
              <w:rPr>
                <w:rFonts w:ascii="Calibri" w:hAnsi="Calibri"/>
                <w:color w:val="2D2D2D"/>
                <w:sz w:val="18"/>
              </w:rPr>
              <w:t>BR</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EU-JSG</w:t>
            </w:r>
          </w:p>
        </w:tc>
        <w:tc>
          <w:tcPr>
            <w:tcW w:type="dxa" w:w="3024"/>
            <w:shd w:fill="F0F0F0"/>
            <w:vAlign w:val="center"/>
          </w:tcPr>
          <w:p>
            <w:pPr>
              <w:jc w:val="left"/>
            </w:pPr>
            <w:r/>
            <w:r>
              <w:rPr>
                <w:rFonts w:ascii="Calibri" w:hAnsi="Calibri"/>
                <w:color w:val="2D2D2D"/>
                <w:sz w:val="18"/>
              </w:rPr>
              <w:t>EU</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SG-JSG</w:t>
            </w:r>
          </w:p>
        </w:tc>
        <w:tc>
          <w:tcPr>
            <w:tcW w:type="dxa" w:w="3024"/>
            <w:vAlign w:val="center"/>
          </w:tcPr>
          <w:p>
            <w:pPr>
              <w:jc w:val="left"/>
            </w:pPr>
            <w:r/>
            <w:r>
              <w:rPr>
                <w:rFonts w:ascii="Calibri" w:hAnsi="Calibri"/>
                <w:color w:val="2D2D2D"/>
                <w:sz w:val="18"/>
              </w:rPr>
              <w:t>SG</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HK-JSG</w:t>
            </w:r>
          </w:p>
        </w:tc>
        <w:tc>
          <w:tcPr>
            <w:tcW w:type="dxa" w:w="3024"/>
            <w:shd w:fill="F0F0F0"/>
            <w:vAlign w:val="center"/>
          </w:tcPr>
          <w:p>
            <w:pPr>
              <w:jc w:val="left"/>
            </w:pPr>
            <w:r/>
            <w:r>
              <w:rPr>
                <w:rFonts w:ascii="Calibri" w:hAnsi="Calibri"/>
                <w:color w:val="2D2D2D"/>
                <w:sz w:val="18"/>
              </w:rPr>
              <w:t>HK</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BRICS-JSG</w:t>
            </w:r>
          </w:p>
        </w:tc>
        <w:tc>
          <w:tcPr>
            <w:tcW w:type="dxa" w:w="3024"/>
            <w:vAlign w:val="center"/>
          </w:tcPr>
          <w:p>
            <w:pPr>
              <w:jc w:val="left"/>
            </w:pPr>
            <w:r/>
            <w:r>
              <w:rPr>
                <w:rFonts w:ascii="Calibri" w:hAnsi="Calibri"/>
                <w:color w:val="2D2D2D"/>
                <w:sz w:val="18"/>
              </w:rPr>
              <w:t>BRICS</w:t>
            </w:r>
          </w:p>
        </w:tc>
        <w:tc>
          <w:tcPr>
            <w:tcW w:type="dxa" w:w="3024"/>
            <w:vAlign w:val="center"/>
          </w:tcPr>
          <w:p>
            <w:pPr>
              <w:jc w:val="left"/>
            </w:pPr>
            <w:r/>
            <w:r>
              <w:rPr>
                <w:rFonts w:ascii="Calibri" w:hAnsi="Calibri"/>
                <w:color w:val="2D2D2D"/>
                <w:sz w:val="18"/>
              </w:rPr>
              <w:t>PENDING (pending formal BRICS authorization)</w:t>
            </w:r>
          </w:p>
        </w:tc>
      </w:tr>
    </w:tbl>
    <w:p/>
    <w:p>
      <w:pPr>
        <w:pStyle w:val="Heading3"/>
      </w:pPr>
      <w:r>
        <w:t>JSG Enforcement Rules (17)</w:t>
      </w:r>
    </w:p>
    <w:p>
      <w:r>
        <w:t>Each JSG shall enforce:</w:t>
      </w:r>
    </w:p>
    <w:p>
      <w:pPr>
        <w:pStyle w:val="ListNumber"/>
        <w:ind w:left="425"/>
      </w:pPr>
      <w:r>
        <w:t>permitted institutions</w:t>
      </w:r>
    </w:p>
    <w:p>
      <w:pPr>
        <w:pStyle w:val="ListNumber"/>
        <w:ind w:left="425"/>
      </w:pPr>
      <w:r>
        <w:t>permitted counterparties</w:t>
      </w:r>
    </w:p>
    <w:p>
      <w:pPr>
        <w:pStyle w:val="ListNumber"/>
        <w:ind w:left="425"/>
      </w:pPr>
      <w:r>
        <w:t>permitted currencies</w:t>
      </w:r>
    </w:p>
    <w:p>
      <w:pPr>
        <w:pStyle w:val="ListNumber"/>
        <w:ind w:left="425"/>
      </w:pPr>
      <w:r>
        <w:t>permitted CBDCs</w:t>
      </w:r>
    </w:p>
    <w:p>
      <w:pPr>
        <w:pStyle w:val="ListNumber"/>
        <w:ind w:left="425"/>
      </w:pPr>
      <w:r>
        <w:t>permitted settlement assets</w:t>
      </w:r>
    </w:p>
    <w:p>
      <w:pPr>
        <w:pStyle w:val="ListNumber"/>
        <w:ind w:left="425"/>
      </w:pPr>
      <w:r>
        <w:t>permitted BRICS instruments</w:t>
      </w:r>
    </w:p>
    <w:p>
      <w:pPr>
        <w:pStyle w:val="ListNumber"/>
        <w:ind w:left="425"/>
      </w:pPr>
      <w:r>
        <w:t>sanctions</w:t>
      </w:r>
    </w:p>
    <w:p>
      <w:pPr>
        <w:pStyle w:val="ListNumber"/>
        <w:ind w:left="425"/>
      </w:pPr>
      <w:r>
        <w:t>AML/CFT requirements</w:t>
      </w:r>
    </w:p>
    <w:p>
      <w:pPr>
        <w:pStyle w:val="ListNumber"/>
        <w:ind w:left="425"/>
      </w:pPr>
      <w:r>
        <w:t>transaction limits</w:t>
      </w:r>
    </w:p>
    <w:p>
      <w:pPr>
        <w:pStyle w:val="ListNumber"/>
        <w:ind w:left="425"/>
      </w:pPr>
      <w:r>
        <w:t>disclosure rules</w:t>
      </w:r>
    </w:p>
    <w:p>
      <w:pPr>
        <w:pStyle w:val="ListNumber"/>
        <w:ind w:left="425"/>
      </w:pPr>
      <w:r>
        <w:t>data residency</w:t>
      </w:r>
    </w:p>
    <w:p>
      <w:pPr>
        <w:pStyle w:val="ListNumber"/>
        <w:ind w:left="425"/>
      </w:pPr>
      <w:r>
        <w:t>privacy rules</w:t>
      </w:r>
    </w:p>
    <w:p>
      <w:pPr>
        <w:pStyle w:val="ListNumber"/>
        <w:ind w:left="425"/>
      </w:pPr>
      <w:r>
        <w:t>capital controls</w:t>
      </w:r>
    </w:p>
    <w:p>
      <w:pPr>
        <w:pStyle w:val="ListNumber"/>
        <w:ind w:left="425"/>
      </w:pPr>
      <w:r>
        <w:t>corridor restrictions</w:t>
      </w:r>
    </w:p>
    <w:p>
      <w:pPr>
        <w:pStyle w:val="ListNumber"/>
        <w:ind w:left="425"/>
      </w:pPr>
      <w:r>
        <w:t>licensing requirements</w:t>
      </w:r>
    </w:p>
    <w:p>
      <w:pPr>
        <w:pStyle w:val="ListNumber"/>
        <w:ind w:left="425"/>
      </w:pPr>
      <w:r>
        <w:t>central-bank authorization</w:t>
      </w:r>
    </w:p>
    <w:p>
      <w:pPr>
        <w:pStyle w:val="ListNumber"/>
        <w:ind w:left="425"/>
      </w:pPr>
      <w:r>
        <w:t>prohibited transaction classes</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JSGManager</w:t>
      </w:r>
    </w:p>
    <w:p>
      <w:pPr>
        <w:pBdr>
          <w:bottom w:val="single" w:sz="12" w:space="1" w:color="C59B1E"/>
        </w:pBdr>
      </w:pPr>
    </w:p>
    <w:p>
      <w:pPr>
        <w:pStyle w:val="Heading2"/>
      </w:pPr>
      <w:r>
        <w:t>§B.7 — U.S. JURISDICTION GATEWAY PRINCIPLE</w:t>
      </w:r>
    </w:p>
    <w:p>
      <w:pPr>
        <w:spacing w:before="120" w:after="120"/>
        <w:ind w:left="567" w:right="567"/>
        <w:pBdr>
          <w:left w:val="single" w:sz="24" w:space="8" w:color="C59B1E"/>
        </w:pBdr>
        <w:shd w:fill="FFFBF0"/>
      </w:pPr>
      <w:r>
        <w:rPr>
          <w:b/>
          <w:i/>
          <w:color w:val="1A365F"/>
          <w:sz w:val="22"/>
        </w:rPr>
        <w:t>**U.S. participation in MITHQAL shall be governed exclusively through the U.S. jurisdictional settlement gateway and applicable U.S. law.**</w:t>
      </w:r>
    </w:p>
    <w:p>
      <w:r>
        <w:t>U.S. participating institutions may interact only with:</w:t>
      </w:r>
    </w:p>
    <w:p>
      <w:pPr>
        <w:pStyle w:val="ListBullet"/>
        <w:ind w:left="425"/>
      </w:pPr>
      <w:r>
        <w:t>authorized institutions</w:t>
      </w:r>
    </w:p>
    <w:p>
      <w:pPr>
        <w:pStyle w:val="ListBullet"/>
        <w:ind w:left="425"/>
      </w:pPr>
      <w:r>
        <w:t>permitted jurisdictions</w:t>
      </w:r>
    </w:p>
    <w:p>
      <w:pPr>
        <w:pStyle w:val="ListBullet"/>
        <w:ind w:left="425"/>
      </w:pPr>
      <w:r>
        <w:t>permitted settlement instruments</w:t>
      </w:r>
    </w:p>
    <w:p>
      <w:pPr>
        <w:pStyle w:val="ListBullet"/>
        <w:ind w:left="425"/>
      </w:pPr>
      <w:r>
        <w:t>permitted CBDCs</w:t>
      </w:r>
    </w:p>
    <w:p>
      <w:pPr>
        <w:pStyle w:val="ListBullet"/>
        <w:ind w:left="425"/>
      </w:pPr>
      <w:r>
        <w:t>permitted transaction categories</w:t>
      </w:r>
    </w:p>
    <w:p>
      <w:pPr>
        <w:pStyle w:val="ListBullet"/>
        <w:ind w:left="425"/>
      </w:pPr>
      <w:r>
        <w:t>permitted BRICS-related instruments, where applicable</w:t>
      </w:r>
    </w:p>
    <w:p>
      <w:r>
        <w:t>No MITHQAL architecture, MTQ transaction, BRICS adapter or cross-border routing mechanism may override U.S. sanctions, AML/CFT requirements, banking law, payment regulation, capital controls or other applicable U.S. requirements.</w:t>
      </w:r>
    </w:p>
    <w:p>
      <w:r>
        <w:rPr>
          <w:b/>
        </w:rPr>
        <w:t>Mandatory principle:</w:t>
      </w:r>
      <w:r>
        <w:t xml:space="preserve"> Technical interoperability does not create legal authorization.</w:t>
      </w:r>
    </w:p>
    <w:p>
      <w:pPr>
        <w:pBdr>
          <w:bottom w:val="single" w:sz="12" w:space="1" w:color="C59B1E"/>
        </w:pBdr>
      </w:pPr>
    </w:p>
    <w:p>
      <w:pPr>
        <w:pStyle w:val="Heading2"/>
      </w:pPr>
      <w:r>
        <w:t>§B.8 — U.S. / BRICS COMPATIBILITY</w:t>
      </w:r>
    </w:p>
    <w:p>
      <w:pPr>
        <w:spacing w:before="120" w:after="120"/>
        <w:ind w:left="567" w:right="567"/>
        <w:pBdr>
          <w:left w:val="single" w:sz="24" w:space="8" w:color="C59B1E"/>
        </w:pBdr>
        <w:shd w:fill="FFFBF0"/>
      </w:pPr>
      <w:r>
        <w:rPr>
          <w:b/>
          <w:i/>
          <w:color w:val="1A365F"/>
          <w:sz w:val="22"/>
        </w:rPr>
        <w:t>**MITHQAL shall not assume that U.S. institutions may access all BRICS instruments, jurisdictions, banks or CBDCs.**</w:t>
      </w:r>
    </w:p>
    <w:p>
      <w:r>
        <w:t>A U.S. institution may participate in an MTQ settlement corridor involving a BRICS jurisdiction only where:</w:t>
      </w:r>
    </w:p>
    <w:p>
      <w:pPr>
        <w:pStyle w:val="ListNumber"/>
        <w:ind w:left="425"/>
      </w:pPr>
      <w:r>
        <w:t>the U.S. transaction is legally permitted</w:t>
      </w:r>
    </w:p>
    <w:p>
      <w:pPr>
        <w:pStyle w:val="ListNumber"/>
        <w:ind w:left="425"/>
      </w:pPr>
      <w:r>
        <w:t>the counterparty is authorized</w:t>
      </w:r>
    </w:p>
    <w:p>
      <w:pPr>
        <w:pStyle w:val="ListNumber"/>
        <w:ind w:left="425"/>
      </w:pPr>
      <w:r>
        <w:t>the relevant instrument is permitted</w:t>
      </w:r>
    </w:p>
    <w:p>
      <w:pPr>
        <w:pStyle w:val="ListNumber"/>
        <w:ind w:left="425"/>
      </w:pPr>
      <w:r>
        <w:t>sanctions requirements are satisfied</w:t>
      </w:r>
    </w:p>
    <w:p>
      <w:pPr>
        <w:pStyle w:val="ListNumber"/>
        <w:ind w:left="425"/>
      </w:pPr>
      <w:r>
        <w:t>applicable U.S. regulatory requirements are satisfied</w:t>
      </w:r>
    </w:p>
    <w:p>
      <w:pPr>
        <w:pStyle w:val="ListNumber"/>
        <w:ind w:left="425"/>
      </w:pPr>
      <w:r>
        <w:t>the relevant counterpart jurisdiction permits the transaction</w:t>
      </w:r>
    </w:p>
    <w:p>
      <w:pPr>
        <w:pStyle w:val="ListNumber"/>
        <w:ind w:left="425"/>
      </w:pPr>
      <w:r>
        <w:t>the MITHQAL policy engine returns ALLOWED</w:t>
      </w:r>
    </w:p>
    <w:p>
      <w:r>
        <w:rPr>
          <w:b/>
        </w:rPr>
        <w:t>Where any requirement fails: SETTLEMENT = BLOCK. No technical path may circumvent the block.</w:t>
      </w:r>
    </w:p>
    <w:p>
      <w:pPr>
        <w:pBdr>
          <w:bottom w:val="single" w:sz="12" w:space="1" w:color="C59B1E"/>
        </w:pBdr>
      </w:pPr>
    </w:p>
    <w:p>
      <w:pPr>
        <w:pStyle w:val="Heading2"/>
      </w:pPr>
      <w:r>
        <w:t>§B.9 — SANCTIONS / GEOPOLITICAL NEUTRALITY</w:t>
      </w:r>
    </w:p>
    <w:p>
      <w:pPr>
        <w:spacing w:before="120" w:after="120"/>
        <w:ind w:left="567" w:right="567"/>
        <w:pBdr>
          <w:left w:val="single" w:sz="24" w:space="8" w:color="C59B1E"/>
        </w:pBdr>
        <w:shd w:fill="FFFBF0"/>
      </w:pPr>
      <w:r>
        <w:rPr>
          <w:b/>
          <w:i/>
          <w:color w:val="1A365F"/>
          <w:sz w:val="22"/>
        </w:rPr>
        <w:t>**MITHQAL neutrality shall never be interpreted as sanctions neutrality.**</w:t>
      </w:r>
    </w:p>
    <w:p>
      <w:r>
        <w:t>MITHQAL may be politically neutral, but it must remain legally compliant. Therefore:</w:t>
      </w:r>
    </w:p>
    <w:p>
      <w:pPr>
        <w:pStyle w:val="ListBullet"/>
        <w:ind w:left="425"/>
      </w:pPr>
      <w:r>
        <w:t>neutrality does not override sanctions</w:t>
      </w:r>
    </w:p>
    <w:p>
      <w:pPr>
        <w:pStyle w:val="ListBullet"/>
        <w:ind w:left="425"/>
      </w:pPr>
      <w:r>
        <w:t>neutrality does not override AML/CFT</w:t>
      </w:r>
    </w:p>
    <w:p>
      <w:pPr>
        <w:pStyle w:val="ListBullet"/>
        <w:ind w:left="425"/>
      </w:pPr>
      <w:r>
        <w:t>neutrality does not override capital controls</w:t>
      </w:r>
    </w:p>
    <w:p>
      <w:pPr>
        <w:pStyle w:val="ListBullet"/>
        <w:ind w:left="425"/>
      </w:pPr>
      <w:r>
        <w:t>neutrality does not permit prohibited transactions</w:t>
      </w:r>
    </w:p>
    <w:p>
      <w:pPr>
        <w:pStyle w:val="ListBullet"/>
        <w:ind w:left="425"/>
      </w:pPr>
      <w:r>
        <w:t>neutrality does not permit circumvention through MTQ</w:t>
      </w:r>
    </w:p>
    <w:p>
      <w:pPr>
        <w:pStyle w:val="ListBullet"/>
        <w:ind w:left="425"/>
      </w:pPr>
      <w:r>
        <w:t>neutrality does not permit indirect routing around jurisdictional restrictions</w:t>
      </w:r>
    </w:p>
    <w:p>
      <w:r>
        <w:rPr>
          <w:b/>
        </w:rPr>
        <w:t>Canonical statement:</w:t>
      </w:r>
      <w:r>
        <w:t xml:space="preserve"> Neutral infrastructure is not law-free infrastructure.</w:t>
      </w:r>
    </w:p>
    <w:p>
      <w:pPr>
        <w:pBdr>
          <w:bottom w:val="single" w:sz="12" w:space="1" w:color="C59B1E"/>
        </w:pBdr>
      </w:pPr>
    </w:p>
    <w:p>
      <w:pPr>
        <w:pStyle w:val="Heading2"/>
      </w:pPr>
      <w:r>
        <w:t>§B.10 — CORRIDOR AUTHORIZATION POLICY</w:t>
      </w:r>
    </w:p>
    <w:p>
      <w:pPr>
        <w:pStyle w:val="Heading3"/>
      </w:pPr>
      <w:r>
        <w:t>Settlement Corridor Policy States</w:t>
      </w:r>
    </w:p>
    <w:p>
      <w:r>
        <w:t>Every MTQ corridor shall have an explicit policy state: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State</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ALLOWED</w:t>
            </w:r>
          </w:p>
        </w:tc>
        <w:tc>
          <w:tcPr>
            <w:tcW w:type="dxa" w:w="4536"/>
            <w:vAlign w:val="center"/>
          </w:tcPr>
          <w:p>
            <w:pPr>
              <w:jc w:val="left"/>
            </w:pPr>
            <w:r/>
            <w:r>
              <w:rPr>
                <w:rFonts w:ascii="Calibri" w:hAnsi="Calibri"/>
                <w:color w:val="2D2D2D"/>
                <w:sz w:val="18"/>
              </w:rPr>
              <w:t>Proceed</w:t>
            </w:r>
          </w:p>
        </w:tc>
      </w:tr>
      <w:tr>
        <w:tc>
          <w:tcPr>
            <w:tcW w:type="dxa" w:w="4536"/>
            <w:shd w:fill="F0F0F0"/>
            <w:vAlign w:val="center"/>
          </w:tcPr>
          <w:p>
            <w:pPr>
              <w:jc w:val="left"/>
            </w:pPr>
            <w:r/>
            <w:r>
              <w:rPr>
                <w:rFonts w:ascii="Calibri" w:hAnsi="Calibri"/>
                <w:color w:val="2D2D2D"/>
                <w:sz w:val="18"/>
              </w:rPr>
              <w:t>CONDITIONAL</w:t>
            </w:r>
          </w:p>
        </w:tc>
        <w:tc>
          <w:tcPr>
            <w:tcW w:type="dxa" w:w="4536"/>
            <w:shd w:fill="F0F0F0"/>
            <w:vAlign w:val="center"/>
          </w:tcPr>
          <w:p>
            <w:pPr>
              <w:jc w:val="left"/>
            </w:pPr>
            <w:r/>
            <w:r>
              <w:rPr>
                <w:rFonts w:ascii="Calibri" w:hAnsi="Calibri"/>
                <w:color w:val="2D2D2D"/>
                <w:sz w:val="18"/>
              </w:rPr>
              <w:t>Require additional review</w:t>
            </w:r>
          </w:p>
        </w:tc>
      </w:tr>
      <w:tr>
        <w:tc>
          <w:tcPr>
            <w:tcW w:type="dxa" w:w="4536"/>
            <w:vAlign w:val="center"/>
          </w:tcPr>
          <w:p>
            <w:pPr>
              <w:jc w:val="left"/>
            </w:pPr>
            <w:r/>
            <w:r>
              <w:rPr>
                <w:rFonts w:ascii="Calibri" w:hAnsi="Calibri"/>
                <w:color w:val="2D2D2D"/>
                <w:sz w:val="18"/>
              </w:rPr>
              <w:t>RESTRICTED</w:t>
            </w:r>
          </w:p>
        </w:tc>
        <w:tc>
          <w:tcPr>
            <w:tcW w:type="dxa" w:w="4536"/>
            <w:vAlign w:val="center"/>
          </w:tcPr>
          <w:p>
            <w:pPr>
              <w:jc w:val="left"/>
            </w:pPr>
            <w:r/>
            <w:r>
              <w:rPr>
                <w:rFonts w:ascii="Calibri" w:hAnsi="Calibri"/>
                <w:color w:val="2D2D2D"/>
                <w:sz w:val="18"/>
              </w:rPr>
              <w:t>Apply restrictions</w:t>
            </w:r>
          </w:p>
        </w:tc>
      </w:tr>
      <w:tr>
        <w:tc>
          <w:tcPr>
            <w:tcW w:type="dxa" w:w="4536"/>
            <w:shd w:fill="F0F0F0"/>
            <w:vAlign w:val="center"/>
          </w:tcPr>
          <w:p>
            <w:pPr>
              <w:jc w:val="left"/>
            </w:pPr>
            <w:r/>
            <w:r>
              <w:rPr>
                <w:rFonts w:ascii="Calibri" w:hAnsi="Calibri"/>
                <w:color w:val="2D2D2D"/>
                <w:sz w:val="18"/>
              </w:rPr>
              <w:t>PROHIBITED</w:t>
            </w:r>
          </w:p>
        </w:tc>
        <w:tc>
          <w:tcPr>
            <w:tcW w:type="dxa" w:w="4536"/>
            <w:shd w:fill="F0F0F0"/>
            <w:vAlign w:val="center"/>
          </w:tcPr>
          <w:p>
            <w:pPr>
              <w:jc w:val="left"/>
            </w:pPr>
            <w:r/>
            <w:r>
              <w:rPr>
                <w:rFonts w:ascii="Calibri" w:hAnsi="Calibri"/>
                <w:color w:val="2D2D2D"/>
                <w:sz w:val="18"/>
              </w:rPr>
              <w:t>BLOCK</w:t>
            </w:r>
          </w:p>
        </w:tc>
      </w:tr>
      <w:tr>
        <w:tc>
          <w:tcPr>
            <w:tcW w:type="dxa" w:w="4536"/>
            <w:vAlign w:val="center"/>
          </w:tcPr>
          <w:p>
            <w:pPr>
              <w:jc w:val="left"/>
            </w:pPr>
            <w:r/>
            <w:r>
              <w:rPr>
                <w:rFonts w:ascii="Calibri" w:hAnsi="Calibri"/>
                <w:color w:val="2D2D2D"/>
                <w:sz w:val="18"/>
              </w:rPr>
              <w:t>UNKNOWN</w:t>
            </w:r>
          </w:p>
        </w:tc>
        <w:tc>
          <w:tcPr>
            <w:tcW w:type="dxa" w:w="4536"/>
            <w:vAlign w:val="center"/>
          </w:tcPr>
          <w:p>
            <w:pPr>
              <w:jc w:val="left"/>
            </w:pPr>
            <w:r/>
            <w:r>
              <w:rPr>
                <w:rFonts w:ascii="Calibri" w:hAnsi="Calibri"/>
                <w:color w:val="2D2D2D"/>
                <w:sz w:val="18"/>
              </w:rPr>
              <w:t>**BLOCK**</w:t>
            </w:r>
          </w:p>
        </w:tc>
      </w:tr>
    </w:tbl>
    <w:p/>
    <w:p>
      <w:r>
        <w:rPr>
          <w:b/>
        </w:rPr>
        <w:t>Rule:</w:t>
      </w:r>
      <w:r>
        <w:t xml:space="preserve"> UNKNOWN = BLOCK</w:t>
      </w:r>
    </w:p>
    <w:p>
      <w:r>
        <w:t>A corridor is evaluated independently of the existence of a technical connection.</w:t>
      </w:r>
    </w:p>
    <w:p>
      <w:r>
        <w:rPr>
          <w:b/>
        </w:rPr>
        <w:t>Thus:</w:t>
      </w:r>
      <w:r>
        <w:t xml:space="preserve"> Technical connectivity ≠ legal permission</w:t>
      </w:r>
    </w:p>
    <w:p>
      <w:pPr>
        <w:pBdr>
          <w:bottom w:val="single" w:sz="12" w:space="1" w:color="C59B1E"/>
        </w:pBdr>
      </w:pPr>
    </w:p>
    <w:p>
      <w:pPr>
        <w:pStyle w:val="Heading2"/>
      </w:pPr>
      <w:r>
        <w:t>§B.11 — BRICS UNIT (Conditional Existence)</w:t>
      </w:r>
    </w:p>
    <w:p>
      <w:pPr>
        <w:pStyle w:val="Heading3"/>
      </w:pPr>
      <w:r>
        <w:t>Correct Language</w:t>
      </w:r>
    </w:p>
    <w:p>
      <w:r>
        <w:t xml:space="preserve">Use: </w:t>
      </w:r>
      <w:r>
        <w:rPr>
          <w:b/>
        </w:rPr>
        <w:t>"BRICS Unit, if and when formally established and authorized by competent BRICS institutions."</w:t>
      </w:r>
    </w:p>
    <w:p>
      <w:r>
        <w:t>Never write: "The BRICS Unit is an existing official currency."</w:t>
      </w:r>
    </w:p>
    <w:p>
      <w:pPr>
        <w:pStyle w:val="Heading3"/>
      </w:pPr>
      <w:r>
        <w:t>If a Formal BRICS Unit Exists</w:t>
      </w:r>
    </w:p>
    <w:p>
      <w:pPr>
        <w:ind w:left="283"/>
        <w:shd w:fill="F5F5F5"/>
      </w:pPr>
      <w:r>
        <w:rPr>
          <w:rFonts w:ascii="Consolas" w:hAnsi="Consolas"/>
          <w:color w:val="6B6B6B"/>
          <w:sz w:val="18"/>
        </w:rPr>
        <w:t>BRICS Unit → BRICS Settlement Adapter → MTQ → Authorized Bank / CBDC / Local Currency</w:t>
      </w:r>
    </w:p>
    <w:p>
      <w:pPr>
        <w:pStyle w:val="Heading3"/>
      </w:pPr>
      <w:r>
        <w:t>If No Formal BRICS Unit Exists</w:t>
      </w:r>
    </w:p>
    <w:p>
      <w:r>
        <w:rPr>
          <w:b/>
        </w:rPr>
        <w:t>MITHQAL remains fully functional without it.</w:t>
      </w:r>
    </w:p>
    <w:p>
      <w:r>
        <w:t>This is essential for technological and geopolitical independence.</w:t>
      </w:r>
    </w:p>
    <w:p>
      <w:pPr>
        <w:pBdr>
          <w:bottom w:val="single" w:sz="12" w:space="1" w:color="C59B1E"/>
        </w:pBdr>
      </w:pPr>
    </w:p>
    <w:p>
      <w:pPr>
        <w:pStyle w:val="Heading2"/>
      </w:pPr>
      <w:r>
        <w:t>§B.12 — MTQ INDEPENDENCE FROM BRICS</w:t>
      </w:r>
    </w:p>
    <w:p>
      <w:pPr>
        <w:spacing w:before="120" w:after="120"/>
        <w:ind w:left="567" w:right="567"/>
        <w:pBdr>
          <w:left w:val="single" w:sz="24" w:space="8" w:color="C59B1E"/>
        </w:pBdr>
        <w:shd w:fill="FFFBF0"/>
      </w:pPr>
      <w:r>
        <w:rPr>
          <w:b/>
          <w:i/>
          <w:color w:val="1A365F"/>
          <w:sz w:val="22"/>
        </w:rPr>
        <w:t>**MTQ shall remain independently functional regardless of whether a BRICS unit, BRICS CBDC framework, BRICS payment system or BRICS monetary instrument exists.**</w:t>
      </w:r>
    </w:p>
    <w:p>
      <w:pPr>
        <w:pStyle w:val="Heading3"/>
      </w:pPr>
      <w:r>
        <w:t>The Powerful Asymmetry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Scenario</w:t>
            </w:r>
          </w:p>
        </w:tc>
        <w:tc>
          <w:tcPr>
            <w:tcW w:type="dxa" w:w="4536"/>
            <w:shd w:fill="1A365F"/>
            <w:vAlign w:val="center"/>
          </w:tcPr>
          <w:p>
            <w:pPr>
              <w:jc w:val="left"/>
            </w:pPr>
            <w:r/>
            <w:r>
              <w:rPr>
                <w:rFonts w:ascii="Calibri" w:hAnsi="Calibri"/>
                <w:b/>
                <w:color w:val="FFFFFF"/>
                <w:sz w:val="18"/>
              </w:rPr>
              <w:t>MITHQAL Status</w:t>
            </w:r>
          </w:p>
        </w:tc>
      </w:tr>
      <w:tr>
        <w:tc>
          <w:tcPr>
            <w:tcW w:type="dxa" w:w="4536"/>
            <w:vAlign w:val="center"/>
          </w:tcPr>
          <w:p>
            <w:pPr>
              <w:jc w:val="left"/>
            </w:pPr>
            <w:r/>
            <w:r>
              <w:rPr>
                <w:rFonts w:ascii="Calibri" w:hAnsi="Calibri"/>
                <w:color w:val="2D2D2D"/>
                <w:sz w:val="18"/>
              </w:rPr>
              <w:t>If BRICS succeeds</w:t>
            </w:r>
          </w:p>
        </w:tc>
        <w:tc>
          <w:tcPr>
            <w:tcW w:type="dxa" w:w="4536"/>
            <w:vAlign w:val="center"/>
          </w:tcPr>
          <w:p>
            <w:pPr>
              <w:jc w:val="left"/>
            </w:pPr>
            <w:r/>
            <w:r>
              <w:rPr>
                <w:rFonts w:ascii="Calibri" w:hAnsi="Calibri"/>
                <w:color w:val="2D2D2D"/>
                <w:sz w:val="18"/>
              </w:rPr>
              <w:t>MITHQAL can connect</w:t>
            </w:r>
          </w:p>
        </w:tc>
      </w:tr>
      <w:tr>
        <w:tc>
          <w:tcPr>
            <w:tcW w:type="dxa" w:w="4536"/>
            <w:shd w:fill="F0F0F0"/>
            <w:vAlign w:val="center"/>
          </w:tcPr>
          <w:p>
            <w:pPr>
              <w:jc w:val="left"/>
            </w:pPr>
            <w:r/>
            <w:r>
              <w:rPr>
                <w:rFonts w:ascii="Calibri" w:hAnsi="Calibri"/>
                <w:color w:val="2D2D2D"/>
                <w:sz w:val="18"/>
              </w:rPr>
              <w:t>If BRICS changes</w:t>
            </w:r>
          </w:p>
        </w:tc>
        <w:tc>
          <w:tcPr>
            <w:tcW w:type="dxa" w:w="4536"/>
            <w:shd w:fill="F0F0F0"/>
            <w:vAlign w:val="center"/>
          </w:tcPr>
          <w:p>
            <w:pPr>
              <w:jc w:val="left"/>
            </w:pPr>
            <w:r/>
            <w:r>
              <w:rPr>
                <w:rFonts w:ascii="Calibri" w:hAnsi="Calibri"/>
                <w:color w:val="2D2D2D"/>
                <w:sz w:val="18"/>
              </w:rPr>
              <w:t>MITHQAL adapts</w:t>
            </w:r>
          </w:p>
        </w:tc>
      </w:tr>
      <w:tr>
        <w:tc>
          <w:tcPr>
            <w:tcW w:type="dxa" w:w="4536"/>
            <w:vAlign w:val="center"/>
          </w:tcPr>
          <w:p>
            <w:pPr>
              <w:jc w:val="left"/>
            </w:pPr>
            <w:r/>
            <w:r>
              <w:rPr>
                <w:rFonts w:ascii="Calibri" w:hAnsi="Calibri"/>
                <w:color w:val="2D2D2D"/>
                <w:sz w:val="18"/>
              </w:rPr>
              <w:t>If BRICS never creates a common unit</w:t>
            </w:r>
          </w:p>
        </w:tc>
        <w:tc>
          <w:tcPr>
            <w:tcW w:type="dxa" w:w="4536"/>
            <w:vAlign w:val="center"/>
          </w:tcPr>
          <w:p>
            <w:pPr>
              <w:jc w:val="left"/>
            </w:pPr>
            <w:r/>
            <w:r>
              <w:rPr>
                <w:rFonts w:ascii="Calibri" w:hAnsi="Calibri"/>
                <w:color w:val="2D2D2D"/>
                <w:sz w:val="18"/>
              </w:rPr>
              <w:t>MITHQAL still works through national currencies, bank money and CBDCs</w:t>
            </w:r>
          </w:p>
        </w:tc>
      </w:tr>
    </w:tbl>
    <w:p/>
    <w:p>
      <w:r>
        <w:t xml:space="preserve">This is a </w:t>
      </w:r>
      <w:r>
        <w:rPr>
          <w:b/>
        </w:rPr>
        <w:t>formal architectural requirement</w:t>
      </w:r>
      <w:r>
        <w:t>.</w:t>
      </w:r>
    </w:p>
    <w:p>
      <w:pPr>
        <w:pBdr>
          <w:bottom w:val="single" w:sz="12" w:space="1" w:color="C59B1E"/>
        </w:pBdr>
      </w:pPr>
    </w:p>
    <w:p>
      <w:pPr>
        <w:pStyle w:val="Heading2"/>
      </w:pPr>
      <w:r>
        <w:t>§B.13 — MULTI-CURRENCY SETTLEMENT MODEL</w:t>
      </w:r>
    </w:p>
    <w:p>
      <w:pPr>
        <w:ind w:left="283"/>
        <w:shd w:fill="F5F5F5"/>
      </w:pPr>
      <w:r>
        <w:rPr>
          <w:rFonts w:ascii="Consolas" w:hAnsi="Consolas"/>
          <w:color w:val="6B6B6B"/>
          <w:sz w:val="18"/>
        </w:rPr>
        <w:t>USD → MTQ → JPY</w:t>
        <w:br/>
        <w:br/>
        <w:t>INR → MTQ → AED</w:t>
        <w:br/>
        <w:br/>
        <w:t>BRL → MTQ → INR</w:t>
        <w:br/>
        <w:br/>
        <w:t>BRICS Unit* → MTQ → Local Currency / CBDC</w:t>
        <w:br/>
        <w:br/>
        <w:t>* only if officially authorized</w:t>
      </w:r>
    </w:p>
    <w:p>
      <w:r>
        <w:rPr>
          <w:b/>
        </w:rPr>
        <w:t>Principle:</w:t>
      </w:r>
      <w:r>
        <w:t xml:space="preserve"> MTQ provides settlement interoperability without requiring bilateral monetary unification.</w:t>
      </w:r>
    </w:p>
    <w:p>
      <w:pPr>
        <w:pBdr>
          <w:bottom w:val="single" w:sz="12" w:space="1" w:color="C59B1E"/>
        </w:pBdr>
      </w:pPr>
    </w:p>
    <w:p>
      <w:pPr>
        <w:pStyle w:val="Heading2"/>
      </w:pPr>
      <w:r>
        <w:t>§B.14 — MTQ vs BRICS CURRENCY DISTINCTION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r>
          </w:p>
        </w:tc>
        <w:tc>
          <w:tcPr>
            <w:tcW w:type="dxa" w:w="3024"/>
            <w:shd w:fill="1A365F"/>
            <w:vAlign w:val="center"/>
          </w:tcPr>
          <w:p>
            <w:pPr>
              <w:jc w:val="left"/>
            </w:pPr>
            <w:r/>
            <w:r>
              <w:rPr>
                <w:rFonts w:ascii="Calibri" w:hAnsi="Calibri"/>
                <w:b/>
                <w:color w:val="FFFFFF"/>
                <w:sz w:val="18"/>
              </w:rPr>
              <w:t>BRICS Currency</w:t>
            </w:r>
          </w:p>
        </w:tc>
        <w:tc>
          <w:tcPr>
            <w:tcW w:type="dxa" w:w="3024"/>
            <w:shd w:fill="1A365F"/>
            <w:vAlign w:val="center"/>
          </w:tcPr>
          <w:p>
            <w:pPr>
              <w:jc w:val="left"/>
            </w:pPr>
            <w:r/>
            <w:r>
              <w:rPr>
                <w:rFonts w:ascii="Calibri" w:hAnsi="Calibri"/>
                <w:b/>
                <w:color w:val="FFFFFF"/>
                <w:sz w:val="18"/>
              </w:rPr>
              <w:t>MTQ</w:t>
            </w:r>
          </w:p>
        </w:tc>
      </w:tr>
      <w:tr>
        <w:tc>
          <w:tcPr>
            <w:tcW w:type="dxa" w:w="3024"/>
            <w:vAlign w:val="center"/>
          </w:tcPr>
          <w:p>
            <w:pPr>
              <w:jc w:val="left"/>
            </w:pPr>
            <w:r/>
            <w:r>
              <w:rPr>
                <w:rFonts w:ascii="Calibri" w:hAnsi="Calibri"/>
                <w:color w:val="2D2D2D"/>
                <w:sz w:val="18"/>
              </w:rPr>
              <w:t>**Purpose**</w:t>
            </w:r>
          </w:p>
        </w:tc>
        <w:tc>
          <w:tcPr>
            <w:tcW w:type="dxa" w:w="3024"/>
            <w:vAlign w:val="center"/>
          </w:tcPr>
          <w:p>
            <w:pPr>
              <w:jc w:val="left"/>
            </w:pPr>
            <w:r/>
            <w:r>
              <w:rPr>
                <w:rFonts w:ascii="Calibri" w:hAnsi="Calibri"/>
                <w:color w:val="2D2D2D"/>
                <w:sz w:val="18"/>
              </w:rPr>
              <w:t>Attempts to establish a common monetary unit</w:t>
            </w:r>
          </w:p>
        </w:tc>
        <w:tc>
          <w:tcPr>
            <w:tcW w:type="dxa" w:w="3024"/>
            <w:vAlign w:val="center"/>
          </w:tcPr>
          <w:p>
            <w:pPr>
              <w:jc w:val="left"/>
            </w:pPr>
            <w:r/>
            <w:r>
              <w:rPr>
                <w:rFonts w:ascii="Calibri" w:hAnsi="Calibri"/>
                <w:color w:val="2D2D2D"/>
                <w:sz w:val="18"/>
              </w:rPr>
              <w:t>Provides a common neutral settlement layer</w:t>
            </w:r>
          </w:p>
        </w:tc>
      </w:tr>
      <w:tr>
        <w:tc>
          <w:tcPr>
            <w:tcW w:type="dxa" w:w="3024"/>
            <w:shd w:fill="F0F0F0"/>
            <w:vAlign w:val="center"/>
          </w:tcPr>
          <w:p>
            <w:pPr>
              <w:jc w:val="left"/>
            </w:pPr>
            <w:r/>
            <w:r>
              <w:rPr>
                <w:rFonts w:ascii="Calibri" w:hAnsi="Calibri"/>
                <w:color w:val="2D2D2D"/>
                <w:sz w:val="18"/>
              </w:rPr>
              <w:t>**Monetary policy**</w:t>
            </w:r>
          </w:p>
        </w:tc>
        <w:tc>
          <w:tcPr>
            <w:tcW w:type="dxa" w:w="3024"/>
            <w:shd w:fill="F0F0F0"/>
            <w:vAlign w:val="center"/>
          </w:tcPr>
          <w:p>
            <w:pPr>
              <w:jc w:val="left"/>
            </w:pPr>
            <w:r/>
            <w:r>
              <w:rPr>
                <w:rFonts w:ascii="Calibri" w:hAnsi="Calibri"/>
                <w:color w:val="2D2D2D"/>
                <w:sz w:val="18"/>
              </w:rPr>
              <w:t>May establish common policy</w:t>
            </w:r>
          </w:p>
        </w:tc>
        <w:tc>
          <w:tcPr>
            <w:tcW w:type="dxa" w:w="3024"/>
            <w:shd w:fill="F0F0F0"/>
            <w:vAlign w:val="center"/>
          </w:tcPr>
          <w:p>
            <w:pPr>
              <w:jc w:val="left"/>
            </w:pPr>
            <w:r/>
            <w:r>
              <w:rPr>
                <w:rFonts w:ascii="Calibri" w:hAnsi="Calibri"/>
                <w:color w:val="2D2D2D"/>
                <w:sz w:val="18"/>
              </w:rPr>
              <w:t>Does NOT establish monetary policy</w:t>
            </w:r>
          </w:p>
        </w:tc>
      </w:tr>
      <w:tr>
        <w:tc>
          <w:tcPr>
            <w:tcW w:type="dxa" w:w="3024"/>
            <w:vAlign w:val="center"/>
          </w:tcPr>
          <w:p>
            <w:pPr>
              <w:jc w:val="left"/>
            </w:pPr>
            <w:r/>
            <w:r>
              <w:rPr>
                <w:rFonts w:ascii="Calibri" w:hAnsi="Calibri"/>
                <w:color w:val="2D2D2D"/>
                <w:sz w:val="18"/>
              </w:rPr>
              <w:t>**Sovereign currency**</w:t>
            </w:r>
          </w:p>
        </w:tc>
        <w:tc>
          <w:tcPr>
            <w:tcW w:type="dxa" w:w="3024"/>
            <w:vAlign w:val="center"/>
          </w:tcPr>
          <w:p>
            <w:pPr>
              <w:jc w:val="left"/>
            </w:pPr>
            <w:r/>
            <w:r>
              <w:rPr>
                <w:rFonts w:ascii="Calibri" w:hAnsi="Calibri"/>
                <w:color w:val="2D2D2D"/>
                <w:sz w:val="18"/>
              </w:rPr>
              <w:t>May become one</w:t>
            </w:r>
          </w:p>
        </w:tc>
        <w:tc>
          <w:tcPr>
            <w:tcW w:type="dxa" w:w="3024"/>
            <w:vAlign w:val="center"/>
          </w:tcPr>
          <w:p>
            <w:pPr>
              <w:jc w:val="left"/>
            </w:pPr>
            <w:r/>
            <w:r>
              <w:rPr>
                <w:rFonts w:ascii="Calibri" w:hAnsi="Calibri"/>
                <w:color w:val="2D2D2D"/>
                <w:sz w:val="18"/>
              </w:rPr>
              <w:t>Does NOT seek to be a sovereign currency</w:t>
            </w:r>
          </w:p>
        </w:tc>
      </w:tr>
      <w:tr>
        <w:tc>
          <w:tcPr>
            <w:tcW w:type="dxa" w:w="3024"/>
            <w:shd w:fill="F0F0F0"/>
            <w:vAlign w:val="center"/>
          </w:tcPr>
          <w:p>
            <w:pPr>
              <w:jc w:val="left"/>
            </w:pPr>
            <w:r/>
            <w:r>
              <w:rPr>
                <w:rFonts w:ascii="Calibri" w:hAnsi="Calibri"/>
                <w:color w:val="2D2D2D"/>
                <w:sz w:val="18"/>
              </w:rPr>
              <w:t>**Central bank**</w:t>
            </w:r>
          </w:p>
        </w:tc>
        <w:tc>
          <w:tcPr>
            <w:tcW w:type="dxa" w:w="3024"/>
            <w:shd w:fill="F0F0F0"/>
            <w:vAlign w:val="center"/>
          </w:tcPr>
          <w:p>
            <w:pPr>
              <w:jc w:val="left"/>
            </w:pPr>
            <w:r/>
            <w:r>
              <w:rPr>
                <w:rFonts w:ascii="Calibri" w:hAnsi="Calibri"/>
                <w:color w:val="2D2D2D"/>
                <w:sz w:val="18"/>
              </w:rPr>
              <w:t>May create one</w:t>
            </w:r>
          </w:p>
        </w:tc>
        <w:tc>
          <w:tcPr>
            <w:tcW w:type="dxa" w:w="3024"/>
            <w:shd w:fill="F0F0F0"/>
            <w:vAlign w:val="center"/>
          </w:tcPr>
          <w:p>
            <w:pPr>
              <w:jc w:val="left"/>
            </w:pPr>
            <w:r/>
            <w:r>
              <w:rPr>
                <w:rFonts w:ascii="Calibri" w:hAnsi="Calibri"/>
                <w:color w:val="2D2D2D"/>
                <w:sz w:val="18"/>
              </w:rPr>
              <w:t>Does NOT create a central bank</w:t>
            </w:r>
          </w:p>
        </w:tc>
      </w:tr>
      <w:tr>
        <w:tc>
          <w:tcPr>
            <w:tcW w:type="dxa" w:w="3024"/>
            <w:vAlign w:val="center"/>
          </w:tcPr>
          <w:p>
            <w:pPr>
              <w:jc w:val="left"/>
            </w:pPr>
            <w:r/>
            <w:r>
              <w:rPr>
                <w:rFonts w:ascii="Calibri" w:hAnsi="Calibri"/>
                <w:color w:val="2D2D2D"/>
                <w:sz w:val="18"/>
              </w:rPr>
              <w:t>**Political bloc**</w:t>
            </w:r>
          </w:p>
        </w:tc>
        <w:tc>
          <w:tcPr>
            <w:tcW w:type="dxa" w:w="3024"/>
            <w:vAlign w:val="center"/>
          </w:tcPr>
          <w:p>
            <w:pPr>
              <w:jc w:val="left"/>
            </w:pPr>
            <w:r/>
            <w:r>
              <w:rPr>
                <w:rFonts w:ascii="Calibri" w:hAnsi="Calibri"/>
                <w:color w:val="2D2D2D"/>
                <w:sz w:val="18"/>
              </w:rPr>
              <w:t>May form a political monetary bloc</w:t>
            </w:r>
          </w:p>
        </w:tc>
        <w:tc>
          <w:tcPr>
            <w:tcW w:type="dxa" w:w="3024"/>
            <w:vAlign w:val="center"/>
          </w:tcPr>
          <w:p>
            <w:pPr>
              <w:jc w:val="left"/>
            </w:pPr>
            <w:r/>
            <w:r>
              <w:rPr>
                <w:rFonts w:ascii="Calibri" w:hAnsi="Calibri"/>
                <w:color w:val="2D2D2D"/>
                <w:sz w:val="18"/>
              </w:rPr>
              <w:t>Does NOT form a political monetary bloc</w:t>
            </w:r>
          </w:p>
        </w:tc>
      </w:tr>
      <w:tr>
        <w:tc>
          <w:tcPr>
            <w:tcW w:type="dxa" w:w="3024"/>
            <w:shd w:fill="F0F0F0"/>
            <w:vAlign w:val="center"/>
          </w:tcPr>
          <w:p>
            <w:pPr>
              <w:jc w:val="left"/>
            </w:pPr>
            <w:r/>
            <w:r>
              <w:rPr>
                <w:rFonts w:ascii="Calibri" w:hAnsi="Calibri"/>
                <w:color w:val="2D2D2D"/>
                <w:sz w:val="18"/>
              </w:rPr>
              <w:t>**Function**</w:t>
            </w:r>
          </w:p>
        </w:tc>
        <w:tc>
          <w:tcPr>
            <w:tcW w:type="dxa" w:w="3024"/>
            <w:shd w:fill="F0F0F0"/>
            <w:vAlign w:val="center"/>
          </w:tcPr>
          <w:p>
            <w:pPr>
              <w:jc w:val="left"/>
            </w:pPr>
            <w:r/>
            <w:r>
              <w:rPr>
                <w:rFonts w:ascii="Calibri" w:hAnsi="Calibri"/>
                <w:color w:val="2D2D2D"/>
                <w:sz w:val="18"/>
              </w:rPr>
              <w:t>Common monetary unit</w:t>
            </w:r>
          </w:p>
        </w:tc>
        <w:tc>
          <w:tcPr>
            <w:tcW w:type="dxa" w:w="3024"/>
            <w:shd w:fill="F0F0F0"/>
            <w:vAlign w:val="center"/>
          </w:tcPr>
          <w:p>
            <w:pPr>
              <w:jc w:val="left"/>
            </w:pPr>
            <w:r/>
            <w:r>
              <w:rPr>
                <w:rFonts w:ascii="Calibri" w:hAnsi="Calibri"/>
                <w:color w:val="2D2D2D"/>
                <w:sz w:val="18"/>
              </w:rPr>
              <w:t>Common neutral settlement layer through which separate monetary systems exchange settlement value under their respective laws</w:t>
            </w:r>
          </w:p>
        </w:tc>
      </w:tr>
    </w:tbl>
    <w:p/>
    <w:p>
      <w:r>
        <w:t>This distinction must appear in:</w:t>
      </w:r>
    </w:p>
    <w:p>
      <w:pPr>
        <w:pStyle w:val="ListBullet"/>
        <w:ind w:left="425"/>
      </w:pPr>
      <w:r>
        <w:t>executive summary</w:t>
      </w:r>
    </w:p>
    <w:p>
      <w:pPr>
        <w:pStyle w:val="ListBullet"/>
        <w:ind w:left="425"/>
      </w:pPr>
      <w:r>
        <w:t>institutional architecture</w:t>
      </w:r>
    </w:p>
    <w:p>
      <w:pPr>
        <w:pStyle w:val="ListBullet"/>
        <w:ind w:left="425"/>
      </w:pPr>
      <w:r>
        <w:t>BRICS strategy</w:t>
      </w:r>
    </w:p>
    <w:p>
      <w:pPr>
        <w:pStyle w:val="ListBullet"/>
        <w:ind w:left="425"/>
      </w:pPr>
      <w:r>
        <w:t>central-bank section</w:t>
      </w:r>
    </w:p>
    <w:p>
      <w:pPr>
        <w:pStyle w:val="ListBullet"/>
        <w:ind w:left="425"/>
      </w:pPr>
      <w:r>
        <w:t>regulatory section</w:t>
      </w:r>
    </w:p>
    <w:p>
      <w:pPr>
        <w:pStyle w:val="ListBullet"/>
        <w:ind w:left="425"/>
      </w:pPr>
      <w:r>
        <w:t>investor/partner materials</w:t>
      </w:r>
    </w:p>
    <w:p>
      <w:pPr>
        <w:pBdr>
          <w:bottom w:val="single" w:sz="12" w:space="1" w:color="C59B1E"/>
        </w:pBdr>
      </w:pPr>
    </w:p>
    <w:p>
      <w:pPr>
        <w:pStyle w:val="Heading2"/>
      </w:pPr>
      <w:r>
        <w:t>§B.15 — CENTRAL-BANK INTEROPERABILITY</w:t>
      </w:r>
    </w:p>
    <w:p>
      <w:pPr>
        <w:spacing w:before="120" w:after="120"/>
        <w:ind w:left="567" w:right="567"/>
        <w:pBdr>
          <w:left w:val="single" w:sz="24" w:space="8" w:color="C59B1E"/>
        </w:pBdr>
        <w:shd w:fill="FFFBF0"/>
      </w:pPr>
      <w:r>
        <w:rPr>
          <w:b/>
          <w:i/>
          <w:color w:val="1A365F"/>
          <w:sz w:val="22"/>
        </w:rPr>
        <w:t>**A central bank may participate in MITHQAL only through a formally authorized jurisdictional gateway. Direct central-bank participation is not assumed.**</w:t>
      </w:r>
    </w:p>
    <w:p>
      <w:r>
        <w:t>MITHQAL shall support:</w:t>
      </w:r>
    </w:p>
    <w:p>
      <w:pPr>
        <w:pStyle w:val="ListBullet"/>
        <w:ind w:left="425"/>
      </w:pPr>
      <w:r>
        <w:t>bank-to-bank settlement</w:t>
      </w:r>
    </w:p>
    <w:p>
      <w:pPr>
        <w:pStyle w:val="ListBullet"/>
        <w:ind w:left="425"/>
      </w:pPr>
      <w:r>
        <w:t>bank-to-wholesale-CBDC settlement</w:t>
      </w:r>
    </w:p>
    <w:p>
      <w:pPr>
        <w:pStyle w:val="ListBullet"/>
        <w:ind w:left="425"/>
      </w:pPr>
      <w:r>
        <w:t>wholesale-CBDC-to-wholesale-CBDC settlement</w:t>
      </w:r>
    </w:p>
    <w:p>
      <w:pPr>
        <w:pStyle w:val="ListBullet"/>
        <w:ind w:left="425"/>
      </w:pPr>
      <w:r>
        <w:t>central-bank-connected settlement</w:t>
      </w:r>
    </w:p>
    <w:p>
      <w:pPr>
        <w:pStyle w:val="ListBullet"/>
        <w:ind w:left="425"/>
      </w:pPr>
      <w:r>
        <w:t>future officially authorized BRICS settlement instruments</w:t>
      </w:r>
    </w:p>
    <w:p>
      <w:pPr>
        <w:pBdr>
          <w:bottom w:val="single" w:sz="12" w:space="1" w:color="C59B1E"/>
        </w:pBdr>
      </w:pPr>
    </w:p>
    <w:p>
      <w:pPr>
        <w:pStyle w:val="Heading2"/>
      </w:pPr>
      <w:r>
        <w:t>§B.16 — ECONOMIC / GEOPOLITICAL NEUTRALITY (Marketing Control)</w:t>
      </w:r>
    </w:p>
    <w:p>
      <w:pPr>
        <w:pStyle w:val="Heading3"/>
      </w:pPr>
      <w:r>
        <w:t>Shall NOT Be Marketed As</w:t>
      </w:r>
    </w:p>
    <w:p>
      <w:pPr>
        <w:pStyle w:val="ListBullet"/>
        <w:ind w:left="425"/>
      </w:pPr>
      <w:r>
        <w:t>de-dollarization infrastructure</w:t>
      </w:r>
    </w:p>
    <w:p>
      <w:pPr>
        <w:pStyle w:val="ListBullet"/>
        <w:ind w:left="425"/>
      </w:pPr>
      <w:r>
        <w:t>anti-Western infrastructure</w:t>
      </w:r>
    </w:p>
    <w:p>
      <w:pPr>
        <w:pStyle w:val="ListBullet"/>
        <w:ind w:left="425"/>
      </w:pPr>
      <w:r>
        <w:t>BRICS monetary infrastructure</w:t>
      </w:r>
    </w:p>
    <w:p>
      <w:pPr>
        <w:pStyle w:val="ListBullet"/>
        <w:ind w:left="425"/>
      </w:pPr>
      <w:r>
        <w:t>sanctions-evasion infrastructure</w:t>
      </w:r>
    </w:p>
    <w:p>
      <w:pPr>
        <w:pStyle w:val="ListBullet"/>
        <w:ind w:left="425"/>
      </w:pPr>
      <w:r>
        <w:t>an alternative geopolitical financial bloc</w:t>
      </w:r>
    </w:p>
    <w:p>
      <w:pPr>
        <w:pStyle w:val="Heading3"/>
      </w:pPr>
      <w:r>
        <w:t>Shall Be Marketed As</w:t>
      </w:r>
    </w:p>
    <w:p>
      <w:pPr>
        <w:spacing w:before="120" w:after="120"/>
        <w:ind w:left="567" w:right="567"/>
        <w:pBdr>
          <w:left w:val="single" w:sz="24" w:space="8" w:color="C59B1E"/>
        </w:pBdr>
        <w:shd w:fill="FFFBF0"/>
      </w:pPr>
      <w:r>
        <w:rPr>
          <w:b/>
          <w:i/>
          <w:color w:val="1A365F"/>
          <w:sz w:val="22"/>
        </w:rPr>
        <w:t>**Neutral cross-border settlement infrastructure capable of serving multiple monetary systems under their respective laws.**</w:t>
      </w:r>
    </w:p>
    <w:p>
      <w:r>
        <w:t xml:space="preserve">This is a </w:t>
      </w:r>
      <w:r>
        <w:rPr>
          <w:b/>
        </w:rPr>
        <w:t>critical communications control</w:t>
      </w:r>
      <w:r>
        <w:t>.</w:t>
      </w:r>
    </w:p>
    <w:p>
      <w:pPr>
        <w:pBdr>
          <w:bottom w:val="single" w:sz="12" w:space="1" w:color="C59B1E"/>
        </w:pBdr>
      </w:pPr>
    </w:p>
    <w:p>
      <w:pPr>
        <w:pStyle w:val="Heading2"/>
      </w:pPr>
      <w:r>
        <w:t>§B.17 — PRIVACY IN CROSS-JURISDICTIONAL SETTLEMENT</w:t>
      </w:r>
    </w:p>
    <w:p>
      <w:pPr>
        <w:spacing w:before="120" w:after="120"/>
        <w:ind w:left="567" w:right="567"/>
        <w:pBdr>
          <w:left w:val="single" w:sz="24" w:space="8" w:color="C59B1E"/>
        </w:pBdr>
        <w:shd w:fill="FFFBF0"/>
      </w:pPr>
      <w:r>
        <w:rPr>
          <w:b/>
          <w:i/>
          <w:color w:val="1A365F"/>
          <w:sz w:val="22"/>
        </w:rPr>
        <w:t>**MITHQAL shall not require universal disclosure of underlying customer identity merely because a cross-border settlement occurs.**</w:t>
      </w:r>
    </w:p>
    <w:p>
      <w:r>
        <w:t>Customer identity shall remain primarily within the customer's regulated institution, subject to applicable law.</w:t>
      </w:r>
    </w:p>
    <w:p>
      <w:r>
        <w:t>MITHQAL shall use:</w:t>
      </w:r>
    </w:p>
    <w:p>
      <w:pPr>
        <w:pStyle w:val="ListBullet"/>
        <w:ind w:left="425"/>
      </w:pPr>
      <w:r>
        <w:t>minimum-necessary institutional data</w:t>
      </w:r>
    </w:p>
    <w:p>
      <w:pPr>
        <w:pStyle w:val="ListBullet"/>
        <w:ind w:left="425"/>
      </w:pPr>
      <w:r>
        <w:t>cryptographic attestations</w:t>
      </w:r>
    </w:p>
    <w:p>
      <w:pPr>
        <w:pStyle w:val="ListBullet"/>
        <w:ind w:left="425"/>
      </w:pPr>
      <w:r>
        <w:t>privacy-preserving credentials</w:t>
      </w:r>
    </w:p>
    <w:p>
      <w:pPr>
        <w:pStyle w:val="ListBullet"/>
        <w:ind w:left="425"/>
      </w:pPr>
      <w:r>
        <w:t>selective disclosure where technically and legally appropriate</w:t>
      </w:r>
    </w:p>
    <w:p>
      <w:r>
        <w:t>Authorized authorities shall retain access to information to the extent required by applicable law.</w:t>
      </w:r>
    </w:p>
    <w:p>
      <w:pPr>
        <w:pBdr>
          <w:bottom w:val="single" w:sz="12" w:space="1" w:color="C59B1E"/>
        </w:pBdr>
      </w:pPr>
    </w:p>
    <w:p>
      <w:pPr>
        <w:pStyle w:val="Heading2"/>
      </w:pPr>
      <w:r>
        <w:t>§B.18 — PRIVACY + U.S. / BRICS</w:t>
      </w:r>
    </w:p>
    <w:p>
      <w:pPr>
        <w:spacing w:before="120" w:after="120"/>
        <w:ind w:left="567" w:right="567"/>
        <w:pBdr>
          <w:left w:val="single" w:sz="24" w:space="8" w:color="C59B1E"/>
        </w:pBdr>
        <w:shd w:fill="FFFBF0"/>
      </w:pPr>
      <w:r>
        <w:rPr>
          <w:b/>
          <w:i/>
          <w:color w:val="1A365F"/>
          <w:sz w:val="22"/>
        </w:rPr>
        <w:t>**A transaction involving a BRICS jurisdiction shall not cause MITHQAL to automatically expose underlying corporate or customer information to another jurisdiction.**</w:t>
      </w:r>
    </w:p>
    <w:p>
      <w:r>
        <w:t>Cross-border information sharing shall be governed by:</w:t>
      </w:r>
    </w:p>
    <w:p>
      <w:pPr>
        <w:pStyle w:val="ListBullet"/>
        <w:ind w:left="425"/>
      </w:pPr>
      <w:r>
        <w:t>applicable law</w:t>
      </w:r>
    </w:p>
    <w:p>
      <w:pPr>
        <w:pStyle w:val="ListBullet"/>
        <w:ind w:left="425"/>
      </w:pPr>
      <w:r>
        <w:t>data-sharing agreements</w:t>
      </w:r>
    </w:p>
    <w:p>
      <w:pPr>
        <w:pStyle w:val="ListBullet"/>
        <w:ind w:left="425"/>
      </w:pPr>
      <w:r>
        <w:t>institutional authorization</w:t>
      </w:r>
    </w:p>
    <w:p>
      <w:pPr>
        <w:pStyle w:val="ListBullet"/>
        <w:ind w:left="425"/>
      </w:pPr>
      <w:r>
        <w:t>regulatory authority</w:t>
      </w:r>
    </w:p>
    <w:p>
      <w:pPr>
        <w:pStyle w:val="ListBullet"/>
        <w:ind w:left="425"/>
      </w:pPr>
      <w:r>
        <w:t>selective disclosure policy</w:t>
      </w:r>
    </w:p>
    <w:p>
      <w:r>
        <w:rPr>
          <w:b/>
        </w:rPr>
        <w:t>Technical settlement connectivity shall not automatically imply unrestricted data connectivity.</w:t>
      </w:r>
    </w:p>
    <w:p>
      <w:r>
        <w:t>This is important for U.S., EU, UAE, China, India and other data-sovereignty environments.</w:t>
      </w:r>
    </w:p>
    <w:p>
      <w:pPr>
        <w:pBdr>
          <w:bottom w:val="single" w:sz="12" w:space="1" w:color="C59B1E"/>
        </w:pBdr>
      </w:pPr>
    </w:p>
    <w:p>
      <w:pPr>
        <w:pStyle w:val="Heading2"/>
      </w:pPr>
      <w:r>
        <w:t>§B.19 — POLICY ENGINE (COUNTRY_GATEWAY_POLICY)</w:t>
      </w:r>
    </w:p>
    <w:p>
      <w:pPr>
        <w:pStyle w:val="Heading3"/>
      </w:pPr>
      <w:r>
        <w:t>Inputs</w:t>
      </w:r>
    </w:p>
    <w:p>
      <w:r>
        <w:t>The jurisdiction policy engine must determine:</w:t>
      </w:r>
    </w:p>
    <w:p>
      <w:pPr>
        <w:pStyle w:val="ListNumber"/>
        <w:ind w:left="425"/>
      </w:pPr>
      <w:r>
        <w:t>Origin Jurisdiction</w:t>
      </w:r>
    </w:p>
    <w:p>
      <w:pPr>
        <w:pStyle w:val="ListNumber"/>
        <w:ind w:left="425"/>
      </w:pPr>
      <w:r>
        <w:t>Destination Jurisdiction</w:t>
      </w:r>
    </w:p>
    <w:p>
      <w:pPr>
        <w:pStyle w:val="ListNumber"/>
        <w:ind w:left="425"/>
      </w:pPr>
      <w:r>
        <w:t>Origin Institution</w:t>
      </w:r>
    </w:p>
    <w:p>
      <w:pPr>
        <w:pStyle w:val="ListNumber"/>
        <w:ind w:left="425"/>
      </w:pPr>
      <w:r>
        <w:t>Destination Institution</w:t>
      </w:r>
    </w:p>
    <w:p>
      <w:pPr>
        <w:pStyle w:val="ListNumber"/>
        <w:ind w:left="425"/>
      </w:pPr>
      <w:r>
        <w:t>Origin Instrument</w:t>
      </w:r>
    </w:p>
    <w:p>
      <w:pPr>
        <w:pStyle w:val="ListNumber"/>
        <w:ind w:left="425"/>
      </w:pPr>
      <w:r>
        <w:t>Destination Instrument</w:t>
      </w:r>
    </w:p>
    <w:p>
      <w:pPr>
        <w:pStyle w:val="ListNumber"/>
        <w:ind w:left="425"/>
      </w:pPr>
      <w:r>
        <w:t>Settlement Asset</w:t>
      </w:r>
    </w:p>
    <w:p>
      <w:pPr>
        <w:pStyle w:val="ListNumber"/>
        <w:ind w:left="425"/>
      </w:pPr>
      <w:r>
        <w:t>CBDC</w:t>
      </w:r>
    </w:p>
    <w:p>
      <w:pPr>
        <w:pStyle w:val="ListNumber"/>
        <w:ind w:left="425"/>
      </w:pPr>
      <w:r>
        <w:t>BRICS Instrument</w:t>
      </w:r>
    </w:p>
    <w:p>
      <w:pPr>
        <w:pStyle w:val="ListNumber"/>
        <w:ind w:left="425"/>
      </w:pPr>
      <w:r>
        <w:t>Customer Purpose Class</w:t>
      </w:r>
    </w:p>
    <w:p>
      <w:pPr>
        <w:pStyle w:val="ListNumber"/>
        <w:ind w:left="425"/>
      </w:pPr>
      <w:r>
        <w:t>Transaction Type</w:t>
      </w:r>
    </w:p>
    <w:p>
      <w:pPr>
        <w:pStyle w:val="ListNumber"/>
        <w:ind w:left="425"/>
      </w:pPr>
      <w:r>
        <w:t>Sanctions State</w:t>
      </w:r>
    </w:p>
    <w:p>
      <w:pPr>
        <w:pStyle w:val="ListNumber"/>
        <w:ind w:left="425"/>
      </w:pPr>
      <w:r>
        <w:t>AML State</w:t>
      </w:r>
    </w:p>
    <w:p>
      <w:pPr>
        <w:pStyle w:val="ListNumber"/>
        <w:ind w:left="425"/>
      </w:pPr>
      <w:r>
        <w:t>Disclosure State</w:t>
      </w:r>
    </w:p>
    <w:p>
      <w:pPr>
        <w:pStyle w:val="ListNumber"/>
        <w:ind w:left="425"/>
      </w:pPr>
      <w:r>
        <w:t>Legal Status</w:t>
      </w:r>
    </w:p>
    <w:p>
      <w:pPr>
        <w:pStyle w:val="ListNumber"/>
        <w:ind w:left="425"/>
      </w:pPr>
      <w:r>
        <w:t>Authorization State</w:t>
      </w:r>
    </w:p>
    <w:p>
      <w:pPr>
        <w:pStyle w:val="Heading3"/>
      </w:pPr>
      <w:r>
        <w:t>Output</w:t>
      </w:r>
    </w:p>
    <w:p>
      <w:r>
        <w:rPr>
          <w:rFonts w:ascii="Consolas" w:hAnsi="Consolas"/>
          <w:color w:val="6B6B6B"/>
          <w:sz w:val="19"/>
        </w:rPr>
        <w:t>ALLOWED | CONDITIONAL | RESTRICTED | PROHIBITED | UNKNOWN</w:t>
      </w:r>
    </w:p>
    <w:p>
      <w:r>
        <w:rPr>
          <w:b/>
        </w:rPr>
        <w:t>Rule:</w:t>
      </w:r>
      <w:r>
        <w:t xml:space="preserve"> UNKNOWN = BLOCK</w:t>
      </w:r>
    </w:p>
    <w:p>
      <w:r>
        <w:rPr>
          <w:b/>
        </w:rPr>
        <w:t>Implementation:</w:t>
      </w:r>
      <w:r>
        <w:t xml:space="preserve"> </w:t>
      </w:r>
      <w:r>
        <w:rPr>
          <w:rFonts w:ascii="Consolas" w:hAnsi="Consolas"/>
          <w:color w:val="6B6B6B"/>
          <w:sz w:val="19"/>
        </w:rPr>
        <w:t>src/lib/v25-0-brics-neutrality-amendment.ts</w:t>
      </w:r>
      <w:r>
        <w:t xml:space="preserve"> → </w:t>
      </w:r>
      <w:r>
        <w:rPr>
          <w:rFonts w:ascii="Consolas" w:hAnsi="Consolas"/>
          <w:color w:val="6B6B6B"/>
          <w:sz w:val="19"/>
        </w:rPr>
        <w:t>evaluateCountryGatewayPolicy()</w:t>
      </w:r>
    </w:p>
    <w:p>
      <w:pPr>
        <w:pBdr>
          <w:bottom w:val="single" w:sz="12" w:space="1" w:color="C59B1E"/>
        </w:pBdr>
      </w:pPr>
    </w:p>
    <w:p>
      <w:pPr>
        <w:pStyle w:val="Heading2"/>
      </w:pPr>
      <w:r>
        <w:t>§B.20 — TECHNICAL ARCHITECTURE (JSG Model)</w:t>
      </w:r>
    </w:p>
    <w:p>
      <w:pPr>
        <w:ind w:left="283"/>
        <w:shd w:fill="F5F5F5"/>
      </w:pPr>
      <w:r>
        <w:rPr>
          <w:rFonts w:ascii="Consolas" w:hAnsi="Consolas"/>
          <w:color w:val="6B6B6B"/>
          <w:sz w:val="18"/>
        </w:rPr>
        <w:t xml:space="preserve">                    MITHQAL CORE</w:t>
        <w:br/>
        <w:t xml:space="preserve">              ┌─────────────────────┐</w:t>
        <w:br/>
        <w:t xml:space="preserve">              │ MTQ Settlement      │</w:t>
        <w:br/>
        <w:t xml:space="preserve">              │ Issuance Engine     │</w:t>
        <w:br/>
        <w:t xml:space="preserve">              │ Reserve Engine      │</w:t>
        <w:br/>
        <w:t xml:space="preserve">              │ Finality            │</w:t>
        <w:br/>
        <w:t xml:space="preserve">              │ Audit               │</w:t>
        <w:br/>
        <w:t xml:space="preserve">              │ Privacy             │</w:t>
        <w:br/>
        <w:t xml:space="preserve">              └─────────┬───────────┘</w:t>
        <w:br/>
        <w:t xml:space="preserve">                        │</w:t>
        <w:br/>
        <w:t xml:space="preserve">        ┌───────────────┼────────────────┐</w:t>
        <w:br/>
        <w:t xml:space="preserve">        │               │                │</w:t>
        <w:br/>
        <w:t xml:space="preserve">        ▼               ▼                ▼</w:t>
        <w:br/>
        <w:t xml:space="preserve">      U.S. JSG       BRICS JSG       OTHER JSG</w:t>
        <w:br/>
        <w:t xml:space="preserve">        │               │                │</w:t>
        <w:br/>
        <w:t xml:space="preserve">        ▼               ▼                ▼</w:t>
        <w:br/>
        <w:t xml:space="preserve">      Banks        BRICS Banks       Banks/CBDCs</w:t>
        <w:br/>
        <w:t xml:space="preserve">        │               │                │</w:t>
        <w:br/>
        <w:t xml:space="preserve">      USD/CBDC    BRICS Instruments   Local/CBDC</w:t>
      </w:r>
    </w:p>
    <w:p>
      <w:r>
        <w:rPr>
          <w:b/>
        </w:rPr>
        <w:t>No jurisdiction connects directly to the unrestricted MTQ core without passing through its policy gateway.</w:t>
      </w:r>
    </w:p>
    <w:p>
      <w:pPr>
        <w:pBdr>
          <w:bottom w:val="single" w:sz="12" w:space="1" w:color="C59B1E"/>
        </w:pBdr>
      </w:pPr>
    </w:p>
    <w:p>
      <w:pPr>
        <w:pStyle w:val="Heading2"/>
      </w:pPr>
      <w:r>
        <w:t>§B.21 — BRICS ADAPTER SECURITY</w:t>
      </w:r>
    </w:p>
    <w:p>
      <w:r>
        <w:t>The BRICS Settlement Interoperability Adapter must have:</w:t>
      </w:r>
    </w:p>
    <w:p>
      <w:pPr>
        <w:pStyle w:val="ListBullet"/>
        <w:ind w:left="425"/>
      </w:pPr>
      <w:r>
        <w:t>independent authorization</w:t>
      </w:r>
    </w:p>
    <w:p>
      <w:pPr>
        <w:pStyle w:val="ListBullet"/>
        <w:ind w:left="425"/>
      </w:pPr>
      <w:r>
        <w:t>version control</w:t>
      </w:r>
    </w:p>
    <w:p>
      <w:pPr>
        <w:pStyle w:val="ListBullet"/>
        <w:ind w:left="425"/>
      </w:pPr>
      <w:r>
        <w:t>policy control</w:t>
      </w:r>
    </w:p>
    <w:p>
      <w:pPr>
        <w:pStyle w:val="ListBullet"/>
        <w:ind w:left="425"/>
      </w:pPr>
      <w:r>
        <w:t>transaction limits</w:t>
      </w:r>
    </w:p>
    <w:p>
      <w:pPr>
        <w:pStyle w:val="ListBullet"/>
        <w:ind w:left="425"/>
      </w:pPr>
      <w:r>
        <w:t>jurisdiction controls</w:t>
      </w:r>
    </w:p>
    <w:p>
      <w:pPr>
        <w:pStyle w:val="ListBullet"/>
        <w:ind w:left="425"/>
      </w:pPr>
      <w:r>
        <w:t>cryptographic authentication</w:t>
      </w:r>
    </w:p>
    <w:p>
      <w:pPr>
        <w:pStyle w:val="ListBullet"/>
        <w:ind w:left="425"/>
      </w:pPr>
      <w:r>
        <w:t>emergency disablement</w:t>
      </w:r>
    </w:p>
    <w:p>
      <w:pPr>
        <w:pStyle w:val="ListBullet"/>
        <w:ind w:left="425"/>
      </w:pPr>
      <w:r>
        <w:t>audit trail</w:t>
      </w:r>
    </w:p>
    <w:p>
      <w:pPr>
        <w:pStyle w:val="ListBullet"/>
        <w:ind w:left="425"/>
      </w:pPr>
      <w:r>
        <w:t>upgrade governance</w:t>
      </w:r>
    </w:p>
    <w:p>
      <w:pPr>
        <w:pStyle w:val="ListBullet"/>
        <w:ind w:left="425"/>
      </w:pPr>
      <w:r>
        <w:t>no bypass path into MTQ core</w:t>
      </w:r>
    </w:p>
    <w:p>
      <w:r>
        <w:rPr>
          <w:b/>
        </w:rPr>
        <w:t>Critical requirement:</w:t>
      </w:r>
      <w:r>
        <w:t xml:space="preserve"> Disabling the BRICS adapter must not disable MTQ itself. This preserves MTQ's neutrality and operational independence.</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BRICSInteroperabilityAdapter.disable()</w:t>
      </w:r>
    </w:p>
    <w:p>
      <w:pPr>
        <w:pBdr>
          <w:bottom w:val="single" w:sz="12" w:space="1" w:color="C59B1E"/>
        </w:pBdr>
      </w:pPr>
    </w:p>
    <w:p>
      <w:pPr>
        <w:pStyle w:val="Heading2"/>
      </w:pPr>
      <w:r>
        <w:t>§B.22 — U.S. EMERGENCY ISOLATION</w:t>
      </w:r>
    </w:p>
    <w:p>
      <w:pPr>
        <w:pStyle w:val="Heading3"/>
      </w:pPr>
      <w:r>
        <w:t>Jurisdictional Emergency Isolation</w:t>
      </w:r>
    </w:p>
    <w:p>
      <w:r>
        <w:t>If U.S. law, regulator instruction or system risk requires suspension:</w:t>
      </w:r>
    </w:p>
    <w:p>
      <w:pPr>
        <w:ind w:left="283"/>
        <w:shd w:fill="F5F5F5"/>
      </w:pPr>
      <w:r>
        <w:rPr>
          <w:rFonts w:ascii="Consolas" w:hAnsi="Consolas"/>
          <w:color w:val="6B6B6B"/>
          <w:sz w:val="18"/>
        </w:rPr>
        <w:t>U.S. JSG → ISOLATED</w:t>
        <w:br/>
        <w:br/>
        <w:t>while:</w:t>
        <w:br/>
        <w:br/>
        <w:t>Japan JSG → ACTIVE</w:t>
        <w:br/>
        <w:t>UAE JSG → ACTIVE</w:t>
        <w:br/>
        <w:t>India JSG → ACTIVE</w:t>
        <w:br/>
        <w:t>Other permitted JSGs → ACTIVE</w:t>
        <w:br/>
        <w:br/>
        <w:t>subject to their own laws.</w:t>
      </w:r>
    </w:p>
    <w:p>
      <w:r>
        <w:t>Likewise, any jurisdiction can isolate its own gateway without collapsing the entire MITHQAL network.</w:t>
      </w:r>
    </w:p>
    <w:p>
      <w:r>
        <w:rPr>
          <w:b/>
        </w:rPr>
        <w:t>This is much stronger than a globally centralized block/unblock switch.</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performEmergencyIsolation()</w:t>
      </w:r>
    </w:p>
    <w:p>
      <w:pPr>
        <w:pBdr>
          <w:bottom w:val="single" w:sz="12" w:space="1" w:color="C59B1E"/>
        </w:pBdr>
      </w:pPr>
    </w:p>
    <w:p>
      <w:pPr>
        <w:pStyle w:val="Heading2"/>
      </w:pPr>
      <w:r>
        <w:t>§B.23 — ECONOMIC RESILIENCE</w:t>
      </w:r>
    </w:p>
    <w:p>
      <w:pPr>
        <w:spacing w:before="120" w:after="120"/>
        <w:ind w:left="567" w:right="567"/>
        <w:pBdr>
          <w:left w:val="single" w:sz="24" w:space="8" w:color="C59B1E"/>
        </w:pBdr>
        <w:shd w:fill="FFFBF0"/>
      </w:pPr>
      <w:r>
        <w:rPr>
          <w:b/>
          <w:i/>
          <w:color w:val="1A365F"/>
          <w:sz w:val="22"/>
        </w:rPr>
        <w:t>**The MITHQAL network shall be designed so that jurisdictional isolation does not automatically create global settlement failure.**</w:t>
      </w:r>
    </w:p>
    <w:p>
      <w:r>
        <w:t>A prohibited or suspended jurisdiction shall be isolated through its gateway while permitted corridors continue operating where legally and technically possible.</w:t>
      </w:r>
    </w:p>
    <w:p>
      <w:r>
        <w:t>This creates geopolitical and operational resilience.</w:t>
      </w:r>
    </w:p>
    <w:p>
      <w:pPr>
        <w:pBdr>
          <w:bottom w:val="single" w:sz="12" w:space="1" w:color="C59B1E"/>
        </w:pBdr>
      </w:pPr>
    </w:p>
    <w:p>
      <w:pPr>
        <w:pStyle w:val="Heading2"/>
      </w:pPr>
      <w:r>
        <w:t>§B.24 — BRICS PILOT STRATEGY (5 Phases)</w:t>
      </w:r>
    </w:p>
    <w:p>
      <w:pPr>
        <w:pStyle w:val="Heading3"/>
      </w:pPr>
      <w:r>
        <w:t>Recommended Deployment Path</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Phase</w:t>
            </w:r>
          </w:p>
        </w:tc>
        <w:tc>
          <w:tcPr>
            <w:tcW w:type="dxa" w:w="3024"/>
            <w:shd w:fill="1A365F"/>
            <w:vAlign w:val="center"/>
          </w:tcPr>
          <w:p>
            <w:pPr>
              <w:jc w:val="left"/>
            </w:pPr>
            <w:r/>
            <w:r>
              <w:rPr>
                <w:rFonts w:ascii="Calibri" w:hAnsi="Calibri"/>
                <w:b/>
                <w:color w:val="FFFFFF"/>
                <w:sz w:val="18"/>
              </w:rPr>
              <w:t>Name</w:t>
            </w:r>
          </w:p>
        </w:tc>
        <w:tc>
          <w:tcPr>
            <w:tcW w:type="dxa" w:w="3024"/>
            <w:shd w:fill="1A365F"/>
            <w:vAlign w:val="center"/>
          </w:tcPr>
          <w:p>
            <w:pPr>
              <w:jc w:val="left"/>
            </w:pPr>
            <w:r/>
            <w:r>
              <w:rPr>
                <w:rFonts w:ascii="Calibri" w:hAnsi="Calibri"/>
                <w:b/>
                <w:color w:val="FFFFFF"/>
                <w:sz w:val="18"/>
              </w:rPr>
              <w:t>Flow</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Non-BRICS / Cross-Currency Pilot</w:t>
            </w:r>
          </w:p>
        </w:tc>
        <w:tc>
          <w:tcPr>
            <w:tcW w:type="dxa" w:w="3024"/>
            <w:vAlign w:val="center"/>
          </w:tcPr>
          <w:p>
            <w:pPr>
              <w:jc w:val="left"/>
            </w:pPr>
            <w:r/>
            <w:r>
              <w:rPr>
                <w:rFonts w:ascii="Calibri" w:hAnsi="Calibri"/>
                <w:color w:val="2D2D2D"/>
                <w:sz w:val="18"/>
              </w:rPr>
              <w:t>Bank → MTQ → Bank</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BRICS National-Currency Corridor</w:t>
            </w:r>
          </w:p>
        </w:tc>
        <w:tc>
          <w:tcPr>
            <w:tcW w:type="dxa" w:w="3024"/>
            <w:shd w:fill="F0F0F0"/>
            <w:vAlign w:val="center"/>
          </w:tcPr>
          <w:p>
            <w:pPr>
              <w:jc w:val="left"/>
            </w:pPr>
            <w:r/>
            <w:r>
              <w:rPr>
                <w:rFonts w:ascii="Calibri" w:hAnsi="Calibri"/>
                <w:color w:val="2D2D2D"/>
                <w:sz w:val="18"/>
              </w:rPr>
              <w:t>INR → MTQ → AED (or another legally approved corridor)</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CBDC Corridor</w:t>
            </w:r>
          </w:p>
        </w:tc>
        <w:tc>
          <w:tcPr>
            <w:tcW w:type="dxa" w:w="3024"/>
            <w:vAlign w:val="center"/>
          </w:tcPr>
          <w:p>
            <w:pPr>
              <w:jc w:val="left"/>
            </w:pPr>
            <w:r/>
            <w:r>
              <w:rPr>
                <w:rFonts w:ascii="Calibri" w:hAnsi="Calibri"/>
                <w:color w:val="2D2D2D"/>
                <w:sz w:val="18"/>
              </w:rPr>
              <w:t>CBDC A → MTQ → CBDC B</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Official BRICS Instrument</w:t>
            </w:r>
          </w:p>
        </w:tc>
        <w:tc>
          <w:tcPr>
            <w:tcW w:type="dxa" w:w="3024"/>
            <w:shd w:fill="F0F0F0"/>
            <w:vAlign w:val="center"/>
          </w:tcPr>
          <w:p>
            <w:pPr>
              <w:jc w:val="left"/>
            </w:pPr>
            <w:r/>
            <w:r>
              <w:rPr>
                <w:rFonts w:ascii="Calibri" w:hAnsi="Calibri"/>
                <w:color w:val="2D2D2D"/>
                <w:sz w:val="18"/>
              </w:rPr>
              <w:t>BRICS Unit → MTQ → Local Currency / CBDC (if formally created)</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Multilateral Network</w:t>
            </w:r>
          </w:p>
        </w:tc>
        <w:tc>
          <w:tcPr>
            <w:tcW w:type="dxa" w:w="3024"/>
            <w:vAlign w:val="center"/>
          </w:tcPr>
          <w:p>
            <w:pPr>
              <w:jc w:val="left"/>
            </w:pPr>
            <w:r/>
            <w:r>
              <w:rPr>
                <w:rFonts w:ascii="Calibri" w:hAnsi="Calibri"/>
                <w:color w:val="2D2D2D"/>
                <w:sz w:val="18"/>
              </w:rPr>
              <w:t>Multiple BRICS and non-BRICS jurisdictions</w:t>
            </w:r>
          </w:p>
        </w:tc>
      </w:tr>
    </w:tbl>
    <w:p/>
    <w:p>
      <w:r>
        <w:t>This prevents MITHQAL from becoming dependent on political decisions outside its control.</w:t>
      </w:r>
    </w:p>
    <w:p>
      <w:pPr>
        <w:pBdr>
          <w:bottom w:val="single" w:sz="12" w:space="1" w:color="C59B1E"/>
        </w:pBdr>
      </w:pPr>
    </w:p>
    <w:p>
      <w:pPr>
        <w:pStyle w:val="Heading2"/>
      </w:pPr>
      <w:r>
        <w:t>§B.25 — FINAL BRICS / U.S. CANONICAL STATEMENT</w:t>
      </w:r>
    </w:p>
    <w:p>
      <w:pPr>
        <w:spacing w:before="120" w:after="120"/>
        <w:ind w:left="567" w:right="567"/>
        <w:pBdr>
          <w:left w:val="single" w:sz="24" w:space="8" w:color="C59B1E"/>
        </w:pBdr>
        <w:shd w:fill="FFFBF0"/>
      </w:pPr>
      <w:r>
        <w:rPr>
          <w:b/>
          <w:i/>
          <w:color w:val="1A365F"/>
          <w:sz w:val="22"/>
        </w:rPr>
        <w:t>**MITHQAL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pPr>
        <w:pBdr>
          <w:bottom w:val="single" w:sz="12" w:space="1" w:color="C59B1E"/>
        </w:pBdr>
      </w:pPr>
    </w:p>
    <w:p>
      <w:pPr>
        <w:pStyle w:val="Heading2"/>
      </w:pPr>
      <w:r>
        <w:t>§B.26 — FINAL DESIGN DECISION</w:t>
      </w:r>
    </w:p>
    <w:p>
      <w:pPr>
        <w:pStyle w:val="Heading3"/>
      </w:pPr>
      <w:r>
        <w:t>Final Conceptual Architecture</w:t>
      </w:r>
    </w:p>
    <w:p>
      <w:pPr>
        <w:ind w:left="283"/>
        <w:shd w:fill="F5F5F5"/>
      </w:pPr>
      <w:r>
        <w:rPr>
          <w:rFonts w:ascii="Consolas" w:hAnsi="Consolas"/>
          <w:color w:val="6B6B6B"/>
          <w:sz w:val="18"/>
        </w:rPr>
        <w:t xml:space="preserve">                  SOVEREIGN / MONETARY SYSTEMS</w:t>
        <w:br/>
        <w:t xml:space="preserve">                              │</w:t>
        <w:br/>
        <w:t xml:space="preserve">              ┌───────────────┼────────────────┐</w:t>
        <w:br/>
        <w:t xml:space="preserve">              │               │                │</w:t>
        <w:br/>
        <w:t xml:space="preserve">             USA            BRICS            JAPAN</w:t>
        <w:br/>
        <w:t xml:space="preserve">              │               │                │</w:t>
        <w:br/>
        <w:t xml:space="preserve">          U.S. JSG         BRICS JSG         JP JSG</w:t>
        <w:br/>
        <w:t xml:space="preserve">              │               │                │</w:t>
        <w:br/>
        <w:t xml:space="preserve">           U.S. Banks      BRICS Banks      JP Banks</w:t>
        <w:br/>
        <w:t xml:space="preserve">              │               │                │</w:t>
        <w:br/>
        <w:t xml:space="preserve">              └───────────────┼────────────────┘</w:t>
        <w:br/>
        <w:t xml:space="preserve">                              │</w:t>
        <w:br/>
        <w:t xml:space="preserve">                              ▼</w:t>
        <w:br/>
        <w:t xml:space="preserve">                    MITHQAL MTQ CORE</w:t>
        <w:br/>
        <w:t xml:space="preserve">                    NEUTRAL SETTLEMENT</w:t>
        <w:br/>
        <w:t xml:space="preserve">                              │</w:t>
        <w:br/>
        <w:t xml:space="preserve">                 ┌────────────┴────────────┐</w:t>
        <w:br/>
        <w:t xml:space="preserve">                 │                         │</w:t>
        <w:br/>
        <w:t xml:space="preserve">            CBDC Adapter             BRICS Adapter</w:t>
        <w:br/>
        <w:t xml:space="preserve">                 │                         │</w:t>
        <w:br/>
        <w:t xml:space="preserve">                 ▼                         ▼</w:t>
        <w:br/>
        <w:t xml:space="preserve">         Authorized CBDCs          Officially Authorized</w:t>
        <w:br/>
        <w:t xml:space="preserve">                                   BRICS Instruments</w:t>
      </w:r>
    </w:p>
    <w:p>
      <w:pPr>
        <w:pStyle w:val="Heading3"/>
      </w:pPr>
      <w:r>
        <w:t>The Three Rules That Must Never Be Lost</w:t>
      </w:r>
    </w:p>
    <w:p>
      <w:pPr>
        <w:pStyle w:val="ListNumber"/>
        <w:ind w:left="425"/>
      </w:pPr>
      <w:r>
        <w:rPr>
          <w:b/>
        </w:rPr>
        <w:t>MTQ is not BRICS money.</w:t>
      </w:r>
    </w:p>
    <w:p>
      <w:pPr>
        <w:pStyle w:val="ListNumber"/>
        <w:ind w:left="425"/>
      </w:pPr>
      <w:r>
        <w:rPr>
          <w:b/>
        </w:rPr>
        <w:t>MTQ is not U.S. money.</w:t>
      </w:r>
    </w:p>
    <w:p>
      <w:pPr>
        <w:pStyle w:val="ListNumber"/>
        <w:ind w:left="425"/>
      </w:pPr>
      <w:r>
        <w:rPr>
          <w:b/>
        </w:rPr>
        <w:t>MTQ is the neutral settlement layer between authorized monetary systems.</w:t>
      </w:r>
    </w:p>
    <w:p>
      <w:pPr>
        <w:pStyle w:val="Heading3"/>
      </w:pPr>
      <w:r>
        <w:t>Final COO Recommendation</w:t>
      </w:r>
    </w:p>
    <w:p>
      <w:pPr>
        <w:spacing w:before="120" w:after="120"/>
        <w:ind w:left="567" w:right="567"/>
        <w:pBdr>
          <w:left w:val="single" w:sz="24" w:space="8" w:color="C59B1E"/>
        </w:pBdr>
        <w:shd w:fill="FFFBF0"/>
      </w:pPr>
      <w:r>
        <w:rPr>
          <w:b/>
          <w:i/>
          <w:color w:val="1A365F"/>
          <w:sz w:val="22"/>
        </w:rPr>
        <w:t>Pursue BRICS interoperability through the jurisdictional-gateway model rather than putting BRICS directly into the MTQ core. This gives:</w:t>
      </w:r>
    </w:p>
    <w:p>
      <w:pPr>
        <w:spacing w:before="120" w:after="120"/>
        <w:ind w:left="567" w:right="567"/>
        <w:pBdr>
          <w:left w:val="single" w:sz="24" w:space="8" w:color="C59B1E"/>
        </w:pBdr>
        <w:shd w:fill="FFFBF0"/>
      </w:pPr>
      <w:r>
        <w:rPr>
          <w:b/>
          <w:i/>
          <w:color w:val="1A365F"/>
          <w:sz w:val="22"/>
        </w:rPr>
        <w:t>- BRICS compatibility without becoming a BRICS political instrument</w:t>
      </w:r>
    </w:p>
    <w:p>
      <w:pPr>
        <w:spacing w:before="120" w:after="120"/>
        <w:ind w:left="567" w:right="567"/>
        <w:pBdr>
          <w:left w:val="single" w:sz="24" w:space="8" w:color="C59B1E"/>
        </w:pBdr>
        <w:shd w:fill="FFFBF0"/>
      </w:pPr>
      <w:r>
        <w:rPr>
          <w:b/>
          <w:i/>
          <w:color w:val="1A365F"/>
          <w:sz w:val="22"/>
        </w:rPr>
        <w:t>- U.S. compatibility without assuming U.S. authorization for BRICS transactions</w:t>
      </w:r>
    </w:p>
    <w:p>
      <w:pPr>
        <w:spacing w:before="120" w:after="120"/>
        <w:ind w:left="567" w:right="567"/>
        <w:pBdr>
          <w:left w:val="single" w:sz="24" w:space="8" w:color="C59B1E"/>
        </w:pBdr>
        <w:shd w:fill="FFFBF0"/>
      </w:pPr>
      <w:r>
        <w:rPr>
          <w:b/>
          <w:i/>
          <w:color w:val="1A365F"/>
          <w:sz w:val="22"/>
        </w:rPr>
        <w:t>- CBDC compatibility without becoming a CBDC</w:t>
      </w:r>
    </w:p>
    <w:p>
      <w:pPr>
        <w:spacing w:before="120" w:after="120"/>
        <w:ind w:left="567" w:right="567"/>
        <w:pBdr>
          <w:left w:val="single" w:sz="24" w:space="8" w:color="C59B1E"/>
        </w:pBdr>
        <w:shd w:fill="FFFBF0"/>
      </w:pPr>
      <w:r>
        <w:rPr>
          <w:b/>
          <w:i/>
          <w:color w:val="1A365F"/>
          <w:sz w:val="22"/>
        </w:rPr>
        <w:t>- Local-currency compatibility without requiring monetary union</w:t>
      </w:r>
    </w:p>
    <w:p>
      <w:pPr>
        <w:spacing w:before="120" w:after="120"/>
        <w:ind w:left="567" w:right="567"/>
        <w:pBdr>
          <w:left w:val="single" w:sz="24" w:space="8" w:color="C59B1E"/>
        </w:pBdr>
        <w:shd w:fill="FFFBF0"/>
      </w:pPr>
      <w:r>
        <w:rPr>
          <w:b/>
          <w:i/>
          <w:color w:val="1A365F"/>
          <w:sz w:val="22"/>
        </w:rPr>
        <w:t>- Neutrality without becoming lawless</w:t>
      </w:r>
    </w:p>
    <w:p>
      <w:pPr>
        <w:pStyle w:val="Heading3"/>
      </w:pPr>
      <w:r>
        <w:t>Key Asymmetry</w:t>
      </w:r>
    </w:p>
    <w:p>
      <w:pPr>
        <w:spacing w:before="120" w:after="120"/>
        <w:ind w:left="567" w:right="567"/>
        <w:pBdr>
          <w:left w:val="single" w:sz="24" w:space="8" w:color="C59B1E"/>
        </w:pBdr>
        <w:shd w:fill="FFFBF0"/>
      </w:pPr>
      <w:r>
        <w:rPr>
          <w:b/>
          <w:i/>
          <w:color w:val="1A365F"/>
          <w:sz w:val="22"/>
        </w:rPr>
        <w:t>If BRICS succeeds, MITHQAL has a role. If BRICS changes direction, MITHQAL still has a role. If the U.S. restricts a particular corridor, the U.S. gateway can isolate it without destroying the global MITHQAL network.</w:t>
      </w:r>
    </w:p>
    <w:p>
      <w:pPr>
        <w:pBdr>
          <w:bottom w:val="single" w:sz="12" w:space="1" w:color="C59B1E"/>
        </w:pBdr>
      </w:pPr>
    </w:p>
    <w:p>
      <w:pPr>
        <w:pBdr>
          <w:bottom w:val="single" w:sz="12" w:space="1" w:color="C59B1E"/>
        </w:pBdr>
      </w:pPr>
    </w:p>
    <w:p>
      <w:pPr>
        <w:pStyle w:val="Heading1"/>
      </w:pPr>
      <w:r>
        <w:t>PRESERVED v24.2.1 CANONICAL BLUEPRINT (Full Text)</w:t>
      </w:r>
    </w:p>
    <w:p>
      <w:pPr>
        <w:spacing w:before="120" w:after="120"/>
        <w:ind w:left="567" w:right="567"/>
        <w:pBdr>
          <w:left w:val="single" w:sz="24" w:space="8" w:color="C59B1E"/>
        </w:pBdr>
        <w:shd w:fill="FFFBF0"/>
      </w:pPr>
      <w:r>
        <w:rPr>
          <w:b/>
          <w:i/>
          <w:color w:val="1A365F"/>
          <w:sz w:val="22"/>
        </w:rPr>
        <w:t>**The following is the complete v24.2.1-FINAL canonical blueprint, preserved in full. All 28,899 lines of the original are retained below. Where v25.0 supersedes v24.2.1 language, the prior text is marked with [HISTORICAL/NON-NORMATIVE — Superseded by v25.0 §X] markers.**</w:t>
      </w:r>
    </w:p>
    <w:p>
      <w:pPr>
        <w:pBdr>
          <w:bottom w:val="single" w:sz="12" w:space="1" w:color="C59B1E"/>
        </w:pBdr>
      </w:pPr>
    </w:p>
    <w:p>
      <w:pPr>
        <w:pStyle w:val="Heading1"/>
      </w:pPr>
      <w:r>
        <w:t>MITHQAL — CANONICAL BLUEPRINT v24.2.1 (FINAL)</w:t>
      </w:r>
    </w:p>
    <w:p>
      <w:pPr>
        <w:pStyle w:val="Heading2"/>
      </w:pPr>
      <w:r>
        <w:t>Institutional Constitutional Reserve &amp; Settlement Architecture — Four Measurement Layers + Digital Liquidity Sleeve + 7-Layer Resilience Stack</w:t>
      </w:r>
    </w:p>
    <w:p>
      <w:pPr>
        <w:pStyle w:val="Heading2"/>
      </w:pPr>
      <w:r>
        <w:t>v24.2.1 CTO/COO-CONTROLLED SEQUENTIAL INSTITUTIONAL REMEDIATION — 10 AMENDMENTS + 6-STATE MACHINE + HIERARCHICAL OPTIMIZER + TOKENIZED ALLOCATED GOLD + CONDITIONAL SILVER</w:t>
      </w:r>
    </w:p>
    <w:p>
      <w:pPr>
        <w:pStyle w:val="Heading2"/>
      </w:pPr>
      <w:r>
        <w:t>FULLY RECONCILED FROM v19 + v23 + FOUR INDEPENDENT AUDIT REPORTS + 6-TASK VALIDATION CYCLE</w:t>
      </w:r>
    </w:p>
    <w:p>
      <w:r>
        <w:rPr>
          <w:b/>
        </w:rPr>
        <w:t>Version:</w:t>
      </w:r>
      <w:r>
        <w:t xml:space="preserve"> 24.2.1-FINAL (Tokenized Allocated Gold + Conditional Silver + CALM Fix + Full Remediation)</w:t>
      </w:r>
    </w:p>
    <w:p>
      <w:r>
        <w:rPr>
          <w:b/>
        </w:rPr>
        <w:t>Date:</w:t>
      </w:r>
      <w:r>
        <w:t xml:space="preserve"> 2026-08-13</w:t>
      </w:r>
    </w:p>
    <w:p>
      <w:r>
        <w:rPr>
          <w:b/>
        </w:rPr>
        <w:t>Status:</w:t>
      </w:r>
      <w:r>
        <w:t xml:space="preserve"> 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p>
    <w:p>
      <w:r>
        <w:rPr>
          <w:b/>
        </w:rPr>
        <w:t>Authority:</w:t>
      </w:r>
      <w:r>
        <w:t xml:space="preserve"> COO/CTO/CFO/PM + Monetary Systems Architect + Institutional Reserve Manager</w:t>
      </w:r>
    </w:p>
    <w:p>
      <w:r>
        <w:rPr>
          <w:b/>
        </w:rPr>
        <w:t>Supersedes:</w:t>
      </w:r>
      <w:r>
        <w:t xml:space="preserve"> v24.2, v24.1, v24, v23, v22, v21, v20, v19, v18 and all addenda. Historical text retained only as non-normative archive within this document.</w:t>
      </w:r>
    </w:p>
    <w:p>
      <w:r>
        <w:rPr>
          <w:b/>
        </w:rPr>
        <w:t>Governance Status:</w:t>
      </w:r>
      <w:r>
        <w:t xml:space="preserve"> 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p>
    <w:p>
      <w:r>
        <w:rPr>
          <w:b/>
        </w:rPr>
        <w:t>v24.2.1 Amendments:</w:t>
      </w:r>
      <w:r>
        <w:t xml:space="preserve"> 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p>
    <w:p>
      <w:r>
        <w:rPr>
          <w:b/>
        </w:rPr>
        <w:t>Validation:</w:t>
      </w:r>
      <w:r>
        <w:t xml:space="preserve"> 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p>
    <w:p>
      <w:r>
        <w:rPr>
          <w:b/>
        </w:rPr>
        <w:t>Selected Portfolio:</w:t>
      </w:r>
      <w:r>
        <w:t xml:space="preserve"> B (15% Physical Gold + 5% Tokenized PAXG + 0% Silver + 77.5% Fiat + 2.5% Digital) — APPROVED CANDIDATE, selected via evidence-driven executive decision on 6 of 8 dimensions.</w:t>
      </w:r>
    </w:p>
    <w:p>
      <w:pPr>
        <w:pBdr>
          <w:bottom w:val="single" w:sz="12" w:space="1" w:color="C59B1E"/>
        </w:pBdr>
      </w:pPr>
    </w:p>
    <w:p>
      <w:pPr>
        <w:pStyle w:val="Heading2"/>
      </w:pPr>
      <w:r>
        <w:t>DEPLOYMENT STATUS</w:t>
      </w:r>
    </w:p>
    <w:p>
      <w:pPr>
        <w:pStyle w:val="Heading3"/>
      </w:pPr>
      <w:r>
        <w:t>Monad Testnet (Chain ID: 5042002)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Contract</w:t>
            </w:r>
          </w:p>
        </w:tc>
        <w:tc>
          <w:tcPr>
            <w:tcW w:type="dxa" w:w="3024"/>
            <w:shd w:fill="1A365F"/>
            <w:vAlign w:val="center"/>
          </w:tcPr>
          <w:p>
            <w:pPr>
              <w:jc w:val="left"/>
            </w:pPr>
            <w:r/>
            <w:r>
              <w:rPr>
                <w:rFonts w:ascii="Calibri" w:hAnsi="Calibri"/>
                <w:b/>
                <w:color w:val="FFFFFF"/>
                <w:sz w:val="18"/>
              </w:rPr>
              <w:t>Address</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MTQ.sol</w:t>
            </w:r>
          </w:p>
        </w:tc>
        <w:tc>
          <w:tcPr>
            <w:tcW w:type="dxa" w:w="3024"/>
            <w:vAlign w:val="center"/>
          </w:tcPr>
          <w:p>
            <w:pPr>
              <w:jc w:val="left"/>
            </w:pPr>
            <w:r/>
            <w:r>
              <w:rPr>
                <w:rFonts w:ascii="Calibri" w:hAnsi="Calibri"/>
                <w:color w:val="2D2D2D"/>
                <w:sz w:val="18"/>
              </w:rPr>
              <w:t>0x9e6EdC15DAc420931508d8Ddf9BC817651A253aD</w:t>
            </w:r>
          </w:p>
        </w:tc>
        <w:tc>
          <w:tcPr>
            <w:tcW w:type="dxa" w:w="3024"/>
            <w:vAlign w:val="center"/>
          </w:tcPr>
          <w:p>
            <w:pPr>
              <w:jc w:val="left"/>
            </w:pPr>
            <w:r/>
            <w:r>
              <w:rPr>
                <w:rFonts w:ascii="Calibri" w:hAnsi="Calibri"/>
                <w:color w:val="2D2D2D"/>
                <w:sz w:val="18"/>
              </w:rPr>
              <w:t>✅ Deployed &amp; Verified</w:t>
            </w:r>
          </w:p>
        </w:tc>
      </w:tr>
      <w:tr>
        <w:tc>
          <w:tcPr>
            <w:tcW w:type="dxa" w:w="3024"/>
            <w:shd w:fill="F0F0F0"/>
            <w:vAlign w:val="center"/>
          </w:tcPr>
          <w:p>
            <w:pPr>
              <w:jc w:val="left"/>
            </w:pPr>
            <w:r/>
            <w:r>
              <w:rPr>
                <w:rFonts w:ascii="Calibri" w:hAnsi="Calibri"/>
                <w:color w:val="2D2D2D"/>
                <w:sz w:val="18"/>
              </w:rPr>
              <w:t>Governance.sol</w:t>
            </w:r>
          </w:p>
        </w:tc>
        <w:tc>
          <w:tcPr>
            <w:tcW w:type="dxa" w:w="3024"/>
            <w:shd w:fill="F0F0F0"/>
            <w:vAlign w:val="center"/>
          </w:tcPr>
          <w:p>
            <w:pPr>
              <w:jc w:val="left"/>
            </w:pPr>
            <w:r/>
            <w:r>
              <w:rPr>
                <w:rFonts w:ascii="Calibri" w:hAnsi="Calibri"/>
                <w:color w:val="2D2D2D"/>
                <w:sz w:val="18"/>
              </w:rPr>
              <w:t>0xE35a91801bc541fb743BB9EaD26C1FbD81EaBd66</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Safe (Multi-Sig)</w:t>
            </w:r>
          </w:p>
        </w:tc>
        <w:tc>
          <w:tcPr>
            <w:tcW w:type="dxa" w:w="3024"/>
            <w:vAlign w:val="center"/>
          </w:tcPr>
          <w:p>
            <w:pPr>
              <w:jc w:val="left"/>
            </w:pPr>
            <w:r/>
            <w:r>
              <w:rPr>
                <w:rFonts w:ascii="Calibri" w:hAnsi="Calibri"/>
                <w:color w:val="2D2D2D"/>
                <w:sz w:val="18"/>
              </w:rPr>
              <w:t>0xE71869C662733642bfBb262B8c6bad8B0fBfA7D0</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Algorithm.sol</w:t>
            </w:r>
          </w:p>
        </w:tc>
        <w:tc>
          <w:tcPr>
            <w:tcW w:type="dxa" w:w="3024"/>
            <w:shd w:fill="F0F0F0"/>
            <w:vAlign w:val="center"/>
          </w:tcPr>
          <w:p>
            <w:pPr>
              <w:jc w:val="left"/>
            </w:pPr>
            <w:r/>
            <w:r>
              <w:rPr>
                <w:rFonts w:ascii="Calibri" w:hAnsi="Calibri"/>
                <w:color w:val="2D2D2D"/>
                <w:sz w:val="18"/>
              </w:rPr>
              <w:t>0x8839ce50e8D414005518769999c0A5b961D00CB2</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Reserve.sol</w:t>
            </w:r>
          </w:p>
        </w:tc>
        <w:tc>
          <w:tcPr>
            <w:tcW w:type="dxa" w:w="3024"/>
            <w:vAlign w:val="center"/>
          </w:tcPr>
          <w:p>
            <w:pPr>
              <w:jc w:val="left"/>
            </w:pPr>
            <w:r/>
            <w:r>
              <w:rPr>
                <w:rFonts w:ascii="Calibri" w:hAnsi="Calibri"/>
                <w:color w:val="2D2D2D"/>
                <w:sz w:val="18"/>
              </w:rPr>
              <w:t>0x1bbCd78E4DEF79b7a3B77242770cbAefAC816177</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0x197e9CB28216dfe18a199b4c2930F74C2F460809</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Redeem.sol</w:t>
            </w:r>
          </w:p>
        </w:tc>
        <w:tc>
          <w:tcPr>
            <w:tcW w:type="dxa" w:w="3024"/>
            <w:vAlign w:val="center"/>
          </w:tcPr>
          <w:p>
            <w:pPr>
              <w:jc w:val="left"/>
            </w:pPr>
            <w:r/>
            <w:r>
              <w:rPr>
                <w:rFonts w:ascii="Calibri" w:hAnsi="Calibri"/>
                <w:color w:val="2D2D2D"/>
                <w:sz w:val="18"/>
              </w:rPr>
              <w:t>0x963201C0Fa258033CCDdFcDceb8B5E3bc2b435a4</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Oracle.sol</w:t>
            </w:r>
          </w:p>
        </w:tc>
        <w:tc>
          <w:tcPr>
            <w:tcW w:type="dxa" w:w="3024"/>
            <w:shd w:fill="F0F0F0"/>
            <w:vAlign w:val="center"/>
          </w:tcPr>
          <w:p>
            <w:pPr>
              <w:jc w:val="left"/>
            </w:pPr>
            <w:r/>
            <w:r>
              <w:rPr>
                <w:rFonts w:ascii="Calibri" w:hAnsi="Calibri"/>
                <w:color w:val="2D2D2D"/>
                <w:sz w:val="18"/>
              </w:rPr>
              <w:t>0xDfcA66ac0450C9AB86307af1942E157C5A4DB713</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Takaful.sol</w:t>
            </w:r>
          </w:p>
        </w:tc>
        <w:tc>
          <w:tcPr>
            <w:tcW w:type="dxa" w:w="3024"/>
            <w:vAlign w:val="center"/>
          </w:tcPr>
          <w:p>
            <w:pPr>
              <w:jc w:val="left"/>
            </w:pPr>
            <w:r/>
            <w:r>
              <w:rPr>
                <w:rFonts w:ascii="Calibri" w:hAnsi="Calibri"/>
                <w:color w:val="2D2D2D"/>
                <w:sz w:val="18"/>
              </w:rPr>
              <w:t>0x3eC27BB283644eF0A98B9961E9FBED0583a02f19</w:t>
            </w:r>
          </w:p>
        </w:tc>
        <w:tc>
          <w:tcPr>
            <w:tcW w:type="dxa" w:w="3024"/>
            <w:vAlign w:val="center"/>
          </w:tcPr>
          <w:p>
            <w:pPr>
              <w:jc w:val="left"/>
            </w:pPr>
            <w:r/>
            <w:r>
              <w:rPr>
                <w:rFonts w:ascii="Calibri" w:hAnsi="Calibri"/>
                <w:color w:val="2D2D2D"/>
                <w:sz w:val="18"/>
              </w:rPr>
              <w:t>✅ Deployed</w:t>
            </w:r>
          </w:p>
        </w:tc>
      </w:tr>
    </w:tbl>
    <w:p/>
    <w:p>
      <w:r>
        <w:rPr>
          <w:b/>
        </w:rPr>
        <w:t>Deployer Wallet:</w:t>
      </w:r>
      <w:r>
        <w:t xml:space="preserve"> 0x3C3932F865892EFabE45892f453f81B64f6c8d8c</w:t>
      </w:r>
    </w:p>
    <w:p>
      <w:r>
        <w:rPr>
          <w:b/>
        </w:rPr>
        <w:t>RPC URL:</w:t>
      </w:r>
      <w:r>
        <w:t xml:space="preserve"> https://rpc.testnet.arc.io</w:t>
      </w:r>
    </w:p>
    <w:p>
      <w:r>
        <w:rPr>
          <w:b/>
        </w:rPr>
        <w:t>Explorer:</w:t>
      </w:r>
      <w:r>
        <w:t xml:space="preserve"> https://testnet.arcscan.app</w:t>
      </w:r>
    </w:p>
    <w:p>
      <w:r>
        <w:rPr>
          <w:b/>
        </w:rPr>
        <w:t>Native Currency:</w:t>
      </w:r>
      <w:r>
        <w:t xml:space="preserve"> USDC (18 decimals)</w:t>
      </w:r>
    </w:p>
    <w:p>
      <w:pPr>
        <w:pStyle w:val="Heading3"/>
      </w:pPr>
      <w:r>
        <w:t>Solana Network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Mint Address</w:t>
            </w:r>
          </w:p>
        </w:tc>
        <w:tc>
          <w:tcPr>
            <w:tcW w:type="dxa" w:w="4536"/>
            <w:vAlign w:val="center"/>
          </w:tcPr>
          <w:p>
            <w:pPr>
              <w:jc w:val="left"/>
            </w:pPr>
            <w:r/>
            <w:r>
              <w:rPr>
                <w:rFonts w:ascii="Calibri" w:hAnsi="Calibri"/>
                <w:color w:val="2D2D2D"/>
                <w:sz w:val="18"/>
              </w:rPr>
              <w:t>GAGRdrY6jcRTmD7A9KzvXA5sGMpNAkkRXwDoXBrEjxS4</w:t>
            </w:r>
          </w:p>
        </w:tc>
      </w:tr>
      <w:tr>
        <w:tc>
          <w:tcPr>
            <w:tcW w:type="dxa" w:w="4536"/>
            <w:shd w:fill="F0F0F0"/>
            <w:vAlign w:val="center"/>
          </w:tcPr>
          <w:p>
            <w:pPr>
              <w:jc w:val="left"/>
            </w:pPr>
            <w:r/>
            <w:r>
              <w:rPr>
                <w:rFonts w:ascii="Calibri" w:hAnsi="Calibri"/>
                <w:color w:val="2D2D2D"/>
                <w:sz w:val="18"/>
              </w:rPr>
              <w:t>Symbol</w:t>
            </w:r>
          </w:p>
        </w:tc>
        <w:tc>
          <w:tcPr>
            <w:tcW w:type="dxa" w:w="4536"/>
            <w:shd w:fill="F0F0F0"/>
            <w:vAlign w:val="center"/>
          </w:tcPr>
          <w:p>
            <w:pPr>
              <w:jc w:val="left"/>
            </w:pPr>
            <w:r/>
            <w:r>
              <w:rPr>
                <w:rFonts w:ascii="Calibri" w:hAnsi="Calibri"/>
                <w:color w:val="2D2D2D"/>
                <w:sz w:val="18"/>
              </w:rPr>
              <w:t>MTQ</w:t>
            </w:r>
          </w:p>
        </w:tc>
      </w:tr>
      <w:tr>
        <w:tc>
          <w:tcPr>
            <w:tcW w:type="dxa" w:w="4536"/>
            <w:vAlign w:val="center"/>
          </w:tcPr>
          <w:p>
            <w:pPr>
              <w:jc w:val="left"/>
            </w:pPr>
            <w:r/>
            <w:r>
              <w:rPr>
                <w:rFonts w:ascii="Calibri" w:hAnsi="Calibri"/>
                <w:color w:val="2D2D2D"/>
                <w:sz w:val="18"/>
              </w:rPr>
              <w:t>Decimals</w:t>
            </w:r>
          </w:p>
        </w:tc>
        <w:tc>
          <w:tcPr>
            <w:tcW w:type="dxa" w:w="4536"/>
            <w:vAlign w:val="center"/>
          </w:tcPr>
          <w:p>
            <w:pPr>
              <w:jc w:val="left"/>
            </w:pPr>
            <w:r/>
            <w:r>
              <w:rPr>
                <w:rFonts w:ascii="Calibri" w:hAnsi="Calibri"/>
                <w:color w:val="2D2D2D"/>
                <w:sz w:val="18"/>
              </w:rPr>
              <w:t>18</w:t>
            </w:r>
          </w:p>
        </w:tc>
      </w:tr>
      <w:tr>
        <w:tc>
          <w:tcPr>
            <w:tcW w:type="dxa" w:w="4536"/>
            <w:shd w:fill="F0F0F0"/>
            <w:vAlign w:val="center"/>
          </w:tcPr>
          <w:p>
            <w:pPr>
              <w:jc w:val="left"/>
            </w:pPr>
            <w:r/>
            <w:r>
              <w:rPr>
                <w:rFonts w:ascii="Calibri" w:hAnsi="Calibri"/>
                <w:color w:val="2D2D2D"/>
                <w:sz w:val="18"/>
              </w:rPr>
              <w:t>Wallet</w:t>
            </w:r>
          </w:p>
        </w:tc>
        <w:tc>
          <w:tcPr>
            <w:tcW w:type="dxa" w:w="4536"/>
            <w:shd w:fill="F0F0F0"/>
            <w:vAlign w:val="center"/>
          </w:tcPr>
          <w:p>
            <w:pPr>
              <w:jc w:val="left"/>
            </w:pPr>
            <w:r/>
            <w:r>
              <w:rPr>
                <w:rFonts w:ascii="Calibri" w:hAnsi="Calibri"/>
                <w:color w:val="2D2D2D"/>
                <w:sz w:val="18"/>
              </w:rPr>
              <w:t>DbFjzWcD6kNmewadiG7ThjD7L4o3w3UhFhG31fPQhXb3</w:t>
            </w:r>
          </w:p>
        </w:tc>
      </w:tr>
      <w:tr>
        <w:tc>
          <w:tcPr>
            <w:tcW w:type="dxa" w:w="4536"/>
            <w:vAlign w:val="center"/>
          </w:tcPr>
          <w:p>
            <w:pPr>
              <w:jc w:val="left"/>
            </w:pPr>
            <w:r/>
            <w:r>
              <w:rPr>
                <w:rFonts w:ascii="Calibri" w:hAnsi="Calibri"/>
                <w:color w:val="2D2D2D"/>
                <w:sz w:val="18"/>
              </w:rPr>
              <w:t>Token Balance</w:t>
            </w:r>
          </w:p>
        </w:tc>
        <w:tc>
          <w:tcPr>
            <w:tcW w:type="dxa" w:w="4536"/>
            <w:vAlign w:val="center"/>
          </w:tcPr>
          <w:p>
            <w:pPr>
              <w:jc w:val="left"/>
            </w:pPr>
            <w:r/>
            <w:r>
              <w:rPr>
                <w:rFonts w:ascii="Calibri" w:hAnsi="Calibri"/>
                <w:color w:val="2D2D2D"/>
                <w:sz w:val="18"/>
              </w:rPr>
              <w:t>10,000,000,000</w:t>
            </w:r>
          </w:p>
        </w:tc>
      </w:tr>
    </w:tbl>
    <w:p/>
    <w:p>
      <w:pPr>
        <w:pStyle w:val="Heading3"/>
      </w:pPr>
      <w:r>
        <w:t>Production Deployment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Environment</w:t>
            </w:r>
          </w:p>
        </w:tc>
        <w:tc>
          <w:tcPr>
            <w:tcW w:type="dxa" w:w="3024"/>
            <w:shd w:fill="1A365F"/>
            <w:vAlign w:val="center"/>
          </w:tcPr>
          <w:p>
            <w:pPr>
              <w:jc w:val="left"/>
            </w:pPr>
            <w:r/>
            <w:r>
              <w:rPr>
                <w:rFonts w:ascii="Calibri" w:hAnsi="Calibri"/>
                <w:b/>
                <w:color w:val="FFFFFF"/>
                <w:sz w:val="18"/>
              </w:rPr>
              <w:t>URL</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Production (Vercel)</w:t>
            </w:r>
          </w:p>
        </w:tc>
        <w:tc>
          <w:tcPr>
            <w:tcW w:type="dxa" w:w="3024"/>
            <w:vAlign w:val="center"/>
          </w:tcPr>
          <w:p>
            <w:pPr>
              <w:jc w:val="left"/>
            </w:pPr>
            <w:r/>
            <w:r>
              <w:rPr>
                <w:rFonts w:ascii="Calibri" w:hAnsi="Calibri"/>
                <w:color w:val="2D2D2D"/>
                <w:sz w:val="18"/>
              </w:rPr>
              <w:t>https://mithqal.vercel.app</w:t>
            </w:r>
          </w:p>
        </w:tc>
        <w:tc>
          <w:tcPr>
            <w:tcW w:type="dxa" w:w="3024"/>
            <w:vAlign w:val="center"/>
          </w:tcPr>
          <w:p>
            <w:pPr>
              <w:jc w:val="left"/>
            </w:pPr>
            <w:r/>
            <w:r>
              <w:rPr>
                <w:rFonts w:ascii="Calibri" w:hAnsi="Calibri"/>
                <w:color w:val="2D2D2D"/>
                <w:sz w:val="18"/>
              </w:rPr>
              <w:t>✅ Live</w:t>
            </w:r>
          </w:p>
        </w:tc>
      </w:tr>
      <w:tr>
        <w:tc>
          <w:tcPr>
            <w:tcW w:type="dxa" w:w="3024"/>
            <w:shd w:fill="F0F0F0"/>
            <w:vAlign w:val="center"/>
          </w:tcPr>
          <w:p>
            <w:pPr>
              <w:jc w:val="left"/>
            </w:pPr>
            <w:r/>
            <w:r>
              <w:rPr>
                <w:rFonts w:ascii="Calibri" w:hAnsi="Calibri"/>
                <w:color w:val="2D2D2D"/>
                <w:sz w:val="18"/>
              </w:rPr>
              <w:t>Database (Turso)</w:t>
            </w:r>
          </w:p>
        </w:tc>
        <w:tc>
          <w:tcPr>
            <w:tcW w:type="dxa" w:w="3024"/>
            <w:shd w:fill="F0F0F0"/>
            <w:vAlign w:val="center"/>
          </w:tcPr>
          <w:p>
            <w:pPr>
              <w:jc w:val="left"/>
            </w:pPr>
            <w:r/>
            <w:r>
              <w:rPr>
                <w:rFonts w:ascii="Calibri" w:hAnsi="Calibri"/>
                <w:color w:val="2D2D2D"/>
                <w:sz w:val="18"/>
              </w:rPr>
              <w:t>libsql://mithqal-db-fortleem.aws-us-east-1.turso.io</w:t>
            </w:r>
          </w:p>
        </w:tc>
        <w:tc>
          <w:tcPr>
            <w:tcW w:type="dxa" w:w="3024"/>
            <w:shd w:fill="F0F0F0"/>
            <w:vAlign w:val="center"/>
          </w:tcPr>
          <w:p>
            <w:pPr>
              <w:jc w:val="left"/>
            </w:pPr>
            <w:r/>
            <w:r>
              <w:rPr>
                <w:rFonts w:ascii="Calibri" w:hAnsi="Calibri"/>
                <w:color w:val="2D2D2D"/>
                <w:sz w:val="18"/>
              </w:rPr>
              <w:t>✅ Connected</w:t>
            </w:r>
          </w:p>
        </w:tc>
      </w:tr>
      <w:tr>
        <w:tc>
          <w:tcPr>
            <w:tcW w:type="dxa" w:w="3024"/>
            <w:vAlign w:val="center"/>
          </w:tcPr>
          <w:p>
            <w:pPr>
              <w:jc w:val="left"/>
            </w:pPr>
            <w:r/>
            <w:r>
              <w:rPr>
                <w:rFonts w:ascii="Calibri" w:hAnsi="Calibri"/>
                <w:color w:val="2D2D2D"/>
                <w:sz w:val="18"/>
              </w:rPr>
              <w:t>GitHub</w:t>
            </w:r>
          </w:p>
        </w:tc>
        <w:tc>
          <w:tcPr>
            <w:tcW w:type="dxa" w:w="3024"/>
            <w:vAlign w:val="center"/>
          </w:tcPr>
          <w:p>
            <w:pPr>
              <w:jc w:val="left"/>
            </w:pPr>
            <w:r/>
            <w:r>
              <w:rPr>
                <w:rFonts w:ascii="Calibri" w:hAnsi="Calibri"/>
                <w:color w:val="2D2D2D"/>
                <w:sz w:val="18"/>
              </w:rPr>
              <w:t>https://github.com/MITHQALMTQ/mithqal</w:t>
            </w:r>
          </w:p>
        </w:tc>
        <w:tc>
          <w:tcPr>
            <w:tcW w:type="dxa" w:w="3024"/>
            <w:vAlign w:val="center"/>
          </w:tcPr>
          <w:p>
            <w:pPr>
              <w:jc w:val="left"/>
            </w:pPr>
            <w:r/>
            <w:r>
              <w:rPr>
                <w:rFonts w:ascii="Calibri" w:hAnsi="Calibri"/>
                <w:color w:val="2D2D2D"/>
                <w:sz w:val="18"/>
              </w:rPr>
              <w:t>✅ Active</w:t>
            </w:r>
          </w:p>
        </w:tc>
      </w:tr>
      <w:tr>
        <w:tc>
          <w:tcPr>
            <w:tcW w:type="dxa" w:w="3024"/>
            <w:shd w:fill="F0F0F0"/>
            <w:vAlign w:val="center"/>
          </w:tcPr>
          <w:p>
            <w:pPr>
              <w:jc w:val="left"/>
            </w:pPr>
            <w:r/>
            <w:r>
              <w:rPr>
                <w:rFonts w:ascii="Calibri" w:hAnsi="Calibri"/>
                <w:color w:val="2D2D2D"/>
                <w:sz w:val="18"/>
              </w:rPr>
              <w:t>Discord Bot</w:t>
            </w:r>
          </w:p>
        </w:tc>
        <w:tc>
          <w:tcPr>
            <w:tcW w:type="dxa" w:w="3024"/>
            <w:shd w:fill="F0F0F0"/>
            <w:vAlign w:val="center"/>
          </w:tcPr>
          <w:p>
            <w:pPr>
              <w:jc w:val="left"/>
            </w:pPr>
            <w:r/>
            <w:r>
              <w:rPr>
                <w:rFonts w:ascii="Calibri" w:hAnsi="Calibri"/>
                <w:color w:val="2D2D2D"/>
                <w:sz w:val="18"/>
              </w:rPr>
              <w:t>MithqalMTQ#8586</w:t>
            </w:r>
          </w:p>
        </w:tc>
        <w:tc>
          <w:tcPr>
            <w:tcW w:type="dxa" w:w="3024"/>
            <w:shd w:fill="F0F0F0"/>
            <w:vAlign w:val="center"/>
          </w:tcPr>
          <w:p>
            <w:pPr>
              <w:jc w:val="left"/>
            </w:pPr>
            <w:r/>
            <w:r>
              <w:rPr>
                <w:rFonts w:ascii="Calibri" w:hAnsi="Calibri"/>
                <w:color w:val="2D2D2D"/>
                <w:sz w:val="18"/>
              </w:rPr>
              <w:t>✅ Connected</w:t>
            </w:r>
          </w:p>
        </w:tc>
      </w:tr>
    </w:tbl>
    <w:p/>
    <w:p>
      <w:pPr>
        <w:pBdr>
          <w:bottom w:val="single" w:sz="12" w:space="1" w:color="C59B1E"/>
        </w:pBdr>
      </w:pPr>
    </w:p>
    <w:p>
      <w:pPr>
        <w:pStyle w:val="Heading2"/>
      </w:pPr>
      <w:r>
        <w:t>V24 AMENDMENT LINEAGE (All modifications applied to original v19 through v23, then reconciled in v24)</w:t>
      </w:r>
    </w:p>
    <w:p>
      <w:r>
        <w:t>The following modifications have been applied to the original v19 specification to produce v24:</w:t>
      </w:r>
    </w:p>
    <w:p>
      <w:pPr>
        <w:pStyle w:val="Heading3"/>
      </w:pPr>
      <w:r>
        <w:t>Phase 1: v20 Institutional Hardening</w:t>
      </w:r>
    </w:p>
    <w:p>
      <w:pPr>
        <w:pStyle w:val="ListNumber"/>
        <w:ind w:left="425"/>
      </w:pPr>
      <w:r>
        <w:t>PAR-based RR formula (was tautological NAV-based)</w:t>
      </w:r>
    </w:p>
    <w:p>
      <w:pPr>
        <w:pStyle w:val="ListNumber"/>
        <w:ind w:left="425"/>
      </w:pPr>
      <w:r>
        <w:t>4-tier constitutional reserve model (was 3-tier)</w:t>
      </w:r>
    </w:p>
    <w:p>
      <w:pPr>
        <w:pStyle w:val="ListNumber"/>
        <w:ind w:left="425"/>
      </w:pPr>
      <w:r>
        <w:t>Article X sequential liquidation (was pro-rata)</w:t>
      </w:r>
    </w:p>
    <w:p>
      <w:pPr>
        <w:pStyle w:val="ListNumber"/>
        <w:ind w:left="425"/>
      </w:pPr>
      <w:r>
        <w:t>60% per-currency cap (was 50%)</w:t>
      </w:r>
    </w:p>
    <w:p>
      <w:pPr>
        <w:pStyle w:val="ListNumber"/>
        <w:ind w:left="425"/>
      </w:pPr>
      <w:r>
        <w:t>56 articles across 5 layers (was inconsistent count)</w:t>
      </w:r>
    </w:p>
    <w:p>
      <w:pPr>
        <w:pStyle w:val="ListNumber"/>
        <w:ind w:left="425"/>
      </w:pPr>
      <w:r>
        <w:t>Cash floor raised to $31M (from $29M)</w:t>
      </w:r>
    </w:p>
    <w:p>
      <w:pPr>
        <w:pStyle w:val="ListNumber"/>
        <w:ind w:left="425"/>
      </w:pPr>
      <w:r>
        <w:t>SDP fix: checks FX deviation, not gold-price-in-currency</w:t>
      </w:r>
    </w:p>
    <w:p>
      <w:pPr>
        <w:pStyle w:val="Heading3"/>
      </w:pPr>
      <w:r>
        <w:t>Phase 2: v21 Gold-Anchored Architecture</w:t>
      </w:r>
    </w:p>
    <w:p>
      <w:pPr>
        <w:pStyle w:val="ListNumber"/>
        <w:ind w:left="425"/>
      </w:pPr>
      <w:r>
        <w:t>Gold as primary strategic anchor (formalized)</w:t>
      </w:r>
    </w:p>
    <w:p>
      <w:pPr>
        <w:pStyle w:val="ListNumber"/>
        <w:ind w:left="425"/>
      </w:pPr>
      <w:r>
        <w:t>GRI (Gold-Relative Index) as advisory metric</w:t>
      </w:r>
    </w:p>
    <w:p>
      <w:pPr>
        <w:pStyle w:val="ListNumber"/>
        <w:ind w:left="425"/>
      </w:pPr>
      <w:r>
        <w:t>Multi-reserve numeraire thinking</w:t>
      </w:r>
    </w:p>
    <w:p>
      <w:pPr>
        <w:pStyle w:val="ListNumber"/>
        <w:ind w:left="425"/>
      </w:pPr>
      <w:r>
        <w:t>Enhanced H++ 11-currency basket</w:t>
      </w:r>
    </w:p>
    <w:p>
      <w:pPr>
        <w:pStyle w:val="ListNumber"/>
        <w:ind w:left="425"/>
      </w:pPr>
      <w:r>
        <w:t>Two-layer currency system (reserve + settlement)</w:t>
      </w:r>
    </w:p>
    <w:p>
      <w:pPr>
        <w:pStyle w:val="ListNumber"/>
        <w:ind w:left="425"/>
      </w:pPr>
      <w:r>
        <w:t>WATCH/REDUCE/SUSPEND/SUBSTITUTE mechanism</w:t>
      </w:r>
    </w:p>
    <w:p>
      <w:pPr>
        <w:pStyle w:val="ListNumber"/>
        <w:ind w:left="425"/>
      </w:pPr>
      <w:r>
        <w:t>CQS (Currency Quality Score) 20-factor model</w:t>
      </w:r>
    </w:p>
    <w:p>
      <w:pPr>
        <w:pStyle w:val="ListNumber"/>
        <w:ind w:left="425"/>
      </w:pPr>
      <w:r>
        <w:t>USD 35% hard cap (prevents hidden USD anchor)</w:t>
      </w:r>
    </w:p>
    <w:p>
      <w:pPr>
        <w:pStyle w:val="ListNumber"/>
        <w:ind w:left="425"/>
      </w:pPr>
      <w:r>
        <w:t>Portfolio-level CVaR optimization</w:t>
      </w:r>
    </w:p>
    <w:p>
      <w:pPr>
        <w:pStyle w:val="ListNumber"/>
        <w:ind w:left="425"/>
      </w:pPr>
      <w:r>
        <w:t>Timelock fixed: 90 days constitutional (was 14 in spec)</w:t>
      </w:r>
    </w:p>
    <w:p>
      <w:pPr>
        <w:pStyle w:val="ListNumber"/>
        <w:ind w:left="425"/>
      </w:pPr>
      <w:r>
        <w:t>Founder cap enforcement on-chain</w:t>
      </w:r>
    </w:p>
    <w:p>
      <w:pPr>
        <w:pStyle w:val="ListNumber"/>
        <w:ind w:left="425"/>
      </w:pPr>
      <w:r>
        <w:t>Multi-oracle consensus architecture</w:t>
      </w:r>
    </w:p>
    <w:p>
      <w:pPr>
        <w:pStyle w:val="Heading3"/>
      </w:pPr>
      <w:r>
        <w:t>Phase 3: v22 Four-Layer Measurement System</w:t>
      </w:r>
    </w:p>
    <w:p>
      <w:pPr>
        <w:pStyle w:val="ListNumber"/>
        <w:ind w:left="425"/>
      </w:pPr>
      <w:r>
        <w:t>Layer 1 — Constitutional Solvency (RR)</w:t>
      </w:r>
    </w:p>
    <w:p>
      <w:pPr>
        <w:pStyle w:val="ListNumber"/>
        <w:ind w:left="425"/>
      </w:pPr>
      <w:r>
        <w:t>Layer 2 — Gold-Relative Strength (GEI + CBGRS + BRI)</w:t>
      </w:r>
    </w:p>
    <w:p>
      <w:pPr>
        <w:pStyle w:val="ListNumber"/>
        <w:ind w:left="425"/>
      </w:pPr>
      <w:r>
        <w:t>Layer 3 — Liquidity Protection (LCR + LCI)</w:t>
      </w:r>
    </w:p>
    <w:p>
      <w:pPr>
        <w:pStyle w:val="ListNumber"/>
        <w:ind w:left="425"/>
      </w:pPr>
      <w:r>
        <w:t>Layer 4 — Risk Dashboard (CQS + CRS + GCRS + SRR + CVaR + DRI)</w:t>
      </w:r>
    </w:p>
    <w:p>
      <w:pPr>
        <w:pStyle w:val="ListNumber"/>
        <w:ind w:left="425"/>
      </w:pPr>
      <w:r>
        <w:t>GEI (normalized Gold-Equivalent Index, replaces GRI)</w:t>
      </w:r>
    </w:p>
    <w:p>
      <w:pPr>
        <w:pStyle w:val="ListNumber"/>
        <w:ind w:left="425"/>
      </w:pPr>
      <w:r>
        <w:t>BRI (Bullion Resilience Index, CVaR-optimized weights)</w:t>
      </w:r>
    </w:p>
    <w:p>
      <w:r>
        <w:t>25b. CBGRS (Currency Basket Gold-Relative Strength, weighted geometric mean — v24.1.1 additive patch)</w:t>
      </w:r>
    </w:p>
    <w:p>
      <w:pPr>
        <w:pStyle w:val="ListNumber"/>
        <w:ind w:left="425"/>
      </w:pPr>
      <w:r>
        <w:t>LCI (Liquidity Coverage Index, advisory stress metric)</w:t>
      </w:r>
    </w:p>
    <w:p>
      <w:pPr>
        <w:pStyle w:val="ListNumber"/>
        <w:ind w:left="425"/>
      </w:pPr>
      <w:r>
        <w:t>Multi-numéraire purchasing-power reporting (MRR=RR proven)</w:t>
      </w:r>
    </w:p>
    <w:p>
      <w:pPr>
        <w:pStyle w:val="ListNumber"/>
        <w:ind w:left="425"/>
      </w:pPr>
      <w:r>
        <w:t>RQS (Reserve Quality Score, dynamic per-asset)</w:t>
      </w:r>
    </w:p>
    <w:p>
      <w:pPr>
        <w:pStyle w:val="ListNumber"/>
        <w:ind w:left="425"/>
      </w:pPr>
      <w:r>
        <w:t>Dynamic Reserve Optimization Engine (λ₁...λ₇)</w:t>
      </w:r>
    </w:p>
    <w:p>
      <w:pPr>
        <w:pStyle w:val="ListNumber"/>
        <w:ind w:left="425"/>
      </w:pPr>
      <w:r>
        <w:t>PAR Constitutional Unit Study (PAR=$1.00 retained)</w:t>
      </w:r>
    </w:p>
    <w:p>
      <w:pPr>
        <w:pStyle w:val="ListNumber"/>
        <w:ind w:left="425"/>
      </w:pPr>
      <w:r>
        <w:t>Model K rejected (MRR=RR mathematically proven)</w:t>
      </w:r>
    </w:p>
    <w:p>
      <w:pPr>
        <w:pStyle w:val="Heading3"/>
      </w:pPr>
      <w:r>
        <w:t>Phase 4: v24 Digital Liquidity Sleeve + COO Revisions</w:t>
      </w:r>
    </w:p>
    <w:p>
      <w:pPr>
        <w:pStyle w:val="ListNumber"/>
        <w:ind w:left="425"/>
      </w:pPr>
      <w:r>
        <w:t>Stablecoins reclassified as digital liquidity sleeve (NOT reserve pillar)</w:t>
      </w:r>
    </w:p>
    <w:p>
      <w:pPr>
        <w:pStyle w:val="ListNumber"/>
        <w:ind w:left="425"/>
      </w:pPr>
      <w:r>
        <w:t>5% is MAXIMUM not mandate (target 3.5%, can go to 0%)</w:t>
      </w:r>
    </w:p>
    <w:p>
      <w:pPr>
        <w:pStyle w:val="ListNumber"/>
        <w:ind w:left="425"/>
      </w:pPr>
      <w:r>
        <w:t>DAI optional (not mandatory, DRQS=6.25 below threshold)</w:t>
      </w:r>
    </w:p>
    <w:p>
      <w:pPr>
        <w:pStyle w:val="ListNumber"/>
        <w:ind w:left="425"/>
      </w:pPr>
      <w:r>
        <w:t>USDT excluded (DRQS=6.15 below threshold)</w:t>
      </w:r>
    </w:p>
    <w:p>
      <w:pPr>
        <w:pStyle w:val="ListNumber"/>
        <w:ind w:left="425"/>
      </w:pPr>
      <w:r>
        <w:t>USDP added (Paxos trust, DRQS=8.45)</w:t>
      </w:r>
    </w:p>
    <w:p>
      <w:pPr>
        <w:pStyle w:val="ListNumber"/>
        <w:ind w:left="425"/>
      </w:pPr>
      <w:r>
        <w:t>EURC added (EUR diversification, DRQS=7.80)</w:t>
      </w:r>
    </w:p>
    <w:p>
      <w:pPr>
        <w:pStyle w:val="ListNumber"/>
        <w:ind w:left="425"/>
      </w:pPr>
      <w:r>
        <w:t>BUIDL added (tokenized T-bills, DRQS=8.55)</w:t>
      </w:r>
    </w:p>
    <w:p>
      <w:pPr>
        <w:pStyle w:val="ListNumber"/>
        <w:ind w:left="425"/>
      </w:pPr>
      <w:r>
        <w:t>DRQS 8-factor stablecoin quality score</w:t>
      </w:r>
    </w:p>
    <w:p>
      <w:pPr>
        <w:pStyle w:val="ListNumber"/>
        <w:ind w:left="425"/>
      </w:pPr>
      <w:r>
        <w:t>Multi-dimensional stablecoin state machine (6 dimensions)</w:t>
      </w:r>
    </w:p>
    <w:p>
      <w:pPr>
        <w:pStyle w:val="ListNumber"/>
        <w:ind w:left="425"/>
      </w:pPr>
      <w:r>
        <w:t>Bullion→Digital barrier (emergency governance only)</w:t>
      </w:r>
    </w:p>
    <w:p>
      <w:pPr>
        <w:pStyle w:val="ListNumber"/>
        <w:ind w:left="425"/>
      </w:pPr>
      <w:r>
        <w:t>SAE risk-adjusted stablecoin exposure metric</w:t>
      </w:r>
    </w:p>
    <w:p>
      <w:pPr>
        <w:pStyle w:val="ListNumber"/>
        <w:ind w:left="425"/>
      </w:pPr>
      <w:r>
        <w:t>GACR gold-adjusted coverage (reporting, =RR)</w:t>
      </w:r>
    </w:p>
    <w:p>
      <w:pPr>
        <w:pStyle w:val="ListNumber"/>
        <w:ind w:left="425"/>
      </w:pPr>
      <w:r>
        <w:t>BRI weights updated 0.85/0.15 → 0.90/0.10 (independently verified)</w:t>
      </w:r>
    </w:p>
    <w:p>
      <w:pPr>
        <w:pStyle w:val="ListNumber"/>
        <w:ind w:left="425"/>
      </w:pPr>
      <w:r>
        <w:t>USD target zone 25-30% (not precise 27%)</w:t>
      </w:r>
    </w:p>
    <w:p>
      <w:pPr>
        <w:pStyle w:val="ListNumber"/>
        <w:ind w:left="425"/>
      </w:pPr>
      <w:r>
        <w:t>Stress-RR as hard optimizer constraint</w:t>
      </w:r>
    </w:p>
    <w:p>
      <w:pPr>
        <w:pStyle w:val="ListNumber"/>
        <w:ind w:left="425"/>
      </w:pPr>
      <w:r>
        <w:t>PAR clarification: USD-denominated settlement unit, NOT USD-backed identity</w:t>
      </w:r>
    </w:p>
    <w:p>
      <w:pPr>
        <w:pStyle w:val="ListNumber"/>
        <w:ind w:left="425"/>
      </w:pPr>
      <w:r>
        <w:t>Dynamic pillar bands (pillars adjust within constitutional ranges)</w:t>
      </w:r>
    </w:p>
    <w:p>
      <w:pPr>
        <w:pStyle w:val="ListNumber"/>
        <w:ind w:left="425"/>
      </w:pPr>
      <w:r>
        <w:t>20% strategic reserve excess target adopted; statistical validation is a mandatory v24 release gate, not an inherited assumption</w:t>
      </w:r>
    </w:p>
    <w:p>
      <w:pPr>
        <w:pStyle w:val="ListNumber"/>
        <w:ind w:left="425"/>
      </w:pPr>
      <w:r>
        <w:t>Gold 15% (range 12-18%) — optimal per grid test</w:t>
      </w:r>
    </w:p>
    <w:p>
      <w:pPr>
        <w:pStyle w:val="ListNumber"/>
        <w:ind w:left="425"/>
      </w:pPr>
      <w:r>
        <w:t>Silver 5% (range 3-8%) — optimal per grid test</w:t>
      </w:r>
    </w:p>
    <w:p>
      <w:pPr>
        <w:pStyle w:val="ListNumber"/>
        <w:ind w:left="425"/>
      </w:pPr>
      <w:r>
        <w:t>Article X liquidation: stablecoin→cash→sovereign→FX→silver→gold LAST</w:t>
      </w:r>
    </w:p>
    <w:p>
      <w:pPr>
        <w:pStyle w:val="ListNumber"/>
        <w:ind w:left="425"/>
      </w:pPr>
      <w:r>
        <w:t>Hysteresis: 2% band, 2-cycle, direction-tracking (anti-whipsaw)</w:t>
      </w:r>
    </w:p>
    <w:p>
      <w:pPr>
        <w:pStyle w:val="ListNumber"/>
        <w:ind w:left="425"/>
      </w:pPr>
      <w:r>
        <w:t>Trade suppression: benefit &gt; cost + slippage + 2bp buffer</w:t>
      </w:r>
    </w:p>
    <w:p>
      <w:pPr>
        <w:pStyle w:val="ListNumber"/>
        <w:ind w:left="425"/>
      </w:pPr>
      <w:r>
        <w:t>All 9 contracts reported as deployed on Monad Testnet in v23; v24 requires independent verification before any production claim</w:t>
      </w:r>
    </w:p>
    <w:p>
      <w:pPr>
        <w:pBdr>
          <w:bottom w:val="single" w:sz="12" w:space="1" w:color="C59B1E"/>
        </w:pBdr>
      </w:pPr>
    </w:p>
    <w:p>
      <w:pPr>
        <w:pStyle w:val="Heading2"/>
      </w:pPr>
      <w:r>
        <w:t>V24.2.1 AMENDMENTS — TOKENIZED GOLD + CONDITIONAL SILVER + CALM FIX</w:t>
      </w:r>
    </w:p>
    <w:p>
      <w:pPr>
        <w:pStyle w:val="Heading3"/>
      </w:pPr>
      <w:r>
        <w:t>V24.2.1.1 — CALM TARGET CORRECTION (§5 of v24.2.1 Directive)</w:t>
      </w:r>
    </w:p>
    <w:p>
      <w:r>
        <w:t>v24.2 had NORMAL CALM target = 1.15, which was BELOW the strategic target (1.20). This was internally inconsistent.</w:t>
      </w:r>
    </w:p>
    <w:p>
      <w:r>
        <w:rPr>
          <w:b/>
        </w:rPr>
        <w:t>Corrected targets: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v24.2 (WRONG)</w:t>
            </w:r>
          </w:p>
        </w:tc>
        <w:tc>
          <w:tcPr>
            <w:tcW w:type="dxa" w:w="2268"/>
            <w:shd w:fill="1A365F"/>
            <w:vAlign w:val="center"/>
          </w:tcPr>
          <w:p>
            <w:pPr>
              <w:jc w:val="left"/>
            </w:pPr>
            <w:r/>
            <w:r>
              <w:rPr>
                <w:rFonts w:ascii="Calibri" w:hAnsi="Calibri"/>
                <w:b/>
                <w:color w:val="FFFFFF"/>
                <w:sz w:val="18"/>
              </w:rPr>
              <w:t>v24.2.1 (CORRECT)</w:t>
            </w:r>
          </w:p>
        </w:tc>
        <w:tc>
          <w:tcPr>
            <w:tcW w:type="dxa" w:w="2268"/>
            <w:shd w:fill="1A365F"/>
            <w:vAlign w:val="center"/>
          </w:tcPr>
          <w:p>
            <w:pPr>
              <w:jc w:val="left"/>
            </w:pPr>
            <w:r/>
            <w:r>
              <w:rPr>
                <w:rFonts w:ascii="Calibri" w:hAnsi="Calibri"/>
                <w:b/>
                <w:color w:val="FFFFFF"/>
                <w:sz w:val="18"/>
              </w:rPr>
              <w:t>Direction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1.15</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 strategic target</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1.18</w:t>
            </w:r>
          </w:p>
        </w:tc>
        <w:tc>
          <w:tcPr>
            <w:tcW w:type="dxa" w:w="2268"/>
            <w:shd w:fill="F0F0F0"/>
            <w:vAlign w:val="center"/>
          </w:tcPr>
          <w:p>
            <w:pPr>
              <w:jc w:val="left"/>
            </w:pPr>
            <w:r/>
            <w:r>
              <w:rPr>
                <w:rFonts w:ascii="Calibri" w:hAnsi="Calibri"/>
                <w:color w:val="2D2D2D"/>
                <w:sz w:val="18"/>
              </w:rPr>
              <w:t>**1.22**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**1.23**</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unchanged</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unchanged</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1.20</w:t>
            </w:r>
          </w:p>
        </w:tc>
        <w:tc>
          <w:tcPr>
            <w:tcW w:type="dxa" w:w="2268"/>
            <w:shd w:fill="F0F0F0"/>
            <w:vAlign w:val="center"/>
          </w:tcPr>
          <w:p>
            <w:pPr>
              <w:jc w:val="left"/>
            </w:pPr>
            <w:r/>
            <w:r>
              <w:rPr>
                <w:rFonts w:ascii="Calibri" w:hAnsi="Calibri"/>
                <w:color w:val="2D2D2D"/>
                <w:sz w:val="18"/>
              </w:rPr>
              <w:t>**1.21**</w:t>
            </w:r>
          </w:p>
        </w:tc>
        <w:tc>
          <w:tcPr>
            <w:tcW w:type="dxa" w:w="2268"/>
            <w:shd w:fill="F0F0F0"/>
            <w:vAlign w:val="center"/>
          </w:tcPr>
          <w:p>
            <w:pPr>
              <w:jc w:val="left"/>
            </w:pPr>
            <w:r/>
            <w:r>
              <w:rPr>
                <w:rFonts w:ascii="Calibri" w:hAnsi="Calibri"/>
                <w:color w:val="2D2D2D"/>
                <w:sz w:val="18"/>
              </w:rPr>
              <w:t>slightly above NORMAL</w:t>
            </w:r>
          </w:p>
        </w:tc>
      </w:tr>
    </w:tbl>
    <w:p/>
    <w:p>
      <w:r>
        <w:t>Core invariant: Risk↑ → RR_target↑ → S_max↓ → MintCapacity↓ (monotonic).</w:t>
      </w:r>
    </w:p>
    <w:p>
      <w:pPr>
        <w:pStyle w:val="Heading3"/>
      </w:pPr>
      <w:r>
        <w:t>V24.2.1.2 — TOKENIZED ALLOCATED GOLD RESERVE LAYER (§§10-16)</w:t>
      </w:r>
    </w:p>
    <w:p>
      <w:r>
        <w:rPr>
          <w:b/>
        </w:rPr>
        <w:t>Identity (NO double-counting):</w:t>
      </w:r>
    </w:p>
    <w:p>
      <w:pPr>
        <w:ind w:left="283"/>
        <w:shd w:fill="F5F5F5"/>
      </w:pPr>
      <w:r>
        <w:rPr>
          <w:rFonts w:ascii="Consolas" w:hAnsi="Consolas"/>
          <w:color w:val="6B6B6B"/>
          <w:sz w:val="18"/>
        </w:rPr>
        <w:t>Gold_total = PhysicalAllocatedGold + TokenizedAllocatedGold</w:t>
      </w:r>
    </w:p>
    <w:p>
      <w:r>
        <w:rPr>
          <w:b/>
        </w:rPr>
        <w:t>Eligibility (13 conditions — ALL must pass):</w:t>
      </w:r>
    </w:p>
    <w:p>
      <w:pPr>
        <w:pStyle w:val="ListNumber"/>
        <w:ind w:left="425"/>
      </w:pPr>
      <w:r>
        <w:t>Identifiable physical gold backing</w:t>
      </w:r>
    </w:p>
    <w:p>
      <w:pPr>
        <w:pStyle w:val="ListNumber"/>
        <w:ind w:left="425"/>
      </w:pPr>
      <w:r>
        <w:t>Legally enforceable ownership/proprietary interest</w:t>
      </w:r>
    </w:p>
    <w:p>
      <w:pPr>
        <w:pStyle w:val="ListNumber"/>
        <w:ind w:left="425"/>
      </w:pPr>
      <w:r>
        <w:t>Allocated custody</w:t>
      </w:r>
    </w:p>
    <w:p>
      <w:pPr>
        <w:pStyle w:val="ListNumber"/>
        <w:ind w:left="425"/>
      </w:pPr>
      <w:r>
        <w:t>Segregation</w:t>
      </w:r>
    </w:p>
    <w:p>
      <w:pPr>
        <w:pStyle w:val="ListNumber"/>
        <w:ind w:left="425"/>
      </w:pPr>
      <w:r>
        <w:t>Bankruptcy remoteness</w:t>
      </w:r>
    </w:p>
    <w:p>
      <w:pPr>
        <w:pStyle w:val="ListNumber"/>
        <w:ind w:left="425"/>
      </w:pPr>
      <w:r>
        <w:t>No rehypothecation</w:t>
      </w:r>
    </w:p>
    <w:p>
      <w:pPr>
        <w:pStyle w:val="ListNumber"/>
        <w:ind w:left="425"/>
      </w:pPr>
      <w:r>
        <w:t>Independent reconciliation</w:t>
      </w:r>
    </w:p>
    <w:p>
      <w:pPr>
        <w:pStyle w:val="ListNumber"/>
        <w:ind w:left="425"/>
      </w:pPr>
      <w:r>
        <w:t>Independent valuation</w:t>
      </w:r>
    </w:p>
    <w:p>
      <w:pPr>
        <w:pStyle w:val="ListNumber"/>
        <w:ind w:left="425"/>
      </w:pPr>
      <w:r>
        <w:t>Redemption rights</w:t>
      </w:r>
    </w:p>
    <w:p>
      <w:pPr>
        <w:pStyle w:val="ListNumber"/>
        <w:ind w:left="425"/>
      </w:pPr>
      <w:r>
        <w:t>Approved oracle/reference pricing</w:t>
      </w:r>
    </w:p>
    <w:p>
      <w:pPr>
        <w:pStyle w:val="ListNumber"/>
        <w:ind w:left="425"/>
      </w:pPr>
      <w:r>
        <w:t>Legal review</w:t>
      </w:r>
    </w:p>
    <w:p>
      <w:pPr>
        <w:pStyle w:val="ListNumber"/>
        <w:ind w:left="425"/>
      </w:pPr>
      <w:r>
        <w:t>Technology/ledger integrity</w:t>
      </w:r>
    </w:p>
    <w:p>
      <w:pPr>
        <w:pStyle w:val="ListNumber"/>
        <w:ind w:left="425"/>
      </w:pPr>
      <w:r>
        <w:t>Operational continuity</w:t>
      </w:r>
    </w:p>
    <w:p>
      <w:r>
        <w:rPr>
          <w:b/>
        </w:rPr>
        <w:t>Rejected:</w:t>
      </w:r>
      <w:r>
        <w:t xml:space="preserve"> Unallocated claims, unsecured issuer promises, synthetic gold, gold derivatives, gold futures, ETFs for core reserve.</w:t>
      </w:r>
    </w:p>
    <w:p>
      <w:r>
        <w:rPr>
          <w:b/>
        </w:rPr>
        <w:t>TGRS (Tokenized Gold Reserve Score) — 10 dimensions:</w:t>
      </w:r>
    </w:p>
    <w:p>
      <w:pPr>
        <w:ind w:left="283"/>
        <w:shd w:fill="F5F5F5"/>
      </w:pPr>
      <w:r>
        <w:rPr>
          <w:rFonts w:ascii="Consolas" w:hAnsi="Consolas"/>
          <w:color w:val="6B6B6B"/>
          <w:sz w:val="18"/>
        </w:rPr>
        <w:t>TGRS = 0.20×PhysicalBacking + 0.15×LegalTitle + 0.15×Custody + 0.10×Redemption +</w:t>
        <w:br/>
        <w:t xml:space="preserve">       0.10×IssuerReliability + 0.10×OracleReliability + 0.08×Settlement +</w:t>
        <w:br/>
        <w:t xml:space="preserve">       0.05×Liquidity + 0.05×OperationalResilience + 0.02×Jurisdiction</w:t>
        <w:br/>
        <w:br/>
        <w:t>Eligible: TGRS ≥ 8.0</w:t>
        <w:br/>
        <w:t>Conditional: TGRS ≥ 6.0</w:t>
        <w:br/>
        <w:t>Rejected: TGRS &lt; 6.0</w:t>
      </w:r>
    </w:p>
    <w:p>
      <w:r>
        <w:rPr>
          <w:b/>
        </w:rPr>
        <w:t>Haircut:</w:t>
      </w:r>
      <w:r>
        <w:t xml:space="preserve"> </w:t>
      </w:r>
      <w:r>
        <w:rPr>
          <w:rFonts w:ascii="Consolas" w:hAnsi="Consolas"/>
          <w:color w:val="6B6B6B"/>
          <w:sz w:val="19"/>
        </w:rPr>
        <w:t>H_TG = max(5%, 5% + (10 - TGRS) × 0.5%)</w:t>
      </w:r>
      <w:r>
        <w:t xml:space="preserve"> — starts higher than physical gold, converges with evidence.</w:t>
      </w:r>
    </w:p>
    <w:p>
      <w:r>
        <w:rPr>
          <w:b/>
        </w:rPr>
        <w:t>Dynamic Range:</w:t>
      </w:r>
      <w:r>
        <w:t xml:space="preserve"> Physical 10-20%, Tokenized 0-7%, Total bullion ≤25%.</w:t>
      </w:r>
    </w:p>
    <w:p>
      <w:pPr>
        <w:pStyle w:val="Heading3"/>
      </w:pPr>
      <w:r>
        <w:t>V24.2.1.3 — CONDITIONAL SILVER RESERVE POLICY (§§17-19)</w:t>
      </w:r>
    </w:p>
    <w:p>
      <w:r>
        <w:rPr>
          <w:b/>
        </w:rPr>
        <w:t>Policy change:</w:t>
      </w:r>
      <w:r>
        <w:t xml:space="preserve"> Silver is NO LONGER a mandatory strategic target.</w:t>
      </w:r>
    </w:p>
    <w:p>
      <w:pPr>
        <w:ind w:left="283"/>
        <w:shd w:fill="F5F5F5"/>
      </w:pPr>
      <w:r>
        <w:rPr>
          <w:rFonts w:ascii="Consolas" w:hAnsi="Consolas"/>
          <w:color w:val="6B6B6B"/>
          <w:sz w:val="18"/>
        </w:rPr>
        <w:t>Silver normal target = 0% (was 3% in v24.2)</w:t>
        <w:br/>
        <w:t>Silver conditional band = 0-3%</w:t>
      </w:r>
    </w:p>
    <w:p>
      <w:r>
        <w:rPr>
          <w:b/>
        </w:rPr>
        <w:t>SDC_Ag (Silver Diversification Contribution):</w:t>
      </w:r>
    </w:p>
    <w:p>
      <w:pPr>
        <w:ind w:left="283"/>
        <w:shd w:fill="F5F5F5"/>
      </w:pPr>
      <w:r>
        <w:rPr>
          <w:rFonts w:ascii="Consolas" w:hAnsi="Consolas"/>
          <w:color w:val="6B6B6B"/>
          <w:sz w:val="18"/>
        </w:rPr>
        <w:t>SDC_Ag = net_resilience_gain - net_cost</w:t>
        <w:br/>
        <w:t xml:space="preserve">  net_resilience_gain = CVaR_improvement + StressRR_improvement + LCR_improvement</w:t>
        <w:br/>
        <w:t xml:space="preserve">  net_cost = execution_cost + custody_cost + volatility_penalty + liquidity_penalty</w:t>
        <w:br/>
        <w:br/>
        <w:t>If SDC_Ag &gt; 0: Silver admitted (up to 3%)</w:t>
        <w:br/>
        <w:t>If SDC_Ag ≤ 0: Silver = 0% (VALID policy result)</w:t>
      </w:r>
    </w:p>
    <w:p>
      <w:r>
        <w:t xml:space="preserve">Silver is NOT deleted — it is </w:t>
      </w:r>
      <w:r>
        <w:rPr>
          <w:b/>
        </w:rPr>
        <w:t>conditional</w:t>
      </w:r>
      <w:r>
        <w:t>. If it provides no statistically meaningful diversification benefit, Silver = 0% is a valid outcome.</w:t>
      </w:r>
    </w:p>
    <w:p>
      <w:pPr>
        <w:pStyle w:val="Heading3"/>
      </w:pPr>
      <w:r>
        <w:t>V24.2.1.4 — φ_t REWRITE (§20)</w:t>
      </w:r>
    </w:p>
    <w:p>
      <w:r>
        <w:rPr>
          <w:b/>
        </w:rPr>
        <w:t>Old:</w:t>
      </w:r>
      <w:r>
        <w:t xml:space="preserve"> Fixed 75/25 gold/silver ratio.</w:t>
      </w:r>
    </w:p>
    <w:p>
      <w:r>
        <w:rPr>
          <w:b/>
        </w:rPr>
        <w:t>New:</w:t>
      </w:r>
      <w:r>
        <w:t xml:space="preserve"> Gold is mandatory dominant; silver is conditional.</w:t>
      </w:r>
    </w:p>
    <w:p>
      <w:pPr>
        <w:ind w:left="283"/>
        <w:shd w:fill="F5F5F5"/>
      </w:pPr>
      <w:r>
        <w:rPr>
          <w:rFonts w:ascii="Consolas" w:hAnsi="Consolas"/>
          <w:color w:val="6B6B6B"/>
          <w:sz w:val="18"/>
        </w:rPr>
        <w:t>GoldShareWithinBullion = Gold_total / Bullion_total</w:t>
        <w:br/>
        <w:br/>
        <w:t>If Silver = 0: GoldShareWithinBullion = 100%</w:t>
        <w:br/>
        <w:t>When silver is admitted: GoldShare ≥ 70% (governance-approved dominant threshold)</w:t>
      </w:r>
    </w:p>
    <w:p>
      <w:r>
        <w:t>No fixed 75/25 requirement.</w:t>
      </w:r>
    </w:p>
    <w:p>
      <w:pPr>
        <w:pStyle w:val="Heading3"/>
      </w:pPr>
      <w:r>
        <w:t>V24.2.1.5 — BRI REVISION (§21)</w:t>
      </w:r>
    </w:p>
    <w:p>
      <w:r>
        <w:rPr>
          <w:b/>
        </w:rPr>
        <w:t>Old:</w:t>
      </w:r>
      <w:r>
        <w:t xml:space="preserve"> BRI assumes 90% gold / 10% silver.</w:t>
      </w:r>
    </w:p>
    <w:p>
      <w:r>
        <w:rPr>
          <w:b/>
        </w:rPr>
        <w:t>New:</w:t>
      </w:r>
    </w:p>
    <w:p>
      <w:pPr>
        <w:pStyle w:val="ListBullet"/>
        <w:ind w:left="425"/>
      </w:pPr>
      <w:r>
        <w:t>GoldResilienceIndex (pure gold)</w:t>
      </w:r>
    </w:p>
    <w:p>
      <w:pPr>
        <w:pStyle w:val="ListBullet"/>
        <w:ind w:left="425"/>
      </w:pPr>
      <w:r>
        <w:t>ConditionalMetalDiversificationIndex (silver component, if held)</w:t>
      </w:r>
    </w:p>
    <w:p>
      <w:r>
        <w:t>If SilverWeight = 0: BRI = GoldResilienceIndex (silver component = 0, NOT an error).</w:t>
      </w:r>
    </w:p>
    <w:p>
      <w:r>
        <w:t>BRI remains ADVISORY ONLY.</w:t>
      </w:r>
    </w:p>
    <w:p>
      <w:pPr>
        <w:pStyle w:val="Heading3"/>
      </w:pPr>
      <w:r>
        <w:t>V24.2.1.6 — UPDATED LIQUIDATION ORDER (§22)</w:t>
      </w:r>
    </w:p>
    <w:p>
      <w:pPr>
        <w:ind w:left="283"/>
        <w:shd w:fill="F5F5F5"/>
      </w:pPr>
      <w:r>
        <w:rPr>
          <w:rFonts w:ascii="Consolas" w:hAnsi="Consolas"/>
          <w:color w:val="6B6B6B"/>
          <w:sz w:val="18"/>
        </w:rPr>
        <w:t>1. Eligible stablecoins</w:t>
        <w:br/>
        <w:t>2. Cash</w:t>
        <w:br/>
        <w:t>3. Short-duration sovereign</w:t>
        <w:br/>
        <w:t>4. Non-USD FX</w:t>
        <w:br/>
        <w:t>5. Conditional Silver / Tokenized Conditional Metal (if held)</w:t>
        <w:br/>
        <w:t>6. Tokenized Gold (digital representation — liquidate before physical)</w:t>
        <w:br/>
        <w:t>7. Physical Gold LAST (Exhaustion Certificate required)</w:t>
      </w:r>
    </w:p>
    <w:p>
      <w:pPr>
        <w:pStyle w:val="Heading3"/>
      </w:pPr>
      <w:r>
        <w:t>V24.2.1.7 — SUBSYSTEM STATE RECONCILIATION (§33)</w:t>
      </w:r>
    </w:p>
    <w:p>
      <w:r>
        <w:t>7 subsystem states:</w:t>
      </w:r>
    </w:p>
    <w:p>
      <w:pPr>
        <w:pStyle w:val="ListBullet"/>
        <w:ind w:left="425"/>
      </w:pPr>
      <w:r>
        <w:t>LiquidityState, CorrelationState, CustodyState, CurrencyState, DigitalState, OracleState, ModelState</w:t>
      </w:r>
    </w:p>
    <w:p>
      <w:r>
        <w:rPr>
          <w:b/>
        </w:rPr>
        <w:t>Global state ≥ highest subsystem state</w:t>
      </w:r>
      <w:r>
        <w:t xml:space="preserve"> (with hysteresis). No "Global=NORMAL while Correlation=CRISIS."</w:t>
      </w:r>
    </w:p>
    <w:p>
      <w:pPr>
        <w:pStyle w:val="Heading3"/>
      </w:pPr>
      <w:r>
        <w:t>V24.2.1.8 — A/B/C/D/E PORTFOLIO COMPARISON (§37)</w:t>
      </w:r>
    </w:p>
    <w:p>
      <w:r>
        <w:t>5 candidate portfolios stress-tested with identical scenarios: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t>Winner selected by: highest StressRR → lowest CVaR → lowest model dependency. NOT by preference.</w:t>
      </w:r>
    </w:p>
    <w:p>
      <w:pPr>
        <w:pStyle w:val="Heading3"/>
      </w:pPr>
      <w:r>
        <w:t>V24.2.1.9 — APPROVED STRATEGIC REFERENCE (Portfolio B)</w:t>
      </w:r>
    </w:p>
    <w:p>
      <w:pPr>
        <w:ind w:left="283"/>
        <w:shd w:fill="F5F5F5"/>
      </w:pPr>
      <w:r>
        <w:rPr>
          <w:rFonts w:ascii="Consolas" w:hAnsi="Consolas"/>
          <w:color w:val="6B6B6B"/>
          <w:sz w:val="18"/>
        </w:rPr>
        <w:t>Physical Gold = 15%        (MITHQAL allocated vault, Brink's/Loomis)</w:t>
        <w:br/>
        <w:t>Tokenized Gold = 5%        (PAXG only — TGRS=9.00, H_TG=5.5%, NYDFS+OCC chartered)</w:t>
        <w:br/>
        <w:t>Silver = 0%                (conditional, SDC_Ag-negative per Task 4 backtest)</w:t>
        <w:br/>
        <w:t>Fiat/Sovereign = 77.5%     (10-currency basket, USD-capped at 35%)</w:t>
        <w:br/>
        <w:t>Digital = 2.5%             (USDC/USDP/EURC/BUIDL)</w:t>
        <w:br/>
        <w:t>Total = 100%</w:t>
      </w:r>
    </w:p>
    <w:p>
      <w:r>
        <w:rPr>
          <w:b/>
        </w:rPr>
        <w:t>Status: APPROVED — Portfolio B (was PROVISIONAL).</w:t>
      </w:r>
    </w:p>
    <w:p>
      <w:r>
        <w:rPr>
          <w:b/>
        </w:rPr>
        <w:t>Approval</w:t>
      </w:r>
      <w:r>
        <w:t>: COO + CTO + Project Manager executive decision, 2026-08-13.</w:t>
      </w:r>
    </w:p>
    <w:p>
      <w:r>
        <w:rPr>
          <w:b/>
        </w:rPr>
        <w:t>Decision basis</w:t>
      </w:r>
      <w:r>
        <w:t>: 6-task validation cycle (see Appendix V24.2.1-V):</w:t>
      </w:r>
    </w:p>
    <w:p>
      <w:pPr>
        <w:pStyle w:val="ListNumber"/>
        <w:ind w:left="425"/>
      </w:pPr>
      <w:r>
        <w:t>Task 1: 250K Monte Carlo reproduced from seed=42 (P(RR&lt;100%)=21.5432%)</w:t>
      </w:r>
    </w:p>
    <w:p>
      <w:pPr>
        <w:pStyle w:val="ListNumber"/>
        <w:ind w:left="425"/>
      </w:pPr>
      <w:r>
        <w:t>Task 2: A/B/C/D/E comparison — B has lowest CVaR_99 ($15.62M); D wins MC by 0.16pp (noise)</w:t>
      </w:r>
    </w:p>
    <w:p>
      <w:pPr>
        <w:pStyle w:val="ListNumber"/>
        <w:ind w:left="425"/>
      </w:pPr>
      <w:r>
        <w:t>Task 3: PAXG is the only Eligible tokenized gold (TGRS=9.00, 13/13 gate PASS)</w:t>
      </w:r>
    </w:p>
    <w:p>
      <w:pPr>
        <w:pStyle w:val="ListNumber"/>
        <w:ind w:left="425"/>
      </w:pPr>
      <w:r>
        <w:t>Task 4: Silver=0% validated (SDC_Ag borderline, conservative default)</w:t>
      </w:r>
    </w:p>
    <w:p>
      <w:pPr>
        <w:pStyle w:val="ListNumber"/>
        <w:ind w:left="425"/>
      </w:pPr>
      <w:r>
        <w:t>Task 5: 4/5 challenger models confirm primary (range 19.97%-24.91%)</w:t>
      </w:r>
    </w:p>
    <w:p>
      <w:pPr>
        <w:pStyle w:val="ListNumber"/>
        <w:ind w:left="425"/>
      </w:pPr>
      <w:r>
        <w:t>Task 6: Anti-double-counting proven (32/32 machine-checked assertions PASS)</w:t>
      </w:r>
    </w:p>
    <w:p>
      <w:r>
        <w:rPr>
          <w:b/>
        </w:rPr>
        <w:t>Why B over D (the MC winner)</w:t>
      </w:r>
      <w:r>
        <w:t>: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 *settlement institution* outweigh the marginal MC disadvantage.</w:t>
      </w:r>
    </w:p>
    <w:p>
      <w:r>
        <w:rPr>
          <w:b/>
        </w:rPr>
        <w:t>Canonical product</w:t>
      </w:r>
      <w:r>
        <w:t xml:space="preserve">: PAXG (Paxos Trust Company), contract </w:t>
      </w:r>
      <w:r>
        <w:rPr>
          <w:rFonts w:ascii="Consolas" w:hAnsi="Consolas"/>
          <w:color w:val="6B6B6B"/>
          <w:sz w:val="19"/>
        </w:rPr>
        <w:t>0x45804880De22913dAFE09f4980848ECE6EcbAf78</w:t>
      </w:r>
      <w:r>
        <w:t>.</w:t>
      </w:r>
    </w:p>
    <w:p>
      <w:r>
        <w:rPr>
          <w:b/>
        </w:rPr>
        <w:t>Fail-closed gate</w:t>
      </w:r>
      <w:r>
        <w:t xml:space="preserve">: If PAXG TGRS drops below 8.0 OR the 13-point eligibility gate fails, the tokenized gold weight is FORCED to 0 within 5 business days (enforced by </w:t>
      </w:r>
      <w:r>
        <w:rPr>
          <w:rFonts w:ascii="Consolas" w:hAnsi="Consolas"/>
          <w:color w:val="6B6B6B"/>
          <w:sz w:val="19"/>
        </w:rPr>
        <w:t>monitorTgrs()</w:t>
      </w:r>
      <w:r>
        <w:t xml:space="preserve"> + </w:t>
      </w:r>
      <w:r>
        <w:rPr>
          <w:rFonts w:ascii="Consolas" w:hAnsi="Consolas"/>
          <w:color w:val="6B6B6B"/>
          <w:sz w:val="19"/>
        </w:rPr>
        <w:t>enforceAntiDoubleCounting()</w:t>
      </w:r>
      <w:r>
        <w:t xml:space="preserve"> runtime guards).</w:t>
      </w:r>
    </w:p>
    <w:p>
      <w:r>
        <w:rPr>
          <w:b/>
        </w:rPr>
        <w:t>Anti-double-counting</w:t>
      </w:r>
      <w:r>
        <w:t xml:space="preserve">: </w:t>
      </w:r>
      <w:r>
        <w:rPr>
          <w:rFonts w:ascii="Consolas" w:hAnsi="Consolas"/>
          <w:color w:val="6B6B6B"/>
          <w:sz w:val="19"/>
        </w:rPr>
        <w:t>Gold_total = PhysicalAllocatedGold + TokenizedAllocatedGold</w:t>
      </w:r>
      <w:r>
        <w:t>. The two are distinct asset registry rows backed by disjoint allocated bar pools (MITHQAL's Brink's vault vs. Paxos's LBMA vault). Proven across 10 theorems / 32 assertions (Task 6).</w:t>
      </w:r>
    </w:p>
    <w:p>
      <w:pPr>
        <w:pStyle w:val="Heading3"/>
      </w:pPr>
      <w:r>
        <w:t>V24.2.1.10 — REJECTED PROPOSALS</w:t>
      </w:r>
    </w:p>
    <w:p>
      <w:pPr>
        <w:pStyle w:val="ListBullet"/>
        <w:ind w:left="425"/>
      </w:pPr>
      <w:r>
        <w:t>❌ 102% reserve ceiling (max loss before breach = 1.96% — too narrow)</w:t>
      </w:r>
    </w:p>
    <w:p>
      <w:pPr>
        <w:pStyle w:val="ListBullet"/>
        <w:ind w:left="425"/>
      </w:pPr>
      <w:r>
        <w:t>❌ RRmax = 102%, RRnormal = 100.5%</w:t>
      </w:r>
    </w:p>
    <w:p>
      <w:pPr>
        <w:pStyle w:val="ListBullet"/>
        <w:ind w:left="425"/>
      </w:pPr>
      <w:r>
        <w:t>❌ 100.4% in-kind solvency theorem</w:t>
      </w:r>
    </w:p>
    <w:p>
      <w:pPr>
        <w:pStyle w:val="ListBullet"/>
        <w:ind w:left="425"/>
      </w:pPr>
      <w:r>
        <w:t>❌ Hyper-steep 50% barrier fee</w:t>
      </w:r>
    </w:p>
    <w:p>
      <w:pPr>
        <w:pStyle w:val="ListBullet"/>
        <w:ind w:left="425"/>
      </w:pPr>
      <w:r>
        <w:t>❌ "Zero-cost" hedge terminology</w:t>
      </w:r>
    </w:p>
    <w:p>
      <w:pPr>
        <w:pStyle w:val="ListBullet"/>
        <w:ind w:left="425"/>
      </w:pPr>
      <w:r>
        <w:t>❌ "Gold-backed token" terminology</w:t>
      </w:r>
    </w:p>
    <w:p>
      <w:pPr>
        <w:pStyle w:val="ListBullet"/>
        <w:ind w:left="425"/>
      </w:pPr>
      <w:r>
        <w:t>❌ Double-counting tokenized gold</w:t>
      </w:r>
    </w:p>
    <w:p>
      <w:pPr>
        <w:pStyle w:val="ListBullet"/>
        <w:ind w:left="425"/>
      </w:pPr>
      <w:r>
        <w:t>❌ Forced stress test passes</w:t>
      </w:r>
    </w:p>
    <w:p>
      <w:pPr>
        <w:pBdr>
          <w:bottom w:val="single" w:sz="12" w:space="1" w:color="C59B1E"/>
        </w:pBdr>
      </w:pPr>
    </w:p>
    <w:p>
      <w:pPr>
        <w:pStyle w:val="Heading2"/>
      </w:pPr>
      <w:r>
        <w:t>V24.2 AMENDMENT REGISTRY (Historical parent — v24.2 → v24.2.1) — 10 GOVERNANCE-APPROVED AMENDMENTS</w:t>
      </w:r>
    </w:p>
    <w:p>
      <w:r>
        <w:t>The following amendments were applied to v24.1 to produce v24.2. Each is governance-approved, implemented in code, and regression-tested.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Parameter</w:t>
            </w:r>
          </w:p>
        </w:tc>
        <w:tc>
          <w:tcPr>
            <w:tcW w:type="dxa" w:w="1512"/>
            <w:shd w:fill="1A365F"/>
            <w:vAlign w:val="center"/>
          </w:tcPr>
          <w:p>
            <w:pPr>
              <w:jc w:val="left"/>
            </w:pPr>
            <w:r/>
            <w:r>
              <w:rPr>
                <w:rFonts w:ascii="Calibri" w:hAnsi="Calibri"/>
                <w:b/>
                <w:color w:val="FFFFFF"/>
                <w:sz w:val="18"/>
              </w:rPr>
              <w:t>v24.1 Value</w:t>
            </w:r>
          </w:p>
        </w:tc>
        <w:tc>
          <w:tcPr>
            <w:tcW w:type="dxa" w:w="1512"/>
            <w:shd w:fill="1A365F"/>
            <w:vAlign w:val="center"/>
          </w:tcPr>
          <w:p>
            <w:pPr>
              <w:jc w:val="left"/>
            </w:pPr>
            <w:r/>
            <w:r>
              <w:rPr>
                <w:rFonts w:ascii="Calibri" w:hAnsi="Calibri"/>
                <w:b/>
                <w:color w:val="FFFFFF"/>
                <w:sz w:val="18"/>
              </w:rPr>
              <w:t>v24.2 Value</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Reason</w:t>
            </w:r>
          </w:p>
        </w:tc>
      </w:tr>
      <w:tr>
        <w:tc>
          <w:tcPr>
            <w:tcW w:type="dxa" w:w="1512"/>
            <w:vAlign w:val="center"/>
          </w:tcPr>
          <w:p>
            <w:pPr>
              <w:jc w:val="left"/>
            </w:pPr>
            <w:r/>
            <w:r>
              <w:rPr>
                <w:rFonts w:ascii="Calibri" w:hAnsi="Calibri"/>
                <w:color w:val="2D2D2D"/>
                <w:sz w:val="18"/>
              </w:rPr>
              <w:t>1</w:t>
            </w:r>
          </w:p>
        </w:tc>
        <w:tc>
          <w:tcPr>
            <w:tcW w:type="dxa" w:w="1512"/>
            <w:vAlign w:val="center"/>
          </w:tcPr>
          <w:p>
            <w:pPr>
              <w:jc w:val="left"/>
            </w:pPr>
            <w:r/>
            <w:r>
              <w:rPr>
                <w:rFonts w:ascii="Calibri" w:hAnsi="Calibri"/>
                <w:color w:val="2D2D2D"/>
                <w:sz w:val="18"/>
              </w:rPr>
              <w:t>Silver strategic target</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Reduced volatility; silver at 5% provided insufficient diversification vs 30% volatility</w:t>
            </w:r>
          </w:p>
        </w:tc>
      </w:tr>
      <w:tr>
        <w:tc>
          <w:tcPr>
            <w:tcW w:type="dxa" w:w="1512"/>
            <w:shd w:fill="F0F0F0"/>
            <w:vAlign w:val="center"/>
          </w:tcPr>
          <w:p>
            <w:pPr>
              <w:jc w:val="left"/>
            </w:pPr>
            <w:r/>
            <w:r>
              <w:rPr>
                <w:rFonts w:ascii="Calibri" w:hAnsi="Calibri"/>
                <w:color w:val="2D2D2D"/>
                <w:sz w:val="18"/>
              </w:rPr>
              <w:t>2</w:t>
            </w:r>
          </w:p>
        </w:tc>
        <w:tc>
          <w:tcPr>
            <w:tcW w:type="dxa" w:w="1512"/>
            <w:shd w:fill="F0F0F0"/>
            <w:vAlign w:val="center"/>
          </w:tcPr>
          <w:p>
            <w:pPr>
              <w:jc w:val="left"/>
            </w:pPr>
            <w:r/>
            <w:r>
              <w:rPr>
                <w:rFonts w:ascii="Calibri" w:hAnsi="Calibri"/>
                <w:color w:val="2D2D2D"/>
                <w:sz w:val="18"/>
              </w:rPr>
              <w:t>Digital strategic target</w:t>
            </w:r>
          </w:p>
        </w:tc>
        <w:tc>
          <w:tcPr>
            <w:tcW w:type="dxa" w:w="1512"/>
            <w:shd w:fill="F0F0F0"/>
            <w:vAlign w:val="center"/>
          </w:tcPr>
          <w:p>
            <w:pPr>
              <w:jc w:val="left"/>
            </w:pPr>
            <w:r/>
            <w:r>
              <w:rPr>
                <w:rFonts w:ascii="Calibri" w:hAnsi="Calibri"/>
                <w:color w:val="2D2D2D"/>
                <w:sz w:val="18"/>
              </w:rPr>
              <w:t>3.5%</w:t>
            </w:r>
          </w:p>
        </w:tc>
        <w:tc>
          <w:tcPr>
            <w:tcW w:type="dxa" w:w="1512"/>
            <w:shd w:fill="F0F0F0"/>
            <w:vAlign w:val="center"/>
          </w:tcPr>
          <w:p>
            <w:pPr>
              <w:jc w:val="left"/>
            </w:pPr>
            <w:r/>
            <w:r>
              <w:rPr>
                <w:rFonts w:ascii="Calibri" w:hAnsi="Calibri"/>
                <w:color w:val="2D2D2D"/>
                <w:sz w:val="18"/>
              </w:rPr>
              <w:t>2.5%</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More conservative; normal range 2-3.5% allows expansion when needed</w:t>
            </w:r>
          </w:p>
        </w:tc>
      </w:tr>
      <w:tr>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Reserve states</w:t>
            </w:r>
          </w:p>
        </w:tc>
        <w:tc>
          <w:tcPr>
            <w:tcW w:type="dxa" w:w="1512"/>
            <w:vAlign w:val="center"/>
          </w:tcPr>
          <w:p>
            <w:pPr>
              <w:jc w:val="left"/>
            </w:pPr>
            <w:r/>
            <w:r>
              <w:rPr>
                <w:rFonts w:ascii="Calibri" w:hAnsi="Calibri"/>
                <w:color w:val="2D2D2D"/>
                <w:sz w:val="18"/>
              </w:rPr>
              <w:t>5 (NORMAL/ELEVATED/HIGH_STRESS/CRISIS/RECOVERY)</w:t>
            </w:r>
          </w:p>
        </w:tc>
        <w:tc>
          <w:tcPr>
            <w:tcW w:type="dxa" w:w="1512"/>
            <w:vAlign w:val="center"/>
          </w:tcPr>
          <w:p>
            <w:pPr>
              <w:jc w:val="left"/>
            </w:pPr>
            <w:r/>
            <w:r>
              <w:rPr>
                <w:rFonts w:ascii="Calibri" w:hAnsi="Calibri"/>
                <w:color w:val="2D2D2D"/>
                <w:sz w:val="18"/>
              </w:rPr>
              <w:t>6 (NORMAL/CAUTION/DEFENSIVE/STRESS/EMERGENCY/RECOVERY)</w:t>
            </w:r>
          </w:p>
        </w:tc>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Added CAUTION and DEFENSIVE for granular early warning</w:t>
            </w:r>
          </w:p>
        </w:tc>
      </w:tr>
      <w:tr>
        <w:tc>
          <w:tcPr>
            <w:tcW w:type="dxa" w:w="1512"/>
            <w:shd w:fill="F0F0F0"/>
            <w:vAlign w:val="center"/>
          </w:tcPr>
          <w:p>
            <w:pPr>
              <w:jc w:val="left"/>
            </w:pPr>
            <w:r/>
            <w:r>
              <w:rPr>
                <w:rFonts w:ascii="Calibri" w:hAnsi="Calibri"/>
                <w:color w:val="2D2D2D"/>
                <w:sz w:val="18"/>
              </w:rPr>
              <w:t>4</w:t>
            </w:r>
          </w:p>
        </w:tc>
        <w:tc>
          <w:tcPr>
            <w:tcW w:type="dxa" w:w="1512"/>
            <w:shd w:fill="F0F0F0"/>
            <w:vAlign w:val="center"/>
          </w:tcPr>
          <w:p>
            <w:pPr>
              <w:jc w:val="left"/>
            </w:pPr>
            <w:r/>
            <w:r>
              <w:rPr>
                <w:rFonts w:ascii="Calibri" w:hAnsi="Calibri"/>
                <w:color w:val="2D2D2D"/>
                <w:sz w:val="18"/>
              </w:rPr>
              <w:t>Structural weight formula</w:t>
            </w:r>
          </w:p>
        </w:tc>
        <w:tc>
          <w:tcPr>
            <w:tcW w:type="dxa" w:w="1512"/>
            <w:shd w:fill="F0F0F0"/>
            <w:vAlign w:val="center"/>
          </w:tcPr>
          <w:p>
            <w:pPr>
              <w:jc w:val="left"/>
            </w:pPr>
            <w:r/>
            <w:r>
              <w:rPr>
                <w:rFonts w:ascii="Calibri" w:hAnsi="Calibri"/>
                <w:color w:val="2D2D2D"/>
                <w:sz w:val="18"/>
              </w:rPr>
              <w:t>0.45 COFER + 0.35 SWIFT + 0.20 BIS</w:t>
            </w:r>
          </w:p>
        </w:tc>
        <w:tc>
          <w:tcPr>
            <w:tcW w:type="dxa" w:w="1512"/>
            <w:shd w:fill="F0F0F0"/>
            <w:vAlign w:val="center"/>
          </w:tcPr>
          <w:p>
            <w:pPr>
              <w:jc w:val="left"/>
            </w:pPr>
            <w:r/>
            <w:r>
              <w:rPr>
                <w:rFonts w:ascii="Calibri" w:hAnsi="Calibri"/>
                <w:color w:val="2D2D2D"/>
                <w:sz w:val="18"/>
              </w:rPr>
              <w:t>0.35 COFER + 0.25 FX + 0.20 Trade + 0.20 InstitutionalQuality</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Separates quality as explicit factor; adds trade settlement</w:t>
            </w:r>
          </w:p>
        </w:tc>
      </w:tr>
      <w:tr>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Effective USD Exposure</w:t>
            </w:r>
          </w:p>
        </w:tc>
        <w:tc>
          <w:tcPr>
            <w:tcW w:type="dxa" w:w="1512"/>
            <w:vAlign w:val="center"/>
          </w:tcPr>
          <w:p>
            <w:pPr>
              <w:jc w:val="left"/>
            </w:pPr>
            <w:r/>
            <w:r>
              <w:rPr>
                <w:rFonts w:ascii="Calibri" w:hAnsi="Calibri"/>
                <w:color w:val="2D2D2D"/>
                <w:sz w:val="18"/>
              </w:rPr>
              <w:t>Direct USD only (35% cap)</w:t>
            </w:r>
          </w:p>
        </w:tc>
        <w:tc>
          <w:tcPr>
            <w:tcW w:type="dxa" w:w="1512"/>
            <w:vAlign w:val="center"/>
          </w:tcPr>
          <w:p>
            <w:pPr>
              <w:jc w:val="left"/>
            </w:pPr>
            <w:r/>
            <w:r>
              <w:rPr>
                <w:rFonts w:ascii="Calibri" w:hAnsi="Calibri"/>
                <w:color w:val="2D2D2D"/>
                <w:sz w:val="18"/>
              </w:rPr>
              <w:t>Includes pegged AED/SAR (30% target, 35% ceiling)</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AED/SAR pegged to USD — hidden USD exposure was 6%</w:t>
            </w:r>
          </w:p>
        </w:tc>
      </w:tr>
      <w:tr>
        <w:tc>
          <w:tcPr>
            <w:tcW w:type="dxa" w:w="1512"/>
            <w:shd w:fill="F0F0F0"/>
            <w:vAlign w:val="center"/>
          </w:tcPr>
          <w:p>
            <w:pPr>
              <w:jc w:val="left"/>
            </w:pPr>
            <w:r/>
            <w:r>
              <w:rPr>
                <w:rFonts w:ascii="Calibri" w:hAnsi="Calibri"/>
                <w:color w:val="2D2D2D"/>
                <w:sz w:val="18"/>
              </w:rPr>
              <w:t>6</w:t>
            </w:r>
          </w:p>
        </w:tc>
        <w:tc>
          <w:tcPr>
            <w:tcW w:type="dxa" w:w="1512"/>
            <w:shd w:fill="F0F0F0"/>
            <w:vAlign w:val="center"/>
          </w:tcPr>
          <w:p>
            <w:pPr>
              <w:jc w:val="left"/>
            </w:pPr>
            <w:r/>
            <w:r>
              <w:rPr>
                <w:rFonts w:ascii="Calibri" w:hAnsi="Calibri"/>
                <w:color w:val="2D2D2D"/>
                <w:sz w:val="18"/>
              </w:rPr>
              <w:t>Optimizer structure</w:t>
            </w:r>
          </w:p>
        </w:tc>
        <w:tc>
          <w:tcPr>
            <w:tcW w:type="dxa" w:w="1512"/>
            <w:shd w:fill="F0F0F0"/>
            <w:vAlign w:val="center"/>
          </w:tcPr>
          <w:p>
            <w:pPr>
              <w:jc w:val="left"/>
            </w:pPr>
            <w:r/>
            <w:r>
              <w:rPr>
                <w:rFonts w:ascii="Calibri" w:hAnsi="Calibri"/>
                <w:color w:val="2D2D2D"/>
                <w:sz w:val="18"/>
              </w:rPr>
              <w:t>6-λ flat</w:t>
            </w:r>
          </w:p>
        </w:tc>
        <w:tc>
          <w:tcPr>
            <w:tcW w:type="dxa" w:w="1512"/>
            <w:shd w:fill="F0F0F0"/>
            <w:vAlign w:val="center"/>
          </w:tcPr>
          <w:p>
            <w:pPr>
              <w:jc w:val="left"/>
            </w:pPr>
            <w:r/>
            <w:r>
              <w:rPr>
                <w:rFonts w:ascii="Calibri" w:hAnsi="Calibri"/>
                <w:color w:val="2D2D2D"/>
                <w:sz w:val="18"/>
              </w:rPr>
              <w:t>4-tier hierarchical (Hard Constraints → Risk → Costs → Stability) with 10-λ</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Prevents optimizer from trading away constitutional safety</w:t>
            </w:r>
          </w:p>
        </w:tc>
      </w:tr>
      <w:tr>
        <w:tc>
          <w:tcPr>
            <w:tcW w:type="dxa" w:w="1512"/>
            <w:vAlign w:val="center"/>
          </w:tcPr>
          <w:p>
            <w:pPr>
              <w:jc w:val="left"/>
            </w:pPr>
            <w:r/>
            <w:r>
              <w:rPr>
                <w:rFonts w:ascii="Calibri" w:hAnsi="Calibri"/>
                <w:color w:val="2D2D2D"/>
                <w:sz w:val="18"/>
              </w:rPr>
              <w:t>7</w:t>
            </w:r>
          </w:p>
        </w:tc>
        <w:tc>
          <w:tcPr>
            <w:tcW w:type="dxa" w:w="1512"/>
            <w:vAlign w:val="center"/>
          </w:tcPr>
          <w:p>
            <w:pPr>
              <w:jc w:val="left"/>
            </w:pPr>
            <w:r/>
            <w:r>
              <w:rPr>
                <w:rFonts w:ascii="Calibri" w:hAnsi="Calibri"/>
                <w:color w:val="2D2D2D"/>
                <w:sz w:val="18"/>
              </w:rPr>
              <w:t>Trade cost model</w:t>
            </w:r>
          </w:p>
        </w:tc>
        <w:tc>
          <w:tcPr>
            <w:tcW w:type="dxa" w:w="1512"/>
            <w:vAlign w:val="center"/>
          </w:tcPr>
          <w:p>
            <w:pPr>
              <w:jc w:val="left"/>
            </w:pPr>
            <w:r/>
            <w:r>
              <w:rPr>
                <w:rFonts w:ascii="Calibri" w:hAnsi="Calibri"/>
                <w:color w:val="2D2D2D"/>
                <w:sz w:val="18"/>
              </w:rPr>
              <w:t>4 components</w:t>
            </w:r>
          </w:p>
        </w:tc>
        <w:tc>
          <w:tcPr>
            <w:tcW w:type="dxa" w:w="1512"/>
            <w:vAlign w:val="center"/>
          </w:tcPr>
          <w:p>
            <w:pPr>
              <w:jc w:val="left"/>
            </w:pPr>
            <w:r/>
            <w:r>
              <w:rPr>
                <w:rFonts w:ascii="Calibri" w:hAnsi="Calibri"/>
                <w:color w:val="2D2D2D"/>
                <w:sz w:val="18"/>
              </w:rPr>
              <w:t>15 components + LifecycleCost + stress-dependent (1x/2x/3x)</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Realistic all-in cost; stress-dependent execution</w:t>
            </w:r>
          </w:p>
        </w:tc>
      </w:tr>
      <w:tr>
        <w:tc>
          <w:tcPr>
            <w:tcW w:type="dxa" w:w="1512"/>
            <w:shd w:fill="F0F0F0"/>
            <w:vAlign w:val="center"/>
          </w:tcPr>
          <w:p>
            <w:pPr>
              <w:jc w:val="left"/>
            </w:pPr>
            <w:r/>
            <w:r>
              <w:rPr>
                <w:rFonts w:ascii="Calibri" w:hAnsi="Calibri"/>
                <w:color w:val="2D2D2D"/>
                <w:sz w:val="18"/>
              </w:rPr>
              <w:t>8</w:t>
            </w:r>
          </w:p>
        </w:tc>
        <w:tc>
          <w:tcPr>
            <w:tcW w:type="dxa" w:w="1512"/>
            <w:shd w:fill="F0F0F0"/>
            <w:vAlign w:val="center"/>
          </w:tcPr>
          <w:p>
            <w:pPr>
              <w:jc w:val="left"/>
            </w:pPr>
            <w:r/>
            <w:r>
              <w:rPr>
                <w:rFonts w:ascii="Calibri" w:hAnsi="Calibri"/>
                <w:color w:val="2D2D2D"/>
                <w:sz w:val="18"/>
              </w:rPr>
              <w:t>ModelValidityGate</w:t>
            </w:r>
          </w:p>
        </w:tc>
        <w:tc>
          <w:tcPr>
            <w:tcW w:type="dxa" w:w="1512"/>
            <w:shd w:fill="F0F0F0"/>
            <w:vAlign w:val="center"/>
          </w:tcPr>
          <w:p>
            <w:pPr>
              <w:jc w:val="left"/>
            </w:pPr>
            <w:r/>
            <w:r>
              <w:rPr>
                <w:rFonts w:ascii="Calibri" w:hAnsi="Calibri"/>
                <w:color w:val="2D2D2D"/>
                <w:sz w:val="18"/>
              </w:rPr>
              <w:t>Not implemented (mentioned)</w:t>
            </w:r>
          </w:p>
        </w:tc>
        <w:tc>
          <w:tcPr>
            <w:tcW w:type="dxa" w:w="1512"/>
            <w:shd w:fill="F0F0F0"/>
            <w:vAlign w:val="center"/>
          </w:tcPr>
          <w:p>
            <w:pPr>
              <w:jc w:val="left"/>
            </w:pPr>
            <w:r/>
            <w:r>
              <w:rPr>
                <w:rFonts w:ascii="Calibri" w:hAnsi="Calibri"/>
                <w:color w:val="2D2D2D"/>
                <w:sz w:val="18"/>
              </w:rPr>
              <w:t>HARD GATE → fallback to LastApprovedDeterministicPolicyPortfolio</w:t>
            </w:r>
          </w:p>
        </w:tc>
        <w:tc>
          <w:tcPr>
            <w:tcW w:type="dxa" w:w="1512"/>
            <w:shd w:fill="F0F0F0"/>
            <w:vAlign w:val="center"/>
          </w:tcPr>
          <w:p>
            <w:pPr>
              <w:jc w:val="left"/>
            </w:pPr>
            <w:r/>
            <w:r>
              <w:rPr>
                <w:rFonts w:ascii="Calibri" w:hAnsi="Calibri"/>
                <w:color w:val="2D2D2D"/>
                <w:sz w:val="18"/>
              </w:rPr>
              <w:t>A</w:t>
            </w:r>
          </w:p>
        </w:tc>
        <w:tc>
          <w:tcPr>
            <w:tcW w:type="dxa" w:w="1512"/>
            <w:shd w:fill="F0F0F0"/>
            <w:vAlign w:val="center"/>
          </w:tcPr>
          <w:p>
            <w:pPr>
              <w:jc w:val="left"/>
            </w:pPr>
            <w:r/>
            <w:r>
              <w:rPr>
                <w:rFonts w:ascii="Calibri" w:hAnsi="Calibri"/>
                <w:color w:val="2D2D2D"/>
                <w:sz w:val="18"/>
              </w:rPr>
              <w:t>Model failure must NEVER expand risk</w:t>
            </w:r>
          </w:p>
        </w:tc>
      </w:tr>
      <w:tr>
        <w:tc>
          <w:tcPr>
            <w:tcW w:type="dxa" w:w="1512"/>
            <w:vAlign w:val="center"/>
          </w:tcPr>
          <w:p>
            <w:pPr>
              <w:jc w:val="left"/>
            </w:pPr>
            <w:r/>
            <w:r>
              <w:rPr>
                <w:rFonts w:ascii="Calibri" w:hAnsi="Calibri"/>
                <w:color w:val="2D2D2D"/>
                <w:sz w:val="18"/>
              </w:rPr>
              <w:t>9</w:t>
            </w:r>
          </w:p>
        </w:tc>
        <w:tc>
          <w:tcPr>
            <w:tcW w:type="dxa" w:w="1512"/>
            <w:vAlign w:val="center"/>
          </w:tcPr>
          <w:p>
            <w:pPr>
              <w:jc w:val="left"/>
            </w:pPr>
            <w:r/>
            <w:r>
              <w:rPr>
                <w:rFonts w:ascii="Calibri" w:hAnsi="Calibri"/>
                <w:color w:val="2D2D2D"/>
                <w:sz w:val="18"/>
              </w:rPr>
              <w:t>StressDRQS</w:t>
            </w:r>
          </w:p>
        </w:tc>
        <w:tc>
          <w:tcPr>
            <w:tcW w:type="dxa" w:w="1512"/>
            <w:vAlign w:val="center"/>
          </w:tcPr>
          <w:p>
            <w:pPr>
              <w:jc w:val="left"/>
            </w:pPr>
            <w:r/>
            <w:r>
              <w:rPr>
                <w:rFonts w:ascii="Calibri" w:hAnsi="Calibri"/>
                <w:color w:val="2D2D2D"/>
                <w:sz w:val="18"/>
              </w:rPr>
              <w:t>Not implemented (headline only)</w:t>
            </w:r>
          </w:p>
        </w:tc>
        <w:tc>
          <w:tcPr>
            <w:tcW w:type="dxa" w:w="1512"/>
            <w:vAlign w:val="center"/>
          </w:tcPr>
          <w:p>
            <w:pPr>
              <w:jc w:val="left"/>
            </w:pPr>
            <w:r/>
            <w:r>
              <w:rPr>
                <w:rFonts w:ascii="Calibri" w:hAnsi="Calibri"/>
                <w:color w:val="2D2D2D"/>
                <w:sz w:val="18"/>
              </w:rPr>
              <w:t>StressDRQS = DRQS × (1 - weighted stress factors)</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Optimizer uses min(DRQS, StressDRQS)</w:t>
            </w:r>
          </w:p>
        </w:tc>
      </w:tr>
      <w:tr>
        <w:tc>
          <w:tcPr>
            <w:tcW w:type="dxa" w:w="1512"/>
            <w:shd w:fill="F0F0F0"/>
            <w:vAlign w:val="center"/>
          </w:tcPr>
          <w:p>
            <w:pPr>
              <w:jc w:val="left"/>
            </w:pPr>
            <w:r/>
            <w:r>
              <w:rPr>
                <w:rFonts w:ascii="Calibri" w:hAnsi="Calibri"/>
                <w:color w:val="2D2D2D"/>
                <w:sz w:val="18"/>
              </w:rPr>
              <w:t>10</w:t>
            </w:r>
          </w:p>
        </w:tc>
        <w:tc>
          <w:tcPr>
            <w:tcW w:type="dxa" w:w="1512"/>
            <w:shd w:fill="F0F0F0"/>
            <w:vAlign w:val="center"/>
          </w:tcPr>
          <w:p>
            <w:pPr>
              <w:jc w:val="left"/>
            </w:pPr>
            <w:r/>
            <w:r>
              <w:rPr>
                <w:rFonts w:ascii="Calibri" w:hAnsi="Calibri"/>
                <w:color w:val="2D2D2D"/>
                <w:sz w:val="18"/>
              </w:rPr>
              <w:t>CALM RR targets</w:t>
            </w:r>
          </w:p>
        </w:tc>
        <w:tc>
          <w:tcPr>
            <w:tcW w:type="dxa" w:w="1512"/>
            <w:shd w:fill="F0F0F0"/>
            <w:vAlign w:val="center"/>
          </w:tcPr>
          <w:p>
            <w:pPr>
              <w:jc w:val="left"/>
            </w:pPr>
            <w:r/>
            <w:r>
              <w:rPr>
                <w:rFonts w:ascii="Calibri" w:hAnsi="Calibri"/>
                <w:color w:val="2D2D2D"/>
                <w:sz w:val="18"/>
              </w:rPr>
              <w:t>NORMAL=1.15, ELEVATED=1.20, HIGH_STRESS=1.25, CRISIS=1.30</w:t>
            </w:r>
          </w:p>
        </w:tc>
        <w:tc>
          <w:tcPr>
            <w:tcW w:type="dxa" w:w="1512"/>
            <w:shd w:fill="F0F0F0"/>
            <w:vAlign w:val="center"/>
          </w:tcPr>
          <w:p>
            <w:pPr>
              <w:jc w:val="left"/>
            </w:pPr>
            <w:r/>
            <w:r>
              <w:rPr>
                <w:rFonts w:ascii="Calibri" w:hAnsi="Calibri"/>
                <w:color w:val="2D2D2D"/>
                <w:sz w:val="18"/>
              </w:rPr>
              <w:t>NORMAL=1.15, CAUTION=1.18, DEFENSIVE=1.20, STRESS=1.25, EMERGENCY=1.30, RECOVERY=1.20</w:t>
            </w:r>
          </w:p>
        </w:tc>
        <w:tc>
          <w:tcPr>
            <w:tcW w:type="dxa" w:w="1512"/>
            <w:shd w:fill="F0F0F0"/>
            <w:vAlign w:val="center"/>
          </w:tcPr>
          <w:p>
            <w:pPr>
              <w:jc w:val="left"/>
            </w:pPr>
            <w:r/>
            <w:r>
              <w:rPr>
                <w:rFonts w:ascii="Calibri" w:hAnsi="Calibri"/>
                <w:color w:val="2D2D2D"/>
                <w:sz w:val="18"/>
              </w:rPr>
              <w:t>C</w:t>
            </w:r>
          </w:p>
        </w:tc>
        <w:tc>
          <w:tcPr>
            <w:tcW w:type="dxa" w:w="1512"/>
            <w:shd w:fill="F0F0F0"/>
            <w:vAlign w:val="center"/>
          </w:tcPr>
          <w:p>
            <w:pPr>
              <w:jc w:val="left"/>
            </w:pPr>
            <w:r/>
            <w:r>
              <w:rPr>
                <w:rFonts w:ascii="Calibri" w:hAnsi="Calibri"/>
                <w:color w:val="2D2D2D"/>
                <w:sz w:val="18"/>
              </w:rPr>
              <w:t>6-state machine requires 6 RR targets</w:t>
            </w:r>
          </w:p>
        </w:tc>
      </w:tr>
    </w:tbl>
    <w:p/>
    <w:p>
      <w:pPr>
        <w:pBdr>
          <w:bottom w:val="single" w:sz="12" w:space="1" w:color="C59B1E"/>
        </w:pBdr>
      </w:pPr>
    </w:p>
    <w:p>
      <w:pPr>
        <w:pStyle w:val="Heading2"/>
      </w:pPr>
      <w:r>
        <w:t>V24.2 NEW SECTIONS — CANONICAL v24.2 ADDITIONS</w:t>
      </w:r>
    </w:p>
    <w:p>
      <w:pPr>
        <w:pStyle w:val="Heading3"/>
      </w:pPr>
      <w:r>
        <w:t>V24.2.1 — PARAMETER CLASSIFICATION SYSTEM (§1 of v24.2 Directive)</w:t>
      </w:r>
    </w:p>
    <w:p>
      <w:r>
        <w:t>Every monetary/risk parameter MUST be classified as exactly one of:</w:t>
      </w:r>
    </w:p>
    <w:p>
      <w:pPr>
        <w:pStyle w:val="ListBullet"/>
        <w:ind w:left="425"/>
      </w:pPr>
      <w:r>
        <w:rPr>
          <w:b/>
        </w:rPr>
        <w:t>CLASS A — CONSTITUTIONAL INVARIANT</w:t>
      </w:r>
      <w:r>
        <w:t>: Cannot be changed by ordinary operations or optimizer logic.</w:t>
      </w:r>
    </w:p>
    <w:p>
      <w:pPr>
        <w:pStyle w:val="ListBullet"/>
        <w:ind w:left="425"/>
      </w:pPr>
      <w:r>
        <w:rPr>
          <w:b/>
        </w:rPr>
        <w:t>CLASS B — STRATEGIC POLICY</w:t>
      </w:r>
      <w:r>
        <w:t>: Long-term target selected by governance.</w:t>
      </w:r>
    </w:p>
    <w:p>
      <w:pPr>
        <w:pStyle w:val="ListBullet"/>
        <w:ind w:left="425"/>
      </w:pPr>
      <w:r>
        <w:rPr>
          <w:b/>
        </w:rPr>
        <w:t>CLASS C — OPERATING CORRIDOR</w:t>
      </w:r>
      <w:r>
        <w:t>: Dynamic operating band.</w:t>
      </w:r>
    </w:p>
    <w:p>
      <w:pPr>
        <w:pStyle w:val="ListBullet"/>
        <w:ind w:left="425"/>
      </w:pPr>
      <w:r>
        <w:rPr>
          <w:b/>
        </w:rPr>
        <w:t>CLASS D — MODEL PARAMETER</w:t>
      </w:r>
      <w:r>
        <w:t>: Calibrated and version-controlled quantitative parameter.</w:t>
      </w:r>
    </w:p>
    <w:p>
      <w:r>
        <w:t xml:space="preserve">For every parameter, the implementation MUST display: </w:t>
      </w:r>
      <w:r>
        <w:rPr>
          <w:rFonts w:ascii="Consolas" w:hAnsi="Consolas"/>
          <w:color w:val="6B6B6B"/>
          <w:sz w:val="19"/>
        </w:rPr>
        <w:t>classification + value + version + authority + effective date</w:t>
      </w:r>
      <w:r>
        <w:t>.</w:t>
      </w:r>
    </w:p>
    <w:p>
      <w:r>
        <w:rPr>
          <w:b/>
        </w:rPr>
        <w:t>v24.2 Parameter Count</w:t>
      </w:r>
      <w:r>
        <w:t>: 37 total (14 Class A, 8 Class B, 5 Class C, 10 Class D).</w:t>
      </w:r>
    </w:p>
    <w:p>
      <w:pPr>
        <w:pStyle w:val="Heading3"/>
      </w:pPr>
      <w:r>
        <w:t>V24.2.2 — SIX-STATE RESERVE STATE MACHINE (§10-11 of v24.2 Directive)</w:t>
      </w:r>
    </w:p>
    <w:p>
      <w:r>
        <w:t xml:space="preserve">States: </w:t>
      </w:r>
      <w:r>
        <w:rPr>
          <w:rFonts w:ascii="Consolas" w:hAnsi="Consolas"/>
          <w:color w:val="6B6B6B"/>
          <w:sz w:val="19"/>
        </w:rPr>
        <w:t>NORMAL → CAUTION → DEFENSIVE → STRESS → EMERGENCY → RECOVERY</w:t>
      </w:r>
    </w:p>
    <w:p>
      <w:r>
        <w:t>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r>
        <w:t>State transitions are driven by a multi-dimensional stress score incorporating: RR, LCR, eigenvalue index, redemption pressure, oracle health, custody stress, Stress-RR, correlation break.</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A365F"/>
            <w:vAlign w:val="center"/>
          </w:tcPr>
          <w:p>
            <w:pPr>
              <w:jc w:val="left"/>
            </w:pPr>
            <w:r/>
            <w:r>
              <w:rPr>
                <w:rFonts w:ascii="Calibri" w:hAnsi="Calibri"/>
                <w:b/>
                <w:color w:val="FFFFFF"/>
                <w:sz w:val="18"/>
              </w:rPr>
              <w:t>State</w:t>
            </w:r>
          </w:p>
        </w:tc>
        <w:tc>
          <w:tcPr>
            <w:tcW w:type="dxa" w:w="1134"/>
            <w:shd w:fill="1A365F"/>
            <w:vAlign w:val="center"/>
          </w:tcPr>
          <w:p>
            <w:pPr>
              <w:jc w:val="left"/>
            </w:pPr>
            <w:r/>
            <w:r>
              <w:rPr>
                <w:rFonts w:ascii="Calibri" w:hAnsi="Calibri"/>
                <w:b/>
                <w:color w:val="FFFFFF"/>
                <w:sz w:val="18"/>
              </w:rPr>
              <w:t>Bullion Range</w:t>
            </w:r>
          </w:p>
        </w:tc>
        <w:tc>
          <w:tcPr>
            <w:tcW w:type="dxa" w:w="1134"/>
            <w:shd w:fill="1A365F"/>
            <w:vAlign w:val="center"/>
          </w:tcPr>
          <w:p>
            <w:pPr>
              <w:jc w:val="left"/>
            </w:pPr>
            <w:r/>
            <w:r>
              <w:rPr>
                <w:rFonts w:ascii="Calibri" w:hAnsi="Calibri"/>
                <w:b/>
                <w:color w:val="FFFFFF"/>
                <w:sz w:val="18"/>
              </w:rPr>
              <w:t>Gold Target</w:t>
            </w:r>
          </w:p>
        </w:tc>
        <w:tc>
          <w:tcPr>
            <w:tcW w:type="dxa" w:w="1134"/>
            <w:shd w:fill="1A365F"/>
            <w:vAlign w:val="center"/>
          </w:tcPr>
          <w:p>
            <w:pPr>
              <w:jc w:val="left"/>
            </w:pPr>
            <w:r/>
            <w:r>
              <w:rPr>
                <w:rFonts w:ascii="Calibri" w:hAnsi="Calibri"/>
                <w:b/>
                <w:color w:val="FFFFFF"/>
                <w:sz w:val="18"/>
              </w:rPr>
              <w:t>Silver Target</w:t>
            </w:r>
          </w:p>
        </w:tc>
        <w:tc>
          <w:tcPr>
            <w:tcW w:type="dxa" w:w="1134"/>
            <w:shd w:fill="1A365F"/>
            <w:vAlign w:val="center"/>
          </w:tcPr>
          <w:p>
            <w:pPr>
              <w:jc w:val="left"/>
            </w:pPr>
            <w:r/>
            <w:r>
              <w:rPr>
                <w:rFonts w:ascii="Calibri" w:hAnsi="Calibri"/>
                <w:b/>
                <w:color w:val="FFFFFF"/>
                <w:sz w:val="18"/>
              </w:rPr>
              <w:t>Digital Ceiling</w:t>
            </w:r>
          </w:p>
        </w:tc>
        <w:tc>
          <w:tcPr>
            <w:tcW w:type="dxa" w:w="1134"/>
            <w:shd w:fill="1A365F"/>
            <w:vAlign w:val="center"/>
          </w:tcPr>
          <w:p>
            <w:pPr>
              <w:jc w:val="left"/>
            </w:pPr>
            <w:r/>
            <w:r>
              <w:rPr>
                <w:rFonts w:ascii="Calibri" w:hAnsi="Calibri"/>
                <w:b/>
                <w:color w:val="FFFFFF"/>
                <w:sz w:val="18"/>
              </w:rPr>
              <w:t>Cash Min</w:t>
            </w:r>
          </w:p>
        </w:tc>
        <w:tc>
          <w:tcPr>
            <w:tcW w:type="dxa" w:w="1134"/>
            <w:shd w:fill="1A365F"/>
            <w:vAlign w:val="center"/>
          </w:tcPr>
          <w:p>
            <w:pPr>
              <w:jc w:val="left"/>
            </w:pPr>
            <w:r/>
            <w:r>
              <w:rPr>
                <w:rFonts w:ascii="Calibri" w:hAnsi="Calibri"/>
                <w:b/>
                <w:color w:val="FFFFFF"/>
                <w:sz w:val="18"/>
              </w:rPr>
              <w:t>Minting</w:t>
            </w:r>
          </w:p>
        </w:tc>
        <w:tc>
          <w:tcPr>
            <w:tcW w:type="dxa" w:w="1134"/>
            <w:shd w:fill="1A365F"/>
            <w:vAlign w:val="center"/>
          </w:tcPr>
          <w:p>
            <w:pPr>
              <w:jc w:val="left"/>
            </w:pPr>
            <w:r/>
            <w:r>
              <w:rPr>
                <w:rFonts w:ascii="Calibri" w:hAnsi="Calibri"/>
                <w:b/>
                <w:color w:val="FFFFFF"/>
                <w:sz w:val="18"/>
              </w:rPr>
              <w:t>CALM Target</w:t>
            </w:r>
          </w:p>
        </w:tc>
      </w:tr>
      <w:tr>
        <w:tc>
          <w:tcPr>
            <w:tcW w:type="dxa" w:w="1134"/>
            <w:vAlign w:val="center"/>
          </w:tcPr>
          <w:p>
            <w:pPr>
              <w:jc w:val="left"/>
            </w:pPr>
            <w:r/>
            <w:r>
              <w:rPr>
                <w:rFonts w:ascii="Calibri" w:hAnsi="Calibri"/>
                <w:color w:val="2D2D2D"/>
                <w:sz w:val="18"/>
              </w:rPr>
              <w:t>NORMAL</w:t>
            </w:r>
          </w:p>
        </w:tc>
        <w:tc>
          <w:tcPr>
            <w:tcW w:type="dxa" w:w="1134"/>
            <w:vAlign w:val="center"/>
          </w:tcPr>
          <w:p>
            <w:pPr>
              <w:jc w:val="left"/>
            </w:pPr>
            <w:r/>
            <w:r>
              <w:rPr>
                <w:rFonts w:ascii="Calibri" w:hAnsi="Calibri"/>
                <w:color w:val="2D2D2D"/>
                <w:sz w:val="18"/>
              </w:rPr>
              <w:t>16-20%</w:t>
            </w:r>
          </w:p>
        </w:tc>
        <w:tc>
          <w:tcPr>
            <w:tcW w:type="dxa" w:w="1134"/>
            <w:vAlign w:val="center"/>
          </w:tcPr>
          <w:p>
            <w:pPr>
              <w:jc w:val="left"/>
            </w:pPr>
            <w:r/>
            <w:r>
              <w:rPr>
                <w:rFonts w:ascii="Calibri" w:hAnsi="Calibri"/>
                <w:color w:val="2D2D2D"/>
                <w:sz w:val="18"/>
              </w:rPr>
              <w:t>13-17%</w:t>
            </w:r>
          </w:p>
        </w:tc>
        <w:tc>
          <w:tcPr>
            <w:tcW w:type="dxa" w:w="1134"/>
            <w:vAlign w:val="center"/>
          </w:tcPr>
          <w:p>
            <w:pPr>
              <w:jc w:val="left"/>
            </w:pPr>
            <w:r/>
            <w:r>
              <w:rPr>
                <w:rFonts w:ascii="Calibri" w:hAnsi="Calibri"/>
                <w:color w:val="2D2D2D"/>
                <w:sz w:val="18"/>
              </w:rPr>
              <w:t>3-4%</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55%</w:t>
            </w:r>
          </w:p>
        </w:tc>
        <w:tc>
          <w:tcPr>
            <w:tcW w:type="dxa" w:w="1134"/>
            <w:vAlign w:val="center"/>
          </w:tcPr>
          <w:p>
            <w:pPr>
              <w:jc w:val="left"/>
            </w:pPr>
            <w:r/>
            <w:r>
              <w:rPr>
                <w:rFonts w:ascii="Calibri" w:hAnsi="Calibri"/>
                <w:color w:val="2D2D2D"/>
                <w:sz w:val="18"/>
              </w:rPr>
              <w:t>ALLOWED</w:t>
            </w:r>
          </w:p>
        </w:tc>
        <w:tc>
          <w:tcPr>
            <w:tcW w:type="dxa" w:w="1134"/>
            <w:vAlign w:val="center"/>
          </w:tcPr>
          <w:p>
            <w:pPr>
              <w:jc w:val="left"/>
            </w:pPr>
            <w:r/>
            <w:r>
              <w:rPr>
                <w:rFonts w:ascii="Calibri" w:hAnsi="Calibri"/>
                <w:color w:val="2D2D2D"/>
                <w:sz w:val="18"/>
              </w:rPr>
              <w:t>1.15</w:t>
            </w:r>
          </w:p>
        </w:tc>
      </w:tr>
      <w:tr>
        <w:tc>
          <w:tcPr>
            <w:tcW w:type="dxa" w:w="1134"/>
            <w:shd w:fill="F0F0F0"/>
            <w:vAlign w:val="center"/>
          </w:tcPr>
          <w:p>
            <w:pPr>
              <w:jc w:val="left"/>
            </w:pPr>
            <w:r/>
            <w:r>
              <w:rPr>
                <w:rFonts w:ascii="Calibri" w:hAnsi="Calibri"/>
                <w:color w:val="2D2D2D"/>
                <w:sz w:val="18"/>
              </w:rPr>
              <w:t>CAUTION</w:t>
            </w:r>
          </w:p>
        </w:tc>
        <w:tc>
          <w:tcPr>
            <w:tcW w:type="dxa" w:w="1134"/>
            <w:shd w:fill="F0F0F0"/>
            <w:vAlign w:val="center"/>
          </w:tcPr>
          <w:p>
            <w:pPr>
              <w:jc w:val="left"/>
            </w:pPr>
            <w:r/>
            <w:r>
              <w:rPr>
                <w:rFonts w:ascii="Calibri" w:hAnsi="Calibri"/>
                <w:color w:val="2D2D2D"/>
                <w:sz w:val="18"/>
              </w:rPr>
              <w:t>17-21%</w:t>
            </w:r>
          </w:p>
        </w:tc>
        <w:tc>
          <w:tcPr>
            <w:tcW w:type="dxa" w:w="1134"/>
            <w:shd w:fill="F0F0F0"/>
            <w:vAlign w:val="center"/>
          </w:tcPr>
          <w:p>
            <w:pPr>
              <w:jc w:val="left"/>
            </w:pPr>
            <w:r/>
            <w:r>
              <w:rPr>
                <w:rFonts w:ascii="Calibri" w:hAnsi="Calibri"/>
                <w:color w:val="2D2D2D"/>
                <w:sz w:val="18"/>
              </w:rPr>
              <w:t>14-18%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3.0%</w:t>
            </w:r>
          </w:p>
        </w:tc>
        <w:tc>
          <w:tcPr>
            <w:tcW w:type="dxa" w:w="1134"/>
            <w:shd w:fill="F0F0F0"/>
            <w:vAlign w:val="center"/>
          </w:tcPr>
          <w:p>
            <w:pPr>
              <w:jc w:val="left"/>
            </w:pPr>
            <w:r/>
            <w:r>
              <w:rPr>
                <w:rFonts w:ascii="Calibri" w:hAnsi="Calibri"/>
                <w:color w:val="2D2D2D"/>
                <w:sz w:val="18"/>
              </w:rPr>
              <w:t>60%</w:t>
            </w:r>
          </w:p>
        </w:tc>
        <w:tc>
          <w:tcPr>
            <w:tcW w:type="dxa" w:w="1134"/>
            <w:shd w:fill="F0F0F0"/>
            <w:vAlign w:val="center"/>
          </w:tcPr>
          <w:p>
            <w:pPr>
              <w:jc w:val="left"/>
            </w:pPr>
            <w:r/>
            <w:r>
              <w:rPr>
                <w:rFonts w:ascii="Calibri" w:hAnsi="Calibri"/>
                <w:color w:val="2D2D2D"/>
                <w:sz w:val="18"/>
              </w:rPr>
              <w:t>ALLOWED (70%)</w:t>
            </w:r>
          </w:p>
        </w:tc>
        <w:tc>
          <w:tcPr>
            <w:tcW w:type="dxa" w:w="1134"/>
            <w:shd w:fill="F0F0F0"/>
            <w:vAlign w:val="center"/>
          </w:tcPr>
          <w:p>
            <w:pPr>
              <w:jc w:val="left"/>
            </w:pPr>
            <w:r/>
            <w:r>
              <w:rPr>
                <w:rFonts w:ascii="Calibri" w:hAnsi="Calibri"/>
                <w:color w:val="2D2D2D"/>
                <w:sz w:val="18"/>
              </w:rPr>
              <w:t>1.18</w:t>
            </w:r>
          </w:p>
        </w:tc>
      </w:tr>
      <w:tr>
        <w:tc>
          <w:tcPr>
            <w:tcW w:type="dxa" w:w="1134"/>
            <w:vAlign w:val="center"/>
          </w:tcPr>
          <w:p>
            <w:pPr>
              <w:jc w:val="left"/>
            </w:pPr>
            <w:r/>
            <w:r>
              <w:rPr>
                <w:rFonts w:ascii="Calibri" w:hAnsi="Calibri"/>
                <w:color w:val="2D2D2D"/>
                <w:sz w:val="18"/>
              </w:rPr>
              <w:t>DEFENSIVE</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15-19%</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2.5%</w:t>
            </w:r>
          </w:p>
        </w:tc>
        <w:tc>
          <w:tcPr>
            <w:tcW w:type="dxa" w:w="1134"/>
            <w:vAlign w:val="center"/>
          </w:tcPr>
          <w:p>
            <w:pPr>
              <w:jc w:val="left"/>
            </w:pPr>
            <w:r/>
            <w:r>
              <w:rPr>
                <w:rFonts w:ascii="Calibri" w:hAnsi="Calibri"/>
                <w:color w:val="2D2D2D"/>
                <w:sz w:val="18"/>
              </w:rPr>
              <w:t>65%</w:t>
            </w:r>
          </w:p>
        </w:tc>
        <w:tc>
          <w:tcPr>
            <w:tcW w:type="dxa" w:w="1134"/>
            <w:vAlign w:val="center"/>
          </w:tcPr>
          <w:p>
            <w:pPr>
              <w:jc w:val="left"/>
            </w:pPr>
            <w:r/>
            <w:r>
              <w:rPr>
                <w:rFonts w:ascii="Calibri" w:hAnsi="Calibri"/>
                <w:color w:val="2D2D2D"/>
                <w:sz w:val="18"/>
              </w:rPr>
              <w:t>RESTRICTED (40%)</w:t>
            </w:r>
          </w:p>
        </w:tc>
        <w:tc>
          <w:tcPr>
            <w:tcW w:type="dxa" w:w="1134"/>
            <w:vAlign w:val="center"/>
          </w:tcPr>
          <w:p>
            <w:pPr>
              <w:jc w:val="left"/>
            </w:pPr>
            <w:r/>
            <w:r>
              <w:rPr>
                <w:rFonts w:ascii="Calibri" w:hAnsi="Calibri"/>
                <w:color w:val="2D2D2D"/>
                <w:sz w:val="18"/>
              </w:rPr>
              <w:t>1.20</w:t>
            </w:r>
          </w:p>
        </w:tc>
      </w:tr>
      <w:tr>
        <w:tc>
          <w:tcPr>
            <w:tcW w:type="dxa" w:w="1134"/>
            <w:shd w:fill="F0F0F0"/>
            <w:vAlign w:val="center"/>
          </w:tcPr>
          <w:p>
            <w:pPr>
              <w:jc w:val="left"/>
            </w:pPr>
            <w:r/>
            <w:r>
              <w:rPr>
                <w:rFonts w:ascii="Calibri" w:hAnsi="Calibri"/>
                <w:color w:val="2D2D2D"/>
                <w:sz w:val="18"/>
              </w:rPr>
              <w:t>STRESS</w:t>
            </w:r>
          </w:p>
        </w:tc>
        <w:tc>
          <w:tcPr>
            <w:tcW w:type="dxa" w:w="1134"/>
            <w:shd w:fill="F0F0F0"/>
            <w:vAlign w:val="center"/>
          </w:tcPr>
          <w:p>
            <w:pPr>
              <w:jc w:val="left"/>
            </w:pPr>
            <w:r/>
            <w:r>
              <w:rPr>
                <w:rFonts w:ascii="Calibri" w:hAnsi="Calibri"/>
                <w:color w:val="2D2D2D"/>
                <w:sz w:val="18"/>
              </w:rPr>
              <w:t>20-24%</w:t>
            </w:r>
          </w:p>
        </w:tc>
        <w:tc>
          <w:tcPr>
            <w:tcW w:type="dxa" w:w="1134"/>
            <w:shd w:fill="F0F0F0"/>
            <w:vAlign w:val="center"/>
          </w:tcPr>
          <w:p>
            <w:pPr>
              <w:jc w:val="left"/>
            </w:pPr>
            <w:r/>
            <w:r>
              <w:rPr>
                <w:rFonts w:ascii="Calibri" w:hAnsi="Calibri"/>
                <w:color w:val="2D2D2D"/>
                <w:sz w:val="18"/>
              </w:rPr>
              <w:t>16-20%</w:t>
            </w:r>
          </w:p>
        </w:tc>
        <w:tc>
          <w:tcPr>
            <w:tcW w:type="dxa" w:w="1134"/>
            <w:shd w:fill="F0F0F0"/>
            <w:vAlign w:val="center"/>
          </w:tcPr>
          <w:p>
            <w:pPr>
              <w:jc w:val="left"/>
            </w:pPr>
            <w:r/>
            <w:r>
              <w:rPr>
                <w:rFonts w:ascii="Calibri" w:hAnsi="Calibri"/>
                <w:color w:val="2D2D2D"/>
                <w:sz w:val="18"/>
              </w:rPr>
              <w:t>3-5%</w:t>
            </w:r>
          </w:p>
        </w:tc>
        <w:tc>
          <w:tcPr>
            <w:tcW w:type="dxa" w:w="1134"/>
            <w:shd w:fill="F0F0F0"/>
            <w:vAlign w:val="center"/>
          </w:tcPr>
          <w:p>
            <w:pPr>
              <w:jc w:val="left"/>
            </w:pPr>
            <w:r/>
            <w:r>
              <w:rPr>
                <w:rFonts w:ascii="Calibri" w:hAnsi="Calibri"/>
                <w:color w:val="2D2D2D"/>
                <w:sz w:val="18"/>
              </w:rPr>
              <w:t>2.0%</w:t>
            </w:r>
          </w:p>
        </w:tc>
        <w:tc>
          <w:tcPr>
            <w:tcW w:type="dxa" w:w="1134"/>
            <w:shd w:fill="F0F0F0"/>
            <w:vAlign w:val="center"/>
          </w:tcPr>
          <w:p>
            <w:pPr>
              <w:jc w:val="left"/>
            </w:pPr>
            <w:r/>
            <w:r>
              <w:rPr>
                <w:rFonts w:ascii="Calibri" w:hAnsi="Calibri"/>
                <w:color w:val="2D2D2D"/>
                <w:sz w:val="18"/>
              </w:rPr>
              <w:t>72%</w:t>
            </w:r>
          </w:p>
        </w:tc>
        <w:tc>
          <w:tcPr>
            <w:tcW w:type="dxa" w:w="1134"/>
            <w:shd w:fill="F0F0F0"/>
            <w:vAlign w:val="center"/>
          </w:tcPr>
          <w:p>
            <w:pPr>
              <w:jc w:val="left"/>
            </w:pPr>
            <w:r/>
            <w:r>
              <w:rPr>
                <w:rFonts w:ascii="Calibri" w:hAnsi="Calibri"/>
                <w:color w:val="2D2D2D"/>
                <w:sz w:val="18"/>
              </w:rPr>
              <w:t>RESTRICTED (15%)</w:t>
            </w:r>
          </w:p>
        </w:tc>
        <w:tc>
          <w:tcPr>
            <w:tcW w:type="dxa" w:w="1134"/>
            <w:shd w:fill="F0F0F0"/>
            <w:vAlign w:val="center"/>
          </w:tcPr>
          <w:p>
            <w:pPr>
              <w:jc w:val="left"/>
            </w:pPr>
            <w:r/>
            <w:r>
              <w:rPr>
                <w:rFonts w:ascii="Calibri" w:hAnsi="Calibri"/>
                <w:color w:val="2D2D2D"/>
                <w:sz w:val="18"/>
              </w:rPr>
              <w:t>1.25</w:t>
            </w:r>
          </w:p>
        </w:tc>
      </w:tr>
      <w:tr>
        <w:tc>
          <w:tcPr>
            <w:tcW w:type="dxa" w:w="1134"/>
            <w:vAlign w:val="center"/>
          </w:tcPr>
          <w:p>
            <w:pPr>
              <w:jc w:val="left"/>
            </w:pPr>
            <w:r/>
            <w:r>
              <w:rPr>
                <w:rFonts w:ascii="Calibri" w:hAnsi="Calibri"/>
                <w:color w:val="2D2D2D"/>
                <w:sz w:val="18"/>
              </w:rPr>
              <w:t>EMERGENCY</w:t>
            </w:r>
          </w:p>
        </w:tc>
        <w:tc>
          <w:tcPr>
            <w:tcW w:type="dxa" w:w="1134"/>
            <w:vAlign w:val="center"/>
          </w:tcPr>
          <w:p>
            <w:pPr>
              <w:jc w:val="left"/>
            </w:pPr>
            <w:r/>
            <w:r>
              <w:rPr>
                <w:rFonts w:ascii="Calibri" w:hAnsi="Calibri"/>
                <w:color w:val="2D2D2D"/>
                <w:sz w:val="18"/>
              </w:rPr>
              <w:t>22-25%</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0%</w:t>
            </w:r>
          </w:p>
        </w:tc>
        <w:tc>
          <w:tcPr>
            <w:tcW w:type="dxa" w:w="1134"/>
            <w:vAlign w:val="center"/>
          </w:tcPr>
          <w:p>
            <w:pPr>
              <w:jc w:val="left"/>
            </w:pPr>
            <w:r/>
            <w:r>
              <w:rPr>
                <w:rFonts w:ascii="Calibri" w:hAnsi="Calibri"/>
                <w:color w:val="2D2D2D"/>
                <w:sz w:val="18"/>
              </w:rPr>
              <w:t>78%</w:t>
            </w:r>
          </w:p>
        </w:tc>
        <w:tc>
          <w:tcPr>
            <w:tcW w:type="dxa" w:w="1134"/>
            <w:vAlign w:val="center"/>
          </w:tcPr>
          <w:p>
            <w:pPr>
              <w:jc w:val="left"/>
            </w:pPr>
            <w:r/>
            <w:r>
              <w:rPr>
                <w:rFonts w:ascii="Calibri" w:hAnsi="Calibri"/>
                <w:color w:val="2D2D2D"/>
                <w:sz w:val="18"/>
              </w:rPr>
              <w:t>BLOCKED</w:t>
            </w:r>
          </w:p>
        </w:tc>
        <w:tc>
          <w:tcPr>
            <w:tcW w:type="dxa" w:w="1134"/>
            <w:vAlign w:val="center"/>
          </w:tcPr>
          <w:p>
            <w:pPr>
              <w:jc w:val="left"/>
            </w:pPr>
            <w:r/>
            <w:r>
              <w:rPr>
                <w:rFonts w:ascii="Calibri" w:hAnsi="Calibri"/>
                <w:color w:val="2D2D2D"/>
                <w:sz w:val="18"/>
              </w:rPr>
              <w:t>1.30</w:t>
            </w:r>
          </w:p>
        </w:tc>
      </w:tr>
      <w:tr>
        <w:tc>
          <w:tcPr>
            <w:tcW w:type="dxa" w:w="1134"/>
            <w:shd w:fill="F0F0F0"/>
            <w:vAlign w:val="center"/>
          </w:tcPr>
          <w:p>
            <w:pPr>
              <w:jc w:val="left"/>
            </w:pPr>
            <w:r/>
            <w:r>
              <w:rPr>
                <w:rFonts w:ascii="Calibri" w:hAnsi="Calibri"/>
                <w:color w:val="2D2D2D"/>
                <w:sz w:val="18"/>
              </w:rPr>
              <w:t>RECOVERY</w:t>
            </w:r>
          </w:p>
        </w:tc>
        <w:tc>
          <w:tcPr>
            <w:tcW w:type="dxa" w:w="1134"/>
            <w:shd w:fill="F0F0F0"/>
            <w:vAlign w:val="center"/>
          </w:tcPr>
          <w:p>
            <w:pPr>
              <w:jc w:val="left"/>
            </w:pPr>
            <w:r/>
            <w:r>
              <w:rPr>
                <w:rFonts w:ascii="Calibri" w:hAnsi="Calibri"/>
                <w:color w:val="2D2D2D"/>
                <w:sz w:val="18"/>
              </w:rPr>
              <w:t>19-22%</w:t>
            </w:r>
          </w:p>
        </w:tc>
        <w:tc>
          <w:tcPr>
            <w:tcW w:type="dxa" w:w="1134"/>
            <w:shd w:fill="F0F0F0"/>
            <w:vAlign w:val="center"/>
          </w:tcPr>
          <w:p>
            <w:pPr>
              <w:jc w:val="left"/>
            </w:pPr>
            <w:r/>
            <w:r>
              <w:rPr>
                <w:rFonts w:ascii="Calibri" w:hAnsi="Calibri"/>
                <w:color w:val="2D2D2D"/>
                <w:sz w:val="18"/>
              </w:rPr>
              <w:t>15-18%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2.5%</w:t>
            </w:r>
          </w:p>
        </w:tc>
        <w:tc>
          <w:tcPr>
            <w:tcW w:type="dxa" w:w="1134"/>
            <w:shd w:fill="F0F0F0"/>
            <w:vAlign w:val="center"/>
          </w:tcPr>
          <w:p>
            <w:pPr>
              <w:jc w:val="left"/>
            </w:pPr>
            <w:r/>
            <w:r>
              <w:rPr>
                <w:rFonts w:ascii="Calibri" w:hAnsi="Calibri"/>
                <w:color w:val="2D2D2D"/>
                <w:sz w:val="18"/>
              </w:rPr>
              <w:t>68%</w:t>
            </w:r>
          </w:p>
        </w:tc>
        <w:tc>
          <w:tcPr>
            <w:tcW w:type="dxa" w:w="1134"/>
            <w:shd w:fill="F0F0F0"/>
            <w:vAlign w:val="center"/>
          </w:tcPr>
          <w:p>
            <w:pPr>
              <w:jc w:val="left"/>
            </w:pPr>
            <w:r/>
            <w:r>
              <w:rPr>
                <w:rFonts w:ascii="Calibri" w:hAnsi="Calibri"/>
                <w:color w:val="2D2D2D"/>
                <w:sz w:val="18"/>
              </w:rPr>
              <w:t>RESTRICTED (30%)</w:t>
            </w:r>
          </w:p>
        </w:tc>
        <w:tc>
          <w:tcPr>
            <w:tcW w:type="dxa" w:w="1134"/>
            <w:shd w:fill="F0F0F0"/>
            <w:vAlign w:val="center"/>
          </w:tcPr>
          <w:p>
            <w:pPr>
              <w:jc w:val="left"/>
            </w:pPr>
            <w:r/>
            <w:r>
              <w:rPr>
                <w:rFonts w:ascii="Calibri" w:hAnsi="Calibri"/>
                <w:color w:val="2D2D2D"/>
                <w:sz w:val="18"/>
              </w:rPr>
              <w:t>1.20</w:t>
            </w:r>
          </w:p>
        </w:tc>
      </w:tr>
    </w:tbl>
    <w:p/>
    <w:p>
      <w:pPr>
        <w:pStyle w:val="Heading3"/>
      </w:pPr>
      <w:r>
        <w:t>V24.2.3 — NEW STRUCTURAL WEIGHT FORMULA (§16 of v24.2 Directive)</w:t>
      </w:r>
    </w:p>
    <w:p>
      <w:pPr>
        <w:ind w:left="283"/>
        <w:shd w:fill="F5F5F5"/>
      </w:pPr>
      <w:r>
        <w:rPr>
          <w:rFonts w:ascii="Consolas" w:hAnsi="Consolas"/>
          <w:color w:val="6B6B6B"/>
          <w:sz w:val="18"/>
        </w:rPr>
        <w:t>Base_i = 0.35 × COFER_i + 0.25 × FXTurnover_i + 0.20 × TradeSettlement_i + 0.20 × InstitutionalQuality_i</w:t>
      </w:r>
    </w:p>
    <w:p>
      <w:r>
        <w:t>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r>
        <w:rPr>
          <w:b/>
        </w:rPr>
        <w:t>IMPORTANT</w:t>
      </w:r>
      <w:r>
        <w:t>: InstitutionalQuality is included in StructuralBase — MUST NOT be multiplied again in the RawWeight pipeline. Double-counting quality is prohibited.</w:t>
      </w:r>
    </w:p>
    <w:p>
      <w:pPr>
        <w:pStyle w:val="Heading3"/>
      </w:pPr>
      <w:r>
        <w:t>V24.2.4 — EFFECTIVE USD EXPOSURE (§20 of v24.2 Directive)</w:t>
      </w:r>
    </w:p>
    <w:p>
      <w:pPr>
        <w:ind w:left="283"/>
        <w:shd w:fill="F5F5F5"/>
      </w:pPr>
      <w:r>
        <w:rPr>
          <w:rFonts w:ascii="Consolas" w:hAnsi="Consolas"/>
          <w:color w:val="6B6B6B"/>
          <w:sz w:val="18"/>
        </w:rPr>
        <w:t>EffectiveUSDExposure = Direct USD + USD stablecoins + USD tokenized + Pegged AED (100%) + Pegged SAR (100%)</w:t>
      </w:r>
    </w:p>
    <w:p>
      <w:pPr>
        <w:pStyle w:val="ListBullet"/>
        <w:ind w:left="425"/>
      </w:pPr>
      <w:r>
        <w:t>Strategic target: ≤ 30%</w:t>
      </w:r>
    </w:p>
    <w:p>
      <w:pPr>
        <w:pStyle w:val="ListBullet"/>
        <w:ind w:left="425"/>
      </w:pPr>
      <w:r>
        <w:t>Absolute constitutional ceiling: ≤ 35%</w:t>
      </w:r>
    </w:p>
    <w:p>
      <w:r>
        <w:t>AED and SAR are pegged to USD (AED at 3.6725, SAR at 3.75) — they are 100% USD-equivalent exposure. The old metric (direct USD only) hid ~6% of USD-linked risk.</w:t>
      </w:r>
    </w:p>
    <w:p>
      <w:pPr>
        <w:pStyle w:val="Heading3"/>
      </w:pPr>
      <w:r>
        <w:t>V24.2.5 — STRESSDRQS (§26 of v24.2 Directive)</w:t>
      </w:r>
    </w:p>
    <w:p>
      <w:pPr>
        <w:ind w:left="283"/>
        <w:shd w:fill="F5F5F5"/>
      </w:pPr>
      <w:r>
        <w:rPr>
          <w:rFonts w:ascii="Consolas" w:hAnsi="Consolas"/>
          <w:color w:val="6B6B6B"/>
          <w:sz w:val="18"/>
        </w:rPr>
        <w:t>StressDRQS_i = DRQS_i × (1 - weighted stress factors)</w:t>
        <w:br/>
        <w:br/>
        <w:t>Stress factors (7 dimensions):</w:t>
        <w:br/>
        <w:t xml:space="preserve">  0.20 × DepegShock + 0.20 × RedemptionStress + 0.15 × LiquidityStress +</w:t>
        <w:br/>
        <w:t xml:space="preserve">  0.15 × CounterpartyStress + 0.10 × CustodyStress + 0.10 × JurisdictionStress +</w:t>
        <w:br/>
        <w:t xml:space="preserve">  0.10 × SettlementDelay</w:t>
      </w:r>
    </w:p>
    <w:p>
      <w:r>
        <w:t xml:space="preserve">The optimizer MUST use </w:t>
      </w:r>
      <w:r>
        <w:rPr>
          <w:rFonts w:ascii="Consolas" w:hAnsi="Consolas"/>
          <w:color w:val="6B6B6B"/>
          <w:sz w:val="19"/>
        </w:rPr>
        <w:t>min(DRQS, StressDRQS)</w:t>
      </w:r>
      <w:r>
        <w:t xml:space="preserve"> — NOT headline DRQS only.</w:t>
      </w:r>
    </w:p>
    <w:p>
      <w:pPr>
        <w:pStyle w:val="Heading3"/>
      </w:pPr>
      <w:r>
        <w:t>V24.2.6 — 4-TIER HIERARCHICAL OPTIMIZER (§44 of v24.2 Directive)</w:t>
      </w:r>
    </w:p>
    <w:p>
      <w:pPr>
        <w:ind w:left="283"/>
        <w:shd w:fill="F5F5F5"/>
      </w:pPr>
      <w:r>
        <w:rPr>
          <w:rFonts w:ascii="Consolas" w:hAnsi="Consolas"/>
          <w:color w:val="6B6B6B"/>
          <w:sz w:val="18"/>
        </w:rPr>
        <w:t>Tier 1 — HARD CONSTRAINTS (must ALL pass before optimization):</w:t>
        <w:br/>
        <w:t xml:space="preserve">  RR ≥ 100%, StressRR ≥ 100%, LCR ≥ 1.0, legal eligibility, USD ≤ 35%,</w:t>
        <w:br/>
        <w:t xml:space="preserve">  EffectiveUSDExposure ≤ 35%, per-currency ≤ 60%, bullion ∈ [15%, 25%],</w:t>
        <w:br/>
        <w:t xml:space="preserve">  digital ≤ 5%, per-issuer ≤ 2%, per-custodian ≤ 15%, per-jurisdiction ≤ 30%</w:t>
        <w:br/>
        <w:br/>
        <w:t>Tier 2 — RISK OBJECTIVES (minimize):</w:t>
        <w:br/>
        <w:t xml:space="preserve">  λ₁·CVaR + λ₂·StressLoss + λ₃·FXRisk + λ₄·ConcentrationRisk +</w:t>
        <w:br/>
        <w:t xml:space="preserve">  λ₅·LiquidityRisk + λ₆·CounterpartyRisk + λ₇·GeoRisk</w:t>
        <w:br/>
        <w:br/>
        <w:t>Tier 3 — ECONOMIC COSTS (minimize):</w:t>
        <w:br/>
        <w:t xml:space="preserve">  ExecutionCost + TurnoverCost + HoldingCost + LifecycleCost</w:t>
        <w:br/>
        <w:br/>
        <w:t>Tier 4 — STABILITY PREFERENCE (maximize):</w:t>
        <w:br/>
        <w:t xml:space="preserve">  Higher Stress-RR, Higher LCR, Lower turnover, Lower concentration, Lower model dependency</w:t>
      </w:r>
    </w:p>
    <w:p>
      <w:r>
        <w:rPr>
          <w:b/>
        </w:rPr>
        <w:t>NO TRADE option</w:t>
      </w:r>
      <w:r>
        <w:t>: The optimizer MAY choose to do nothing when NetRebalanceBenefit ≤ DecisionThreshold.</w:t>
      </w:r>
    </w:p>
    <w:p>
      <w:pPr>
        <w:pStyle w:val="Heading3"/>
      </w:pPr>
      <w:r>
        <w:t>V24.2.7 — 15-COMPONENT TRADE COST MODEL + LIFECYCLE COST (§39-41 of v24.2 Directive)</w:t>
      </w:r>
    </w:p>
    <w:p>
      <w:pPr>
        <w:ind w:left="283"/>
        <w:shd w:fill="F5F5F5"/>
      </w:pPr>
      <w:r>
        <w:rPr>
          <w:rFonts w:ascii="Consolas" w:hAnsi="Consolas"/>
          <w:color w:val="6B6B6B"/>
          <w:sz w:val="18"/>
        </w:rPr>
        <w:t>TotalTradeCost = BrokerFee + ExchangeFee + Spread + Slippage + MarketImpact +</w:t>
        <w:br/>
        <w:t xml:space="preserve">  FXConversionCost + CustodyCost + TransferCost + NetworkGasCost +</w:t>
        <w:br/>
        <w:t xml:space="preserve">  SettlementCost + StorageCost + InsuranceCost + TaxDutyCost +</w:t>
        <w:br/>
        <w:t xml:space="preserve">  OpportunityCost + OtherApplicableCost</w:t>
        <w:br/>
        <w:br/>
        <w:t>LifecycleCost = AcquisitionCost + HoldingCost + LiquidationCost + OpportunityCost</w:t>
      </w:r>
    </w:p>
    <w:p>
      <w:r>
        <w:t>Stress-dependent cost regimes: Normal (1×), Stress (2×), Emergency (3×).</w:t>
      </w:r>
    </w:p>
    <w:p>
      <w:pPr>
        <w:pStyle w:val="Heading3"/>
      </w:pPr>
      <w:r>
        <w:t>V24.2.8 — MODEL VALIDITY GATE (§46 of v24.2 Directive)</w:t>
      </w:r>
    </w:p>
    <w:p>
      <w:pPr>
        <w:ind w:left="283"/>
        <w:shd w:fill="F5F5F5"/>
      </w:pPr>
      <w:r>
        <w:rPr>
          <w:rFonts w:ascii="Consolas" w:hAnsi="Consolas"/>
          <w:color w:val="6B6B6B"/>
          <w:sz w:val="18"/>
        </w:rPr>
        <w:t>If ModelValidity &lt; MinimumThreshold:</w:t>
        <w:br/>
        <w:t xml:space="preserve">  Optimizer → LastApprovedDeterministicPolicyPortfolio</w:t>
        <w:br/>
        <w:t xml:space="preserve">  No discretionary risk expansion is permitted.</w:t>
      </w:r>
    </w:p>
    <w:p>
      <w:r>
        <w:t>Model failure is a HARD GATE — NOT a tradeable risk.</w:t>
      </w:r>
    </w:p>
    <w:p>
      <w:pPr>
        <w:pStyle w:val="Heading3"/>
      </w:pPr>
      <w:r>
        <w:t>V24.2.9 — JURISDICTIONAL REGULATORY MATRIX + CHINA GEO-FENCE (§29-30 of v24.2 Directive)</w:t>
      </w:r>
    </w:p>
    <w:p>
      <w:r>
        <w:t>11 jurisdictions with structured records: US, EU, UK, UAE, Saudi Arabia, Singapore, Hong Kong, Japan, Australia, China, + other approved.</w:t>
      </w:r>
    </w:p>
    <w:p>
      <w:r>
        <w:t>Each record contains: MTQ legal status, stablecoin status, custody status, redemption status, licensing requirements, AML/KYC, sanctions, tax, data requirements, settlement status, token trading restrictions, geo-fence flag.</w:t>
      </w:r>
    </w:p>
    <w:p>
      <w:r>
        <w:t xml:space="preserve">Status values: </w:t>
      </w:r>
      <w:r>
        <w:rPr>
          <w:rFonts w:ascii="Consolas" w:hAnsi="Consolas"/>
          <w:color w:val="6B6B6B"/>
          <w:sz w:val="19"/>
        </w:rPr>
        <w:t>ALLOWED | CONDITIONAL | RESTRICTED | PROHIBITED | UNKNOWN</w:t>
      </w:r>
    </w:p>
    <w:p>
      <w:r>
        <w:t>Unknown → conservative BLOCK.</w:t>
      </w:r>
    </w:p>
    <w:p>
      <w:r>
        <w:rPr>
          <w:b/>
        </w:rPr>
        <w:t>China geo-fence</w:t>
      </w:r>
      <w:r>
        <w:t>: Crypto/stablecoin activity is PROHIBITED. Direct MTQ service access is blocked. No circumvention through alternate interfaces, routing, VPN logic, or indirect token access.</w:t>
      </w:r>
    </w:p>
    <w:p>
      <w:pPr>
        <w:pStyle w:val="Heading3"/>
      </w:pPr>
      <w:r>
        <w:t>V24.2.10 — ERTF — EXTERNAL RISK TRANSFER FACILITY (Layer 6 of 7-Layer Architecture)</w:t>
      </w:r>
    </w:p>
    <w:p>
      <w:r>
        <w:t>Ring-fenced external risk-bearing capital — NOT inside the monetary core.</w:t>
      </w:r>
    </w:p>
    <w:p>
      <w:pPr>
        <w:ind w:left="283"/>
        <w:shd w:fill="F5F5F5"/>
      </w:pPr>
      <w:r>
        <w:rPr>
          <w:rFonts w:ascii="Consolas" w:hAnsi="Consolas"/>
          <w:color w:val="6B6B6B"/>
          <w:sz w:val="18"/>
        </w:rPr>
        <w:t>NetRecovery = PolicyLimit × TriggerProbability × RecoveryFactor</w:t>
      </w:r>
    </w:p>
    <w:p>
      <w:r>
        <w:t>ERTF is: legally separate, independently governed, non-reserve (does NOT count toward R_a), non-PAR (does NOT affect PAR), non-monetary (NOT required for ordinary MTQ redemption).</w:t>
      </w:r>
    </w:p>
    <w:p>
      <w:r>
        <w:rPr>
          <w:b/>
        </w:rPr>
        <w:t>Current ERTF coverage</w:t>
      </w:r>
      <w:r>
        <w:t>: $10,000,000 total, $5,905,000 expected recovery (59.05% — reflects basis risk and counterparty risk).</w:t>
      </w:r>
    </w:p>
    <w:p>
      <w:pPr>
        <w:pStyle w:val="Heading3"/>
      </w:pPr>
      <w:r>
        <w:t>V24.2.11 — IN-KIND EMERGENCY RESERVE DELIVERY (Layer 7 of 7-Layer Architecture)</w:t>
      </w:r>
    </w:p>
    <w:p>
      <w:pPr>
        <w:ind w:left="283"/>
        <w:shd w:fill="F5F5F5"/>
      </w:pPr>
      <w:r>
        <w:rPr>
          <w:rFonts w:ascii="Consolas" w:hAnsi="Consolas"/>
          <w:color w:val="6B6B6B"/>
          <w:sz w:val="18"/>
        </w:rPr>
        <w:t>InKindValue = MarketValue(DeliveredAssets)    NOT InKindValue = PAR</w:t>
      </w:r>
    </w:p>
    <w:p>
      <w:r>
        <w:t>Emergency mechanism for formally declared resolution/extraordinary liquidity events. Delivers pro-rata reserve assets instead of cash when banking rails are frozen.</w:t>
      </w:r>
    </w:p>
    <w:p>
      <w:r>
        <w:rPr>
          <w:b/>
        </w:rPr>
        <w:t>CRITICAL</w:t>
      </w:r>
      <w:r>
        <w:t>: In-kind delivery does NOT guarantee 100% PAR. If reserves have declined to $0.82 per MTQ, in-kind delivery gives $0.82 of assets, not $1.00.</w:t>
      </w:r>
    </w:p>
    <w:p>
      <w:r>
        <w:t>MiCA-compatible: allows redemption through delivery of referenced assets in specified circumstances.</w:t>
      </w:r>
    </w:p>
    <w:p>
      <w:pPr>
        <w:pStyle w:val="Heading3"/>
      </w:pPr>
      <w:r>
        <w:t>V24.2.12 — MONTE CARLO STRESS TESTING (§51 of v24.2 Directive)</w:t>
      </w:r>
    </w:p>
    <w:p>
      <w:r>
        <w:t>250,000 paths with FIXED seed=42 (fully reproducible). 18 version-controlled parameters.</w:t>
      </w:r>
    </w:p>
    <w:p>
      <w:r>
        <w:rPr>
          <w:b/>
        </w:rPr>
        <w:t>Key results (honest, NOT forced to pass):</w:t>
      </w:r>
    </w:p>
    <w:p>
      <w:pPr>
        <w:pStyle w:val="ListBullet"/>
        <w:ind w:left="425"/>
      </w:pPr>
      <w:r>
        <w:t>P(RR &lt; 100%) = 21.54%</w:t>
      </w:r>
    </w:p>
    <w:p>
      <w:pPr>
        <w:pStyle w:val="ListBullet"/>
        <w:ind w:left="425"/>
      </w:pPr>
      <w:r>
        <w:t>P(LCR &lt; 1.0) = 0.00%</w:t>
      </w:r>
    </w:p>
    <w:p>
      <w:pPr>
        <w:pStyle w:val="ListBullet"/>
        <w:ind w:left="425"/>
      </w:pPr>
      <w:r>
        <w:t>VaR 99% = $24.6M loss</w:t>
      </w:r>
    </w:p>
    <w:p>
      <w:pPr>
        <w:pStyle w:val="ListBullet"/>
        <w:ind w:left="425"/>
      </w:pPr>
      <w:r>
        <w:t>CVaR 99% = $25.5M loss</w:t>
      </w:r>
    </w:p>
    <w:p>
      <w:pPr>
        <w:pStyle w:val="ListBullet"/>
        <w:ind w:left="425"/>
      </w:pPr>
      <w:r>
        <w:t>CVaR 99.9% = $28.0M loss</w:t>
      </w:r>
    </w:p>
    <w:p>
      <w:pPr>
        <w:pStyle w:val="ListBullet"/>
        <w:ind w:left="425"/>
      </w:pPr>
      <w:r>
        <w:t>Min correlated shock to breach: 17%</w:t>
      </w:r>
    </w:p>
    <w:p>
      <w:pPr>
        <w:pStyle w:val="ListBullet"/>
        <w:ind w:left="425"/>
      </w:pPr>
      <w:r>
        <w:t>Min custody loss to breach: 17%</w:t>
      </w:r>
    </w:p>
    <w:p>
      <w:pPr>
        <w:pStyle w:val="Heading3"/>
      </w:pPr>
      <w:r>
        <w:t>V24.2.13 — OFAC COMPLIANCE FAIL-CLOSED (§25 of v24.2 Directive)</w:t>
      </w:r>
    </w:p>
    <w:p>
      <w:r>
        <w:t>v24.1 BUG: OFAC fetch failure → empty set → ALL transactions pass (fail-open).</w:t>
      </w:r>
    </w:p>
    <w:p>
      <w:r>
        <w:t>v24.2 FIX: OFAC fetch failure → null → ALL transactions BLOCKED (fail-closed).</w:t>
      </w:r>
    </w:p>
    <w:p>
      <w:r>
        <w:t xml:space="preserve">If OFAC SDN list is unavailable, POST /api/compliance returns HTTP 503 + </w:t>
      </w:r>
      <w:r>
        <w:rPr>
          <w:rFonts w:ascii="Consolas" w:hAnsi="Consolas"/>
          <w:color w:val="6B6B6B"/>
          <w:sz w:val="19"/>
        </w:rPr>
        <w:t>action: "BLOCK"</w:t>
      </w:r>
      <w:r>
        <w:t xml:space="preserve"> for ALL transactions.</w:t>
      </w:r>
    </w:p>
    <w:p>
      <w:pPr>
        <w:pStyle w:val="Heading3"/>
      </w:pPr>
      <w:r>
        <w:t>V24.2.14 — STRATEGIC REFERENCE PORTFOLIO (§8 of v24.2 Directive)</w:t>
      </w:r>
    </w:p>
    <w:p>
      <w:r>
        <w:t>v24.2 strategic reference (NOT immutable — optimizer may move within constitutional corridors):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Asset</w:t>
            </w:r>
          </w:p>
        </w:tc>
        <w:tc>
          <w:tcPr>
            <w:tcW w:type="dxa" w:w="3024"/>
            <w:shd w:fill="1A365F"/>
            <w:vAlign w:val="center"/>
          </w:tcPr>
          <w:p>
            <w:pPr>
              <w:jc w:val="left"/>
            </w:pPr>
            <w:r/>
            <w:r>
              <w:rPr>
                <w:rFonts w:ascii="Calibri" w:hAnsi="Calibri"/>
                <w:b/>
                <w:color w:val="FFFFFF"/>
                <w:sz w:val="18"/>
              </w:rPr>
              <w:t>Target</w:t>
            </w:r>
          </w:p>
        </w:tc>
        <w:tc>
          <w:tcPr>
            <w:tcW w:type="dxa" w:w="3024"/>
            <w:shd w:fill="1A365F"/>
            <w:vAlign w:val="center"/>
          </w:tcPr>
          <w:p>
            <w:pPr>
              <w:jc w:val="left"/>
            </w:pPr>
            <w:r/>
            <w:r>
              <w:rPr>
                <w:rFonts w:ascii="Calibri" w:hAnsi="Calibri"/>
                <w:b/>
                <w:color w:val="FFFFFF"/>
                <w:sz w:val="18"/>
              </w:rPr>
              <w:t>Range</w:t>
            </w:r>
          </w:p>
        </w:tc>
      </w:tr>
      <w:tr>
        <w:tc>
          <w:tcPr>
            <w:tcW w:type="dxa" w:w="3024"/>
            <w:vAlign w:val="center"/>
          </w:tcPr>
          <w:p>
            <w:pPr>
              <w:jc w:val="left"/>
            </w:pPr>
            <w:r/>
            <w:r>
              <w:rPr>
                <w:rFonts w:ascii="Calibri" w:hAnsi="Calibri"/>
                <w:color w:val="2D2D2D"/>
                <w:sz w:val="18"/>
              </w:rPr>
              <w:t>Gold</w:t>
            </w:r>
          </w:p>
        </w:tc>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12-20%</w:t>
            </w:r>
          </w:p>
        </w:tc>
      </w:tr>
      <w:tr>
        <w:tc>
          <w:tcPr>
            <w:tcW w:type="dxa" w:w="3024"/>
            <w:shd w:fill="F0F0F0"/>
            <w:vAlign w:val="center"/>
          </w:tcPr>
          <w:p>
            <w:pPr>
              <w:jc w:val="left"/>
            </w:pPr>
            <w:r/>
            <w:r>
              <w:rPr>
                <w:rFonts w:ascii="Calibri" w:hAnsi="Calibri"/>
                <w:color w:val="2D2D2D"/>
                <w:sz w:val="18"/>
              </w:rPr>
              <w:t>Silver</w:t>
            </w:r>
          </w:p>
        </w:tc>
        <w:tc>
          <w:tcPr>
            <w:tcW w:type="dxa" w:w="3024"/>
            <w:shd w:fill="F0F0F0"/>
            <w:vAlign w:val="center"/>
          </w:tcPr>
          <w:p>
            <w:pPr>
              <w:jc w:val="left"/>
            </w:pPr>
            <w:r/>
            <w:r>
              <w:rPr>
                <w:rFonts w:ascii="Calibri" w:hAnsi="Calibri"/>
                <w:color w:val="2D2D2D"/>
                <w:sz w:val="18"/>
              </w:rPr>
              <w:t>3%</w:t>
            </w:r>
          </w:p>
        </w:tc>
        <w:tc>
          <w:tcPr>
            <w:tcW w:type="dxa" w:w="3024"/>
            <w:shd w:fill="F0F0F0"/>
            <w:vAlign w:val="center"/>
          </w:tcPr>
          <w:p>
            <w:pPr>
              <w:jc w:val="left"/>
            </w:pPr>
            <w:r/>
            <w:r>
              <w:rPr>
                <w:rFonts w:ascii="Calibri" w:hAnsi="Calibri"/>
                <w:color w:val="2D2D2D"/>
                <w:sz w:val="18"/>
              </w:rPr>
              <w:t>3-6%</w:t>
            </w:r>
          </w:p>
        </w:tc>
      </w:tr>
      <w:tr>
        <w:tc>
          <w:tcPr>
            <w:tcW w:type="dxa" w:w="3024"/>
            <w:vAlign w:val="center"/>
          </w:tcPr>
          <w:p>
            <w:pPr>
              <w:jc w:val="left"/>
            </w:pPr>
            <w:r/>
            <w:r>
              <w:rPr>
                <w:rFonts w:ascii="Calibri" w:hAnsi="Calibri"/>
                <w:color w:val="2D2D2D"/>
                <w:sz w:val="18"/>
              </w:rPr>
              <w:t>Fiat</w:t>
            </w:r>
          </w:p>
        </w:tc>
        <w:tc>
          <w:tcPr>
            <w:tcW w:type="dxa" w:w="3024"/>
            <w:vAlign w:val="center"/>
          </w:tcPr>
          <w:p>
            <w:pPr>
              <w:jc w:val="left"/>
            </w:pPr>
            <w:r/>
            <w:r>
              <w:rPr>
                <w:rFonts w:ascii="Calibri" w:hAnsi="Calibri"/>
                <w:color w:val="2D2D2D"/>
                <w:sz w:val="18"/>
              </w:rPr>
              <w:t>79.5%</w:t>
            </w:r>
          </w:p>
        </w:tc>
        <w:tc>
          <w:tcPr>
            <w:tcW w:type="dxa" w:w="3024"/>
            <w:vAlign w:val="center"/>
          </w:tcPr>
          <w:p>
            <w:pPr>
              <w:jc w:val="left"/>
            </w:pPr>
            <w:r/>
            <w:r>
              <w:rPr>
                <w:rFonts w:ascii="Calibri" w:hAnsi="Calibri"/>
                <w:color w:val="2D2D2D"/>
                <w:sz w:val="18"/>
              </w:rPr>
              <w:t>70-85%</w:t>
            </w:r>
          </w:p>
        </w:tc>
      </w:tr>
      <w:tr>
        <w:tc>
          <w:tcPr>
            <w:tcW w:type="dxa" w:w="3024"/>
            <w:shd w:fill="F0F0F0"/>
            <w:vAlign w:val="center"/>
          </w:tcPr>
          <w:p>
            <w:pPr>
              <w:jc w:val="left"/>
            </w:pPr>
            <w:r/>
            <w:r>
              <w:rPr>
                <w:rFonts w:ascii="Calibri" w:hAnsi="Calibri"/>
                <w:color w:val="2D2D2D"/>
                <w:sz w:val="18"/>
              </w:rPr>
              <w:t>Digital Liquidity</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0-5% (normal 2-3.5%)</w:t>
            </w:r>
          </w:p>
        </w:tc>
      </w:tr>
      <w:tr>
        <w:tc>
          <w:tcPr>
            <w:tcW w:type="dxa" w:w="3024"/>
            <w:vAlign w:val="center"/>
          </w:tcPr>
          <w:p>
            <w:pPr>
              <w:jc w:val="left"/>
            </w:pPr>
            <w:r/>
            <w:r>
              <w:rPr>
                <w:rFonts w:ascii="Calibri" w:hAnsi="Calibri"/>
                <w:color w:val="2D2D2D"/>
                <w:sz w:val="18"/>
              </w:rPr>
              <w:t>**Total**</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r>
          </w:p>
        </w:tc>
      </w:tr>
    </w:tbl>
    <w:p/>
    <w:p>
      <w:pPr>
        <w:pBdr>
          <w:bottom w:val="single" w:sz="12" w:space="1" w:color="C59B1E"/>
        </w:pBdr>
      </w:pPr>
    </w:p>
    <w:p>
      <w:pPr>
        <w:pStyle w:val="Heading2"/>
      </w:pPr>
      <w:r>
        <w:t>V24.1 FINAL INSTITUTIONAL RECONCILIATION SUMMARY (Preserved from v24.1 — still authoritative where not amended by v24.2)</w:t>
      </w:r>
    </w:p>
    <w:p>
      <w:r>
        <w:t>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p>
      <w:pPr>
        <w:pStyle w:val="Heading3"/>
      </w:pPr>
      <w:r>
        <w:t>Mandatory v24 Corrections</w:t>
      </w:r>
    </w:p>
    <w:p>
      <w:pPr>
        <w:pStyle w:val="ListNumber"/>
        <w:ind w:left="425"/>
      </w:pPr>
      <w:r>
        <w:rPr>
          <w:b/>
        </w:rPr>
        <w:t>Canonical reserve ranges unified:</w:t>
      </w:r>
      <w:r>
        <w:t xml:space="preserve"> Bullion 15–25%, Fiat 70–85%, Digital Liquidity 0–5%. No active constitutional section may use 2–8% stablecoin allocation.</w:t>
      </w:r>
    </w:p>
    <w:p>
      <w:pPr>
        <w:pStyle w:val="ListNumber"/>
        <w:ind w:left="425"/>
      </w:pPr>
      <w:r>
        <w:rPr>
          <w:b/>
        </w:rPr>
        <w:t>Canonical policy target unified:</w:t>
      </w:r>
      <w:r>
        <w:t xml:space="preserve"> Bullion 20%, Fiat 76.5%, Digital Liquidity 3.5%.</w:t>
      </w:r>
    </w:p>
    <w:p>
      <w:pPr>
        <w:pStyle w:val="ListNumber"/>
        <w:ind w:left="425"/>
      </w:pPr>
      <w:r>
        <w:rPr>
          <w:b/>
        </w:rPr>
        <w:t>Asset-level arithmetic corrected:</w:t>
      </w:r>
      <w:r>
        <w:t xml:space="preserve"> Fiat target is 76.5%; EUR target is raised from 18.0% to 19.5% so the full strategic allocation equals exactly 100%.</w:t>
      </w:r>
    </w:p>
    <w:p>
      <w:pPr>
        <w:pStyle w:val="ListNumber"/>
        <w:ind w:left="425"/>
      </w:pPr>
      <w:r>
        <w:rPr>
          <w:b/>
        </w:rPr>
        <w:t>Solvency definition unified:</w:t>
      </w:r>
      <w:r>
        <w:t xml:space="preserve"> RR = R_a / (S × PAR). Floor 100%; Policy 105%; Strategic 120%. A 120% strategic RR is explicitly defined as 20% excess reserve value over contractual redemption liabilities, not as a claim that reserves can necessarily fall 20% and remain solvent.</w:t>
      </w:r>
    </w:p>
    <w:p>
      <w:pPr>
        <w:pStyle w:val="ListNumber"/>
        <w:ind w:left="425"/>
      </w:pPr>
      <w:r>
        <w:rPr>
          <w:b/>
        </w:rPr>
        <w:t>Stress solvency separated from legal RR:</w:t>
      </w:r>
      <w:r>
        <w:t xml:space="preserve"> Stress-RR is a forward-looking scenario constraint and is never represented as a second legal solvency ratio.</w:t>
      </w:r>
    </w:p>
    <w:p>
      <w:pPr>
        <w:pStyle w:val="ListNumber"/>
        <w:ind w:left="425"/>
      </w:pPr>
      <w:r>
        <w:rPr>
          <w:b/>
        </w:rPr>
        <w:t>Optimizer redesigned:</w:t>
      </w:r>
      <w:r>
        <w:t xml:space="preserve"> constitutional feasibility constraints are separated from the residual-risk optimization objective. RR/LCR/Stress-RR are hard constraints, not competing utility terms.</w:t>
      </w:r>
    </w:p>
    <w:p>
      <w:pPr>
        <w:pStyle w:val="ListNumber"/>
        <w:ind w:left="425"/>
      </w:pPr>
      <w:r>
        <w:rPr>
          <w:b/>
        </w:rPr>
        <w:t>Model-risk governance added:</w:t>
      </w:r>
      <w:r>
        <w:t xml:space="preserve"> calibration, challenger models, parameter change control, regime-break tests, procyclicality tests, and independent validation are mandatory.</w:t>
      </w:r>
    </w:p>
    <w:p>
      <w:pPr>
        <w:pStyle w:val="ListNumber"/>
        <w:ind w:left="425"/>
      </w:pPr>
      <w:r>
        <w:rPr>
          <w:b/>
        </w:rPr>
        <w:t>Legal-perimeter framework added:</w:t>
      </w:r>
      <w:r>
        <w:t xml:space="preserve"> economic substance, holder claim, issuer obligation, reserve segregation, custody, bankruptcy remoteness, governing law, redemption mechanics, and licensing perimeter must be documented before production issuance.</w:t>
      </w:r>
    </w:p>
    <w:p>
      <w:pPr>
        <w:pStyle w:val="ListNumber"/>
        <w:ind w:left="425"/>
      </w:pPr>
      <w:r>
        <w:rPr>
          <w:b/>
        </w:rPr>
        <w:t>Central-bank positioning corrected:</w:t>
      </w:r>
      <w:r>
        <w:t xml:space="preserve"> MITHQAL is positioned as regulated neutral settlement infrastructure interoperable with central-bank money, not as a central bank or replacement for sovereign money.</w:t>
      </w:r>
    </w:p>
    <w:p>
      <w:pPr>
        <w:pStyle w:val="ListNumber"/>
        <w:ind w:left="425"/>
      </w:pPr>
      <w:r>
        <w:rPr>
          <w:b/>
        </w:rPr>
        <w:t>Sharia language corrected:</w:t>
      </w:r>
      <w:r>
        <w:t xml:space="preserve"> the blueprint defines a Sharia-governance design and certification process; final compliance is subject to independent qualified Sharia review/fatwa and jurisdiction-specific legal analysis.</w:t>
      </w:r>
    </w:p>
    <w:p>
      <w:pPr>
        <w:pStyle w:val="ListNumber"/>
        <w:ind w:left="425"/>
      </w:pPr>
      <w:r>
        <w:rPr>
          <w:b/>
        </w:rPr>
        <w:t>Historical v19 material quarantined:</w:t>
      </w:r>
      <w:r>
        <w:t xml:space="preserve"> the preserved v19 specification remains available for traceability but has no normative authority over v24.</w:t>
      </w:r>
    </w:p>
    <w:p>
      <w:pPr>
        <w:pStyle w:val="ListNumber"/>
        <w:ind w:left="425"/>
      </w:pPr>
      <w:r>
        <w:rPr>
          <w:b/>
        </w:rPr>
        <w:t>Absolute claims prohibited:</w:t>
      </w:r>
      <w:r>
        <w:t xml:space="preserve"> no blueprint or audit statement may claim zero counterparty risk, economic invincibility, immunity from oracle manipulation, automatic regulatory approval, or central-bank approval.</w:t>
      </w:r>
    </w:p>
    <w:p>
      <w:pPr>
        <w:pStyle w:val="Heading3"/>
      </w:pPr>
      <w:r>
        <w:t>Canonical v24 Mathematical Identity</w:t>
      </w:r>
    </w:p>
    <w:p>
      <w:pPr>
        <w:ind w:left="283"/>
        <w:shd w:fill="F5F5F5"/>
      </w:pPr>
      <w:r>
        <w:rPr>
          <w:rFonts w:ascii="Consolas" w:hAnsi="Consolas"/>
          <w:color w:val="6B6B6B"/>
          <w:sz w:val="18"/>
        </w:rPr>
        <w:t>PAR = $1.00 settlement/accounting reference unit</w:t>
        <w:br/>
        <w:t>L = S × PAR</w:t>
        <w:br/>
        <w:t>RR = R_a / L</w:t>
        <w:br/>
        <w:t>StressRR(s) = R_stress(s) / L</w:t>
        <w:br/>
        <w:br/>
        <w:t>RR_floor      = 100%</w:t>
        <w:br/>
        <w:t>RR_policy     = 105%</w:t>
        <w:br/>
        <w:t>RR_strategic  = 120%</w:t>
        <w:br/>
        <w:br/>
        <w:t>B_t + F_t + D_t = 100%</w:t>
        <w:br/>
        <w:t>15% ≤ B_t ≤ 25%</w:t>
        <w:br/>
        <w:t>70% ≤ F_t ≤ 85%</w:t>
        <w:br/>
        <w:t>0%  ≤ D_t ≤ 5%</w:t>
        <w:br/>
        <w:br/>
        <w:t>Policy target: B_t = 20%, F_t = 76.5%, D_t = 3.5%</w:t>
      </w:r>
    </w:p>
    <w:p>
      <w:pPr>
        <w:pStyle w:val="Heading3"/>
      </w:pPr>
      <w:r>
        <w:t>Canonical v24 Operating Principle</w:t>
      </w:r>
    </w:p>
    <w:p>
      <w:r>
        <w:rPr>
          <w:b/>
        </w:rPr>
        <w:t>Constitutional feasibility first. Risk optimization second. Execution last.</w:t>
      </w:r>
    </w:p>
    <w:p>
      <w:r>
        <w:t>No optimization, trading signal, governance decision, technical event, or operational convenience may weaken a constitutional invariant, legal redemption obligation, reserve segregation requirement, or hard risk constraint.</w:t>
      </w:r>
    </w:p>
    <w:p>
      <w:pPr>
        <w:pBdr>
          <w:bottom w:val="single" w:sz="12" w:space="1" w:color="C59B1E"/>
        </w:pBdr>
      </w:pPr>
    </w:p>
    <w:p>
      <w:pPr>
        <w:pStyle w:val="Heading2"/>
      </w:pPr>
      <w:r>
        <w:t>V24 CANONICAL BLUEPRINT (Full Text)</w:t>
      </w:r>
    </w:p>
    <w:p>
      <w:pPr>
        <w:pStyle w:val="Heading1"/>
      </w:pPr>
      <w:r>
        <w:t>MITHQAL — CANONICAL BLUEPRINT v24</w:t>
      </w:r>
    </w:p>
    <w:p>
      <w:pPr>
        <w:pStyle w:val="Heading2"/>
      </w:pPr>
      <w:r>
        <w:t>Institutional Constitutional Reserve &amp; Settlement Architecture — Four Measurement Layers + Digital Liquidity Sleeve + 7-Layer Resilience Stack</w:t>
      </w:r>
    </w:p>
    <w:p>
      <w:pPr>
        <w:pStyle w:val="Heading2"/>
      </w:pPr>
      <w:r>
        <w:t>v24.2 CTO-CONTROLLED SEQUENTIAL INSTITUTIONAL REMEDIATION — 10 AMENDMENTS + 6-STATE MACHINE + HIERARCHICAL OPTIMIZER</w:t>
      </w:r>
    </w:p>
    <w:p>
      <w:r>
        <w:rPr>
          <w:b/>
        </w:rPr>
        <w:t>Version:</w:t>
      </w:r>
      <w:r>
        <w:t xml:space="preserve"> 24.0</w:t>
      </w:r>
    </w:p>
    <w:p>
      <w:r>
        <w:rPr>
          <w:b/>
        </w:rPr>
        <w:t>Date:</w:t>
      </w:r>
      <w:r>
        <w:t xml:space="preserve"> 2026-08-12</w:t>
      </w:r>
    </w:p>
    <w:p>
      <w:r>
        <w:rPr>
          <w:b/>
        </w:rPr>
        <w:t>Status:</w:t>
      </w:r>
      <w:r>
        <w:t xml:space="preserve"> CANONICAL — supersedes v23 and all prior versions</w:t>
      </w:r>
    </w:p>
    <w:p>
      <w:r>
        <w:rPr>
          <w:b/>
        </w:rPr>
        <w:t>Authority:</w:t>
      </w:r>
      <w:r>
        <w:t xml:space="preserve"> COO/CTO/CFO/PM + Monetary Systems Architect + Institutional Reserve Manager</w:t>
      </w:r>
    </w:p>
    <w:p>
      <w:r>
        <w:rPr>
          <w:b/>
        </w:rPr>
        <w:t>Supersedes:</w:t>
      </w:r>
      <w:r>
        <w:t xml:space="preserve"> v22 (2026-08-12), v21, v20, v19, v18, and all addenda</w:t>
      </w:r>
    </w:p>
    <w:p>
      <w:pPr>
        <w:pBdr>
          <w:bottom w:val="single" w:sz="12" w:space="1" w:color="C59B1E"/>
        </w:pBdr>
      </w:pPr>
    </w:p>
    <w:p>
      <w:pPr>
        <w:pStyle w:val="Heading2"/>
      </w:pPr>
      <w:r>
        <w:t>0. SUPREMACY CLAUSE</w:t>
      </w:r>
    </w:p>
    <w:p>
      <w:r>
        <w:t xml:space="preserve">This document is the </w:t>
      </w:r>
      <w:r>
        <w:rPr>
          <w:b/>
        </w:rPr>
        <w:t>single authoritative blueprint</w:t>
      </w:r>
      <w:r>
        <w:t xml:space="preserve"> for MITHQAL. It reconciles:</w:t>
      </w:r>
    </w:p>
    <w:p>
      <w:pPr>
        <w:pStyle w:val="ListBullet"/>
        <w:ind w:left="425"/>
      </w:pPr>
      <w:r>
        <w:t>the v19 constitutional spine (authority hierarchy, evidence doctrine, institutional continuity, human governance, technology independence)</w:t>
      </w:r>
    </w:p>
    <w:p>
      <w:pPr>
        <w:pStyle w:val="ListBullet"/>
        <w:ind w:left="425"/>
      </w:pPr>
      <w:r>
        <w:t>the v23 monetary/risk engine (PAR-based solvency, CVaR, Stress-RR, multi-currency reserves, stablecoin controls, sequential liquidation), reconciled and hardened by v24</w:t>
      </w:r>
    </w:p>
    <w:p>
      <w:pPr>
        <w:pStyle w:val="ListBullet"/>
        <w:ind w:left="425"/>
      </w:pPr>
      <w:r>
        <w:t>the four independent comparative audit reports supplied for the v19/v23 decision</w:t>
      </w:r>
    </w:p>
    <w:p>
      <w:pPr>
        <w:pStyle w:val="ListBullet"/>
        <w:ind w:left="425"/>
      </w:pPr>
      <w:r>
        <w:t>the reserve arithmetic, solvency, optimizer, legal-perimeter, and model-risk corrections mandated by v24</w:t>
      </w:r>
    </w:p>
    <w:p>
      <w:r>
        <w:rPr>
          <w:b/>
        </w:rPr>
        <w:t>Where any prior document, historical appendix, implementation example, audit claim, or operational convenience conflicts with v24, v24 wins.</w:t>
      </w:r>
    </w:p>
    <w:p>
      <w:r>
        <w:rPr>
          <w:b/>
        </w:rPr>
        <w:t>Historical material is retained for traceability only and shall never be interpreted as an active requirement.</w:t>
      </w:r>
    </w:p>
    <w:p>
      <w:r>
        <w:rPr>
          <w:b/>
        </w:rPr>
        <w:t>Optimization priority (inviolable):</w:t>
      </w:r>
    </w:p>
    <w:p>
      <w:pPr>
        <w:ind w:left="283"/>
        <w:shd w:fill="F5F5F5"/>
      </w:pPr>
      <w:r>
        <w:rPr>
          <w:rFonts w:ascii="Consolas" w:hAnsi="Consolas"/>
          <w:color w:val="6B6B6B"/>
          <w:sz w:val="18"/>
        </w:rPr>
        <w:t>RESILIENCE &gt; LIQUIDITY &gt; CAPITAL PRESERVATION &gt; STABILITY &gt; EFFICIENCY &gt; RETURN</w:t>
      </w:r>
    </w:p>
    <w:p>
      <w:r>
        <w:rPr>
          <w:b/>
        </w:rPr>
        <w:t>Monetary identity:</w:t>
      </w:r>
    </w:p>
    <w:p>
      <w:r>
        <w:t xml:space="preserve">MITHQAL is a </w:t>
      </w:r>
      <w:r>
        <w:rPr>
          <w:b/>
        </w:rPr>
        <w:t>gold-disciplined, globally diversified, reserve-backed institutional settlement infrastructure with a fixed USD-denominated settlement/accounting PAR.</w:t>
      </w:r>
      <w:r>
        <w:t xml:space="preserve"> It is designed to interoperate with regulated financial institutions and, where lawfully available, central-bank money; it is not a central bank and does not claim to replace sovereign money. The architecture uses a </w:t>
      </w:r>
      <w:r>
        <w:rPr>
          <w:b/>
        </w:rPr>
        <w:t>four-layer measurement system</w:t>
      </w:r>
      <w:r>
        <w:t xml:space="preserve"> that separates solvency, gold-relative strength, liquidity, and comprehensive risk. Gold is the strategic anchor. PAR is the settlement reference. The reserve portfolio provides solvency. Stablecoins are a digital liquidity sleeve — NOT a core monetary reserve pillar.</w:t>
      </w:r>
    </w:p>
    <w:p>
      <w:r>
        <w:rPr>
          <w:b/>
        </w:rPr>
        <w:t>The management principle:</w:t>
      </w:r>
    </w:p>
    <w:p>
      <w:pPr>
        <w:spacing w:before="120" w:after="120"/>
        <w:ind w:left="567" w:right="567"/>
        <w:pBdr>
          <w:left w:val="single" w:sz="24" w:space="8" w:color="C59B1E"/>
        </w:pBdr>
        <w:shd w:fill="FFFBF0"/>
      </w:pPr>
      <w:r>
        <w:rPr>
          <w:b/>
          <w:i/>
          <w:color w:val="1A365F"/>
          <w:sz w:val="22"/>
        </w:rPr>
        <w:t>*MITHQAL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p>
      <w:pPr>
        <w:pStyle w:val="Heading3"/>
      </w:pPr>
      <w:r>
        <w:t>0.1 CANONICAL CONSTANTS &amp; TERMINOLOGY REGISTRY (v24)</w:t>
      </w:r>
    </w:p>
    <w:p>
      <w:r>
        <w:t>The following constants and definitions are normative. Any conflicting constant elsewhere in the document is historical/non-authoritative and SHALL be ignored for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Item</w:t>
            </w:r>
          </w:p>
        </w:tc>
        <w:tc>
          <w:tcPr>
            <w:tcW w:type="dxa" w:w="3024"/>
            <w:shd w:fill="1A365F"/>
            <w:vAlign w:val="center"/>
          </w:tcPr>
          <w:p>
            <w:pPr>
              <w:jc w:val="left"/>
            </w:pPr>
            <w:r/>
            <w:r>
              <w:rPr>
                <w:rFonts w:ascii="Calibri" w:hAnsi="Calibri"/>
                <w:b/>
                <w:color w:val="FFFFFF"/>
                <w:sz w:val="18"/>
              </w:rPr>
              <w:t>Canonical v24 rule</w:t>
            </w:r>
          </w:p>
        </w:tc>
        <w:tc>
          <w:tcPr>
            <w:tcW w:type="dxa" w:w="3024"/>
            <w:shd w:fill="1A365F"/>
            <w:vAlign w:val="center"/>
          </w:tcPr>
          <w:p>
            <w:pPr>
              <w:jc w:val="left"/>
            </w:pPr>
            <w:r/>
            <w:r>
              <w:rPr>
                <w:rFonts w:ascii="Calibri" w:hAnsi="Calibri"/>
                <w:b/>
                <w:color w:val="FFFFFF"/>
                <w:sz w:val="18"/>
              </w:rPr>
              <w:t>Authority</w:t>
            </w:r>
          </w:p>
        </w:tc>
      </w:tr>
      <w:tr>
        <w:tc>
          <w:tcPr>
            <w:tcW w:type="dxa" w:w="3024"/>
            <w:vAlign w:val="center"/>
          </w:tcPr>
          <w:p>
            <w:pPr>
              <w:jc w:val="left"/>
            </w:pPr>
            <w:r/>
            <w:r>
              <w:rPr>
                <w:rFonts w:ascii="Calibri" w:hAnsi="Calibri"/>
                <w:color w:val="2D2D2D"/>
                <w:sz w:val="18"/>
              </w:rPr>
              <w:t>PAR</w:t>
            </w:r>
          </w:p>
        </w:tc>
        <w:tc>
          <w:tcPr>
            <w:tcW w:type="dxa" w:w="3024"/>
            <w:vAlign w:val="center"/>
          </w:tcPr>
          <w:p>
            <w:pPr>
              <w:jc w:val="left"/>
            </w:pPr>
            <w:r/>
            <w:r>
              <w:rPr>
                <w:rFonts w:ascii="Calibri" w:hAnsi="Calibri"/>
                <w:color w:val="2D2D2D"/>
                <w:sz w:val="18"/>
              </w:rPr>
              <w:t>$1.00 fixed USD-denominated settlement/accounting reference</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Legal solvency metric</w:t>
            </w:r>
          </w:p>
        </w:tc>
        <w:tc>
          <w:tcPr>
            <w:tcW w:type="dxa" w:w="3024"/>
            <w:shd w:fill="F0F0F0"/>
            <w:vAlign w:val="center"/>
          </w:tcPr>
          <w:p>
            <w:pPr>
              <w:jc w:val="left"/>
            </w:pPr>
            <w:r/>
            <w:r>
              <w:rPr>
                <w:rFonts w:ascii="Calibri" w:hAnsi="Calibri"/>
                <w:color w:val="2D2D2D"/>
                <w:sz w:val="18"/>
              </w:rPr>
              <w:t>RR = R_a / (S × PAR)</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RR floor</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t>Constitutional invariant</w:t>
            </w:r>
          </w:p>
        </w:tc>
      </w:tr>
      <w:tr>
        <w:tc>
          <w:tcPr>
            <w:tcW w:type="dxa" w:w="3024"/>
            <w:shd w:fill="F0F0F0"/>
            <w:vAlign w:val="center"/>
          </w:tcPr>
          <w:p>
            <w:pPr>
              <w:jc w:val="left"/>
            </w:pPr>
            <w:r/>
            <w:r>
              <w:rPr>
                <w:rFonts w:ascii="Calibri" w:hAnsi="Calibri"/>
                <w:color w:val="2D2D2D"/>
                <w:sz w:val="18"/>
              </w:rPr>
              <w:t>RR policy target</w:t>
            </w:r>
          </w:p>
        </w:tc>
        <w:tc>
          <w:tcPr>
            <w:tcW w:type="dxa" w:w="3024"/>
            <w:shd w:fill="F0F0F0"/>
            <w:vAlign w:val="center"/>
          </w:tcPr>
          <w:p>
            <w:pPr>
              <w:jc w:val="left"/>
            </w:pPr>
            <w:r/>
            <w:r>
              <w:rPr>
                <w:rFonts w:ascii="Calibri" w:hAnsi="Calibri"/>
                <w:color w:val="2D2D2D"/>
                <w:sz w:val="18"/>
              </w:rPr>
              <w:t>105%</w:t>
            </w:r>
          </w:p>
        </w:tc>
        <w:tc>
          <w:tcPr>
            <w:tcW w:type="dxa" w:w="3024"/>
            <w:shd w:fill="F0F0F0"/>
            <w:vAlign w:val="center"/>
          </w:tcPr>
          <w:p>
            <w:pPr>
              <w:jc w:val="left"/>
            </w:pPr>
            <w:r/>
            <w:r>
              <w:rPr>
                <w:rFonts w:ascii="Calibri" w:hAnsi="Calibri"/>
                <w:color w:val="2D2D2D"/>
                <w:sz w:val="18"/>
              </w:rPr>
              <w:t>Policy</w:t>
            </w:r>
          </w:p>
        </w:tc>
      </w:tr>
      <w:tr>
        <w:tc>
          <w:tcPr>
            <w:tcW w:type="dxa" w:w="3024"/>
            <w:vAlign w:val="center"/>
          </w:tcPr>
          <w:p>
            <w:pPr>
              <w:jc w:val="left"/>
            </w:pPr>
            <w:r/>
            <w:r>
              <w:rPr>
                <w:rFonts w:ascii="Calibri" w:hAnsi="Calibri"/>
                <w:color w:val="2D2D2D"/>
                <w:sz w:val="18"/>
              </w:rPr>
              <w:t>RR strategic target</w:t>
            </w:r>
          </w:p>
        </w:tc>
        <w:tc>
          <w:tcPr>
            <w:tcW w:type="dxa" w:w="3024"/>
            <w:vAlign w:val="center"/>
          </w:tcPr>
          <w:p>
            <w:pPr>
              <w:jc w:val="left"/>
            </w:pPr>
            <w:r/>
            <w:r>
              <w:rPr>
                <w:rFonts w:ascii="Calibri" w:hAnsi="Calibri"/>
                <w:color w:val="2D2D2D"/>
                <w:sz w:val="18"/>
              </w:rPr>
              <w:t>120%</w:t>
            </w:r>
          </w:p>
        </w:tc>
        <w:tc>
          <w:tcPr>
            <w:tcW w:type="dxa" w:w="3024"/>
            <w:vAlign w:val="center"/>
          </w:tcPr>
          <w:p>
            <w:pPr>
              <w:jc w:val="left"/>
            </w:pPr>
            <w:r/>
            <w:r>
              <w:rPr>
                <w:rFonts w:ascii="Calibri" w:hAnsi="Calibri"/>
                <w:color w:val="2D2D2D"/>
                <w:sz w:val="18"/>
              </w:rPr>
              <w:t>Strategic policy</w:t>
            </w:r>
          </w:p>
        </w:tc>
      </w:tr>
      <w:tr>
        <w:tc>
          <w:tcPr>
            <w:tcW w:type="dxa" w:w="3024"/>
            <w:shd w:fill="F0F0F0"/>
            <w:vAlign w:val="center"/>
          </w:tcPr>
          <w:p>
            <w:pPr>
              <w:jc w:val="left"/>
            </w:pPr>
            <w:r/>
            <w:r>
              <w:rPr>
                <w:rFonts w:ascii="Calibri" w:hAnsi="Calibri"/>
                <w:color w:val="2D2D2D"/>
                <w:sz w:val="18"/>
              </w:rPr>
              <w:t>Stress-RR</w:t>
            </w:r>
          </w:p>
        </w:tc>
        <w:tc>
          <w:tcPr>
            <w:tcW w:type="dxa" w:w="3024"/>
            <w:shd w:fill="F0F0F0"/>
            <w:vAlign w:val="center"/>
          </w:tcPr>
          <w:p>
            <w:pPr>
              <w:jc w:val="left"/>
            </w:pPr>
            <w:r/>
            <w:r>
              <w:rPr>
                <w:rFonts w:ascii="Calibri" w:hAnsi="Calibri"/>
                <w:color w:val="2D2D2D"/>
                <w:sz w:val="18"/>
              </w:rPr>
              <w:t>R_stress / (S × PAR)</w:t>
            </w:r>
          </w:p>
        </w:tc>
        <w:tc>
          <w:tcPr>
            <w:tcW w:type="dxa" w:w="3024"/>
            <w:shd w:fill="F0F0F0"/>
            <w:vAlign w:val="center"/>
          </w:tcPr>
          <w:p>
            <w:pPr>
              <w:jc w:val="left"/>
            </w:pPr>
            <w:r/>
            <w:r>
              <w:rPr>
                <w:rFonts w:ascii="Calibri" w:hAnsi="Calibri"/>
                <w:color w:val="2D2D2D"/>
                <w:sz w:val="18"/>
              </w:rPr>
              <w:t>Hard planning constraint</w:t>
            </w:r>
          </w:p>
        </w:tc>
      </w:tr>
      <w:tr>
        <w:tc>
          <w:tcPr>
            <w:tcW w:type="dxa" w:w="3024"/>
            <w:vAlign w:val="center"/>
          </w:tcPr>
          <w:p>
            <w:pPr>
              <w:jc w:val="left"/>
            </w:pPr>
            <w:r/>
            <w:r>
              <w:rPr>
                <w:rFonts w:ascii="Calibri" w:hAnsi="Calibri"/>
                <w:color w:val="2D2D2D"/>
                <w:sz w:val="18"/>
              </w:rPr>
              <w:t>Bullion range</w:t>
            </w:r>
          </w:p>
        </w:tc>
        <w:tc>
          <w:tcPr>
            <w:tcW w:type="dxa" w:w="3024"/>
            <w:vAlign w:val="center"/>
          </w:tcPr>
          <w:p>
            <w:pPr>
              <w:jc w:val="left"/>
            </w:pPr>
            <w:r/>
            <w:r>
              <w:rPr>
                <w:rFonts w:ascii="Calibri" w:hAnsi="Calibri"/>
                <w:color w:val="2D2D2D"/>
                <w:sz w:val="18"/>
              </w:rPr>
              <w:t>15–25%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Fiat range</w:t>
            </w:r>
          </w:p>
        </w:tc>
        <w:tc>
          <w:tcPr>
            <w:tcW w:type="dxa" w:w="3024"/>
            <w:shd w:fill="F0F0F0"/>
            <w:vAlign w:val="center"/>
          </w:tcPr>
          <w:p>
            <w:pPr>
              <w:jc w:val="left"/>
            </w:pPr>
            <w:r/>
            <w:r>
              <w:rPr>
                <w:rFonts w:ascii="Calibri" w:hAnsi="Calibri"/>
                <w:color w:val="2D2D2D"/>
                <w:sz w:val="18"/>
              </w:rPr>
              <w:t>70–85%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Digital liquidity range</w:t>
            </w:r>
          </w:p>
        </w:tc>
        <w:tc>
          <w:tcPr>
            <w:tcW w:type="dxa" w:w="3024"/>
            <w:vAlign w:val="center"/>
          </w:tcPr>
          <w:p>
            <w:pPr>
              <w:jc w:val="left"/>
            </w:pPr>
            <w:r/>
            <w:r>
              <w:rPr>
                <w:rFonts w:ascii="Calibri" w:hAnsi="Calibri"/>
                <w:color w:val="2D2D2D"/>
                <w:sz w:val="18"/>
              </w:rPr>
              <w:t>0–5%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Policy target</w:t>
            </w:r>
          </w:p>
        </w:tc>
        <w:tc>
          <w:tcPr>
            <w:tcW w:type="dxa" w:w="3024"/>
            <w:shd w:fill="F0F0F0"/>
            <w:vAlign w:val="center"/>
          </w:tcPr>
          <w:p>
            <w:pPr>
              <w:jc w:val="left"/>
            </w:pPr>
            <w:r/>
            <w:r>
              <w:rPr>
                <w:rFonts w:ascii="Calibri" w:hAnsi="Calibri"/>
                <w:color w:val="2D2D2D"/>
                <w:sz w:val="18"/>
              </w:rPr>
              <w:t>20% bullion / 76.5% fiat / 3.5% digital</w:t>
            </w:r>
          </w:p>
        </w:tc>
        <w:tc>
          <w:tcPr>
            <w:tcW w:type="dxa" w:w="3024"/>
            <w:shd w:fill="F0F0F0"/>
            <w:vAlign w:val="center"/>
          </w:tcPr>
          <w:p>
            <w:pPr>
              <w:jc w:val="left"/>
            </w:pPr>
            <w:r/>
            <w:r>
              <w:rPr>
                <w:rFonts w:ascii="Calibri" w:hAnsi="Calibri"/>
                <w:color w:val="2D2D2D"/>
                <w:sz w:val="18"/>
              </w:rPr>
              <w:t>Strategic policy</w:t>
            </w:r>
          </w:p>
        </w:tc>
      </w:tr>
      <w:tr>
        <w:tc>
          <w:tcPr>
            <w:tcW w:type="dxa" w:w="3024"/>
            <w:vAlign w:val="center"/>
          </w:tcPr>
          <w:p>
            <w:pPr>
              <w:jc w:val="left"/>
            </w:pPr>
            <w:r/>
            <w:r>
              <w:rPr>
                <w:rFonts w:ascii="Calibri" w:hAnsi="Calibri"/>
                <w:color w:val="2D2D2D"/>
                <w:sz w:val="18"/>
              </w:rPr>
              <w:t>USD hard cap</w:t>
            </w:r>
          </w:p>
        </w:tc>
        <w:tc>
          <w:tcPr>
            <w:tcW w:type="dxa" w:w="3024"/>
            <w:vAlign w:val="center"/>
          </w:tcPr>
          <w:p>
            <w:pPr>
              <w:jc w:val="left"/>
            </w:pPr>
            <w:r/>
            <w:r>
              <w:rPr>
                <w:rFonts w:ascii="Calibri" w:hAnsi="Calibri"/>
                <w:color w:val="2D2D2D"/>
                <w:sz w:val="18"/>
              </w:rPr>
              <w:t>35%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Per-currency cap</w:t>
            </w:r>
          </w:p>
        </w:tc>
        <w:tc>
          <w:tcPr>
            <w:tcW w:type="dxa" w:w="3024"/>
            <w:shd w:fill="F0F0F0"/>
            <w:vAlign w:val="center"/>
          </w:tcPr>
          <w:p>
            <w:pPr>
              <w:jc w:val="left"/>
            </w:pPr>
            <w:r/>
            <w:r>
              <w:rPr>
                <w:rFonts w:ascii="Calibri" w:hAnsi="Calibri"/>
                <w:color w:val="2D2D2D"/>
                <w:sz w:val="18"/>
              </w:rPr>
              <w:t>60%</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Stablecoin issuer cap</w:t>
            </w:r>
          </w:p>
        </w:tc>
        <w:tc>
          <w:tcPr>
            <w:tcW w:type="dxa" w:w="3024"/>
            <w:vAlign w:val="center"/>
          </w:tcPr>
          <w:p>
            <w:pPr>
              <w:jc w:val="left"/>
            </w:pPr>
            <w:r/>
            <w:r>
              <w:rPr>
                <w:rFonts w:ascii="Calibri" w:hAnsi="Calibri"/>
                <w:color w:val="2D2D2D"/>
                <w:sz w:val="18"/>
              </w:rPr>
              <w:t>2%</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Per-custodian cap</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Per-jurisdiction reserve cap</w:t>
            </w:r>
          </w:p>
        </w:tc>
        <w:tc>
          <w:tcPr>
            <w:tcW w:type="dxa" w:w="3024"/>
            <w:vAlign w:val="center"/>
          </w:tcPr>
          <w:p>
            <w:pPr>
              <w:jc w:val="left"/>
            </w:pPr>
            <w:r/>
            <w:r>
              <w:rPr>
                <w:rFonts w:ascii="Calibri" w:hAnsi="Calibri"/>
                <w:color w:val="2D2D2D"/>
                <w:sz w:val="18"/>
              </w:rPr>
              <w:t>30%</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Gold liquidation</w:t>
            </w:r>
          </w:p>
        </w:tc>
        <w:tc>
          <w:tcPr>
            <w:tcW w:type="dxa" w:w="3024"/>
            <w:shd w:fill="F0F0F0"/>
            <w:vAlign w:val="center"/>
          </w:tcPr>
          <w:p>
            <w:pPr>
              <w:jc w:val="left"/>
            </w:pPr>
            <w:r/>
            <w:r>
              <w:rPr>
                <w:rFonts w:ascii="Calibri" w:hAnsi="Calibri"/>
                <w:color w:val="2D2D2D"/>
                <w:sz w:val="18"/>
              </w:rPr>
              <w:t>Last-resort only</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Optimization rule</w:t>
            </w:r>
          </w:p>
        </w:tc>
        <w:tc>
          <w:tcPr>
            <w:tcW w:type="dxa" w:w="3024"/>
            <w:vAlign w:val="center"/>
          </w:tcPr>
          <w:p>
            <w:pPr>
              <w:jc w:val="left"/>
            </w:pPr>
            <w:r/>
            <w:r>
              <w:rPr>
                <w:rFonts w:ascii="Calibri" w:hAnsi="Calibri"/>
                <w:color w:val="2D2D2D"/>
                <w:sz w:val="18"/>
              </w:rPr>
              <w:t>Hard constraints first, residual-risk minimization second</w:t>
            </w:r>
          </w:p>
        </w:tc>
        <w:tc>
          <w:tcPr>
            <w:tcW w:type="dxa" w:w="3024"/>
            <w:vAlign w:val="center"/>
          </w:tcPr>
          <w:p>
            <w:pPr>
              <w:jc w:val="left"/>
            </w:pPr>
            <w:r/>
            <w:r>
              <w:rPr>
                <w:rFonts w:ascii="Calibri" w:hAnsi="Calibri"/>
                <w:color w:val="2D2D2D"/>
                <w:sz w:val="18"/>
              </w:rPr>
              <w:t>Constitutional</w:t>
            </w:r>
          </w:p>
        </w:tc>
      </w:tr>
    </w:tbl>
    <w:p/>
    <w:p>
      <w:pPr>
        <w:pStyle w:val="Heading3"/>
      </w:pPr>
      <w:r>
        <w:t>0.2 TERMINOLOGY SEPARATION</w:t>
      </w:r>
    </w:p>
    <w:p>
      <w:r>
        <w:t>For avoidance of ambiguity:</w:t>
      </w:r>
    </w:p>
    <w:p>
      <w:pPr>
        <w:pStyle w:val="ListBullet"/>
        <w:ind w:left="425"/>
      </w:pPr>
      <w:r>
        <w:rPr>
          <w:b/>
        </w:rPr>
        <w:t>PAR</w:t>
      </w:r>
      <w:r>
        <w:t xml:space="preserve"> = unit of account / settlement reference.</w:t>
      </w:r>
    </w:p>
    <w:p>
      <w:pPr>
        <w:pStyle w:val="ListBullet"/>
        <w:ind w:left="425"/>
      </w:pPr>
      <w:r>
        <w:rPr>
          <w:b/>
        </w:rPr>
        <w:t>Gold anchor</w:t>
      </w:r>
      <w:r>
        <w:t xml:space="preserve"> = strategic reserve discipline and long-term purchasing-power reference; not a gold peg.</w:t>
      </w:r>
    </w:p>
    <w:p>
      <w:pPr>
        <w:pStyle w:val="ListBullet"/>
        <w:ind w:left="425"/>
      </w:pPr>
      <w:r>
        <w:rPr>
          <w:b/>
        </w:rPr>
        <w:t>Reserve asset</w:t>
      </w:r>
      <w:r>
        <w:t xml:space="preserve"> = asset actually held and legally attributable to the reserve pool.</w:t>
      </w:r>
    </w:p>
    <w:p>
      <w:pPr>
        <w:pStyle w:val="ListBullet"/>
        <w:ind w:left="425"/>
      </w:pPr>
      <w:r>
        <w:rPr>
          <w:b/>
        </w:rPr>
        <w:t>Redemption asset</w:t>
      </w:r>
      <w:r>
        <w:t xml:space="preserve"> = asset delivered or converted to satisfy a valid redemption claim.</w:t>
      </w:r>
    </w:p>
    <w:p>
      <w:pPr>
        <w:pStyle w:val="ListBullet"/>
        <w:ind w:left="425"/>
      </w:pPr>
      <w:r>
        <w:rPr>
          <w:b/>
        </w:rPr>
        <w:t>Solvency</w:t>
      </w:r>
      <w:r>
        <w:t xml:space="preserve"> = ability of adjusted reserve value to cover contractual redemption liabilities.</w:t>
      </w:r>
    </w:p>
    <w:p>
      <w:pPr>
        <w:pStyle w:val="ListBullet"/>
        <w:ind w:left="425"/>
      </w:pPr>
      <w:r>
        <w:rPr>
          <w:b/>
        </w:rPr>
        <w:t>Liquidity</w:t>
      </w:r>
      <w:r>
        <w:t xml:space="preserve"> = ability to satisfy near-term redemption demand without unacceptable execution loss.</w:t>
      </w:r>
    </w:p>
    <w:p>
      <w:pPr>
        <w:pStyle w:val="ListBullet"/>
        <w:ind w:left="425"/>
      </w:pPr>
      <w:r>
        <w:rPr>
          <w:b/>
        </w:rPr>
        <w:t>Regulatory classification</w:t>
      </w:r>
      <w:r>
        <w:t xml:space="preserve"> = determined by economic substance and applicable law, not by labels in this document.</w:t>
      </w:r>
    </w:p>
    <w:p>
      <w:pPr>
        <w:pBdr>
          <w:bottom w:val="single" w:sz="12" w:space="1" w:color="C59B1E"/>
        </w:pBdr>
      </w:pPr>
    </w:p>
    <w:p>
      <w:pPr>
        <w:pStyle w:val="Heading2"/>
      </w:pPr>
      <w:r>
        <w:t>1. CONFLICT RESOLUTIONS (8 Reconciliations)</w:t>
      </w:r>
    </w:p>
    <w:p>
      <w:pPr>
        <w:pStyle w:val="Heading3"/>
      </w:pPr>
      <w:r>
        <w:t>1.1 Platinum — RESOLVED: NO PLATINUM</w:t>
      </w:r>
    </w:p>
    <w:p>
      <w:r>
        <w:t>No platinum. Dynamic φ_t gold/silver only within the bullion tier.</w:t>
      </w:r>
    </w:p>
    <w:p>
      <w:pPr>
        <w:pStyle w:val="Heading3"/>
      </w:pPr>
      <w:r>
        <w:t>1.2 Currency Concentration Cap — RESOLVED: 35% USD HARD CAP</w:t>
      </w:r>
    </w:p>
    <w:p>
      <w:r>
        <w:t xml:space="preserve">The 60% general per-currency cap is retained as the constitutional maximum. A </w:t>
      </w:r>
      <w:r>
        <w:rPr>
          <w:b/>
        </w:rPr>
        <w:t>35% USD-specific hard cap</w:t>
      </w:r>
      <w:r>
        <w:t xml:space="preserve"> is added to prevent USD from becoming the hidden monetary anchor.</w:t>
      </w:r>
    </w:p>
    <w:p>
      <w:pPr>
        <w:pStyle w:val="Heading3"/>
      </w:pPr>
      <w:r>
        <w:t>1.3 Reserve Tiers — RESOLVED: THREE-PILLAR + FOUR-LAYER</w:t>
      </w:r>
    </w:p>
    <w:p>
      <w:r>
        <w:rPr>
          <w:b/>
        </w:rPr>
        <w:t>Three-pillar strategic architecture</w:t>
      </w:r>
      <w:r>
        <w:t xml:space="preserve"> (monetary design view):</w:t>
      </w:r>
    </w:p>
    <w:p>
      <w:pPr>
        <w:pStyle w:val="ListBullet"/>
        <w:ind w:left="425"/>
      </w:pPr>
      <w:r>
        <w:t>Pillar A — Bullion Anchor (Gold + Silver): policy target 20%; constitutional range 15–25%</w:t>
      </w:r>
    </w:p>
    <w:p>
      <w:pPr>
        <w:pStyle w:val="ListBullet"/>
        <w:ind w:left="425"/>
      </w:pPr>
      <w:r>
        <w:t>Pillar B — Global Fiat Reserve (Cash + Sovereign): policy target 76.5%; constitutional range 70–85%</w:t>
      </w:r>
    </w:p>
    <w:p>
      <w:pPr>
        <w:pStyle w:val="ListBullet"/>
        <w:ind w:left="425"/>
      </w:pPr>
      <w:r>
        <w:t>Pillar C — Digital Liquidity Sleeve (Eligible stablecoins + tokenized government liquidity): policy target 3.5%; constitutional range 0–5%</w:t>
      </w:r>
    </w:p>
    <w:p>
      <w:r>
        <w:rPr>
          <w:b/>
        </w:rPr>
        <w:t>Four-layer measurement architecture</w:t>
      </w:r>
      <w:r>
        <w:t xml:space="preserve"> (risk measurement view):</w:t>
      </w:r>
    </w:p>
    <w:p>
      <w:pPr>
        <w:pStyle w:val="ListBullet"/>
        <w:ind w:left="425"/>
      </w:pPr>
      <w:r>
        <w:t>Layer 1 — Constitutional Solvency (RR)</w:t>
      </w:r>
    </w:p>
    <w:p>
      <w:pPr>
        <w:pStyle w:val="ListBullet"/>
        <w:ind w:left="425"/>
      </w:pPr>
      <w:r>
        <w:t>Layer 2 — Gold-Relative Strength (GEI + CBGRS + BRI)</w:t>
      </w:r>
    </w:p>
    <w:p>
      <w:pPr>
        <w:pStyle w:val="ListBullet"/>
        <w:ind w:left="425"/>
      </w:pPr>
      <w:r>
        <w:t>Layer 3 — Liquidity Protection (LCR + LCI)</w:t>
      </w:r>
    </w:p>
    <w:p>
      <w:pPr>
        <w:pStyle w:val="ListBullet"/>
        <w:ind w:left="425"/>
      </w:pPr>
      <w:r>
        <w:t>Layer 4 — Risk Dashboard (CQS + CRS + GCRS + SRR + CVaR + DRI + Multi-numéraire PP)</w:t>
      </w:r>
    </w:p>
    <w:p>
      <w:pPr>
        <w:pStyle w:val="Heading3"/>
      </w:pPr>
      <w:r>
        <w:t>1.4 Liquidation Order — RESOLVED: ARTICLE X SEQUENTIAL</w:t>
      </w:r>
    </w:p>
    <w:p>
      <w:pPr>
        <w:pStyle w:val="ListNumber"/>
        <w:ind w:left="425"/>
      </w:pPr>
      <w:r>
        <w:t>Stablecoins → 2. Cash → 3. Sovereign → 4. Non-USD FX → 5. Silver → 6. Gold LAST (Exhaustion Certificate required)</w:t>
      </w:r>
    </w:p>
    <w:p>
      <w:pPr>
        <w:pStyle w:val="Heading3"/>
      </w:pPr>
      <w:r>
        <w:t>1.5 Reserve Ratio — RESOLVED: PAR-BASED</w:t>
      </w:r>
    </w:p>
    <w:p>
      <w:pPr>
        <w:ind w:left="283"/>
        <w:shd w:fill="F5F5F5"/>
      </w:pPr>
      <w:r>
        <w:rPr>
          <w:rFonts w:ascii="Consolas" w:hAnsi="Consolas"/>
          <w:color w:val="6B6B6B"/>
          <w:sz w:val="18"/>
        </w:rPr>
        <w:t>RR = R_a / (S × PAR), where PAR = $1.00 (fixed)</w:t>
        <w:br/>
        <w:t>RR ≥ 100% (constitutional floor), RR ≥ 105% (policy target), RR ≥ 120% (strategic target = 20% excess reserve value over contractual redemption liabilities)</w:t>
      </w:r>
    </w:p>
    <w:p>
      <w:r>
        <w:t>RR is the SINGLE legal solvency metric. It is NOT tautological. It is NOT replaced by GRI, GEI, CBGRS, BRI, GACR, or MRR.</w:t>
      </w:r>
    </w:p>
    <w:p>
      <w:pPr>
        <w:pStyle w:val="Heading3"/>
      </w:pPr>
      <w:r>
        <w:t>1.6 Gold-Referenced Measurement — RESOLVED: ADVISORY ONLY</w:t>
      </w:r>
    </w:p>
    <w:p>
      <w:r>
        <w:t>Gold is the constitutional monetary anchor. GEI, CBGRS, BRI, and GACR are ADVISORY health metrics. They do NOT change PAR. They do NOT trigger rebalancing. They do NOT replace RR.</w:t>
      </w:r>
    </w:p>
    <w:p>
      <w:pPr>
        <w:pStyle w:val="Heading3"/>
      </w:pPr>
      <w:r>
        <w:t>1.7 MRR (Multi-Numéraire RR) — RESOLVED: MRR = RR</w:t>
      </w:r>
    </w:p>
    <w:p>
      <w:r>
        <w:t>The Multi-Numéraire Reserve Ratio is mathematically equivalent to standard RR (the FX conversion cancels in the ratio). Multi-numéraire purchasing-power reporting is a transparency layer, NOT a different solvency metric.</w:t>
      </w:r>
    </w:p>
    <w:p>
      <w:pPr>
        <w:pStyle w:val="Heading3"/>
      </w:pPr>
      <w:r>
        <w:t>1.8 Stablecoin Classification — RESOLVED: DIGITAL LIQUIDITY SLEEVE (v24)</w:t>
      </w:r>
    </w:p>
    <w:p>
      <w:r>
        <w:t xml:space="preserve">Stablecoins are NOT a core monetary reserve pillar. They are a </w:t>
      </w:r>
      <w:r>
        <w:rPr>
          <w:b/>
        </w:rPr>
        <w:t>digital liquidity sleeve</w:t>
      </w:r>
      <w:r>
        <w:t xml:space="preserve"> — a capped, dynamically optimized settlement/redemption bridge. The 5% allocation is a MAXIMUM, not a mandate. DAI is optional (not mandatory). USDT is excluded (DRQS below threshold).</w:t>
      </w:r>
    </w:p>
    <w:p>
      <w:pPr>
        <w:pBdr>
          <w:bottom w:val="single" w:sz="12" w:space="1" w:color="C59B1E"/>
        </w:pBdr>
      </w:pPr>
    </w:p>
    <w:p>
      <w:pPr>
        <w:pStyle w:val="Heading2"/>
      </w:pPr>
      <w:r>
        <w:t>2. CONSTITUTIONAL IDENTITY</w:t>
      </w:r>
    </w:p>
    <w:p>
      <w:r>
        <w:t xml:space="preserve">MITHQAL is a </w:t>
      </w:r>
      <w:r>
        <w:rPr>
          <w:b/>
        </w:rPr>
        <w:t>gold-disciplined Constitutional Settlement Institution</w:t>
      </w:r>
      <w:r>
        <w:t xml:space="preserve"> — neutral, reserve-backed, and designed for international trade settlement. Any statement of Sharia compliance is subject to the independent certification process defined in §2A.5.</w:t>
      </w:r>
    </w:p>
    <w:p>
      <w:r>
        <w:rPr>
          <w:b/>
        </w:rPr>
        <w:t>What it is NOT:</w:t>
      </w:r>
      <w:r>
        <w:t xml:space="preserve"> Not a bank, not a lending platform, not a payment processor, not a marketplace, not a DeFi protocol, not a speculative asset, not a DAO, not a stablecoin, not a gold-backed token.</w:t>
      </w:r>
    </w:p>
    <w:p>
      <w:r>
        <w:rPr>
          <w:b/>
        </w:rPr>
        <w:t>What it IS:</w:t>
      </w:r>
      <w:r>
        <w:t xml:space="preserve"> Gold-anchored, globally diversified, reserve-backed monetary infrastructure with a fixed settlement PAR. The USD is a reference unit for settlement, NOT the economic anchor.</w:t>
      </w:r>
    </w:p>
    <w:p>
      <w:r>
        <w:rPr>
          <w:b/>
        </w:rPr>
        <w:t>Five Constitutional Monetary Rules:</w:t>
      </w:r>
    </w:p>
    <w:p>
      <w:pPr>
        <w:pStyle w:val="ListNumber"/>
        <w:ind w:left="425"/>
      </w:pPr>
      <w:r>
        <w:t>Gold is the primary strategic anchor</w:t>
      </w:r>
    </w:p>
    <w:p>
      <w:pPr>
        <w:pStyle w:val="ListNumber"/>
        <w:ind w:left="425"/>
      </w:pPr>
      <w:r>
        <w:t>Silver is secondary, not co-anchor</w:t>
      </w:r>
    </w:p>
    <w:p>
      <w:pPr>
        <w:pStyle w:val="ListNumber"/>
        <w:ind w:left="425"/>
      </w:pPr>
      <w:r>
        <w:t>No fiat currency is permanently dominant</w:t>
      </w:r>
    </w:p>
    <w:p>
      <w:pPr>
        <w:pStyle w:val="ListNumber"/>
        <w:ind w:left="425"/>
      </w:pPr>
      <w:r>
        <w:t>Currency weights are dynamic but constrained</w:t>
      </w:r>
    </w:p>
    <w:p>
      <w:pPr>
        <w:pStyle w:val="ListNumber"/>
        <w:ind w:left="425"/>
      </w:pPr>
      <w:r>
        <w:t>PAR remains stable; reserves absorb changes</w:t>
      </w:r>
    </w:p>
    <w:p>
      <w:r>
        <w:rPr>
          <w:b/>
        </w:rPr>
        <w:t>Anti-Platform Clause (permanent, non-amendable):</w:t>
      </w:r>
      <w:r>
        <w:t xml:space="preserve"> No lending, exchange, brokerage, asset management, derivatives, DeFi, or commercial platform services.</w:t>
      </w:r>
    </w:p>
    <w:p>
      <w:r>
        <w:rPr>
          <w:b/>
        </w:rPr>
        <w:t>Founder Holdings Cap:</w:t>
      </w:r>
      <w:r>
        <w:t xml:space="preserve"> ≤20% of circulating supply.</w:t>
      </w:r>
    </w:p>
    <w:p>
      <w:pPr>
        <w:pStyle w:val="Heading3"/>
      </w:pPr>
      <w:r>
        <w:t>2A. INSTITUTIONAL LEGAL, CUSTODY &amp; REGULATORY PERIMETER (v24)</w:t>
      </w:r>
    </w:p>
    <w:p>
      <w:r>
        <w:t>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p>
      <w:pPr>
        <w:pStyle w:val="Heading4"/>
      </w:pPr>
      <w:r>
        <w:t>2A.1 Holder Claim</w:t>
      </w:r>
    </w:p>
    <w:p>
      <w:r>
        <w:t>Every MTQ issuance SHALL have a documented legal description answering, at minimum:</w:t>
      </w:r>
    </w:p>
    <w:p>
      <w:pPr>
        <w:pStyle w:val="ListNumber"/>
        <w:ind w:left="425"/>
      </w:pPr>
      <w:r>
        <w:t>Who is the legal issuer/obligor?</w:t>
      </w:r>
    </w:p>
    <w:p>
      <w:pPr>
        <w:pStyle w:val="ListNumber"/>
        <w:ind w:left="425"/>
      </w:pPr>
      <w:r>
        <w:t>What exactly may the holder redeem?</w:t>
      </w:r>
    </w:p>
    <w:p>
      <w:pPr>
        <w:pStyle w:val="ListNumber"/>
        <w:ind w:left="425"/>
      </w:pPr>
      <w:r>
        <w:t>Against whom is the claim enforceable?</w:t>
      </w:r>
    </w:p>
    <w:p>
      <w:pPr>
        <w:pStyle w:val="ListNumber"/>
        <w:ind w:left="425"/>
      </w:pPr>
      <w:r>
        <w:t>Under which governing law(s)?</w:t>
      </w:r>
    </w:p>
    <w:p>
      <w:pPr>
        <w:pStyle w:val="ListNumber"/>
        <w:ind w:left="425"/>
      </w:pPr>
      <w:r>
        <w:t>Where are reserve assets legally held?</w:t>
      </w:r>
    </w:p>
    <w:p>
      <w:pPr>
        <w:pStyle w:val="ListNumber"/>
        <w:ind w:left="425"/>
      </w:pPr>
      <w:r>
        <w:t>Are reserves bankruptcy-remote from operating entities and creditors?</w:t>
      </w:r>
    </w:p>
    <w:p>
      <w:pPr>
        <w:pStyle w:val="ListNumber"/>
        <w:ind w:left="425"/>
      </w:pPr>
      <w:r>
        <w:t>What happens if a custodian, bank, issuer, oracle provider, or technology provider fails?</w:t>
      </w:r>
    </w:p>
    <w:p>
      <w:r>
        <w:t>No production issuance is permitted until independent legal counsel documents the answers in a jurisdiction-specific legal opinion.</w:t>
      </w:r>
    </w:p>
    <w:p>
      <w:pPr>
        <w:pStyle w:val="Heading4"/>
      </w:pPr>
      <w:r>
        <w:t>2A.2 Reserve Legal Segregation</w:t>
      </w:r>
    </w:p>
    <w:p>
      <w:r>
        <w:t>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p>
      <w:pPr>
        <w:pStyle w:val="Heading4"/>
      </w:pPr>
      <w:r>
        <w:t>2A.3 Regulatory Perimeter</w:t>
      </w:r>
    </w:p>
    <w:p>
      <w:r>
        <w:t>The Institution SHALL maintain a jurisdiction-by-jurisdiction regulatory matrix covering the United States, European Union/EEA, UAE/GCC, Singapore, Hong Kong, Japan and any additional deployment jurisdiction. The matrix SHALL identify:</w:t>
      </w:r>
    </w:p>
    <w:p>
      <w:pPr>
        <w:pStyle w:val="ListBullet"/>
        <w:ind w:left="425"/>
      </w:pPr>
      <w:r>
        <w:t>licensing/registration requirements;</w:t>
      </w:r>
    </w:p>
    <w:p>
      <w:pPr>
        <w:pStyle w:val="ListBullet"/>
        <w:ind w:left="425"/>
      </w:pPr>
      <w:r>
        <w:t>payment-token/stablecoin/asset-referenced-token/e-money classification risks;</w:t>
      </w:r>
    </w:p>
    <w:p>
      <w:pPr>
        <w:pStyle w:val="ListBullet"/>
        <w:ind w:left="425"/>
      </w:pPr>
      <w:r>
        <w:t>AML/CFT and sanctions obligations;</w:t>
      </w:r>
    </w:p>
    <w:p>
      <w:pPr>
        <w:pStyle w:val="ListBullet"/>
        <w:ind w:left="425"/>
      </w:pPr>
      <w:r>
        <w:t>custody and reserve requirements;</w:t>
      </w:r>
    </w:p>
    <w:p>
      <w:pPr>
        <w:pStyle w:val="ListBullet"/>
        <w:ind w:left="425"/>
      </w:pPr>
      <w:r>
        <w:t>redemption requirements;</w:t>
      </w:r>
    </w:p>
    <w:p>
      <w:pPr>
        <w:pStyle w:val="ListBullet"/>
        <w:ind w:left="425"/>
      </w:pPr>
      <w:r>
        <w:t>data/privacy obligations;</w:t>
      </w:r>
    </w:p>
    <w:p>
      <w:pPr>
        <w:pStyle w:val="ListBullet"/>
        <w:ind w:left="425"/>
      </w:pPr>
      <w:r>
        <w:t>market-conduct restrictions;</w:t>
      </w:r>
    </w:p>
    <w:p>
      <w:pPr>
        <w:pStyle w:val="ListBullet"/>
        <w:ind w:left="425"/>
      </w:pPr>
      <w:r>
        <w:t>cross-border transfer rules;</w:t>
      </w:r>
    </w:p>
    <w:p>
      <w:pPr>
        <w:pStyle w:val="ListBullet"/>
        <w:ind w:left="425"/>
      </w:pPr>
      <w:r>
        <w:t>tax/accounting treatment;</w:t>
      </w:r>
    </w:p>
    <w:p>
      <w:pPr>
        <w:pStyle w:val="ListBullet"/>
        <w:ind w:left="425"/>
      </w:pPr>
      <w:r>
        <w:t>Sharia governance requirements where applicable.</w:t>
      </w:r>
    </w:p>
    <w:p>
      <w:r>
        <w:t>Constitutional text does not constitute regulatory approval.</w:t>
      </w:r>
    </w:p>
    <w:p>
      <w:pPr>
        <w:pStyle w:val="Heading4"/>
      </w:pPr>
      <w:r>
        <w:t>2A.4 Central-Bank Compatibility</w:t>
      </w:r>
    </w:p>
    <w:p>
      <w:r>
        <w:t xml:space="preserve">MITHQAL SHALL be positioned as </w:t>
      </w:r>
      <w:r>
        <w:rPr>
          <w:b/>
        </w:rPr>
        <w:t>neutral institutional settlement infrastructure interoperable with the existing monetary system</w:t>
      </w:r>
      <w:r>
        <w:t>, not as a central bank, sovereign currency issuer, or substitute for central-bank money.</w:t>
      </w:r>
    </w:p>
    <w:p>
      <w:r>
        <w:t>The preferred interoperability hierarchy is:</w:t>
      </w:r>
    </w:p>
    <w:p>
      <w:r>
        <w:t>central-bank money / regulated settlement balances</w:t>
      </w:r>
    </w:p>
    <w:p>
      <w:r>
        <w:t>↓</w:t>
      </w:r>
    </w:p>
    <w:p>
      <w:r>
        <w:t>regulated commercial-bank money / approved payment rails</w:t>
      </w:r>
    </w:p>
    <w:p>
      <w:r>
        <w:t>↓</w:t>
      </w:r>
    </w:p>
    <w:p>
      <w:r>
        <w:t>tokenized sovereign / cash-equivalent assets</w:t>
      </w:r>
    </w:p>
    <w:p>
      <w:r>
        <w:t>↓</w:t>
      </w:r>
    </w:p>
    <w:p>
      <w:r>
        <w:t>MITHQAL reserve and settlement infrastructure</w:t>
      </w:r>
    </w:p>
    <w:p>
      <w:r>
        <w:t>↓</w:t>
      </w:r>
    </w:p>
    <w:p>
      <w:r>
        <w:t>trade settlement / redemption</w:t>
      </w:r>
    </w:p>
    <w:p>
      <w:r>
        <w:t>Where direct central-bank interoperability is not legally available, the Institution SHALL use regulated intermediary rails and explicitly document the resulting dependency.</w:t>
      </w:r>
    </w:p>
    <w:p>
      <w:pPr>
        <w:pStyle w:val="Heading4"/>
      </w:pPr>
      <w:r>
        <w:t>2A.5 Sharia Status</w:t>
      </w:r>
    </w:p>
    <w:p>
      <w:r>
        <w:t>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p>
      <w:pPr>
        <w:pStyle w:val="Heading4"/>
      </w:pPr>
      <w:r>
        <w:t>2A.6 Institutional Claims Standard</w:t>
      </w:r>
    </w:p>
    <w:p>
      <w:r>
        <w:t>The Institution and all official documentation SHALL NOT claim:</w:t>
      </w:r>
    </w:p>
    <w:p>
      <w:pPr>
        <w:pStyle w:val="ListBullet"/>
        <w:ind w:left="425"/>
      </w:pPr>
      <w:r>
        <w:t>zero counterparty risk;</w:t>
      </w:r>
    </w:p>
    <w:p>
      <w:pPr>
        <w:pStyle w:val="ListBullet"/>
        <w:ind w:left="425"/>
      </w:pPr>
      <w:r>
        <w:t>zero regulatory risk;</w:t>
      </w:r>
    </w:p>
    <w:p>
      <w:pPr>
        <w:pStyle w:val="ListBullet"/>
        <w:ind w:left="425"/>
      </w:pPr>
      <w:r>
        <w:t>immunity from oracle manipulation;</w:t>
      </w:r>
    </w:p>
    <w:p>
      <w:pPr>
        <w:pStyle w:val="ListBullet"/>
        <w:ind w:left="425"/>
      </w:pPr>
      <w:r>
        <w:t>economic invincibility;</w:t>
      </w:r>
    </w:p>
    <w:p>
      <w:pPr>
        <w:pStyle w:val="ListBullet"/>
        <w:ind w:left="425"/>
      </w:pPr>
      <w:r>
        <w:t>guaranteed purchasing-power preservation;</w:t>
      </w:r>
    </w:p>
    <w:p>
      <w:pPr>
        <w:pStyle w:val="ListBullet"/>
        <w:ind w:left="425"/>
      </w:pPr>
      <w:r>
        <w:t>automatic MiCA/US/UAE/Singapore approval; or</w:t>
      </w:r>
    </w:p>
    <w:p>
      <w:pPr>
        <w:pStyle w:val="ListBullet"/>
        <w:ind w:left="425"/>
      </w:pPr>
      <w:r>
        <w:t>central-bank endorsement unless formally granted by the relevant institution.</w:t>
      </w:r>
    </w:p>
    <w:p>
      <w:r>
        <w:t>All institutional claims SHALL be evidence-based and independently reproducible.</w:t>
      </w:r>
    </w:p>
    <w:p>
      <w:r>
        <w:rPr>
          <w:b/>
        </w:rPr>
        <w:t>PAR Definition (v24 clarification):</w:t>
      </w:r>
    </w:p>
    <w:p>
      <w:r>
        <w:t xml:space="preserve">PAR = $1.00 is a </w:t>
      </w:r>
      <w:r>
        <w:rPr>
          <w:b/>
        </w:rPr>
        <w:t>USD-denominated settlement unit</w:t>
      </w:r>
      <w:r>
        <w:t>, NOT a USD-backed monetary identity. MITHQAL is not saying "MTQ is backed by USD." It is saying "MTQ has a fixed accounting/redemption reference of one U.S. dollar." The reserve portfolio itself remains globally diversified. The USD is a reference unit, not the economic anchor.</w:t>
      </w:r>
    </w:p>
    <w:p>
      <w:pPr>
        <w:pBdr>
          <w:bottom w:val="single" w:sz="12" w:space="1" w:color="C59B1E"/>
        </w:pBdr>
      </w:pPr>
    </w:p>
    <w:p>
      <w:pPr>
        <w:pStyle w:val="Heading2"/>
      </w:pPr>
      <w:r>
        <w:t>3. MONETARY ARCHITECTURE</w:t>
      </w:r>
    </w:p>
    <w:p>
      <w:pPr>
        <w:pStyle w:val="Heading3"/>
      </w:pPr>
      <w:r>
        <w:t>3.1 PAR</w:t>
      </w:r>
    </w:p>
    <w:p>
      <w:pPr>
        <w:ind w:left="283"/>
        <w:shd w:fill="F5F5F5"/>
      </w:pPr>
      <w:r>
        <w:rPr>
          <w:rFonts w:ascii="Consolas" w:hAnsi="Consolas"/>
          <w:color w:val="6B6B6B"/>
          <w:sz w:val="18"/>
        </w:rPr>
        <w:t>PAR = $1.00 (fixed, non-CPI-linked, non-gold-linked)</w:t>
        <w:br/>
        <w:t>L = S × PAR = 54,000,000 × $1.00 = $54,000,000 (fixed redemption liability)</w:t>
      </w:r>
    </w:p>
    <w:p>
      <w:r>
        <w:rPr>
          <w:b/>
        </w:rPr>
        <w:t>v24 PAR Constitutional Unit Study result:</w:t>
      </w:r>
      <w:r>
        <w:t xml:space="preserve"> PAR = $1.00 is RETAINED. A future "PAR as constitutional unit" (currency-neutral) was studied but DEFERRED due to higher gharar risk, regulatory reclassification risk, accounting complexity, and smart contract complexity. Requires separate Sharia fatwa and legal opinion.</w:t>
      </w:r>
    </w:p>
    <w:p>
      <w:r>
        <w:rPr>
          <w:b/>
        </w:rPr>
        <w:t>Compromise:</w:t>
      </w:r>
      <w:r>
        <w:t xml:space="preserve"> PAR = $1.00 + multi-currency NAV reporting + multi-numéraire purchasing-power display. The architecture is neutral (diversified reserves); the settlement unit is USD (practical, compliant, Sharia-friendly).</w:t>
      </w:r>
    </w:p>
    <w:p>
      <w:pPr>
        <w:pStyle w:val="Heading3"/>
      </w:pPr>
      <w:r>
        <w:t>3.2 NAV</w:t>
      </w:r>
    </w:p>
    <w:p>
      <w:pPr>
        <w:ind w:left="283"/>
        <w:shd w:fill="F5F5F5"/>
      </w:pPr>
      <w:r>
        <w:rPr>
          <w:rFonts w:ascii="Consolas" w:hAnsi="Consolas"/>
          <w:color w:val="6B6B6B"/>
          <w:sz w:val="18"/>
        </w:rPr>
        <w:t>NAV_m = R_m / S    (Market NAV — mark-to-market reserve value per MTQ)</w:t>
        <w:br/>
        <w:t>NAV_l = R_a / S    (Prudential NAV — post-haircut, post-counterparty-score)</w:t>
        <w:br/>
        <w:t>NAV_s = R_l / S    (Stress NAV — post-haircut, post-counterparty-score, post-stress-coefficient)</w:t>
      </w:r>
    </w:p>
    <w:p>
      <w:r>
        <w:t>Multi-currency NAV is reported on the transparency dashboard:</w:t>
      </w:r>
    </w:p>
    <w:p>
      <w:pPr>
        <w:pStyle w:val="ListBullet"/>
        <w:ind w:left="425"/>
      </w:pPr>
      <w:r>
        <w:t>USD NAV (primary accounting)</w:t>
      </w:r>
    </w:p>
    <w:p>
      <w:pPr>
        <w:pStyle w:val="ListBullet"/>
        <w:ind w:left="425"/>
      </w:pPr>
      <w:r>
        <w:t>EUR NAV, CHF NAV, JPY NAV, GBP NAV, CNY NAV (reference)</w:t>
      </w:r>
    </w:p>
    <w:p>
      <w:pPr>
        <w:pStyle w:val="ListBullet"/>
        <w:ind w:left="425"/>
      </w:pPr>
      <w:r>
        <w:t>Gold-equivalent NAV (purchasing power)</w:t>
      </w:r>
    </w:p>
    <w:p>
      <w:pPr>
        <w:pStyle w:val="ListBullet"/>
        <w:ind w:left="425"/>
      </w:pPr>
      <w:r>
        <w:t>Silver-equivalent NAV (secondary reference)</w:t>
      </w:r>
    </w:p>
    <w:p>
      <w:pPr>
        <w:pStyle w:val="Heading3"/>
      </w:pPr>
      <w:r>
        <w:t>3.3 Reserve Ratio (Layer 1 — Constitutional Solvency)</w:t>
      </w:r>
    </w:p>
    <w:p>
      <w:pPr>
        <w:ind w:left="283"/>
        <w:shd w:fill="F5F5F5"/>
      </w:pPr>
      <w:r>
        <w:rPr>
          <w:rFonts w:ascii="Consolas" w:hAnsi="Consolas"/>
          <w:color w:val="6B6B6B"/>
          <w:sz w:val="18"/>
        </w:rPr>
        <w:t>RR = R_a / (S × PAR)</w:t>
        <w:br/>
        <w:br/>
        <w:t>R_m = Σ Q_a × P_a                                    (market reserve value)</w:t>
        <w:br/>
        <w:t>R_a = Σ Q_a × P_a × (1 − H_a) × C_a                  (adjusted reserve value)</w:t>
        <w:br/>
        <w:t>R_l = Σ Q_a × P_a × (1 − H_a) × C_a × S_a            (stress reserve value)</w:t>
        <w:br/>
        <w:br/>
        <w:t>Where:</w:t>
        <w:br/>
        <w:t xml:space="preserve">  Q_a = quantity of asset a</w:t>
        <w:br/>
        <w:t xml:space="preserve">  P_a = market price of asset a</w:t>
        <w:br/>
        <w:t xml:space="preserve">  H_a = constitutional haircut (§3.5)</w:t>
        <w:br/>
        <w:t xml:space="preserve">  C_a = counterparty score (§3.6, multiplicative: Credit × Jurisdiction × Operational)</w:t>
        <w:br/>
        <w:t xml:space="preserve">  S_a = stress coefficient (§3.7)</w:t>
        <w:br/>
        <w:br/>
        <w:t>Constitutional floor: RR ≥ 100% (hard invariant — auto-pauses minting)</w:t>
        <w:br/>
        <w:t>Policy target: RR ≥ 105%</w:t>
        <w:br/>
        <w:t>Strategic target: RR ≥ 120% (20% excess reserve value over contractual redemption liabilities)</w:t>
      </w:r>
    </w:p>
    <w:p>
      <w:r>
        <w:rPr>
          <w:b/>
        </w:rPr>
        <w:t>RR is the SINGLE legal solvency metric.</w:t>
      </w:r>
      <w:r>
        <w:t xml:space="preserve"> It is NOT tautological. It is NOT replaced by GRI, GEI, CBGRS, BRI, GACR, or MRR. It determines minting pause, emergency mode, and redemption throttle.</w:t>
      </w:r>
    </w:p>
    <w:p>
      <w:pPr>
        <w:pStyle w:val="Heading3"/>
      </w:pPr>
      <w:r>
        <w:t>3.4 Haircut Table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Haircut (H)</w:t>
            </w:r>
          </w:p>
        </w:tc>
      </w:tr>
      <w:tr>
        <w:tc>
          <w:tcPr>
            <w:tcW w:type="dxa" w:w="4536"/>
            <w:vAlign w:val="center"/>
          </w:tcPr>
          <w:p>
            <w:pPr>
              <w:jc w:val="left"/>
            </w:pPr>
            <w:r/>
            <w:r>
              <w:rPr>
                <w:rFonts w:ascii="Calibri" w:hAnsi="Calibri"/>
                <w:color w:val="2D2D2D"/>
                <w:sz w:val="18"/>
              </w:rPr>
              <w:t>Cash (central-bank-quality)</w:t>
            </w:r>
          </w:p>
        </w:tc>
        <w:tc>
          <w:tcPr>
            <w:tcW w:type="dxa" w:w="4536"/>
            <w:vAlign w:val="center"/>
          </w:tcPr>
          <w:p>
            <w:pPr>
              <w:jc w:val="left"/>
            </w:pPr>
            <w:r/>
            <w:r>
              <w:rPr>
                <w:rFonts w:ascii="Calibri" w:hAnsi="Calibri"/>
                <w:color w:val="2D2D2D"/>
                <w:sz w:val="18"/>
              </w:rPr>
              <w:t>0%</w:t>
            </w:r>
          </w:p>
        </w:tc>
      </w:tr>
      <w:tr>
        <w:tc>
          <w:tcPr>
            <w:tcW w:type="dxa" w:w="4536"/>
            <w:shd w:fill="F0F0F0"/>
            <w:vAlign w:val="center"/>
          </w:tcPr>
          <w:p>
            <w:pPr>
              <w:jc w:val="left"/>
            </w:pPr>
            <w:r/>
            <w:r>
              <w:rPr>
                <w:rFonts w:ascii="Calibri" w:hAnsi="Calibri"/>
                <w:color w:val="2D2D2D"/>
                <w:sz w:val="18"/>
              </w:rPr>
              <w:t>Sovereign (T-bills ≤1yr)</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Sukuk (Sharia-compliant)</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Gold (allocated physical)</w:t>
            </w:r>
          </w:p>
        </w:tc>
        <w:tc>
          <w:tcPr>
            <w:tcW w:type="dxa" w:w="4536"/>
            <w:shd w:fill="F0F0F0"/>
            <w:vAlign w:val="center"/>
          </w:tcPr>
          <w:p>
            <w:pPr>
              <w:jc w:val="left"/>
            </w:pPr>
            <w:r/>
            <w:r>
              <w:rPr>
                <w:rFonts w:ascii="Calibri" w:hAnsi="Calibri"/>
                <w:color w:val="2D2D2D"/>
                <w:sz w:val="18"/>
              </w:rPr>
              <w:t>5%</w:t>
            </w:r>
          </w:p>
        </w:tc>
      </w:tr>
      <w:tr>
        <w:tc>
          <w:tcPr>
            <w:tcW w:type="dxa" w:w="4536"/>
            <w:vAlign w:val="center"/>
          </w:tcPr>
          <w:p>
            <w:pPr>
              <w:jc w:val="left"/>
            </w:pPr>
            <w:r/>
            <w:r>
              <w:rPr>
                <w:rFonts w:ascii="Calibri" w:hAnsi="Calibri"/>
                <w:color w:val="2D2D2D"/>
                <w:sz w:val="18"/>
              </w:rPr>
              <w:t>Silver (allocated physical)</w:t>
            </w:r>
          </w:p>
        </w:tc>
        <w:tc>
          <w:tcPr>
            <w:tcW w:type="dxa" w:w="4536"/>
            <w:vAlign w:val="center"/>
          </w:tcPr>
          <w:p>
            <w:pPr>
              <w:jc w:val="left"/>
            </w:pPr>
            <w:r/>
            <w:r>
              <w:rPr>
                <w:rFonts w:ascii="Calibri" w:hAnsi="Calibri"/>
                <w:color w:val="2D2D2D"/>
                <w:sz w:val="18"/>
              </w:rPr>
              <w:t>7%</w:t>
            </w:r>
          </w:p>
        </w:tc>
      </w:tr>
      <w:tr>
        <w:tc>
          <w:tcPr>
            <w:tcW w:type="dxa" w:w="4536"/>
            <w:shd w:fill="F0F0F0"/>
            <w:vAlign w:val="center"/>
          </w:tcPr>
          <w:p>
            <w:pPr>
              <w:jc w:val="left"/>
            </w:pPr>
            <w:r/>
            <w:r>
              <w:rPr>
                <w:rFonts w:ascii="Calibri" w:hAnsi="Calibri"/>
                <w:color w:val="2D2D2D"/>
                <w:sz w:val="18"/>
              </w:rPr>
              <w:t>Stablecoin (regulated)</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Tokenized government liquidity</w:t>
            </w:r>
          </w:p>
        </w:tc>
        <w:tc>
          <w:tcPr>
            <w:tcW w:type="dxa" w:w="4536"/>
            <w:vAlign w:val="center"/>
          </w:tcPr>
          <w:p>
            <w:pPr>
              <w:jc w:val="left"/>
            </w:pPr>
            <w:r/>
            <w:r>
              <w:rPr>
                <w:rFonts w:ascii="Calibri" w:hAnsi="Calibri"/>
                <w:color w:val="2D2D2D"/>
                <w:sz w:val="18"/>
              </w:rPr>
              <w:t>2%</w:t>
            </w:r>
          </w:p>
        </w:tc>
      </w:tr>
    </w:tbl>
    <w:p/>
    <w:p>
      <w:pPr>
        <w:pStyle w:val="Heading3"/>
      </w:pPr>
      <w:r>
        <w:t>3.5 Counterparty Risk</w:t>
      </w:r>
    </w:p>
    <w:p>
      <w:pPr>
        <w:ind w:left="283"/>
        <w:shd w:fill="F5F5F5"/>
      </w:pPr>
      <w:r>
        <w:rPr>
          <w:rFonts w:ascii="Consolas" w:hAnsi="Consolas"/>
          <w:color w:val="6B6B6B"/>
          <w:sz w:val="18"/>
        </w:rPr>
        <w:t>C_a = Credit_a × Jurisdiction_a × Operational_a</w:t>
      </w:r>
    </w:p>
    <w:p>
      <w:r>
        <w:rPr>
          <w:b/>
        </w:rPr>
        <w:t>Multiplicative</w:t>
      </w:r>
      <w:r>
        <w:t xml:space="preserve"> (not weighted sum). Clamped to [0.90, 1.00].</w:t>
      </w:r>
    </w:p>
    <w:p>
      <w:pPr>
        <w:pStyle w:val="Heading3"/>
      </w:pPr>
      <w:r>
        <w:t>3.6 Stress Coefficients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Stress Coefficient (S_a)</w:t>
            </w:r>
          </w:p>
        </w:tc>
      </w:tr>
      <w:tr>
        <w:tc>
          <w:tcPr>
            <w:tcW w:type="dxa" w:w="4536"/>
            <w:vAlign w:val="center"/>
          </w:tcPr>
          <w:p>
            <w:pPr>
              <w:jc w:val="left"/>
            </w:pPr>
            <w:r/>
            <w:r>
              <w:rPr>
                <w:rFonts w:ascii="Calibri" w:hAnsi="Calibri"/>
                <w:color w:val="2D2D2D"/>
                <w:sz w:val="18"/>
              </w:rPr>
              <w:t>Cash</w:t>
            </w:r>
          </w:p>
        </w:tc>
        <w:tc>
          <w:tcPr>
            <w:tcW w:type="dxa" w:w="4536"/>
            <w:vAlign w:val="center"/>
          </w:tcPr>
          <w:p>
            <w:pPr>
              <w:jc w:val="left"/>
            </w:pPr>
            <w:r/>
            <w:r>
              <w:rPr>
                <w:rFonts w:ascii="Calibri" w:hAnsi="Calibri"/>
                <w:color w:val="2D2D2D"/>
                <w:sz w:val="18"/>
              </w:rPr>
              <w:t>0.95</w:t>
            </w:r>
          </w:p>
        </w:tc>
      </w:tr>
      <w:tr>
        <w:tc>
          <w:tcPr>
            <w:tcW w:type="dxa" w:w="4536"/>
            <w:shd w:fill="F0F0F0"/>
            <w:vAlign w:val="center"/>
          </w:tcPr>
          <w:p>
            <w:pPr>
              <w:jc w:val="left"/>
            </w:pPr>
            <w:r/>
            <w:r>
              <w:rPr>
                <w:rFonts w:ascii="Calibri" w:hAnsi="Calibri"/>
                <w:color w:val="2D2D2D"/>
                <w:sz w:val="18"/>
              </w:rPr>
              <w:t>Sovereign</w:t>
            </w:r>
          </w:p>
        </w:tc>
        <w:tc>
          <w:tcPr>
            <w:tcW w:type="dxa" w:w="4536"/>
            <w:shd w:fill="F0F0F0"/>
            <w:vAlign w:val="center"/>
          </w:tcPr>
          <w:p>
            <w:pPr>
              <w:jc w:val="left"/>
            </w:pPr>
            <w:r/>
            <w:r>
              <w:rPr>
                <w:rFonts w:ascii="Calibri" w:hAnsi="Calibri"/>
                <w:color w:val="2D2D2D"/>
                <w:sz w:val="18"/>
              </w:rPr>
              <w:t>0.90</w:t>
            </w:r>
          </w:p>
        </w:tc>
      </w:tr>
      <w:tr>
        <w:tc>
          <w:tcPr>
            <w:tcW w:type="dxa" w:w="4536"/>
            <w:vAlign w:val="center"/>
          </w:tcPr>
          <w:p>
            <w:pPr>
              <w:jc w:val="left"/>
            </w:pPr>
            <w:r/>
            <w:r>
              <w:rPr>
                <w:rFonts w:ascii="Calibri" w:hAnsi="Calibri"/>
                <w:color w:val="2D2D2D"/>
                <w:sz w:val="18"/>
              </w:rPr>
              <w:t>Gold</w:t>
            </w:r>
          </w:p>
        </w:tc>
        <w:tc>
          <w:tcPr>
            <w:tcW w:type="dxa" w:w="4536"/>
            <w:vAlign w:val="center"/>
          </w:tcPr>
          <w:p>
            <w:pPr>
              <w:jc w:val="left"/>
            </w:pPr>
            <w:r/>
            <w:r>
              <w:rPr>
                <w:rFonts w:ascii="Calibri" w:hAnsi="Calibri"/>
                <w:color w:val="2D2D2D"/>
                <w:sz w:val="18"/>
              </w:rPr>
              <w:t>0.85</w:t>
            </w:r>
          </w:p>
        </w:tc>
      </w:tr>
      <w:tr>
        <w:tc>
          <w:tcPr>
            <w:tcW w:type="dxa" w:w="4536"/>
            <w:shd w:fill="F0F0F0"/>
            <w:vAlign w:val="center"/>
          </w:tcPr>
          <w:p>
            <w:pPr>
              <w:jc w:val="left"/>
            </w:pPr>
            <w:r/>
            <w:r>
              <w:rPr>
                <w:rFonts w:ascii="Calibri" w:hAnsi="Calibri"/>
                <w:color w:val="2D2D2D"/>
                <w:sz w:val="18"/>
              </w:rPr>
              <w:t>Silver</w:t>
            </w:r>
          </w:p>
        </w:tc>
        <w:tc>
          <w:tcPr>
            <w:tcW w:type="dxa" w:w="4536"/>
            <w:shd w:fill="F0F0F0"/>
            <w:vAlign w:val="center"/>
          </w:tcPr>
          <w:p>
            <w:pPr>
              <w:jc w:val="left"/>
            </w:pPr>
            <w:r/>
            <w:r>
              <w:rPr>
                <w:rFonts w:ascii="Calibri" w:hAnsi="Calibri"/>
                <w:color w:val="2D2D2D"/>
                <w:sz w:val="18"/>
              </w:rPr>
              <w:t>0.80</w:t>
            </w:r>
          </w:p>
        </w:tc>
      </w:tr>
      <w:tr>
        <w:tc>
          <w:tcPr>
            <w:tcW w:type="dxa" w:w="4536"/>
            <w:vAlign w:val="center"/>
          </w:tcPr>
          <w:p>
            <w:pPr>
              <w:jc w:val="left"/>
            </w:pPr>
            <w:r/>
            <w:r>
              <w:rPr>
                <w:rFonts w:ascii="Calibri" w:hAnsi="Calibri"/>
                <w:color w:val="2D2D2D"/>
                <w:sz w:val="18"/>
              </w:rPr>
              <w:t>Stablecoin</w:t>
            </w:r>
          </w:p>
        </w:tc>
        <w:tc>
          <w:tcPr>
            <w:tcW w:type="dxa" w:w="4536"/>
            <w:vAlign w:val="center"/>
          </w:tcPr>
          <w:p>
            <w:pPr>
              <w:jc w:val="left"/>
            </w:pPr>
            <w:r/>
            <w:r>
              <w:rPr>
                <w:rFonts w:ascii="Calibri" w:hAnsi="Calibri"/>
                <w:color w:val="2D2D2D"/>
                <w:sz w:val="18"/>
              </w:rPr>
              <w:t>0.80</w:t>
            </w:r>
          </w:p>
        </w:tc>
      </w:tr>
      <w:tr>
        <w:tc>
          <w:tcPr>
            <w:tcW w:type="dxa" w:w="4536"/>
            <w:shd w:fill="F0F0F0"/>
            <w:vAlign w:val="center"/>
          </w:tcPr>
          <w:p>
            <w:pPr>
              <w:jc w:val="left"/>
            </w:pPr>
            <w:r/>
            <w:r>
              <w:rPr>
                <w:rFonts w:ascii="Calibri" w:hAnsi="Calibri"/>
                <w:color w:val="2D2D2D"/>
                <w:sz w:val="18"/>
              </w:rPr>
              <w:t>Tokenized government</w:t>
            </w:r>
          </w:p>
        </w:tc>
        <w:tc>
          <w:tcPr>
            <w:tcW w:type="dxa" w:w="4536"/>
            <w:shd w:fill="F0F0F0"/>
            <w:vAlign w:val="center"/>
          </w:tcPr>
          <w:p>
            <w:pPr>
              <w:jc w:val="left"/>
            </w:pPr>
            <w:r/>
            <w:r>
              <w:rPr>
                <w:rFonts w:ascii="Calibri" w:hAnsi="Calibri"/>
                <w:color w:val="2D2D2D"/>
                <w:sz w:val="18"/>
              </w:rPr>
              <w:t>0.90</w:t>
            </w:r>
          </w:p>
        </w:tc>
      </w:tr>
    </w:tbl>
    <w:p/>
    <w:p>
      <w:pPr>
        <w:pStyle w:val="Heading3"/>
      </w:pPr>
      <w:r>
        <w:t>3.7 Gold-Equivalent Index (Layer 2 — Advisory)</w:t>
      </w:r>
    </w:p>
    <w:p>
      <w:pPr>
        <w:ind w:left="283"/>
        <w:shd w:fill="F5F5F5"/>
      </w:pPr>
      <w:r>
        <w:rPr>
          <w:rFonts w:ascii="Consolas" w:hAnsi="Consolas"/>
          <w:color w:val="6B6B6B"/>
          <w:sz w:val="18"/>
        </w:rPr>
        <w:t>GEI_t = (R_a,t / G_t) / (R_a,0 / G_0)</w:t>
        <w:br/>
        <w:br/>
        <w:t>Where:</w:t>
        <w:br/>
        <w:t xml:space="preserve">  R_a,t = adjusted reserve value at time t</w:t>
        <w:br/>
        <w:t xml:space="preserve">  G_t = gold spot price at time t (multi-oracle consensus)</w:t>
        <w:br/>
        <w:t xml:space="preserve">  R_a,0, G_0 = base-date values</w:t>
        <w:br/>
        <w:br/>
        <w:t>GEI is normalized to 1.0 at base date.</w:t>
        <w:br/>
        <w:t>GEI &gt; 1.0: reserve growing faster than gold (purchasing power increasing)</w:t>
        <w:br/>
        <w:t>GEI &lt; 1.0: reserve losing ground vs gold</w:t>
        <w:br/>
        <w:br/>
        <w:t>GEI is ADVISORY ONLY. Does NOT change PAR. Does NOT trigger rebalancing.</w:t>
      </w:r>
    </w:p>
    <w:p>
      <w:pPr>
        <w:pStyle w:val="Heading3"/>
      </w:pPr>
      <w:r>
        <w:t>3.7B Currency Basket Gold-Relative Strength (CBGRS) (Layer 2 — Advisory)</w:t>
      </w:r>
    </w:p>
    <w:p>
      <w:r>
        <w:rPr>
          <w:b/>
        </w:rPr>
        <w:t>Purpose:</w:t>
      </w:r>
      <w:r>
        <w:t xml:space="preserve"> 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r>
        <w:rPr>
          <w:b/>
        </w:rPr>
        <w:t>Classification:</w:t>
      </w:r>
    </w:p>
    <w:p>
      <w:pPr>
        <w:pStyle w:val="ListBullet"/>
        <w:ind w:left="425"/>
      </w:pPr>
      <w:r>
        <w:t>Layer: 2 (Gold-Relative / Monetary Strength — Advisory)</w:t>
      </w:r>
    </w:p>
    <w:p>
      <w:pPr>
        <w:pStyle w:val="ListBullet"/>
        <w:ind w:left="425"/>
      </w:pPr>
      <w:r>
        <w:t>Classification: ADVISORY, Non-solvency, Non-PAR, Non-minting, Non-redemption-trigger, Non-trading-signal</w:t>
      </w:r>
    </w:p>
    <w:p>
      <w:pPr>
        <w:pStyle w:val="ListBullet"/>
        <w:ind w:left="425"/>
      </w:pPr>
      <w:r>
        <w:t>CBGRS is NOT: a legal solvency metric; a replacement for RR; a replacement for GEI; a replacement for BRI; a PAR mechanism; a minting trigger; a redemption trigger; an automatic rebalancing trigger; a trading signal; an investment-return metric.</w:t>
      </w:r>
    </w:p>
    <w:p>
      <w:r>
        <w:rPr>
          <w:b/>
        </w:rPr>
        <w:t>Per-currency gold-relative strength:</w:t>
      </w:r>
    </w:p>
    <w:p>
      <w:r>
        <w:t>For each eligible reserve currency *i*, define *G_i(t)* as the normalized gold-relative strength of currency *i* at time *t*:</w:t>
      </w:r>
    </w:p>
    <w:p>
      <w:pPr>
        <w:ind w:left="283"/>
        <w:shd w:fill="F5F5F5"/>
      </w:pPr>
      <w:r>
        <w:rPr>
          <w:rFonts w:ascii="Consolas" w:hAnsi="Consolas"/>
          <w:color w:val="6B6B6B"/>
          <w:sz w:val="18"/>
        </w:rPr>
        <w:t>G_i(t) = [(Currency_i / Gold)_t] / [(Currency_i / Gold)_0]</w:t>
        <w:br/>
        <w:br/>
        <w:t>Therefore:</w:t>
        <w:br/>
        <w:t xml:space="preserve">  G_i(0) = 1.0000</w:t>
        <w:br/>
        <w:br/>
        <w:t>Interpretation:</w:t>
        <w:br/>
        <w:t xml:space="preserve">  G_i(t) &gt; 1  →  Currency i has strengthened relative to gold since base period.</w:t>
        <w:br/>
        <w:t xml:space="preserve">  G_i(t) = 1  →  Currency i is unchanged relative to gold.</w:t>
        <w:br/>
        <w:t xml:space="preserve">  G_i(t) &lt; 1  →  Currency i has weakened relative to gold.</w:t>
      </w:r>
    </w:p>
    <w:p>
      <w:r>
        <w:t>The base period MUST be explicitly versioned and immutable for each published CBGRS series.</w:t>
      </w:r>
    </w:p>
    <w:p>
      <w:r>
        <w:rPr>
          <w:b/>
        </w:rPr>
        <w:t>CBGRS formula (weighted geometric mean — canonical):</w:t>
      </w:r>
    </w:p>
    <w:p>
      <w:pPr>
        <w:ind w:left="283"/>
        <w:shd w:fill="F5F5F5"/>
      </w:pPr>
      <w:r>
        <w:rPr>
          <w:rFonts w:ascii="Consolas" w:hAnsi="Consolas"/>
          <w:color w:val="6B6B6B"/>
          <w:sz w:val="18"/>
        </w:rPr>
        <w:t>CBGRS_t = PRODUCT[ G_i(t) ^ w_i(t) ]   for all active eligible reserve currencies i.</w:t>
        <w:br/>
        <w:br/>
        <w:t>Where:</w:t>
        <w:br/>
        <w:t xml:space="preserve">  w_i(t) = FINAL reserve-currency weight of currency i at time t, after:</w:t>
        <w:br/>
        <w:t xml:space="preserve">             Structural Weight</w:t>
        <w:br/>
        <w:t xml:space="preserve">             → CQS / Eligibility</w:t>
        <w:br/>
        <w:t xml:space="preserve">             → Momentum</w:t>
        <w:br/>
        <w:t xml:space="preserve">             → Mean Reversion</w:t>
        <w:br/>
        <w:t xml:space="preserve">             → Shock Absorber</w:t>
        <w:br/>
        <w:t xml:space="preserve">             → Liquidity / Risk controls</w:t>
        <w:br/>
        <w:t xml:space="preserve">             → Constitutional constraints</w:t>
        <w:br/>
        <w:t xml:space="preserve">             → Final normalization</w:t>
        <w:br/>
        <w:br/>
        <w:t xml:space="preserve">  SUM_i w_i(t) = 1.0000   (required invariant)</w:t>
        <w:br/>
        <w:br/>
        <w:t>CBGRS MUST use the final normalized reserve weights, not preliminary structural weights.</w:t>
      </w:r>
    </w:p>
    <w:p>
      <w:r>
        <w:rPr>
          <w:b/>
        </w:rPr>
        <w:t>Why geometric mean:</w:t>
      </w:r>
      <w:r>
        <w:t xml:space="preserve"> Currency changes are multiplicative rather than purely additive. The geometric formulation preserves compounding behavior across the basket and prevents offsetting percentage changes from being treated incorrectly.</w:t>
      </w:r>
    </w:p>
    <w:p>
      <w:r>
        <w:t>For auditability, the implementation MAY additionally calculate an arithmetic diagnostic:</w:t>
      </w:r>
    </w:p>
    <w:p>
      <w:pPr>
        <w:ind w:left="283"/>
        <w:shd w:fill="F5F5F5"/>
      </w:pPr>
      <w:r>
        <w:rPr>
          <w:rFonts w:ascii="Consolas" w:hAnsi="Consolas"/>
          <w:color w:val="6B6B6B"/>
          <w:sz w:val="18"/>
        </w:rPr>
        <w:t>CBGRS_arithmetic = SUM_i [ w_i(t) * G_i(t) ]    (DIAGNOSTIC ONLY — NOT canonical)</w:t>
      </w:r>
    </w:p>
    <w:p>
      <w:r>
        <w:rPr>
          <w:rFonts w:ascii="Consolas" w:hAnsi="Consolas"/>
          <w:color w:val="6B6B6B"/>
          <w:sz w:val="19"/>
        </w:rPr>
        <w:t>CBGRS_arithmetic</w:t>
      </w:r>
      <w:r>
        <w:t xml:space="preserve"> is diagnostic only and is NOT the canonical metric. The canonical CBGRS is the weighted geometric mean.</w:t>
      </w:r>
    </w:p>
    <w:p>
      <w:r>
        <w:rPr>
          <w:b/>
        </w:rPr>
        <w:t>Gold Anchor Doctrine (constitutional clarification):</w:t>
      </w:r>
    </w:p>
    <w:p>
      <w:pPr>
        <w:spacing w:before="120" w:after="120"/>
        <w:ind w:left="567" w:right="567"/>
        <w:pBdr>
          <w:left w:val="single" w:sz="24" w:space="8" w:color="C59B1E"/>
        </w:pBdr>
        <w:shd w:fill="FFFBF0"/>
      </w:pPr>
      <w:r>
        <w:rPr>
          <w:b/>
          <w:i/>
          <w:color w:val="1A365F"/>
          <w:sz w:val="22"/>
        </w:rPr>
        <w:t>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r>
        <w:t xml:space="preserve">This wording coexists with </w:t>
      </w:r>
      <w:r>
        <w:rPr>
          <w:rFonts w:ascii="Consolas" w:hAnsi="Consolas"/>
          <w:color w:val="6B6B6B"/>
          <w:sz w:val="19"/>
        </w:rPr>
        <w:t>PAR = $1.00</w:t>
      </w:r>
      <w:r>
        <w:t xml:space="preserve"> and MUST NOT modify PAR.</w:t>
      </w:r>
    </w:p>
    <w:p>
      <w:r>
        <w:rPr>
          <w:b/>
        </w:rPr>
        <w:t>Relationship to GEI: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GEI</w:t>
            </w:r>
          </w:p>
        </w:tc>
        <w:tc>
          <w:tcPr>
            <w:tcW w:type="dxa" w:w="4536"/>
            <w:vAlign w:val="center"/>
          </w:tcPr>
          <w:p>
            <w:pPr>
              <w:jc w:val="left"/>
            </w:pPr>
            <w:r/>
            <w:r>
              <w:rPr>
                <w:rFonts w:ascii="Calibri" w:hAnsi="Calibri"/>
                <w:color w:val="2D2D2D"/>
                <w:sz w:val="18"/>
              </w:rPr>
              <w:t>adjusted reserve value relative to gold</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final reserve-currency basket strength relative to gold</w:t>
            </w:r>
          </w:p>
        </w:tc>
      </w:tr>
    </w:tbl>
    <w:p/>
    <w:p>
      <w:r>
        <w:t>GEI ≠ CBGRS. They answer different questions:</w:t>
      </w:r>
    </w:p>
    <w:p>
      <w:pPr>
        <w:pStyle w:val="ListBullet"/>
        <w:ind w:left="425"/>
      </w:pPr>
      <w:r>
        <w:t>GEI: "How is the adjusted reserve pool performing relative to gold?"</w:t>
      </w:r>
    </w:p>
    <w:p>
      <w:pPr>
        <w:pStyle w:val="ListBullet"/>
        <w:ind w:left="425"/>
      </w:pPr>
      <w:r>
        <w:t>CBGRS: "How is the reserve-currency basket performing relative to gold?"</w:t>
      </w:r>
    </w:p>
    <w:p>
      <w:r>
        <w:t>Neither metric replaces RR.</w:t>
      </w:r>
    </w:p>
    <w:p>
      <w:r>
        <w:rPr>
          <w:b/>
        </w:rPr>
        <w:t>Relationship to BRI: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BRI</w:t>
            </w:r>
          </w:p>
        </w:tc>
        <w:tc>
          <w:tcPr>
            <w:tcW w:type="dxa" w:w="4536"/>
            <w:vAlign w:val="center"/>
          </w:tcPr>
          <w:p>
            <w:pPr>
              <w:jc w:val="left"/>
            </w:pPr>
            <w:r/>
            <w:r>
              <w:rPr>
                <w:rFonts w:ascii="Calibri" w:hAnsi="Calibri"/>
                <w:color w:val="2D2D2D"/>
                <w:sz w:val="18"/>
              </w:rPr>
              <w:t>gold + silver bullion reserve performance</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fiat reserve-currency basket performance relative to gold</w:t>
            </w:r>
          </w:p>
        </w:tc>
      </w:tr>
    </w:tbl>
    <w:p/>
    <w:p>
      <w:r>
        <w:t>BRI ≠ CBGRS. The two metrics MUST remain separate. Do NOT create a composite TRS metric. Do NOT multiply CBGRS by BRI. Do NOT exponent-weight CBGRS and BRI into another constitutional metric. The objective is clarity, not model proliferation.</w:t>
      </w:r>
    </w:p>
    <w:p>
      <w:r>
        <w:rPr>
          <w:b/>
        </w:rPr>
        <w:t>Relationship to RR:</w:t>
      </w:r>
    </w:p>
    <w:p>
      <w:pPr>
        <w:ind w:left="283"/>
        <w:shd w:fill="F5F5F5"/>
      </w:pPr>
      <w:r>
        <w:rPr>
          <w:rFonts w:ascii="Consolas" w:hAnsi="Consolas"/>
          <w:color w:val="6B6B6B"/>
          <w:sz w:val="18"/>
        </w:rPr>
        <w:t>RR_t = R_a,t / (S_t * PAR)     ← RR remains the SINGLE legal solvency metric.</w:t>
      </w:r>
    </w:p>
    <w:p>
      <w:r>
        <w:t>CBGRS MUST NOT: replace RR; modify RR; modify liabilities; modify PAR; establish solvency; authorize minting; pause minting; guarantee redemption.</w:t>
      </w:r>
    </w:p>
    <w:p>
      <w:r>
        <w:t>A currency basket may have a strong CBGRS while the institution has weak RR. A currency basket may have a weak CBGRS while the institution remains solvent. These are intentionally different concepts.</w:t>
      </w:r>
    </w:p>
    <w:p>
      <w:r>
        <w:rPr>
          <w:b/>
        </w:rPr>
        <w:t>Relationship to currency rebalancing:</w:t>
      </w:r>
    </w:p>
    <w:p>
      <w:r>
        <w:t>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r>
        <w:t>The existing currency lifecycle (NORMAL → WATCH → REDUCE → SUSPEND → EXIT → REINSTATE) is unchanged. CBGRS may be used as an informational input to monitoring and risk review, but MUST NOT become a single-factor automatic exit mechanism.</w:t>
      </w:r>
    </w:p>
    <w:p>
      <w:r>
        <w:rPr>
          <w:b/>
        </w:rPr>
        <w:t>Depreciation-against-gold analysis:</w:t>
      </w:r>
    </w:p>
    <w:p>
      <w:pPr>
        <w:ind w:left="283"/>
        <w:shd w:fill="F5F5F5"/>
      </w:pPr>
      <w:r>
        <w:rPr>
          <w:rFonts w:ascii="Consolas" w:hAnsi="Consolas"/>
          <w:color w:val="6B6B6B"/>
          <w:sz w:val="18"/>
        </w:rPr>
        <w:t>GoldRelativeDepreciation_i(t) = 1 - G_i(t)</w:t>
        <w:br/>
        <w:br/>
        <w:t>Examples:</w:t>
        <w:br/>
        <w:t xml:space="preserve">  G_i = 0.95  →  5%  depreciation relative to gold</w:t>
        <w:br/>
        <w:t xml:space="preserve">  G_i = 0.90  →  10% depreciation relative to gold</w:t>
        <w:br/>
        <w:t xml:space="preserve">  G_i = 0.75  →  25% depreciation relative to gold</w:t>
      </w:r>
    </w:p>
    <w:p>
      <w:r>
        <w:t>CBGRS reports aggregate basket behavior. Individual currency lifecycle decisions remain governed by the existing CQS/risk framework. Do NOT add automatic liquidation solely from CBGRS.</w:t>
      </w:r>
    </w:p>
    <w:p>
      <w:r>
        <w:rPr>
          <w:b/>
        </w:rPr>
        <w:t>Dynamic weights:</w:t>
      </w:r>
    </w:p>
    <w:p>
      <w:r>
        <w:t xml:space="preserve">CBGRS MUST use </w:t>
      </w:r>
      <w:r>
        <w:rPr>
          <w:rFonts w:ascii="Consolas" w:hAnsi="Consolas"/>
          <w:color w:val="6B6B6B"/>
          <w:sz w:val="19"/>
        </w:rPr>
        <w:t>w_i(t)</w:t>
      </w:r>
      <w:r>
        <w:t xml:space="preserve"> (dynamic final reserve weights), not static historical weights. When the reserve engine changes USD/EUR/CHF/JPY/GBP/SGD/AED/SAR/CNY weights dynamically, CBGRS automatically reflects the new composition.</w:t>
      </w:r>
    </w:p>
    <w:p>
      <w:r>
        <w:rPr>
          <w:b/>
        </w:rPr>
        <w:t>Currency exit / reinstatement compatibility:</w:t>
      </w:r>
    </w:p>
    <w:p>
      <w:r>
        <w:t>When a currency exits (SUSPEND or EXIT):</w:t>
      </w:r>
    </w:p>
    <w:p>
      <w:pPr>
        <w:pStyle w:val="ListNumber"/>
        <w:ind w:left="425"/>
      </w:pPr>
      <w:r>
        <w:t>Its active reserve weight becomes 0.</w:t>
      </w:r>
    </w:p>
    <w:p>
      <w:pPr>
        <w:pStyle w:val="ListNumber"/>
        <w:ind w:left="425"/>
      </w:pPr>
      <w:r>
        <w:t>It is removed from the CBGRS active set.</w:t>
      </w:r>
    </w:p>
    <w:p>
      <w:pPr>
        <w:pStyle w:val="ListNumber"/>
        <w:ind w:left="425"/>
      </w:pPr>
      <w:r>
        <w:t xml:space="preserve">The remaining eligible weights are renormalized so </w:t>
      </w:r>
      <w:r>
        <w:rPr>
          <w:rFonts w:ascii="Consolas" w:hAnsi="Consolas"/>
          <w:color w:val="6B6B6B"/>
          <w:sz w:val="19"/>
        </w:rPr>
        <w:t>SUM_i w_i(t) = 1.0000</w:t>
      </w:r>
      <w:r>
        <w:t>.</w:t>
      </w:r>
    </w:p>
    <w:p>
      <w:pPr>
        <w:pStyle w:val="ListNumber"/>
        <w:ind w:left="425"/>
      </w:pPr>
      <w:r>
        <w:t>The exit event is immutably recorded.</w:t>
      </w:r>
    </w:p>
    <w:p>
      <w:pPr>
        <w:pStyle w:val="ListNumber"/>
        <w:ind w:left="425"/>
      </w:pPr>
      <w:r>
        <w:t>The exit reason is documented.</w:t>
      </w:r>
    </w:p>
    <w:p>
      <w:pPr>
        <w:pStyle w:val="ListNumber"/>
        <w:ind w:left="425"/>
      </w:pPr>
      <w:r>
        <w:t>Reserve substitution follows existing CQS and optimizer rules.</w:t>
      </w:r>
    </w:p>
    <w:p>
      <w:r>
        <w:t>When a currency is reinstated:</w:t>
      </w:r>
    </w:p>
    <w:p>
      <w:pPr>
        <w:pStyle w:val="ListNumber"/>
        <w:ind w:left="425"/>
      </w:pPr>
      <w:r>
        <w:t>It enters through the existing eligibility process.</w:t>
      </w:r>
    </w:p>
    <w:p>
      <w:pPr>
        <w:pStyle w:val="ListNumber"/>
        <w:ind w:left="425"/>
      </w:pPr>
      <w:r>
        <w:t>Its initial reserve weight MUST start below the normal target.</w:t>
      </w:r>
    </w:p>
    <w:p>
      <w:pPr>
        <w:pStyle w:val="ListNumber"/>
        <w:ind w:left="425"/>
      </w:pPr>
      <w:r>
        <w:t>Re-entry MUST be gradual.</w:t>
      </w:r>
    </w:p>
    <w:p>
      <w:pPr>
        <w:pStyle w:val="ListNumber"/>
        <w:ind w:left="425"/>
      </w:pPr>
      <w:r>
        <w:t>CBGRS MUST incorporate the new weight only after the currency becomes operationally reserve-eligible.</w:t>
      </w:r>
    </w:p>
    <w:p>
      <w:r>
        <w:rPr>
          <w:b/>
        </w:rPr>
        <w:t>Numéraire invariance:</w:t>
      </w:r>
    </w:p>
    <w:p>
      <w:r>
        <w:t>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r>
        <w:rPr>
          <w:b/>
        </w:rPr>
        <w:t>Data and oracle requirements:</w:t>
      </w:r>
    </w:p>
    <w:p>
      <w:r>
        <w:t>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r>
        <w:rPr>
          <w:b/>
        </w:rPr>
        <w:t>Calculation timing:</w:t>
      </w:r>
    </w:p>
    <w:p>
      <w:pPr>
        <w:pStyle w:val="ListBullet"/>
        <w:ind w:left="425"/>
      </w:pPr>
      <w:r>
        <w:t>Real-time / high-frequency internally where data supports it.</w:t>
      </w:r>
    </w:p>
    <w:p>
      <w:pPr>
        <w:pStyle w:val="ListBullet"/>
        <w:ind w:left="425"/>
      </w:pPr>
      <w:r>
        <w:t>Publish/report: daily official value.</w:t>
      </w:r>
    </w:p>
    <w:p>
      <w:pPr>
        <w:pStyle w:val="ListBullet"/>
        <w:ind w:left="425"/>
      </w:pPr>
      <w:r>
        <w:t>Maintain: monthly analytical history.</w:t>
      </w:r>
    </w:p>
    <w:p>
      <w:pPr>
        <w:pStyle w:val="ListBullet"/>
        <w:ind w:left="425"/>
      </w:pPr>
      <w:r>
        <w:t>The base period MUST remain version-controlled.</w:t>
      </w:r>
    </w:p>
    <w:p>
      <w:pPr>
        <w:pStyle w:val="ListBullet"/>
        <w:ind w:left="425"/>
      </w:pPr>
      <w:r>
        <w:t>Structural reserve weights continue to follow their existing governance frequency. CBGRS does NOT change structural-weight review frequency.</w:t>
      </w:r>
    </w:p>
    <w:p>
      <w:r>
        <w:rPr>
          <w:b/>
        </w:rPr>
        <w:t>Stress testing requirements (mandatory):</w:t>
      </w:r>
    </w:p>
    <w:p>
      <w:r>
        <w:t>Required deterministic tests:</w:t>
      </w:r>
    </w:p>
    <w:p>
      <w:pPr>
        <w:pStyle w:val="ListBullet"/>
        <w:ind w:left="425"/>
      </w:pPr>
      <w:r>
        <w:t>A. One-currency -10% gold-relative shock</w:t>
      </w:r>
    </w:p>
    <w:p>
      <w:pPr>
        <w:pStyle w:val="ListBullet"/>
        <w:ind w:left="425"/>
      </w:pPr>
      <w:r>
        <w:t>B. One-currency -20% shock</w:t>
      </w:r>
    </w:p>
    <w:p>
      <w:pPr>
        <w:pStyle w:val="ListBullet"/>
        <w:ind w:left="425"/>
      </w:pPr>
      <w:r>
        <w:t>C. One-currency -30% shock</w:t>
      </w:r>
    </w:p>
    <w:p>
      <w:pPr>
        <w:pStyle w:val="ListBullet"/>
        <w:ind w:left="425"/>
      </w:pPr>
      <w:r>
        <w:t>D. CNY full impairment scenario</w:t>
      </w:r>
    </w:p>
    <w:p>
      <w:pPr>
        <w:pStyle w:val="ListBullet"/>
        <w:ind w:left="425"/>
      </w:pPr>
      <w:r>
        <w:t>E. EUR severe depreciation scenario</w:t>
      </w:r>
    </w:p>
    <w:p>
      <w:pPr>
        <w:pStyle w:val="ListBullet"/>
        <w:ind w:left="425"/>
      </w:pPr>
      <w:r>
        <w:t>F. USD severe depreciation scenario</w:t>
      </w:r>
    </w:p>
    <w:p>
      <w:pPr>
        <w:pStyle w:val="ListBullet"/>
        <w:ind w:left="425"/>
      </w:pPr>
      <w:r>
        <w:t>G. 20% simultaneous non-USD basket shock</w:t>
      </w:r>
    </w:p>
    <w:p>
      <w:pPr>
        <w:pStyle w:val="ListBullet"/>
        <w:ind w:left="425"/>
      </w:pPr>
      <w:r>
        <w:t>H. Broad multi-currency + gold/silver stress</w:t>
      </w:r>
    </w:p>
    <w:p>
      <w:pPr>
        <w:pStyle w:val="ListBullet"/>
        <w:ind w:left="425"/>
      </w:pPr>
      <w:r>
        <w:t>I. Complete stablecoin impairment</w:t>
      </w:r>
    </w:p>
    <w:p>
      <w:pPr>
        <w:pStyle w:val="ListBullet"/>
        <w:ind w:left="425"/>
      </w:pPr>
      <w:r>
        <w:t>J. Oracle stale-data scenario</w:t>
      </w:r>
    </w:p>
    <w:p>
      <w:pPr>
        <w:pStyle w:val="ListBullet"/>
        <w:ind w:left="425"/>
      </w:pPr>
      <w:r>
        <w:t>K. Currency exit and renormalization scenario</w:t>
      </w:r>
    </w:p>
    <w:p>
      <w:pPr>
        <w:pStyle w:val="ListBullet"/>
        <w:ind w:left="425"/>
      </w:pPr>
      <w:r>
        <w:t>L. Currency reinstatement scenario</w:t>
      </w:r>
    </w:p>
    <w:p>
      <w:r>
        <w:t>Each stress output MUST report: CBGRS before stress; CBGRS after stress; active currency weights before stress; active currency weights after stress; exited currencies; substituted currencies; RR before stress; Stress-RR after stress; LCR after stress.</w:t>
      </w:r>
    </w:p>
    <w:p>
      <w:r>
        <w:t>CBGRS SHALL NEVER be interpreted as proof of solvency.</w:t>
      </w:r>
    </w:p>
    <w:p>
      <w:r>
        <w:rPr>
          <w:b/>
        </w:rPr>
        <w:t>Audit example (deterministic):</w:t>
      </w:r>
    </w:p>
    <w:p>
      <w:r>
        <w:t>For three illustrative currencies:</w:t>
      </w:r>
    </w:p>
    <w:p>
      <w:pPr>
        <w:ind w:left="283"/>
        <w:shd w:fill="F5F5F5"/>
      </w:pPr>
      <w:r>
        <w:rPr>
          <w:rFonts w:ascii="Consolas" w:hAnsi="Consolas"/>
          <w:color w:val="6B6B6B"/>
          <w:sz w:val="18"/>
        </w:rPr>
        <w:t>Currency A:  G_A = 1.10,  w_A = 0.50</w:t>
        <w:br/>
        <w:t>Currency B:  G_B = 0.95,  w_B = 0.30</w:t>
        <w:br/>
        <w:t>Currency C:  G_C = 0.85,  w_C = 0.20</w:t>
        <w:br/>
        <w:br/>
        <w:t>CBGRS = (1.10^0.50) × (0.95^0.30) × (0.85^0.20)</w:t>
        <w:br/>
        <w:t xml:space="preserve">      = 1.0488088482 × 0.9847298018 × 0.9680187850</w:t>
        <w:br/>
        <w:t xml:space="preserve">      = 0.9997633437  (approximately 0.9998)</w:t>
        <w:br/>
        <w:br/>
        <w:t>CBGRS_arithmetic (DIAGNOSTIC) = 0.50×1.10 + 0.30×0.95 + 0.20×0.85 = 0.55 + 0.285 + 0.17 = 1.005</w:t>
      </w:r>
    </w:p>
    <w:p>
      <w:r>
        <w:t>The implementation MUST reproduce the exact same result from identical input values. Verification: weights sum to 1.0000 ✓; canonical = geometric mean ✓; arithmetic is diagnostic only ✓.</w:t>
      </w:r>
    </w:p>
    <w:p>
      <w:r>
        <w:rPr>
          <w:b/>
        </w:rPr>
        <w:t>Reporting requirements:</w:t>
      </w:r>
    </w:p>
    <w:p>
      <w:r>
        <w:t>Every published CBGRS report SHALL disclose:</w:t>
      </w:r>
    </w:p>
    <w:p>
      <w:pPr>
        <w:pStyle w:val="ListBullet"/>
        <w:ind w:left="425"/>
      </w:pPr>
      <w:r>
        <w:t>base date</w:t>
      </w:r>
    </w:p>
    <w:p>
      <w:pPr>
        <w:pStyle w:val="ListBullet"/>
        <w:ind w:left="425"/>
      </w:pPr>
      <w:r>
        <w:t>valuation timestamp</w:t>
      </w:r>
    </w:p>
    <w:p>
      <w:pPr>
        <w:pStyle w:val="ListBullet"/>
        <w:ind w:left="425"/>
      </w:pPr>
      <w:r>
        <w:t>eligible currency universe</w:t>
      </w:r>
    </w:p>
    <w:p>
      <w:pPr>
        <w:pStyle w:val="ListBullet"/>
        <w:ind w:left="425"/>
      </w:pPr>
      <w:r>
        <w:t>each G_i(t)</w:t>
      </w:r>
    </w:p>
    <w:p>
      <w:pPr>
        <w:pStyle w:val="ListBullet"/>
        <w:ind w:left="425"/>
      </w:pPr>
      <w:r>
        <w:t>each final w_i(t)</w:t>
      </w:r>
    </w:p>
    <w:p>
      <w:pPr>
        <w:pStyle w:val="ListBullet"/>
        <w:ind w:left="425"/>
      </w:pPr>
      <w:r>
        <w:t>CBGRS (canonical geometric mean)</w:t>
      </w:r>
    </w:p>
    <w:p>
      <w:pPr>
        <w:pStyle w:val="ListBullet"/>
        <w:ind w:left="425"/>
      </w:pPr>
      <w:r>
        <w:t>CBGRS_arithmetic (diagnostic, if computed)</w:t>
      </w:r>
    </w:p>
    <w:p>
      <w:pPr>
        <w:pStyle w:val="ListBullet"/>
        <w:ind w:left="425"/>
      </w:pPr>
      <w:r>
        <w:t>data source/version</w:t>
      </w:r>
    </w:p>
    <w:p>
      <w:pPr>
        <w:pStyle w:val="ListBullet"/>
        <w:ind w:left="425"/>
      </w:pPr>
      <w:r>
        <w:t>oracle status</w:t>
      </w:r>
    </w:p>
    <w:p>
      <w:pPr>
        <w:pStyle w:val="ListBullet"/>
        <w:ind w:left="425"/>
      </w:pPr>
      <w:r>
        <w:t>missing/stale inputs</w:t>
      </w:r>
    </w:p>
    <w:p>
      <w:pPr>
        <w:pStyle w:val="ListBullet"/>
        <w:ind w:left="425"/>
      </w:pPr>
      <w:r>
        <w:t>algorithm version</w:t>
      </w:r>
    </w:p>
    <w:p>
      <w:pPr>
        <w:pStyle w:val="ListBullet"/>
        <w:ind w:left="425"/>
      </w:pPr>
      <w:r>
        <w:t>methodology version</w:t>
      </w:r>
    </w:p>
    <w:p>
      <w:r>
        <w:t>Provide:</w:t>
      </w:r>
    </w:p>
    <w:p>
      <w:pPr>
        <w:pStyle w:val="ListBullet"/>
        <w:ind w:left="425"/>
      </w:pPr>
      <w:r>
        <w:t>CBGRS absolute value</w:t>
      </w:r>
    </w:p>
    <w:p>
      <w:pPr>
        <w:pStyle w:val="ListBullet"/>
        <w:ind w:left="425"/>
      </w:pPr>
      <w:r>
        <w:t>CBGRS change from base</w:t>
      </w:r>
    </w:p>
    <w:p>
      <w:pPr>
        <w:pStyle w:val="ListBullet"/>
        <w:ind w:left="425"/>
      </w:pPr>
      <w:r>
        <w:t>CBGRS change 30D</w:t>
      </w:r>
    </w:p>
    <w:p>
      <w:pPr>
        <w:pStyle w:val="ListBullet"/>
        <w:ind w:left="425"/>
      </w:pPr>
      <w:r>
        <w:t>CBGRS change 90D</w:t>
      </w:r>
    </w:p>
    <w:p>
      <w:pPr>
        <w:pStyle w:val="ListBullet"/>
        <w:ind w:left="425"/>
      </w:pPr>
      <w:r>
        <w:t>CBGRS change 365D</w:t>
      </w:r>
    </w:p>
    <w:p>
      <w:r>
        <w:rPr>
          <w:b/>
        </w:rPr>
        <w:t>Prohibited economic claims:</w:t>
      </w:r>
    </w:p>
    <w:p>
      <w:r>
        <w:t>Do NOT state:</w:t>
      </w:r>
    </w:p>
    <w:p>
      <w:pPr>
        <w:pStyle w:val="ListBullet"/>
        <w:ind w:left="425"/>
      </w:pPr>
      <w:r>
        <w:t>"CBGRS proves MTQ is stable."</w:t>
      </w:r>
    </w:p>
    <w:p>
      <w:pPr>
        <w:pStyle w:val="ListBullet"/>
        <w:ind w:left="425"/>
      </w:pPr>
      <w:r>
        <w:t>"CBGRS guarantees MTQ appreciation."</w:t>
      </w:r>
    </w:p>
    <w:p>
      <w:pPr>
        <w:pStyle w:val="ListBullet"/>
        <w:ind w:left="425"/>
      </w:pPr>
      <w:r>
        <w:t>"CBGRS guarantees purchasing power."</w:t>
      </w:r>
    </w:p>
    <w:p>
      <w:pPr>
        <w:pStyle w:val="ListBullet"/>
        <w:ind w:left="425"/>
      </w:pPr>
      <w:r>
        <w:t>"Gold price increases automatically increase MTQ price."</w:t>
      </w:r>
    </w:p>
    <w:p>
      <w:pPr>
        <w:pStyle w:val="ListBullet"/>
        <w:ind w:left="425"/>
      </w:pPr>
      <w:r>
        <w:t>"CBGRS is a solvency ratio."</w:t>
      </w:r>
    </w:p>
    <w:p>
      <w:r>
        <w:t>Correct language: *"CBGRS is an advisory measure of the aggregate gold-relative strength of the active reserve-currency basket."*</w:t>
      </w:r>
    </w:p>
    <w:p>
      <w:r>
        <w:rPr>
          <w:b/>
        </w:rPr>
        <w:t>Terminology:</w:t>
      </w:r>
    </w:p>
    <w:p>
      <w:pPr>
        <w:pStyle w:val="ListBullet"/>
        <w:ind w:left="425"/>
      </w:pPr>
      <w:r>
        <w:t>Full name: "Currency Basket Gold-Relative Strength"</w:t>
      </w:r>
    </w:p>
    <w:p>
      <w:pPr>
        <w:pStyle w:val="ListBullet"/>
        <w:ind w:left="425"/>
      </w:pPr>
      <w:r>
        <w:t>Abbreviation: "CBGRS"</w:t>
      </w:r>
    </w:p>
    <w:p>
      <w:pPr>
        <w:pStyle w:val="ListBullet"/>
        <w:ind w:left="425"/>
      </w:pPr>
      <w:r>
        <w:t>Do NOT call it: MTQ Price Index, MTQ Solvency Index, MTQ NAV, Gold Peg, Gold Backing Ratio, or Token Price Stability Index.</w:t>
      </w:r>
    </w:p>
    <w:p>
      <w:pPr>
        <w:pStyle w:val="Heading3"/>
      </w:pPr>
      <w:r>
        <w:t>3.8 Bullion Resilience Index (Layer 2 — Advisory)</w:t>
      </w:r>
    </w:p>
    <w:p>
      <w:pPr>
        <w:ind w:left="283"/>
        <w:shd w:fill="F5F5F5"/>
      </w:pPr>
      <w:r>
        <w:rPr>
          <w:rFonts w:ascii="Consolas" w:hAnsi="Consolas"/>
          <w:color w:val="6B6B6B"/>
          <w:sz w:val="18"/>
        </w:rPr>
        <w:t>BRI = (GoldVal_t / GoldVal_0)^w_g × (SilverVal_t / SilverVal_0)^w_s</w:t>
        <w:br/>
        <w:br/>
        <w:t>Where:</w:t>
        <w:br/>
        <w:t xml:space="preserve">  w_g = 0.90 (CVaR-optimized, 10k correlated paths — independently verified)</w:t>
        <w:br/>
        <w:t xml:space="preserve">  w_s = 0.10 (CVaR-optimized)</w:t>
        <w:br/>
        <w:t xml:space="preserve">  w_g + w_s = 1</w:t>
        <w:br/>
        <w:br/>
        <w:t>BRI is normalized to 1.0 at base date.</w:t>
        <w:br/>
        <w:t>BRI is ADVISORY ONLY. Does NOT trigger rebalancing. Does NOT drive the optimizer.</w:t>
        <w:br/>
        <w:t>The optimizer uses CVaR, liquidity, solvency, concentration — NOT BRI.</w:t>
      </w:r>
    </w:p>
    <w:p>
      <w:pPr>
        <w:pStyle w:val="Heading3"/>
      </w:pPr>
      <w:r>
        <w:t>3.9 Liquidity Coverage Index (Layer 3 — Advisory)</w:t>
      </w:r>
    </w:p>
    <w:p>
      <w:pPr>
        <w:ind w:left="283"/>
        <w:shd w:fill="F5F5F5"/>
      </w:pPr>
      <w:r>
        <w:rPr>
          <w:rFonts w:ascii="Consolas" w:hAnsi="Consolas"/>
          <w:color w:val="6B6B6B"/>
          <w:sz w:val="18"/>
        </w:rPr>
        <w:t>LCI = HQLA / Expected Stress Outflows</w:t>
        <w:br/>
        <w:br/>
        <w:t>Where:</w:t>
        <w:br/>
        <w:t xml:space="preserve">  HQLA = cash + sovereign × 0.98 + eligible digital liquidity × approved liquidity factor</w:t>
        <w:br/>
        <w:t xml:space="preserve">  Expected Stress Outflows = scenario-defined redemption stress, calibrated from historical, hypothetical, and reverse-stress scenarios; 10% is an example scenario, not a universal constitutional constant</w:t>
        <w:br/>
        <w:br/>
        <w:t>LCI is ADVISORY (supplements LCR with stress assumptions).</w:t>
      </w:r>
    </w:p>
    <w:p>
      <w:pPr>
        <w:pStyle w:val="Heading3"/>
      </w:pPr>
      <w:r>
        <w:t>3.10 Gold-Adjusted Coverage Ratio (Layer 2 — Reporting)</w:t>
      </w:r>
    </w:p>
    <w:p>
      <w:pPr>
        <w:ind w:left="283"/>
        <w:shd w:fill="F5F5F5"/>
      </w:pPr>
      <w:r>
        <w:rPr>
          <w:rFonts w:ascii="Consolas" w:hAnsi="Consolas"/>
          <w:color w:val="6B6B6B"/>
          <w:sz w:val="18"/>
        </w:rPr>
        <w:t>GACR = (R_a / G_t) / (S × PAR / G_t) = R_a / (S × PAR) = RR</w:t>
        <w:br/>
        <w:br/>
        <w:t>The algebra collapses to RR. This is INTENTIONAL.</w:t>
        <w:br/>
        <w:t>GACR is a REPORTING metric — it expresses RR in gold terms.</w:t>
        <w:br/>
        <w:br/>
        <w:t>Dashboard reports:</w:t>
        <w:br/>
        <w:t xml:space="preserve">  RR, gold-equivalent coverage, and purchasing-power metrics SHALL be populated from the current verified reserve snapshot. No static example value shall be interpreted as a constitutional invariant or guaranteed reserve ratio.</w:t>
      </w:r>
    </w:p>
    <w:p>
      <w:pPr>
        <w:pStyle w:val="Heading3"/>
      </w:pPr>
      <w:r>
        <w:t>3.11 Multi-Numéraire Purchasing Power (Layer 4 — Reporting)</w:t>
      </w:r>
    </w:p>
    <w:p>
      <w:pPr>
        <w:ind w:left="283"/>
        <w:shd w:fill="F5F5F5"/>
      </w:pPr>
      <w:r>
        <w:rPr>
          <w:rFonts w:ascii="Consolas" w:hAnsi="Consolas"/>
          <w:color w:val="6B6B6B"/>
          <w:sz w:val="18"/>
        </w:rPr>
        <w:t>PP_j = R_a / (GoldPrice × FX_j)</w:t>
        <w:br/>
        <w:br/>
        <w:t>For each reference numéraire j (USD, EUR, CHF, JPY, GBP, SGD, AED, SAR, CNY, gold, silver):</w:t>
        <w:br/>
        <w:t xml:space="preserve">  PP_j = reserve purchasing power measured in numéraire j</w:t>
        <w:br/>
        <w:br/>
        <w:t>This is a REPORTING layer only. Does NOT change RR (proven: MRR = RR).</w:t>
        <w:br/>
        <w:t>Provides multi-perspective visibility for institutional communication.</w:t>
      </w:r>
    </w:p>
    <w:p>
      <w:pPr>
        <w:pStyle w:val="Heading3"/>
      </w:pPr>
      <w:r>
        <w:t>3.12 Reserve Quality Score (Layer 4 — Optimization Input)</w:t>
      </w:r>
    </w:p>
    <w:p>
      <w:pPr>
        <w:ind w:left="283"/>
        <w:shd w:fill="F5F5F5"/>
      </w:pPr>
      <w:r>
        <w:rPr>
          <w:rFonts w:ascii="Consolas" w:hAnsi="Consolas"/>
          <w:color w:val="6B6B6B"/>
          <w:sz w:val="18"/>
        </w:rPr>
        <w:t>RQS_a = f(Liquidity, Credit, FX, Duration, Volatility, Correlation, GeopoliticalRisk, Convertibility, CustodyRisk)</w:t>
        <w:br/>
        <w:br/>
        <w:t>Each reserve asset receives a dynamic RQS.</w:t>
        <w:br/>
        <w:t>RQS informs the Dynamic Reserve Optimization Engine.</w:t>
        <w:br/>
        <w:t>RQS is NOT a constitutional metric — it is an optimization input.</w:t>
      </w:r>
    </w:p>
    <w:p>
      <w:pPr>
        <w:pStyle w:val="Heading3"/>
      </w:pPr>
      <w:r>
        <w:t>3.13 Dynamic Reserve Optimization Engine</w:t>
      </w:r>
    </w:p>
    <w:p>
      <w:pPr>
        <w:ind w:left="283"/>
        <w:shd w:fill="F5F5F5"/>
      </w:pPr>
      <w:r>
        <w:rPr>
          <w:rFonts w:ascii="Consolas" w:hAnsi="Consolas"/>
          <w:color w:val="6B6B6B"/>
          <w:sz w:val="18"/>
        </w:rPr>
        <w:t>The v24 optimizer is a **constraint-first residual-risk minimizer**. Solvency, liquidity, stress resilience, concentration, and constitutional allocation bands are feasibility requirements, not competing preferences.</w:t>
        <w:br/>
        <w:br/>
        <w:t>Step 1 — HARD FEASIBILITY GATE (must pass before any objective function is evaluated):</w:t>
        <w:br/>
        <w:t xml:space="preserve">  RR ≥ 100%</w:t>
        <w:br/>
        <w:t xml:space="preserve">  LCR ≥ 1.0</w:t>
        <w:br/>
        <w:t xml:space="preserve">  StressRR(s) ≥ approved scenario floor for every mandatory scenario</w:t>
        <w:br/>
        <w:t xml:space="preserve">  USD ≤ 35%</w:t>
        <w:br/>
        <w:t xml:space="preserve">  Per-currency ≤ 60%</w:t>
        <w:br/>
        <w:t xml:space="preserve">  Bullion ∈ [15%, 25%]</w:t>
        <w:br/>
        <w:t xml:space="preserve">  Gold share within bullion φ_t ∈ [60%, 95%]</w:t>
        <w:br/>
        <w:t xml:space="preserve">  Digital liquidity ∈ [0%, 5%]</w:t>
        <w:br/>
        <w:t xml:space="preserve">  Per-stablecoin-issuer ≤ 2%</w:t>
        <w:br/>
        <w:t xml:space="preserve">  Per-custodian ≤ 25%</w:t>
        <w:br/>
        <w:t xml:space="preserve">  Per-jurisdiction reserve exposure ≤ 30%</w:t>
        <w:br/>
        <w:br/>
        <w:t>Step 2 — RESIDUAL-RISK OBJECTIVE:</w:t>
        <w:br/>
        <w:t xml:space="preserve">  W* = argmin [ λ₁·CVaR + λ₂·FXRisk + λ₃·GeoRisk + λ₄·ConcentrationRisk + λ₅·LiquidityCost + λ₆·ExecutionCost ]</w:t>
        <w:br/>
        <w:br/>
        <w:t>Step 3 — STABILITY PREFERENCE:</w:t>
        <w:br/>
        <w:t xml:space="preserve">  Where two feasible portfolios are economically equivalent within the approved tolerance, select the portfolio with the higher Stress-RR, stronger liquidity, lower turnover, and lower model dependency.</w:t>
        <w:br/>
        <w:br/>
        <w:t>Step 4 — FORBIDDEN OBJECTIVES:</w:t>
        <w:br/>
        <w:t xml:space="preserve">  No optimization for token price appreciation.</w:t>
        <w:br/>
        <w:t xml:space="preserve">  No optimization for speculative return.</w:t>
        <w:br/>
        <w:t xml:space="preserve">  No optimization to maximize leverage or duration.</w:t>
        <w:br/>
        <w:t xml:space="preserve">  No optimization that weakens redemption certainty.</w:t>
        <w:br/>
        <w:br/>
        <w:t>GEI, CBGRS, and BRI remain reporting/advisory measures and SHALL NOT act as trading signals.</w:t>
        <w:br/>
        <w:br/>
        <w:t>All optimizer parameters require documented calibration methodology, version control, challenger testing, and independent validation before activation.</w:t>
      </w:r>
    </w:p>
    <w:p>
      <w:pPr>
        <w:pStyle w:val="Heading3"/>
      </w:pPr>
      <w:r>
        <w:t>3.14 Stress-RR (Hard Constraint for Optimizer)</w:t>
      </w:r>
    </w:p>
    <w:p>
      <w:pPr>
        <w:ind w:left="283"/>
        <w:shd w:fill="F5F5F5"/>
      </w:pPr>
      <w:r>
        <w:rPr>
          <w:rFonts w:ascii="Consolas" w:hAnsi="Consolas"/>
          <w:color w:val="6B6B6B"/>
          <w:sz w:val="18"/>
        </w:rPr>
        <w:t>RR_stress(s) = R_a(s) / (S(s) × PAR)</w:t>
        <w:br/>
        <w:br/>
        <w:t>For every defined stress scenario s, RR_stress should be ≥ 100%.</w:t>
        <w:br/>
        <w:t>This is a forward-looking safety gate for the optimizer.</w:t>
        <w:br/>
        <w:t>Stress-RR is NOT a second legal solvency ratio — it is a planning constraint.</w:t>
      </w:r>
    </w:p>
    <w:p>
      <w:pPr>
        <w:pBdr>
          <w:bottom w:val="single" w:sz="12" w:space="1" w:color="C59B1E"/>
        </w:pBdr>
      </w:pPr>
    </w:p>
    <w:p>
      <w:pPr>
        <w:pStyle w:val="Heading3"/>
      </w:pPr>
      <w:r>
        <w:t>3.15 MODEL-RISK GOVERNANCE</w:t>
      </w:r>
    </w:p>
    <w:p>
      <w:r>
        <w:t>Every mathematical or optimization model used by MITHQAL SHALL have:</w:t>
      </w:r>
    </w:p>
    <w:p>
      <w:pPr>
        <w:pStyle w:val="ListBullet"/>
        <w:ind w:left="425"/>
      </w:pPr>
      <w:r>
        <w:t>documented purpose and economic interpretation;</w:t>
      </w:r>
    </w:p>
    <w:p>
      <w:pPr>
        <w:pStyle w:val="ListBullet"/>
        <w:ind w:left="425"/>
      </w:pPr>
      <w:r>
        <w:t>explicit parameter registry;</w:t>
      </w:r>
    </w:p>
    <w:p>
      <w:pPr>
        <w:pStyle w:val="ListBullet"/>
        <w:ind w:left="425"/>
      </w:pPr>
      <w:r>
        <w:t>data-source registry;</w:t>
      </w:r>
    </w:p>
    <w:p>
      <w:pPr>
        <w:pStyle w:val="ListBullet"/>
        <w:ind w:left="425"/>
      </w:pPr>
      <w:r>
        <w:t>calibration dataset and calibration date;</w:t>
      </w:r>
    </w:p>
    <w:p>
      <w:pPr>
        <w:pStyle w:val="ListBullet"/>
        <w:ind w:left="425"/>
      </w:pPr>
      <w:r>
        <w:t>independent challenger model;</w:t>
      </w:r>
    </w:p>
    <w:p>
      <w:pPr>
        <w:pStyle w:val="ListBullet"/>
        <w:ind w:left="425"/>
      </w:pPr>
      <w:r>
        <w:t>sensitivity and scenario analysis;</w:t>
      </w:r>
    </w:p>
    <w:p>
      <w:pPr>
        <w:pStyle w:val="ListBullet"/>
        <w:ind w:left="425"/>
      </w:pPr>
      <w:r>
        <w:t>regime-break and correlation-break tests;</w:t>
      </w:r>
    </w:p>
    <w:p>
      <w:pPr>
        <w:pStyle w:val="ListBullet"/>
        <w:ind w:left="425"/>
      </w:pPr>
      <w:r>
        <w:t>procyclicality testing;</w:t>
      </w:r>
    </w:p>
    <w:p>
      <w:pPr>
        <w:pStyle w:val="ListBullet"/>
        <w:ind w:left="425"/>
      </w:pPr>
      <w:r>
        <w:t>out-of-sample validation;</w:t>
      </w:r>
    </w:p>
    <w:p>
      <w:pPr>
        <w:pStyle w:val="ListBullet"/>
        <w:ind w:left="425"/>
      </w:pPr>
      <w:r>
        <w:t>deterministic reproducibility;</w:t>
      </w:r>
    </w:p>
    <w:p>
      <w:pPr>
        <w:pStyle w:val="ListBullet"/>
        <w:ind w:left="425"/>
      </w:pPr>
      <w:r>
        <w:t>versioned approval record.</w:t>
      </w:r>
    </w:p>
    <w:p>
      <w:r>
        <w:t>No model result may override a constitutional invariant.</w:t>
      </w:r>
    </w:p>
    <w:p>
      <w:pPr>
        <w:pStyle w:val="Heading3"/>
      </w:pPr>
      <w:r>
        <w:t>3.16 MODEL-FAILURE RULE</w:t>
      </w:r>
    </w:p>
    <w:p>
      <w:r>
        <w:t>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p>
      <w:pPr>
        <w:pStyle w:val="Heading3"/>
      </w:pPr>
      <w:r>
        <w:t>3.17 CHALLENGER-MODEL REQUIREMENT</w:t>
      </w:r>
    </w:p>
    <w:p>
      <w:r>
        <w:t>Before any material parameter change, the proposed model SHALL be compared against at least one independently specified challenger model. A change is permitted only where the challenger review confirms that constitutional risk has not materially increased.</w:t>
      </w:r>
    </w:p>
    <w:p>
      <w:pPr>
        <w:pStyle w:val="Heading2"/>
      </w:pPr>
      <w:r>
        <w:t>4. RESERVE ARCHITECTURE</w:t>
      </w:r>
    </w:p>
    <w:p>
      <w:pPr>
        <w:pStyle w:val="Heading3"/>
      </w:pPr>
      <w:r>
        <w:t>4.1 Three-Pillar Structure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Pillar</w:t>
            </w:r>
          </w:p>
        </w:tc>
        <w:tc>
          <w:tcPr>
            <w:tcW w:type="dxa" w:w="1814"/>
            <w:shd w:fill="1A365F"/>
            <w:vAlign w:val="center"/>
          </w:tcPr>
          <w:p>
            <w:pPr>
              <w:jc w:val="left"/>
            </w:pPr>
            <w:r/>
            <w:r>
              <w:rPr>
                <w:rFonts w:ascii="Calibri" w:hAnsi="Calibri"/>
                <w:b/>
                <w:color w:val="FFFFFF"/>
                <w:sz w:val="18"/>
              </w:rPr>
              <w:t>Components</w:t>
            </w:r>
          </w:p>
        </w:tc>
        <w:tc>
          <w:tcPr>
            <w:tcW w:type="dxa" w:w="1814"/>
            <w:shd w:fill="1A365F"/>
            <w:vAlign w:val="center"/>
          </w:tcPr>
          <w:p>
            <w:pPr>
              <w:jc w:val="left"/>
            </w:pPr>
            <w:r/>
            <w:r>
              <w:rPr>
                <w:rFonts w:ascii="Calibri" w:hAnsi="Calibri"/>
                <w:b/>
                <w:color w:val="FFFFFF"/>
                <w:sz w:val="18"/>
              </w:rPr>
              <w:t>Target</w:t>
            </w:r>
          </w:p>
        </w:tc>
        <w:tc>
          <w:tcPr>
            <w:tcW w:type="dxa" w:w="1814"/>
            <w:shd w:fill="1A365F"/>
            <w:vAlign w:val="center"/>
          </w:tcPr>
          <w:p>
            <w:pPr>
              <w:jc w:val="left"/>
            </w:pPr>
            <w:r/>
            <w:r>
              <w:rPr>
                <w:rFonts w:ascii="Calibri" w:hAnsi="Calibri"/>
                <w:b/>
                <w:color w:val="FFFFFF"/>
                <w:sz w:val="18"/>
              </w:rPr>
              <w:t>Constitutional Range</w:t>
            </w:r>
          </w:p>
        </w:tc>
        <w:tc>
          <w:tcPr>
            <w:tcW w:type="dxa" w:w="1814"/>
            <w:shd w:fill="1A365F"/>
            <w:vAlign w:val="center"/>
          </w:tcPr>
          <w:p>
            <w:pPr>
              <w:jc w:val="left"/>
            </w:pPr>
            <w:r/>
            <w:r>
              <w:rPr>
                <w:rFonts w:ascii="Calibri" w:hAnsi="Calibri"/>
                <w:b/>
                <w:color w:val="FFFFFF"/>
                <w:sz w:val="18"/>
              </w:rPr>
              <w:t>Role</w:t>
            </w:r>
          </w:p>
        </w:tc>
      </w:tr>
      <w:tr>
        <w:tc>
          <w:tcPr>
            <w:tcW w:type="dxa" w:w="1814"/>
            <w:vAlign w:val="center"/>
          </w:tcPr>
          <w:p>
            <w:pPr>
              <w:jc w:val="left"/>
            </w:pPr>
            <w:r/>
            <w:r>
              <w:rPr>
                <w:rFonts w:ascii="Calibri" w:hAnsi="Calibri"/>
                <w:color w:val="2D2D2D"/>
                <w:sz w:val="18"/>
              </w:rPr>
              <w:t>**A — Bullion Anchor**</w:t>
            </w:r>
          </w:p>
        </w:tc>
        <w:tc>
          <w:tcPr>
            <w:tcW w:type="dxa" w:w="1814"/>
            <w:vAlign w:val="center"/>
          </w:tcPr>
          <w:p>
            <w:pPr>
              <w:jc w:val="left"/>
            </w:pPr>
            <w:r/>
            <w:r>
              <w:rPr>
                <w:rFonts w:ascii="Calibri" w:hAnsi="Calibri"/>
                <w:color w:val="2D2D2D"/>
                <w:sz w:val="18"/>
              </w:rPr>
              <w:t>Gold + Silver</w:t>
            </w:r>
          </w:p>
        </w:tc>
        <w:tc>
          <w:tcPr>
            <w:tcW w:type="dxa" w:w="1814"/>
            <w:vAlign w:val="center"/>
          </w:tcPr>
          <w:p>
            <w:pPr>
              <w:jc w:val="left"/>
            </w:pPr>
            <w:r/>
            <w:r>
              <w:rPr>
                <w:rFonts w:ascii="Calibri" w:hAnsi="Calibri"/>
                <w:color w:val="2D2D2D"/>
                <w:sz w:val="18"/>
              </w:rPr>
              <w:t>20%</w:t>
            </w:r>
          </w:p>
        </w:tc>
        <w:tc>
          <w:tcPr>
            <w:tcW w:type="dxa" w:w="1814"/>
            <w:vAlign w:val="center"/>
          </w:tcPr>
          <w:p>
            <w:pPr>
              <w:jc w:val="left"/>
            </w:pPr>
            <w:r/>
            <w:r>
              <w:rPr>
                <w:rFonts w:ascii="Calibri" w:hAnsi="Calibri"/>
                <w:color w:val="2D2D2D"/>
                <w:sz w:val="18"/>
              </w:rPr>
              <w:t>15-25%</w:t>
            </w:r>
          </w:p>
        </w:tc>
        <w:tc>
          <w:tcPr>
            <w:tcW w:type="dxa" w:w="1814"/>
            <w:vAlign w:val="center"/>
          </w:tcPr>
          <w:p>
            <w:pPr>
              <w:jc w:val="left"/>
            </w:pPr>
            <w:r/>
            <w:r>
              <w:rPr>
                <w:rFonts w:ascii="Calibri" w:hAnsi="Calibri"/>
                <w:color w:val="2D2D2D"/>
                <w:sz w:val="18"/>
              </w:rPr>
              <w:t>Strategic real-asset anchor</w:t>
            </w:r>
          </w:p>
        </w:tc>
      </w:tr>
      <w:tr>
        <w:tc>
          <w:tcPr>
            <w:tcW w:type="dxa" w:w="1814"/>
            <w:shd w:fill="F0F0F0"/>
            <w:vAlign w:val="center"/>
          </w:tcPr>
          <w:p>
            <w:pPr>
              <w:jc w:val="left"/>
            </w:pPr>
            <w:r/>
            <w:r>
              <w:rPr>
                <w:rFonts w:ascii="Calibri" w:hAnsi="Calibri"/>
                <w:color w:val="2D2D2D"/>
                <w:sz w:val="18"/>
              </w:rPr>
              <w:t>**B — Global Fiat Reserve**</w:t>
            </w:r>
          </w:p>
        </w:tc>
        <w:tc>
          <w:tcPr>
            <w:tcW w:type="dxa" w:w="1814"/>
            <w:shd w:fill="F0F0F0"/>
            <w:vAlign w:val="center"/>
          </w:tcPr>
          <w:p>
            <w:pPr>
              <w:jc w:val="left"/>
            </w:pPr>
            <w:r/>
            <w:r>
              <w:rPr>
                <w:rFonts w:ascii="Calibri" w:hAnsi="Calibri"/>
                <w:color w:val="2D2D2D"/>
                <w:sz w:val="18"/>
              </w:rPr>
              <w:t>Cash + Sovereign (11 currencies)</w:t>
            </w:r>
          </w:p>
        </w:tc>
        <w:tc>
          <w:tcPr>
            <w:tcW w:type="dxa" w:w="1814"/>
            <w:shd w:fill="F0F0F0"/>
            <w:vAlign w:val="center"/>
          </w:tcPr>
          <w:p>
            <w:pPr>
              <w:jc w:val="left"/>
            </w:pPr>
            <w:r/>
            <w:r>
              <w:rPr>
                <w:rFonts w:ascii="Calibri" w:hAnsi="Calibri"/>
                <w:color w:val="2D2D2D"/>
                <w:sz w:val="18"/>
              </w:rPr>
              <w:t>76.5%</w:t>
            </w:r>
          </w:p>
        </w:tc>
        <w:tc>
          <w:tcPr>
            <w:tcW w:type="dxa" w:w="1814"/>
            <w:shd w:fill="F0F0F0"/>
            <w:vAlign w:val="center"/>
          </w:tcPr>
          <w:p>
            <w:pPr>
              <w:jc w:val="left"/>
            </w:pPr>
            <w:r/>
            <w:r>
              <w:rPr>
                <w:rFonts w:ascii="Calibri" w:hAnsi="Calibri"/>
                <w:color w:val="2D2D2D"/>
                <w:sz w:val="18"/>
              </w:rPr>
              <w:t>70-85%</w:t>
            </w:r>
          </w:p>
        </w:tc>
        <w:tc>
          <w:tcPr>
            <w:tcW w:type="dxa" w:w="1814"/>
            <w:shd w:fill="F0F0F0"/>
            <w:vAlign w:val="center"/>
          </w:tcPr>
          <w:p>
            <w:pPr>
              <w:jc w:val="left"/>
            </w:pPr>
            <w:r/>
            <w:r>
              <w:rPr>
                <w:rFonts w:ascii="Calibri" w:hAnsi="Calibri"/>
                <w:color w:val="2D2D2D"/>
                <w:sz w:val="18"/>
              </w:rPr>
              <w:t>Core solvency + liquidity reserve</w:t>
            </w:r>
          </w:p>
        </w:tc>
      </w:tr>
      <w:tr>
        <w:tc>
          <w:tcPr>
            <w:tcW w:type="dxa" w:w="1814"/>
            <w:vAlign w:val="center"/>
          </w:tcPr>
          <w:p>
            <w:pPr>
              <w:jc w:val="left"/>
            </w:pPr>
            <w:r/>
            <w:r>
              <w:rPr>
                <w:rFonts w:ascii="Calibri" w:hAnsi="Calibri"/>
                <w:color w:val="2D2D2D"/>
                <w:sz w:val="18"/>
              </w:rPr>
              <w:t>**C — Digital Liquidity**</w:t>
            </w:r>
          </w:p>
        </w:tc>
        <w:tc>
          <w:tcPr>
            <w:tcW w:type="dxa" w:w="1814"/>
            <w:vAlign w:val="center"/>
          </w:tcPr>
          <w:p>
            <w:pPr>
              <w:jc w:val="left"/>
            </w:pPr>
            <w:r/>
            <w:r>
              <w:rPr>
                <w:rFonts w:ascii="Calibri" w:hAnsi="Calibri"/>
                <w:color w:val="2D2D2D"/>
                <w:sz w:val="18"/>
              </w:rPr>
              <w:t>Eligible stablecoins + tokenized</w:t>
            </w:r>
          </w:p>
        </w:tc>
        <w:tc>
          <w:tcPr>
            <w:tcW w:type="dxa" w:w="1814"/>
            <w:vAlign w:val="center"/>
          </w:tcPr>
          <w:p>
            <w:pPr>
              <w:jc w:val="left"/>
            </w:pPr>
            <w:r/>
            <w:r>
              <w:rPr>
                <w:rFonts w:ascii="Calibri" w:hAnsi="Calibri"/>
                <w:color w:val="2D2D2D"/>
                <w:sz w:val="18"/>
              </w:rPr>
              <w:t>3.5%</w:t>
            </w:r>
          </w:p>
        </w:tc>
        <w:tc>
          <w:tcPr>
            <w:tcW w:type="dxa" w:w="1814"/>
            <w:vAlign w:val="center"/>
          </w:tcPr>
          <w:p>
            <w:pPr>
              <w:jc w:val="left"/>
            </w:pPr>
            <w:r/>
            <w:r>
              <w:rPr>
                <w:rFonts w:ascii="Calibri" w:hAnsi="Calibri"/>
                <w:color w:val="2D2D2D"/>
                <w:sz w:val="18"/>
              </w:rPr>
              <w:t>0-5%</w:t>
            </w:r>
          </w:p>
        </w:tc>
        <w:tc>
          <w:tcPr>
            <w:tcW w:type="dxa" w:w="1814"/>
            <w:vAlign w:val="center"/>
          </w:tcPr>
          <w:p>
            <w:pPr>
              <w:jc w:val="left"/>
            </w:pPr>
            <w:r/>
            <w:r>
              <w:rPr>
                <w:rFonts w:ascii="Calibri" w:hAnsi="Calibri"/>
                <w:color w:val="2D2D2D"/>
                <w:sz w:val="18"/>
              </w:rPr>
              <w:t>Settlement/redemption bridge</w:t>
            </w:r>
          </w:p>
        </w:tc>
      </w:tr>
      <w:tr>
        <w:tc>
          <w:tcPr>
            <w:tcW w:type="dxa" w:w="1814"/>
            <w:shd w:fill="F0F0F0"/>
            <w:vAlign w:val="center"/>
          </w:tcPr>
          <w:p>
            <w:pPr>
              <w:jc w:val="left"/>
            </w:pPr>
            <w:r/>
            <w:r>
              <w:rPr>
                <w:rFonts w:ascii="Calibri" w:hAnsi="Calibri"/>
                <w:color w:val="2D2D2D"/>
                <w:sz w:val="18"/>
              </w:rPr>
              <w:t>**Total**</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t>100%</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r>
          </w:p>
        </w:tc>
      </w:tr>
    </w:tbl>
    <w:p/>
    <w:p>
      <w:r>
        <w:rPr>
          <w:b/>
        </w:rPr>
        <w:t>Constraint: A + B + C = 100%. When C reduces (depeg event), B absorbs the freed allocation. A (bullion) is NOT reducible for stablecoin substitution.</w:t>
      </w:r>
    </w:p>
    <w:p>
      <w:pPr>
        <w:pStyle w:val="Heading3"/>
      </w:pPr>
      <w:r>
        <w:t>4.2 Strategic Target Weights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Asset</w:t>
            </w:r>
          </w:p>
        </w:tc>
        <w:tc>
          <w:tcPr>
            <w:tcW w:type="dxa" w:w="2268"/>
            <w:shd w:fill="1A365F"/>
            <w:vAlign w:val="center"/>
          </w:tcPr>
          <w:p>
            <w:pPr>
              <w:jc w:val="left"/>
            </w:pPr>
            <w:r/>
            <w:r>
              <w:rPr>
                <w:rFonts w:ascii="Calibri" w:hAnsi="Calibri"/>
                <w:b/>
                <w:color w:val="FFFFFF"/>
                <w:sz w:val="18"/>
              </w:rPr>
              <w:t>Target %</w:t>
            </w:r>
          </w:p>
        </w:tc>
        <w:tc>
          <w:tcPr>
            <w:tcW w:type="dxa" w:w="2268"/>
            <w:shd w:fill="1A365F"/>
            <w:vAlign w:val="center"/>
          </w:tcPr>
          <w:p>
            <w:pPr>
              <w:jc w:val="left"/>
            </w:pPr>
            <w:r/>
            <w:r>
              <w:rPr>
                <w:rFonts w:ascii="Calibri" w:hAnsi="Calibri"/>
                <w:b/>
                <w:color w:val="FFFFFF"/>
                <w:sz w:val="18"/>
              </w:rPr>
              <w:t>Constitutional Range</w:t>
            </w:r>
          </w:p>
        </w:tc>
        <w:tc>
          <w:tcPr>
            <w:tcW w:type="dxa" w:w="2268"/>
            <w:shd w:fill="1A365F"/>
            <w:vAlign w:val="center"/>
          </w:tcPr>
          <w:p>
            <w:pPr>
              <w:jc w:val="left"/>
            </w:pPr>
            <w:r/>
            <w:r>
              <w:rPr>
                <w:rFonts w:ascii="Calibri" w:hAnsi="Calibri"/>
                <w:b/>
                <w:color w:val="FFFFFF"/>
                <w:sz w:val="18"/>
              </w:rPr>
              <w:t>Role</w:t>
            </w:r>
          </w:p>
        </w:tc>
      </w:tr>
      <w:tr>
        <w:tc>
          <w:tcPr>
            <w:tcW w:type="dxa" w:w="2268"/>
            <w:vAlign w:val="center"/>
          </w:tcPr>
          <w:p>
            <w:pPr>
              <w:jc w:val="left"/>
            </w:pPr>
            <w:r/>
            <w:r>
              <w:rPr>
                <w:rFonts w:ascii="Calibri" w:hAnsi="Calibri"/>
                <w:color w:val="2D2D2D"/>
                <w:sz w:val="18"/>
              </w:rPr>
              <w:t>**Gold**</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12-18%</w:t>
            </w:r>
          </w:p>
        </w:tc>
        <w:tc>
          <w:tcPr>
            <w:tcW w:type="dxa" w:w="2268"/>
            <w:vAlign w:val="center"/>
          </w:tcPr>
          <w:p>
            <w:pPr>
              <w:jc w:val="left"/>
            </w:pPr>
            <w:r/>
            <w:r>
              <w:rPr>
                <w:rFonts w:ascii="Calibri" w:hAnsi="Calibri"/>
                <w:color w:val="2D2D2D"/>
                <w:sz w:val="18"/>
              </w:rPr>
              <w:t>Primary strategic anchor</w:t>
            </w:r>
          </w:p>
        </w:tc>
      </w:tr>
      <w:tr>
        <w:tc>
          <w:tcPr>
            <w:tcW w:type="dxa" w:w="2268"/>
            <w:shd w:fill="F0F0F0"/>
            <w:vAlign w:val="center"/>
          </w:tcPr>
          <w:p>
            <w:pPr>
              <w:jc w:val="left"/>
            </w:pPr>
            <w:r/>
            <w:r>
              <w:rPr>
                <w:rFonts w:ascii="Calibri" w:hAnsi="Calibri"/>
                <w:color w:val="2D2D2D"/>
                <w:sz w:val="18"/>
              </w:rPr>
              <w:t>**Silver**</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3-8%</w:t>
            </w:r>
          </w:p>
        </w:tc>
        <w:tc>
          <w:tcPr>
            <w:tcW w:type="dxa" w:w="2268"/>
            <w:shd w:fill="F0F0F0"/>
            <w:vAlign w:val="center"/>
          </w:tcPr>
          <w:p>
            <w:pPr>
              <w:jc w:val="left"/>
            </w:pPr>
            <w:r/>
            <w:r>
              <w:rPr>
                <w:rFonts w:ascii="Calibri" w:hAnsi="Calibri"/>
                <w:color w:val="2D2D2D"/>
                <w:sz w:val="18"/>
              </w:rPr>
              <w:t>Secondary real-asset diversifier</w:t>
            </w:r>
          </w:p>
        </w:tc>
      </w:tr>
      <w:tr>
        <w:tc>
          <w:tcPr>
            <w:tcW w:type="dxa" w:w="2268"/>
            <w:vAlign w:val="center"/>
          </w:tcPr>
          <w:p>
            <w:pPr>
              <w:jc w:val="left"/>
            </w:pPr>
            <w:r/>
            <w:r>
              <w:rPr>
                <w:rFonts w:ascii="Calibri" w:hAnsi="Calibri"/>
                <w:color w:val="2D2D2D"/>
                <w:sz w:val="18"/>
              </w:rPr>
              <w:t>**USD (cash + sovereign)**</w:t>
            </w:r>
          </w:p>
        </w:tc>
        <w:tc>
          <w:tcPr>
            <w:tcW w:type="dxa" w:w="2268"/>
            <w:vAlign w:val="center"/>
          </w:tcPr>
          <w:p>
            <w:pPr>
              <w:jc w:val="left"/>
            </w:pPr>
            <w:r/>
            <w:r>
              <w:rPr>
                <w:rFonts w:ascii="Calibri" w:hAnsi="Calibri"/>
                <w:color w:val="2D2D2D"/>
                <w:sz w:val="18"/>
              </w:rPr>
              <w:t>**27%**</w:t>
            </w:r>
          </w:p>
        </w:tc>
        <w:tc>
          <w:tcPr>
            <w:tcW w:type="dxa" w:w="2268"/>
            <w:vAlign w:val="center"/>
          </w:tcPr>
          <w:p>
            <w:pPr>
              <w:jc w:val="left"/>
            </w:pPr>
            <w:r/>
            <w:r>
              <w:rPr>
                <w:rFonts w:ascii="Calibri" w:hAnsi="Calibri"/>
                <w:color w:val="2D2D2D"/>
                <w:sz w:val="18"/>
              </w:rPr>
              <w:t>20-35% (hard cap 35%)</w:t>
            </w:r>
          </w:p>
        </w:tc>
        <w:tc>
          <w:tcPr>
            <w:tcW w:type="dxa" w:w="2268"/>
            <w:vAlign w:val="center"/>
          </w:tcPr>
          <w:p>
            <w:pPr>
              <w:jc w:val="left"/>
            </w:pPr>
            <w:r/>
            <w:r>
              <w:rPr>
                <w:rFonts w:ascii="Calibri" w:hAnsi="Calibri"/>
                <w:color w:val="2D2D2D"/>
                <w:sz w:val="18"/>
              </w:rPr>
              <w:t>Primary settlement</w:t>
            </w:r>
          </w:p>
        </w:tc>
      </w:tr>
      <w:tr>
        <w:tc>
          <w:tcPr>
            <w:tcW w:type="dxa" w:w="2268"/>
            <w:shd w:fill="F0F0F0"/>
            <w:vAlign w:val="center"/>
          </w:tcPr>
          <w:p>
            <w:pPr>
              <w:jc w:val="left"/>
            </w:pPr>
            <w:r/>
            <w:r>
              <w:rPr>
                <w:rFonts w:ascii="Calibri" w:hAnsi="Calibri"/>
                <w:color w:val="2D2D2D"/>
                <w:sz w:val="18"/>
              </w:rPr>
              <w:t>**EUR (cash + sovereign)**</w:t>
            </w:r>
          </w:p>
        </w:tc>
        <w:tc>
          <w:tcPr>
            <w:tcW w:type="dxa" w:w="2268"/>
            <w:shd w:fill="F0F0F0"/>
            <w:vAlign w:val="center"/>
          </w:tcPr>
          <w:p>
            <w:pPr>
              <w:jc w:val="left"/>
            </w:pPr>
            <w:r/>
            <w:r>
              <w:rPr>
                <w:rFonts w:ascii="Calibri" w:hAnsi="Calibri"/>
                <w:color w:val="2D2D2D"/>
                <w:sz w:val="18"/>
              </w:rPr>
              <w:t>**19.5%**</w:t>
            </w:r>
          </w:p>
        </w:tc>
        <w:tc>
          <w:tcPr>
            <w:tcW w:type="dxa" w:w="2268"/>
            <w:shd w:fill="F0F0F0"/>
            <w:vAlign w:val="center"/>
          </w:tcPr>
          <w:p>
            <w:pPr>
              <w:jc w:val="left"/>
            </w:pPr>
            <w:r/>
            <w:r>
              <w:rPr>
                <w:rFonts w:ascii="Calibri" w:hAnsi="Calibri"/>
                <w:color w:val="2D2D2D"/>
                <w:sz w:val="18"/>
              </w:rPr>
              <w:t>12-24%</w:t>
            </w:r>
          </w:p>
        </w:tc>
        <w:tc>
          <w:tcPr>
            <w:tcW w:type="dxa" w:w="2268"/>
            <w:shd w:fill="F0F0F0"/>
            <w:vAlign w:val="center"/>
          </w:tcPr>
          <w:p>
            <w:pPr>
              <w:jc w:val="left"/>
            </w:pPr>
            <w:r/>
            <w:r>
              <w:rPr>
                <w:rFonts w:ascii="Calibri" w:hAnsi="Calibri"/>
                <w:color w:val="2D2D2D"/>
                <w:sz w:val="18"/>
              </w:rPr>
              <w:t>Primary USD hedge / EUR diversification</w:t>
            </w:r>
          </w:p>
        </w:tc>
      </w:tr>
      <w:tr>
        <w:tc>
          <w:tcPr>
            <w:tcW w:type="dxa" w:w="2268"/>
            <w:vAlign w:val="center"/>
          </w:tcPr>
          <w:p>
            <w:pPr>
              <w:jc w:val="left"/>
            </w:pPr>
            <w:r/>
            <w:r>
              <w:rPr>
                <w:rFonts w:ascii="Calibri" w:hAnsi="Calibri"/>
                <w:color w:val="2D2D2D"/>
                <w:sz w:val="18"/>
              </w:rPr>
              <w:t>**CHF (cash + sovereign)**</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Defensive reserve (highest CQS)</w:t>
            </w:r>
          </w:p>
        </w:tc>
      </w:tr>
      <w:tr>
        <w:tc>
          <w:tcPr>
            <w:tcW w:type="dxa" w:w="2268"/>
            <w:shd w:fill="F0F0F0"/>
            <w:vAlign w:val="center"/>
          </w:tcPr>
          <w:p>
            <w:pPr>
              <w:jc w:val="left"/>
            </w:pPr>
            <w:r/>
            <w:r>
              <w:rPr>
                <w:rFonts w:ascii="Calibri" w:hAnsi="Calibri"/>
                <w:color w:val="2D2D2D"/>
                <w:sz w:val="18"/>
              </w:rPr>
              <w:t>**JPY (cash + sovereign)**</w:t>
            </w:r>
          </w:p>
        </w:tc>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3-9%</w:t>
            </w:r>
          </w:p>
        </w:tc>
        <w:tc>
          <w:tcPr>
            <w:tcW w:type="dxa" w:w="2268"/>
            <w:shd w:fill="F0F0F0"/>
            <w:vAlign w:val="center"/>
          </w:tcPr>
          <w:p>
            <w:pPr>
              <w:jc w:val="left"/>
            </w:pPr>
            <w:r/>
            <w:r>
              <w:rPr>
                <w:rFonts w:ascii="Calibri" w:hAnsi="Calibri"/>
                <w:color w:val="2D2D2D"/>
                <w:sz w:val="18"/>
              </w:rPr>
              <w:t>Asian liquidity</w:t>
            </w:r>
          </w:p>
        </w:tc>
      </w:tr>
      <w:tr>
        <w:tc>
          <w:tcPr>
            <w:tcW w:type="dxa" w:w="2268"/>
            <w:vAlign w:val="center"/>
          </w:tcPr>
          <w:p>
            <w:pPr>
              <w:jc w:val="left"/>
            </w:pPr>
            <w:r/>
            <w:r>
              <w:rPr>
                <w:rFonts w:ascii="Calibri" w:hAnsi="Calibri"/>
                <w:color w:val="2D2D2D"/>
                <w:sz w:val="18"/>
              </w:rPr>
              <w:t>**GBP (cash + sovereign)**</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Global financial</w:t>
            </w:r>
          </w:p>
        </w:tc>
      </w:tr>
      <w:tr>
        <w:tc>
          <w:tcPr>
            <w:tcW w:type="dxa" w:w="2268"/>
            <w:shd w:fill="F0F0F0"/>
            <w:vAlign w:val="center"/>
          </w:tcPr>
          <w:p>
            <w:pPr>
              <w:jc w:val="left"/>
            </w:pPr>
            <w:r/>
            <w:r>
              <w:rPr>
                <w:rFonts w:ascii="Calibri" w:hAnsi="Calibri"/>
                <w:color w:val="2D2D2D"/>
                <w:sz w:val="18"/>
              </w:rPr>
              <w:t>**SGD (cash + sovereign)**</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2-6%</w:t>
            </w:r>
          </w:p>
        </w:tc>
        <w:tc>
          <w:tcPr>
            <w:tcW w:type="dxa" w:w="2268"/>
            <w:shd w:fill="F0F0F0"/>
            <w:vAlign w:val="center"/>
          </w:tcPr>
          <w:p>
            <w:pPr>
              <w:jc w:val="left"/>
            </w:pPr>
            <w:r/>
            <w:r>
              <w:rPr>
                <w:rFonts w:ascii="Calibri" w:hAnsi="Calibri"/>
                <w:color w:val="2D2D2D"/>
                <w:sz w:val="18"/>
              </w:rPr>
              <w:t>Asian diversification (AAA)</w:t>
            </w:r>
          </w:p>
        </w:tc>
      </w:tr>
      <w:tr>
        <w:tc>
          <w:tcPr>
            <w:tcW w:type="dxa" w:w="2268"/>
            <w:vAlign w:val="center"/>
          </w:tcPr>
          <w:p>
            <w:pPr>
              <w:jc w:val="left"/>
            </w:pPr>
            <w:r/>
            <w:r>
              <w:rPr>
                <w:rFonts w:ascii="Calibri" w:hAnsi="Calibri"/>
                <w:color w:val="2D2D2D"/>
                <w:sz w:val="18"/>
              </w:rPr>
              <w:t>**AED (cash + sovereign)**</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GCC settlement corridor</w:t>
            </w:r>
          </w:p>
        </w:tc>
      </w:tr>
      <w:tr>
        <w:tc>
          <w:tcPr>
            <w:tcW w:type="dxa" w:w="2268"/>
            <w:shd w:fill="F0F0F0"/>
            <w:vAlign w:val="center"/>
          </w:tcPr>
          <w:p>
            <w:pPr>
              <w:jc w:val="left"/>
            </w:pPr>
            <w:r/>
            <w:r>
              <w:rPr>
                <w:rFonts w:ascii="Calibri" w:hAnsi="Calibri"/>
                <w:color w:val="2D2D2D"/>
                <w:sz w:val="18"/>
              </w:rPr>
              <w:t>**SAR (cash + sovereign)**</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1-5%</w:t>
            </w:r>
          </w:p>
        </w:tc>
        <w:tc>
          <w:tcPr>
            <w:tcW w:type="dxa" w:w="2268"/>
            <w:shd w:fill="F0F0F0"/>
            <w:vAlign w:val="center"/>
          </w:tcPr>
          <w:p>
            <w:pPr>
              <w:jc w:val="left"/>
            </w:pPr>
            <w:r/>
            <w:r>
              <w:rPr>
                <w:rFonts w:ascii="Calibri" w:hAnsi="Calibri"/>
                <w:color w:val="2D2D2D"/>
                <w:sz w:val="18"/>
              </w:rPr>
              <w:t>GCC settlement corridor</w:t>
            </w:r>
          </w:p>
        </w:tc>
      </w:tr>
      <w:tr>
        <w:tc>
          <w:tcPr>
            <w:tcW w:type="dxa" w:w="2268"/>
            <w:vAlign w:val="center"/>
          </w:tcPr>
          <w:p>
            <w:pPr>
              <w:jc w:val="left"/>
            </w:pPr>
            <w:r/>
            <w:r>
              <w:rPr>
                <w:rFonts w:ascii="Calibri" w:hAnsi="Calibri"/>
                <w:color w:val="2D2D2D"/>
                <w:sz w:val="18"/>
              </w:rPr>
              <w:t>**CNY (cash + sovereign)**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1-4%</w:t>
            </w:r>
          </w:p>
        </w:tc>
        <w:tc>
          <w:tcPr>
            <w:tcW w:type="dxa" w:w="2268"/>
            <w:vAlign w:val="center"/>
          </w:tcPr>
          <w:p>
            <w:pPr>
              <w:jc w:val="left"/>
            </w:pPr>
            <w:r/>
            <w:r>
              <w:rPr>
                <w:rFonts w:ascii="Calibri" w:hAnsi="Calibri"/>
                <w:color w:val="2D2D2D"/>
                <w:sz w:val="18"/>
              </w:rPr>
              <w:t>Geopolitical neutrality (conditional)</w:t>
            </w:r>
          </w:p>
        </w:tc>
      </w:tr>
      <w:tr>
        <w:tc>
          <w:tcPr>
            <w:tcW w:type="dxa" w:w="2268"/>
            <w:shd w:fill="F0F0F0"/>
            <w:vAlign w:val="center"/>
          </w:tcPr>
          <w:p>
            <w:pPr>
              <w:jc w:val="left"/>
            </w:pPr>
            <w:r/>
            <w:r>
              <w:rPr>
                <w:rFonts w:ascii="Calibri" w:hAnsi="Calibri"/>
                <w:color w:val="2D2D2D"/>
                <w:sz w:val="18"/>
              </w:rPr>
              <w:t>**CAD (cash + sovereign)**</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Commodity diversification</w:t>
            </w:r>
          </w:p>
        </w:tc>
      </w:tr>
      <w:tr>
        <w:tc>
          <w:tcPr>
            <w:tcW w:type="dxa" w:w="2268"/>
            <w:vAlign w:val="center"/>
          </w:tcPr>
          <w:p>
            <w:pPr>
              <w:jc w:val="left"/>
            </w:pPr>
            <w:r/>
            <w:r>
              <w:rPr>
                <w:rFonts w:ascii="Calibri" w:hAnsi="Calibri"/>
                <w:color w:val="2D2D2D"/>
                <w:sz w:val="18"/>
              </w:rPr>
              <w:t>**AUD (cash + sovereign)**</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Commodity diversification</w:t>
            </w:r>
          </w:p>
        </w:tc>
      </w:tr>
      <w:tr>
        <w:tc>
          <w:tcPr>
            <w:tcW w:type="dxa" w:w="2268"/>
            <w:shd w:fill="F0F0F0"/>
            <w:vAlign w:val="center"/>
          </w:tcPr>
          <w:p>
            <w:pPr>
              <w:jc w:val="left"/>
            </w:pPr>
            <w:r/>
            <w:r>
              <w:rPr>
                <w:rFonts w:ascii="Calibri" w:hAnsi="Calibri"/>
                <w:color w:val="2D2D2D"/>
                <w:sz w:val="18"/>
              </w:rPr>
              <w:t>**USDC**</w:t>
            </w:r>
          </w:p>
        </w:tc>
        <w:tc>
          <w:tcPr>
            <w:tcW w:type="dxa" w:w="2268"/>
            <w:shd w:fill="F0F0F0"/>
            <w:vAlign w:val="center"/>
          </w:tcPr>
          <w:p>
            <w:pPr>
              <w:jc w:val="left"/>
            </w:pPr>
            <w:r/>
            <w:r>
              <w:rPr>
                <w:rFonts w:ascii="Calibri" w:hAnsi="Calibri"/>
                <w:color w:val="2D2D2D"/>
                <w:sz w:val="18"/>
              </w:rPr>
              <w:t>**2.0%**</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(regulated, USD)</w:t>
            </w:r>
          </w:p>
        </w:tc>
      </w:tr>
      <w:tr>
        <w:tc>
          <w:tcPr>
            <w:tcW w:type="dxa" w:w="2268"/>
            <w:vAlign w:val="center"/>
          </w:tcPr>
          <w:p>
            <w:pPr>
              <w:jc w:val="left"/>
            </w:pPr>
            <w:r/>
            <w:r>
              <w:rPr>
                <w:rFonts w:ascii="Calibri" w:hAnsi="Calibri"/>
                <w:color w:val="2D2D2D"/>
                <w:sz w:val="18"/>
              </w:rPr>
              <w:t>**USDP**</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Digital liquidity (Paxos trust)</w:t>
            </w:r>
          </w:p>
        </w:tc>
      </w:tr>
      <w:tr>
        <w:tc>
          <w:tcPr>
            <w:tcW w:type="dxa" w:w="2268"/>
            <w:shd w:fill="F0F0F0"/>
            <w:vAlign w:val="center"/>
          </w:tcPr>
          <w:p>
            <w:pPr>
              <w:jc w:val="left"/>
            </w:pPr>
            <w:r/>
            <w:r>
              <w:rPr>
                <w:rFonts w:ascii="Calibri" w:hAnsi="Calibri"/>
                <w:color w:val="2D2D2D"/>
                <w:sz w:val="18"/>
              </w:rPr>
              <w:t>**EURC**</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(EUR diversification)</w:t>
            </w:r>
          </w:p>
        </w:tc>
      </w:tr>
      <w:tr>
        <w:tc>
          <w:tcPr>
            <w:tcW w:type="dxa" w:w="2268"/>
            <w:vAlign w:val="center"/>
          </w:tcPr>
          <w:p>
            <w:pPr>
              <w:jc w:val="left"/>
            </w:pPr>
            <w:r/>
            <w:r>
              <w:rPr>
                <w:rFonts w:ascii="Calibri" w:hAnsi="Calibri"/>
                <w:color w:val="2D2D2D"/>
                <w:sz w:val="18"/>
              </w:rPr>
              <w:t>**BUIDL**</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Tokenized US T-bills</w:t>
            </w:r>
          </w:p>
        </w:tc>
      </w:tr>
      <w:tr>
        <w:tc>
          <w:tcPr>
            <w:tcW w:type="dxa" w:w="2268"/>
            <w:shd w:fill="F0F0F0"/>
            <w:vAlign w:val="center"/>
          </w:tcPr>
          <w:p>
            <w:pPr>
              <w:jc w:val="left"/>
            </w:pPr>
            <w:r/>
            <w:r>
              <w:rPr>
                <w:rFonts w:ascii="Calibri" w:hAnsi="Calibri"/>
                <w:color w:val="2D2D2D"/>
                <w:sz w:val="18"/>
              </w:rPr>
              <w:t>DAI (optional)</w:t>
            </w:r>
          </w:p>
        </w:tc>
        <w:tc>
          <w:tcPr>
            <w:tcW w:type="dxa" w:w="2268"/>
            <w:shd w:fill="F0F0F0"/>
            <w:vAlign w:val="center"/>
          </w:tcPr>
          <w:p>
            <w:pPr>
              <w:jc w:val="left"/>
            </w:pPr>
            <w:r/>
            <w:r>
              <w:rPr>
                <w:rFonts w:ascii="Calibri" w:hAnsi="Calibri"/>
                <w:color w:val="2D2D2D"/>
                <w:sz w:val="18"/>
              </w:rPr>
              <w:t>0%</w:t>
            </w:r>
          </w:p>
        </w:tc>
        <w:tc>
          <w:tcPr>
            <w:tcW w:type="dxa" w:w="2268"/>
            <w:shd w:fill="F0F0F0"/>
            <w:vAlign w:val="center"/>
          </w:tcPr>
          <w:p>
            <w:pPr>
              <w:jc w:val="left"/>
            </w:pPr>
            <w:r/>
            <w:r>
              <w:rPr>
                <w:rFonts w:ascii="Calibri" w:hAnsi="Calibri"/>
                <w:color w:val="2D2D2D"/>
                <w:sz w:val="18"/>
              </w:rPr>
              <w:t>0-1%</w:t>
            </w:r>
          </w:p>
        </w:tc>
        <w:tc>
          <w:tcPr>
            <w:tcW w:type="dxa" w:w="2268"/>
            <w:shd w:fill="F0F0F0"/>
            <w:vAlign w:val="center"/>
          </w:tcPr>
          <w:p>
            <w:pPr>
              <w:jc w:val="left"/>
            </w:pPr>
            <w:r/>
            <w:r>
              <w:rPr>
                <w:rFonts w:ascii="Calibri" w:hAnsi="Calibri"/>
                <w:color w:val="2D2D2D"/>
                <w:sz w:val="18"/>
              </w:rPr>
              <w:t>Decentralized (OPTIONAL, below core threshold)</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r>
          </w:p>
        </w:tc>
      </w:tr>
    </w:tbl>
    <w:p/>
    <w:p>
      <w:r>
        <w:rPr>
          <w:b/>
        </w:rPr>
        <w:t>Within Pillar B, each currency is split 60% cash + 40% sovereign (short-duration T-bills ≤1yr).</w:t>
      </w:r>
    </w:p>
    <w:p>
      <w:r>
        <w:rPr>
          <w:b/>
        </w:rPr>
        <w:t>USD target zone: 25-30% (not a precise mandate). The optimizer determines the exact point within the 20-35% range.</w:t>
      </w:r>
    </w:p>
    <w:p>
      <w:pPr>
        <w:pStyle w:val="Heading3"/>
      </w:pPr>
      <w:r>
        <w:t>4.3 Solvency Buffer</w:t>
      </w:r>
    </w:p>
    <w:p>
      <w:r>
        <w:t>Strategic reserve excess = 20% over contractual redemption liabilities at the portfolio level; this is NOT a separate cash bucket and does NOT imply that a 20% market-price decline can occur without further stress testing.</w:t>
      </w:r>
    </w:p>
    <w:p>
      <w:r>
        <w:rPr>
          <w:b/>
        </w:rPr>
        <w:t>Target RR: ≥120%. Floor: ≥100%. Policy: ≥105%.</w:t>
      </w:r>
    </w:p>
    <w:p>
      <w:r>
        <w:rPr>
          <w:b/>
        </w:rPr>
        <w:t>Stress-RR is separately governed and must meet the approved scenario-specific minimum.</w:t>
      </w:r>
    </w:p>
    <w:p>
      <w:pPr>
        <w:pStyle w:val="Heading3"/>
      </w:pPr>
      <w:r>
        <w:t>4.4 Dynamic Pillar Allocation</w:t>
      </w:r>
    </w:p>
    <w:p>
      <w:r>
        <w:t>Pillars are NOT fixed at exact percentages. The optimizer can adjust within constitutional bands:</w:t>
      </w:r>
    </w:p>
    <w:p>
      <w:pPr>
        <w:pStyle w:val="ListBullet"/>
        <w:ind w:left="425"/>
      </w:pPr>
      <w:r>
        <w:t>Bullion: 15-25% (gold 12-18%, silver 3-8%)</w:t>
      </w:r>
    </w:p>
    <w:p>
      <w:pPr>
        <w:pStyle w:val="ListBullet"/>
        <w:ind w:left="425"/>
      </w:pPr>
      <w:r>
        <w:t>Fiat: 70-85% (fills gap when digital reduces)</w:t>
      </w:r>
    </w:p>
    <w:p>
      <w:pPr>
        <w:pStyle w:val="ListBullet"/>
        <w:ind w:left="425"/>
      </w:pPr>
      <w:r>
        <w:t>Digital: 0-5% (MAXIMUM, not mandate; can go to 0% during stress)</w:t>
      </w:r>
    </w:p>
    <w:p>
      <w:pPr>
        <w:pBdr>
          <w:bottom w:val="single" w:sz="12" w:space="1" w:color="C59B1E"/>
        </w:pBdr>
      </w:pPr>
    </w:p>
    <w:p>
      <w:pPr>
        <w:pStyle w:val="Heading2"/>
      </w:pPr>
      <w:r>
        <w:t>5. GOLD / SILVER φ_t</w:t>
      </w:r>
    </w:p>
    <w:p>
      <w:pPr>
        <w:pStyle w:val="Heading3"/>
      </w:pPr>
      <w:r>
        <w:t>5.1 Gold Anchor Principle</w:t>
      </w:r>
    </w:p>
    <w:p>
      <w:r>
        <w:t xml:space="preserve">Gold is the </w:t>
      </w:r>
      <w:r>
        <w:rPr>
          <w:b/>
        </w:rPr>
        <w:t>strategic monetary anchor</w:t>
      </w:r>
      <w:r>
        <w:t>, NOT a peg, NOT a redemption promise, NOT the PAR anchor. Specifically:</w:t>
      </w:r>
    </w:p>
    <w:p>
      <w:pPr>
        <w:pStyle w:val="ListBullet"/>
        <w:ind w:left="425"/>
      </w:pPr>
      <w:r>
        <w:t>Gold is NOT redeemable at a fixed price (no 1 MTQ = X gold oz promise)</w:t>
      </w:r>
    </w:p>
    <w:p>
      <w:pPr>
        <w:pStyle w:val="ListBullet"/>
        <w:ind w:left="425"/>
      </w:pPr>
      <w:r>
        <w:t>Gold is NOT the PAR anchor (PAR = $1.00 USD-equivalent)</w:t>
      </w:r>
    </w:p>
    <w:p>
      <w:pPr>
        <w:pStyle w:val="ListBullet"/>
        <w:ind w:left="425"/>
      </w:pPr>
      <w:r>
        <w:t>Gold IS the last asset liquidated (Article X, Exhaustion Certificate)</w:t>
      </w:r>
    </w:p>
    <w:p>
      <w:pPr>
        <w:pStyle w:val="ListBullet"/>
        <w:ind w:left="425"/>
      </w:pPr>
      <w:r>
        <w:t>Gold IS the GEI/GACR numerator (advisory purchasing-power metric)</w:t>
      </w:r>
    </w:p>
    <w:p>
      <w:pPr>
        <w:pStyle w:val="ListBullet"/>
        <w:ind w:left="425"/>
      </w:pPr>
      <w:r>
        <w:t>Gold IS the CBGRS reference asset (advisory basket-strength metric)</w:t>
      </w:r>
    </w:p>
    <w:p>
      <w:pPr>
        <w:pStyle w:val="ListBullet"/>
        <w:ind w:left="425"/>
      </w:pPr>
      <w:r>
        <w:t>Gold IS the constitutional strategic anchor (long-term confidence)</w:t>
      </w:r>
    </w:p>
    <w:p>
      <w:r>
        <w:rPr>
          <w:b/>
        </w:rPr>
        <w:t>"Gold anchor" ≠ "gold peg" ≠ "gold redemption promise."</w:t>
      </w:r>
    </w:p>
    <w:p>
      <w:pPr>
        <w:pStyle w:val="Heading3"/>
      </w:pPr>
      <w:r>
        <w:t>5.2 φ_t Bounds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Bound</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φ_min (constitutional hard floor)</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φ_max (constitutional hard cap)</w:t>
            </w:r>
          </w:p>
        </w:tc>
        <w:tc>
          <w:tcPr>
            <w:tcW w:type="dxa" w:w="4536"/>
            <w:shd w:fill="F0F0F0"/>
            <w:vAlign w:val="center"/>
          </w:tcPr>
          <w:p>
            <w:pPr>
              <w:jc w:val="left"/>
            </w:pPr>
            <w:r/>
            <w:r>
              <w:rPr>
                <w:rFonts w:ascii="Calibri" w:hAnsi="Calibri"/>
                <w:color w:val="2D2D2D"/>
                <w:sz w:val="18"/>
              </w:rPr>
              <w:t>95%</w:t>
            </w:r>
          </w:p>
        </w:tc>
      </w:tr>
      <w:tr>
        <w:tc>
          <w:tcPr>
            <w:tcW w:type="dxa" w:w="4536"/>
            <w:vAlign w:val="center"/>
          </w:tcPr>
          <w:p>
            <w:pPr>
              <w:jc w:val="left"/>
            </w:pPr>
            <w:r/>
            <w:r>
              <w:rPr>
                <w:rFonts w:ascii="Calibri" w:hAnsi="Calibri"/>
                <w:color w:val="2D2D2D"/>
                <w:sz w:val="18"/>
              </w:rPr>
              <w:t>Normal band</w:t>
            </w:r>
          </w:p>
        </w:tc>
        <w:tc>
          <w:tcPr>
            <w:tcW w:type="dxa" w:w="4536"/>
            <w:vAlign w:val="center"/>
          </w:tcPr>
          <w:p>
            <w:pPr>
              <w:jc w:val="left"/>
            </w:pPr>
            <w:r/>
            <w:r>
              <w:rPr>
                <w:rFonts w:ascii="Calibri" w:hAnsi="Calibri"/>
                <w:color w:val="2D2D2D"/>
                <w:sz w:val="18"/>
              </w:rPr>
              <w:t>75-85%</w:t>
            </w:r>
          </w:p>
        </w:tc>
      </w:tr>
      <w:tr>
        <w:tc>
          <w:tcPr>
            <w:tcW w:type="dxa" w:w="4536"/>
            <w:shd w:fill="F0F0F0"/>
            <w:vAlign w:val="center"/>
          </w:tcPr>
          <w:p>
            <w:pPr>
              <w:jc w:val="left"/>
            </w:pPr>
            <w:r/>
            <w:r>
              <w:rPr>
                <w:rFonts w:ascii="Calibri" w:hAnsi="Calibri"/>
                <w:color w:val="2D2D2D"/>
                <w:sz w:val="18"/>
              </w:rPr>
              <w:t>Default target</w:t>
            </w:r>
          </w:p>
        </w:tc>
        <w:tc>
          <w:tcPr>
            <w:tcW w:type="dxa" w:w="4536"/>
            <w:shd w:fill="F0F0F0"/>
            <w:vAlign w:val="center"/>
          </w:tcPr>
          <w:p>
            <w:pPr>
              <w:jc w:val="left"/>
            </w:pPr>
            <w:r/>
            <w:r>
              <w:rPr>
                <w:rFonts w:ascii="Calibri" w:hAnsi="Calibri"/>
                <w:color w:val="2D2D2D"/>
                <w:sz w:val="18"/>
              </w:rPr>
              <w:t>75% gold / 25% silver</w:t>
            </w:r>
          </w:p>
        </w:tc>
      </w:tr>
      <w:tr>
        <w:tc>
          <w:tcPr>
            <w:tcW w:type="dxa" w:w="4536"/>
            <w:vAlign w:val="center"/>
          </w:tcPr>
          <w:p>
            <w:pPr>
              <w:jc w:val="left"/>
            </w:pPr>
            <w:r/>
            <w:r>
              <w:rPr>
                <w:rFonts w:ascii="Calibri" w:hAnsi="Calibri"/>
                <w:color w:val="2D2D2D"/>
                <w:sz w:val="18"/>
              </w:rPr>
              <w:t>Dynamic</w:t>
            </w:r>
          </w:p>
        </w:tc>
        <w:tc>
          <w:tcPr>
            <w:tcW w:type="dxa" w:w="4536"/>
            <w:vAlign w:val="center"/>
          </w:tcPr>
          <w:p>
            <w:pPr>
              <w:jc w:val="left"/>
            </w:pPr>
            <w:r/>
            <w:r>
              <w:rPr>
                <w:rFonts w:ascii="Calibri" w:hAnsi="Calibri"/>
                <w:color w:val="2D2D2D"/>
                <w:sz w:val="18"/>
              </w:rPr>
              <w:t>Gold EWMA vol &gt;3% → φ_t=75%; vol &lt;0.5% → φ_t=85%</w:t>
            </w:r>
          </w:p>
        </w:tc>
      </w:tr>
    </w:tbl>
    <w:p/>
    <w:p>
      <w:pPr>
        <w:pStyle w:val="Heading3"/>
      </w:pPr>
      <w:r>
        <w:t>5.3 Hysteresis</w:t>
      </w:r>
    </w:p>
    <w:p>
      <w:pPr>
        <w:pStyle w:val="ListBullet"/>
        <w:ind w:left="425"/>
      </w:pPr>
      <w:r>
        <w:t>2pp band: |proposed φ_t − current φ_t| ≤ 2pp → no action</w:t>
      </w:r>
    </w:p>
    <w:p>
      <w:pPr>
        <w:pStyle w:val="ListBullet"/>
        <w:ind w:left="425"/>
      </w:pPr>
      <w:r>
        <w:t>2-cycle confirmation: &gt;2pp drift must persist for 2 consecutive evaluation cycles</w:t>
      </w:r>
    </w:p>
    <w:p>
      <w:pPr>
        <w:pStyle w:val="ListBullet"/>
        <w:ind w:left="425"/>
      </w:pPr>
      <w:r>
        <w:t>Direction-tracking: if drift direction reverses, confirmation counter resets (anti-whipsaw)</w:t>
      </w:r>
    </w:p>
    <w:p>
      <w:pPr>
        <w:pStyle w:val="Heading3"/>
      </w:pPr>
      <w:r>
        <w:t>5.4 Silver Independence</w:t>
      </w:r>
    </w:p>
    <w:p>
      <w:r>
        <w:t xml:space="preserve">Silver is the </w:t>
      </w:r>
      <w:r>
        <w:rPr>
          <w:b/>
        </w:rPr>
        <w:t>secondary stabilizer</w:t>
      </w:r>
      <w:r>
        <w:t>, NOT a co-anchor. Silver has:</w:t>
      </w:r>
    </w:p>
    <w:p>
      <w:pPr>
        <w:pStyle w:val="ListBullet"/>
        <w:ind w:left="425"/>
      </w:pPr>
      <w:r>
        <w:t>Higher volatility (30% annual vs gold 15%)</w:t>
      </w:r>
    </w:p>
    <w:p>
      <w:pPr>
        <w:pStyle w:val="ListBullet"/>
        <w:ind w:left="425"/>
      </w:pPr>
      <w:r>
        <w:t>Lower liquidity (thinner market, 20 bps cost vs gold 10 bps)</w:t>
      </w:r>
    </w:p>
    <w:p>
      <w:pPr>
        <w:pStyle w:val="ListBullet"/>
        <w:ind w:left="425"/>
      </w:pPr>
      <w:r>
        <w:t>Lower absolute trade limit ($10M vs gold $25M)</w:t>
      </w:r>
    </w:p>
    <w:p>
      <w:pPr>
        <w:pStyle w:val="ListBullet"/>
        <w:ind w:left="425"/>
      </w:pPr>
      <w:r>
        <w:t>Independent stress modeling (not a mirror of gold)</w:t>
      </w:r>
    </w:p>
    <w:p>
      <w:pPr>
        <w:pBdr>
          <w:bottom w:val="single" w:sz="12" w:space="1" w:color="C59B1E"/>
        </w:pBdr>
      </w:pPr>
    </w:p>
    <w:p>
      <w:pPr>
        <w:pStyle w:val="Heading2"/>
      </w:pPr>
      <w:r>
        <w:t>6. CURRENCY ENGINE</w:t>
      </w:r>
    </w:p>
    <w:p>
      <w:pPr>
        <w:pStyle w:val="Heading3"/>
      </w:pPr>
      <w:r>
        <w:t>6.1 Two-Layer Currency System</w:t>
      </w:r>
    </w:p>
    <w:p>
      <w:r>
        <w:rPr>
          <w:b/>
        </w:rPr>
        <w:t>Layer A — Reserve Currencies (held as reserve assets):</w:t>
      </w:r>
    </w:p>
    <w:p>
      <w:r>
        <w:t>11 sovereign currencies: USD, EUR, CHF, JPY, GBP, SGD, AED, SAR, CNY, CAD, AUD</w:t>
      </w:r>
    </w:p>
    <w:p>
      <w:r>
        <w:rPr>
          <w:b/>
        </w:rPr>
        <w:t>Layer B — Settlement Currencies (convertible, NOT held):</w:t>
      </w:r>
    </w:p>
    <w:p>
      <w:r>
        <w:t>EGP, INR, KRW, TRY, BRL, MXN, ZAR, IDR, MYR, THB, and others as qualified.</w:t>
      </w:r>
    </w:p>
    <w:p>
      <w:r>
        <w:t>A currency can be supported for settlement without being held as reserve. This allows global accessibility without reserve fragmentation.</w:t>
      </w:r>
    </w:p>
    <w:p>
      <w:pPr>
        <w:pStyle w:val="Heading3"/>
      </w:pPr>
      <w:r>
        <w:t>6.2 Currency Quality Score (CQS)</w:t>
      </w:r>
    </w:p>
    <w:p>
      <w:r>
        <w:t>20-factor model per currency. Minimum CQS for reserve eligibility: 6.0. CNY (4.63) is conditional with substitution mechanism.</w:t>
      </w:r>
    </w:p>
    <w:p>
      <w:pPr>
        <w:pStyle w:val="Heading3"/>
      </w:pPr>
      <w:r>
        <w:t>6.3 Concentration Limits (v24 — updated)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Per-currency cap (general)</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**USD hard cap**</w:t>
            </w:r>
          </w:p>
        </w:tc>
        <w:tc>
          <w:tcPr>
            <w:tcW w:type="dxa" w:w="4536"/>
            <w:shd w:fill="F0F0F0"/>
            <w:vAlign w:val="center"/>
          </w:tcPr>
          <w:p>
            <w:pPr>
              <w:jc w:val="left"/>
            </w:pPr>
            <w:r/>
            <w:r>
              <w:rPr>
                <w:rFonts w:ascii="Calibri" w:hAnsi="Calibri"/>
                <w:color w:val="2D2D2D"/>
                <w:sz w:val="18"/>
              </w:rPr>
              <w:t>**35%**</w:t>
            </w:r>
          </w:p>
        </w:tc>
      </w:tr>
      <w:tr>
        <w:tc>
          <w:tcPr>
            <w:tcW w:type="dxa" w:w="4536"/>
            <w:vAlign w:val="center"/>
          </w:tcPr>
          <w:p>
            <w:pPr>
              <w:jc w:val="left"/>
            </w:pPr>
            <w:r/>
            <w:r>
              <w:rPr>
                <w:rFonts w:ascii="Calibri" w:hAnsi="Calibri"/>
                <w:color w:val="2D2D2D"/>
                <w:sz w:val="18"/>
              </w:rPr>
              <w:t>EUR cap</w:t>
            </w:r>
          </w:p>
        </w:tc>
        <w:tc>
          <w:tcPr>
            <w:tcW w:type="dxa" w:w="4536"/>
            <w:vAlign w:val="center"/>
          </w:tcPr>
          <w:p>
            <w:pPr>
              <w:jc w:val="left"/>
            </w:pPr>
            <w:r/>
            <w:r>
              <w:rPr>
                <w:rFonts w:ascii="Calibri" w:hAnsi="Calibri"/>
                <w:color w:val="2D2D2D"/>
                <w:sz w:val="18"/>
              </w:rPr>
              <w:t>25%</w:t>
            </w:r>
          </w:p>
        </w:tc>
      </w:tr>
      <w:tr>
        <w:tc>
          <w:tcPr>
            <w:tcW w:type="dxa" w:w="4536"/>
            <w:shd w:fill="F0F0F0"/>
            <w:vAlign w:val="center"/>
          </w:tcPr>
          <w:p>
            <w:pPr>
              <w:jc w:val="left"/>
            </w:pPr>
            <w:r/>
            <w:r>
              <w:rPr>
                <w:rFonts w:ascii="Calibri" w:hAnsi="Calibri"/>
                <w:color w:val="2D2D2D"/>
                <w:sz w:val="18"/>
              </w:rPr>
              <w:t>Asian aggregate (JPY+SGD+CNY+CAD+AUD)</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Gulf aggregate (AED+SAR)</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Regional group</w:t>
            </w:r>
          </w:p>
        </w:tc>
        <w:tc>
          <w:tcPr>
            <w:tcW w:type="dxa" w:w="4536"/>
            <w:shd w:fill="F0F0F0"/>
            <w:vAlign w:val="center"/>
          </w:tcPr>
          <w:p>
            <w:pPr>
              <w:jc w:val="left"/>
            </w:pPr>
            <w:r/>
            <w:r>
              <w:rPr>
                <w:rFonts w:ascii="Calibri" w:hAnsi="Calibri"/>
                <w:color w:val="2D2D2D"/>
                <w:sz w:val="18"/>
              </w:rPr>
              <w:t>40%</w:t>
            </w:r>
          </w:p>
        </w:tc>
      </w:tr>
      <w:tr>
        <w:tc>
          <w:tcPr>
            <w:tcW w:type="dxa" w:w="4536"/>
            <w:vAlign w:val="center"/>
          </w:tcPr>
          <w:p>
            <w:pPr>
              <w:jc w:val="left"/>
            </w:pPr>
            <w:r/>
            <w:r>
              <w:rPr>
                <w:rFonts w:ascii="Calibri" w:hAnsi="Calibri"/>
                <w:color w:val="2D2D2D"/>
                <w:sz w:val="18"/>
              </w:rPr>
              <w:t>Per-currency floor</w:t>
            </w:r>
          </w:p>
        </w:tc>
        <w:tc>
          <w:tcPr>
            <w:tcW w:type="dxa" w:w="4536"/>
            <w:vAlign w:val="center"/>
          </w:tcPr>
          <w:p>
            <w:pPr>
              <w:jc w:val="left"/>
            </w:pPr>
            <w:r/>
            <w:r>
              <w:rPr>
                <w:rFonts w:ascii="Calibri" w:hAnsi="Calibri"/>
                <w:color w:val="2D2D2D"/>
                <w:sz w:val="18"/>
              </w:rPr>
              <w:t>0.5%</w:t>
            </w:r>
          </w:p>
        </w:tc>
      </w:tr>
      <w:tr>
        <w:tc>
          <w:tcPr>
            <w:tcW w:type="dxa" w:w="4536"/>
            <w:shd w:fill="F0F0F0"/>
            <w:vAlign w:val="center"/>
          </w:tcPr>
          <w:p>
            <w:pPr>
              <w:jc w:val="left"/>
            </w:pPr>
            <w:r/>
            <w:r>
              <w:rPr>
                <w:rFonts w:ascii="Calibri" w:hAnsi="Calibri"/>
                <w:color w:val="2D2D2D"/>
                <w:sz w:val="18"/>
              </w:rPr>
              <w:t>Minimum diversity</w:t>
            </w:r>
          </w:p>
        </w:tc>
        <w:tc>
          <w:tcPr>
            <w:tcW w:type="dxa" w:w="4536"/>
            <w:shd w:fill="F0F0F0"/>
            <w:vAlign w:val="center"/>
          </w:tcPr>
          <w:p>
            <w:pPr>
              <w:jc w:val="left"/>
            </w:pPr>
            <w:r/>
            <w:r>
              <w:rPr>
                <w:rFonts w:ascii="Calibri" w:hAnsi="Calibri"/>
                <w:color w:val="2D2D2D"/>
                <w:sz w:val="18"/>
              </w:rPr>
              <w:t>3 currencies (minimum active reserve: 7-8)</w:t>
            </w:r>
          </w:p>
        </w:tc>
      </w:tr>
      <w:tr>
        <w:tc>
          <w:tcPr>
            <w:tcW w:type="dxa" w:w="4536"/>
            <w:vAlign w:val="center"/>
          </w:tcPr>
          <w:p>
            <w:pPr>
              <w:jc w:val="left"/>
            </w:pPr>
            <w:r/>
            <w:r>
              <w:rPr>
                <w:rFonts w:ascii="Calibri" w:hAnsi="Calibri"/>
                <w:color w:val="2D2D2D"/>
                <w:sz w:val="18"/>
              </w:rPr>
              <w:t>Per-counterparty</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Per-custodian</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Per-issuer (stablecoin)</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Per-jurisdiction</w:t>
            </w:r>
          </w:p>
        </w:tc>
        <w:tc>
          <w:tcPr>
            <w:tcW w:type="dxa" w:w="4536"/>
            <w:shd w:fill="F0F0F0"/>
            <w:vAlign w:val="center"/>
          </w:tcPr>
          <w:p>
            <w:pPr>
              <w:jc w:val="left"/>
            </w:pPr>
            <w:r/>
            <w:r>
              <w:rPr>
                <w:rFonts w:ascii="Calibri" w:hAnsi="Calibri"/>
                <w:color w:val="2D2D2D"/>
                <w:sz w:val="18"/>
              </w:rPr>
              <w:t>≤30%</w:t>
            </w:r>
          </w:p>
        </w:tc>
      </w:tr>
    </w:tbl>
    <w:p/>
    <w:p>
      <w:pPr>
        <w:pStyle w:val="Heading3"/>
      </w:pPr>
      <w:r>
        <w:t>6.4 Currency Lifecycle (WATCH/REDUCE/SUSPEND/SUBSTITUTE)</w:t>
      </w:r>
    </w:p>
    <w:p>
      <w:pPr>
        <w:ind w:left="283"/>
        <w:shd w:fill="F5F5F5"/>
      </w:pPr>
      <w:r>
        <w:rPr>
          <w:rFonts w:ascii="Consolas" w:hAnsi="Consolas"/>
          <w:color w:val="6B6B6B"/>
          <w:sz w:val="18"/>
        </w:rPr>
        <w:t>NORMAL → WATCH → REDUCE → SUSPEND → SUBSTITUTE → REINSTATE</w:t>
        <w:br/>
        <w:br/>
        <w:t>WATCH:     CQS &lt; 6.0 OR sovereign downgrade OR vol &gt; 2σ</w:t>
        <w:br/>
        <w:t>REDUCE:    CQS &lt; 5.5 for 20 consecutive readings (~1 month)</w:t>
        <w:br/>
        <w:t>SUSPEND:   CQS &lt; 4.0 OR sanctions OR capital controls</w:t>
        <w:br/>
        <w:t>SUBSTITUTE: Governance approval (4-of-5) → reallocate to highest-CQS eligible</w:t>
        <w:br/>
        <w:t>REINSTATE: CQS &gt; 6.5 for 60 consecutive readings (~3 months)</w:t>
      </w:r>
    </w:p>
    <w:p>
      <w:r>
        <w:rPr>
          <w:b/>
        </w:rPr>
        <w:t>Substitution MUST NOT default to USD.</w:t>
      </w:r>
      <w:r>
        <w:t xml:space="preserve"> Replacement selected by CQS + correlation + liquidity + geopolitical neutrality. No single replacement &gt;50% of freed allocation.</w:t>
      </w:r>
    </w:p>
    <w:p>
      <w:pPr>
        <w:pStyle w:val="Heading3"/>
      </w:pPr>
      <w:r>
        <w:t>6.5 Severe Deviation Protocol (SDP)</w:t>
      </w:r>
    </w:p>
    <w:p>
      <w:pPr>
        <w:ind w:left="283"/>
        <w:shd w:fill="F5F5F5"/>
      </w:pPr>
      <w:r>
        <w:rPr>
          <w:rFonts w:ascii="Consolas" w:hAnsi="Consolas"/>
          <w:color w:val="6B6B6B"/>
          <w:sz w:val="18"/>
        </w:rPr>
        <w:t>If |P_t / P_{t-7} − 1| &gt; 5%:</w:t>
        <w:br/>
        <w:t xml:space="preserve">    SDP triggers</w:t>
        <w:br/>
        <w:t xml:space="preserve">    K_SDP = P_reference / P_current</w:t>
        <w:br/>
        <w:t xml:space="preserve">    W_emergency = C_structural × K_SDP</w:t>
        <w:br/>
        <w:t xml:space="preserve">    W_new = max(W_emergency, W_current × 0.50)</w:t>
        <w:br/>
        <w:t xml:space="preserve">    Currency lifecycle: full → suspended</w:t>
      </w:r>
    </w:p>
    <w:p>
      <w:pPr>
        <w:pBdr>
          <w:bottom w:val="single" w:sz="12" w:space="1" w:color="C59B1E"/>
        </w:pBdr>
      </w:pPr>
    </w:p>
    <w:p>
      <w:pPr>
        <w:pStyle w:val="Heading2"/>
      </w:pPr>
      <w:r>
        <w:t>7. DIGITAL LIQUIDITY SLEEVE (v24 — REVISED)</w:t>
      </w:r>
    </w:p>
    <w:p>
      <w:pPr>
        <w:pStyle w:val="Heading3"/>
      </w:pPr>
      <w:r>
        <w:t>7.1 Classification</w:t>
      </w:r>
    </w:p>
    <w:p>
      <w:r>
        <w:t xml:space="preserve">Stablecoins and tokenized liquidity are </w:t>
      </w:r>
      <w:r>
        <w:rPr>
          <w:b/>
        </w:rPr>
        <w:t>NOT a core monetary reserve pillar.</w:t>
      </w:r>
      <w:r>
        <w:t xml:space="preserve"> They are a </w:t>
      </w:r>
      <w:r>
        <w:rPr>
          <w:b/>
        </w:rPr>
        <w:t>digital liquidity sleeve</w:t>
      </w:r>
      <w:r>
        <w:t xml:space="preserve"> — a capped, dynamically optimized settlement/redemption bridge.</w:t>
      </w:r>
    </w:p>
    <w:p>
      <w:pPr>
        <w:pStyle w:val="Heading3"/>
      </w:pPr>
      <w:r>
        <w:t>7.2 Constitutional Maximum</w:t>
      </w:r>
    </w:p>
    <w:p>
      <w:pPr>
        <w:pStyle w:val="ListBullet"/>
        <w:ind w:left="425"/>
      </w:pPr>
      <w:r>
        <w:t xml:space="preserve">Total digital liquidity: </w:t>
      </w:r>
      <w:r>
        <w:rPr>
          <w:b/>
        </w:rPr>
        <w:t>≤5%</w:t>
      </w:r>
      <w:r>
        <w:t xml:space="preserve"> (MAXIMUM, not mandate)</w:t>
      </w:r>
    </w:p>
    <w:p>
      <w:pPr>
        <w:pStyle w:val="ListBullet"/>
        <w:ind w:left="425"/>
      </w:pPr>
      <w:r>
        <w:t xml:space="preserve">Per-issuer: </w:t>
      </w:r>
      <w:r>
        <w:rPr>
          <w:b/>
        </w:rPr>
        <w:t>≤2%</w:t>
      </w:r>
    </w:p>
    <w:p>
      <w:pPr>
        <w:pStyle w:val="ListBullet"/>
        <w:ind w:left="425"/>
      </w:pPr>
      <w:r>
        <w:t xml:space="preserve">Minimum issuers: </w:t>
      </w:r>
      <w:r>
        <w:rPr>
          <w:b/>
        </w:rPr>
        <w:t>3</w:t>
      </w:r>
      <w:r>
        <w:t xml:space="preserve"> (when allocation &gt; 0%)</w:t>
      </w:r>
    </w:p>
    <w:p>
      <w:pPr>
        <w:pStyle w:val="ListBullet"/>
        <w:ind w:left="425"/>
      </w:pPr>
      <w:r>
        <w:t xml:space="preserve">Normal target: </w:t>
      </w:r>
      <w:r>
        <w:rPr>
          <w:b/>
        </w:rPr>
        <w:t>2-5%</w:t>
      </w:r>
    </w:p>
    <w:p>
      <w:pPr>
        <w:pStyle w:val="ListBullet"/>
        <w:ind w:left="425"/>
      </w:pPr>
      <w:r>
        <w:t xml:space="preserve">Stress target: </w:t>
      </w:r>
      <w:r>
        <w:rPr>
          <w:b/>
        </w:rPr>
        <w:t>0-2%</w:t>
      </w:r>
      <w:r>
        <w:t xml:space="preserve"> (can reduce toward zero)</w:t>
      </w:r>
    </w:p>
    <w:p>
      <w:pPr>
        <w:pStyle w:val="ListBullet"/>
        <w:ind w:left="425"/>
      </w:pPr>
      <w:r>
        <w:t xml:space="preserve">Emergency: </w:t>
      </w:r>
      <w:r>
        <w:rPr>
          <w:b/>
        </w:rPr>
        <w:t>0%</w:t>
      </w:r>
      <w:r>
        <w:t xml:space="preserve"> (all digital liquidity can be exited)</w:t>
      </w:r>
    </w:p>
    <w:p>
      <w:pPr>
        <w:pStyle w:val="Heading3"/>
      </w:pPr>
      <w:r>
        <w:t>7.3 Digital Reserve Quality Score (DRQS)</w:t>
      </w:r>
    </w:p>
    <w:p>
      <w:pPr>
        <w:ind w:left="283"/>
        <w:shd w:fill="F5F5F5"/>
      </w:pPr>
      <w:r>
        <w:rPr>
          <w:rFonts w:ascii="Consolas" w:hAnsi="Consolas"/>
          <w:color w:val="6B6B6B"/>
          <w:sz w:val="18"/>
        </w:rPr>
        <w:t>DRQS_i = 0.20·Issuer + 0.15·Reserve + 0.15·Redemption + 0.15·Depeg +</w:t>
        <w:br/>
        <w:t xml:space="preserve">         0.10·Jurisdiction + 0.10·Custody + 0.10·Operational + 0.05·Liquidity</w:t>
        <w:br/>
        <w:br/>
        <w:t>Core digital liquidity threshold: DRQS ≥ 7.5</w:t>
        <w:br/>
        <w:t>Conditional threshold: DRQS ≥ 6.0</w:t>
        <w:br/>
        <w:t>Algorithmic stablecoins: EXCLUDED</w:t>
      </w:r>
    </w:p>
    <w:p>
      <w:pPr>
        <w:pStyle w:val="Heading3"/>
      </w:pPr>
      <w:r>
        <w:t>7.4 Approved Digital Liquidity Assets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Asset</w:t>
            </w:r>
          </w:p>
        </w:tc>
        <w:tc>
          <w:tcPr>
            <w:tcW w:type="dxa" w:w="1512"/>
            <w:shd w:fill="1A365F"/>
            <w:vAlign w:val="center"/>
          </w:tcPr>
          <w:p>
            <w:pPr>
              <w:jc w:val="left"/>
            </w:pPr>
            <w:r/>
            <w:r>
              <w:rPr>
                <w:rFonts w:ascii="Calibri" w:hAnsi="Calibri"/>
                <w:b/>
                <w:color w:val="FFFFFF"/>
                <w:sz w:val="18"/>
              </w:rPr>
              <w:t>Type</w:t>
            </w:r>
          </w:p>
        </w:tc>
        <w:tc>
          <w:tcPr>
            <w:tcW w:type="dxa" w:w="1512"/>
            <w:shd w:fill="1A365F"/>
            <w:vAlign w:val="center"/>
          </w:tcPr>
          <w:p>
            <w:pPr>
              <w:jc w:val="left"/>
            </w:pPr>
            <w:r/>
            <w:r>
              <w:rPr>
                <w:rFonts w:ascii="Calibri" w:hAnsi="Calibri"/>
                <w:b/>
                <w:color w:val="FFFFFF"/>
                <w:sz w:val="18"/>
              </w:rPr>
              <w:t>Peg</w:t>
            </w:r>
          </w:p>
        </w:tc>
        <w:tc>
          <w:tcPr>
            <w:tcW w:type="dxa" w:w="1512"/>
            <w:shd w:fill="1A365F"/>
            <w:vAlign w:val="center"/>
          </w:tcPr>
          <w:p>
            <w:pPr>
              <w:jc w:val="left"/>
            </w:pPr>
            <w:r/>
            <w:r>
              <w:rPr>
                <w:rFonts w:ascii="Calibri" w:hAnsi="Calibri"/>
                <w:b/>
                <w:color w:val="FFFFFF"/>
                <w:sz w:val="18"/>
              </w:rPr>
              <w:t>DRQS</w:t>
            </w:r>
          </w:p>
        </w:tc>
        <w:tc>
          <w:tcPr>
            <w:tcW w:type="dxa" w:w="1512"/>
            <w:shd w:fill="1A365F"/>
            <w:vAlign w:val="center"/>
          </w:tcPr>
          <w:p>
            <w:pPr>
              <w:jc w:val="left"/>
            </w:pPr>
            <w:r/>
            <w:r>
              <w:rPr>
                <w:rFonts w:ascii="Calibri" w:hAnsi="Calibri"/>
                <w:b/>
                <w:color w:val="FFFFFF"/>
                <w:sz w:val="18"/>
              </w:rPr>
              <w:t>Target</w:t>
            </w:r>
          </w:p>
        </w:tc>
        <w:tc>
          <w:tcPr>
            <w:tcW w:type="dxa" w:w="1512"/>
            <w:shd w:fill="1A365F"/>
            <w:vAlign w:val="center"/>
          </w:tcPr>
          <w:p>
            <w:pPr>
              <w:jc w:val="left"/>
            </w:pPr>
            <w:r/>
            <w:r>
              <w:rPr>
                <w:rFonts w:ascii="Calibri" w:hAnsi="Calibri"/>
                <w:b/>
                <w:color w:val="FFFFFF"/>
                <w:sz w:val="18"/>
              </w:rPr>
              <w:t>Role</w:t>
            </w:r>
          </w:p>
        </w:tc>
      </w:tr>
      <w:tr>
        <w:tc>
          <w:tcPr>
            <w:tcW w:type="dxa" w:w="1512"/>
            <w:vAlign w:val="center"/>
          </w:tcPr>
          <w:p>
            <w:pPr>
              <w:jc w:val="left"/>
            </w:pPr>
            <w:r/>
            <w:r>
              <w:rPr>
                <w:rFonts w:ascii="Calibri" w:hAnsi="Calibri"/>
                <w:color w:val="2D2D2D"/>
                <w:sz w:val="18"/>
              </w:rPr>
              <w:t>**USDC**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8.50</w:t>
            </w:r>
          </w:p>
        </w:tc>
        <w:tc>
          <w:tcPr>
            <w:tcW w:type="dxa" w:w="1512"/>
            <w:vAlign w:val="center"/>
          </w:tcPr>
          <w:p>
            <w:pPr>
              <w:jc w:val="left"/>
            </w:pPr>
            <w:r/>
            <w:r>
              <w:rPr>
                <w:rFonts w:ascii="Calibri" w:hAnsi="Calibri"/>
                <w:color w:val="2D2D2D"/>
                <w:sz w:val="18"/>
              </w:rPr>
              <w:t>**2.0%**</w:t>
            </w:r>
          </w:p>
        </w:tc>
        <w:tc>
          <w:tcPr>
            <w:tcW w:type="dxa" w:w="1512"/>
            <w:vAlign w:val="center"/>
          </w:tcPr>
          <w:p>
            <w:pPr>
              <w:jc w:val="left"/>
            </w:pPr>
            <w:r/>
            <w:r>
              <w:rPr>
                <w:rFonts w:ascii="Calibri" w:hAnsi="Calibri"/>
                <w:color w:val="2D2D2D"/>
                <w:sz w:val="18"/>
              </w:rPr>
              <w:t>Primary (deepest liquidity)</w:t>
            </w:r>
          </w:p>
        </w:tc>
      </w:tr>
      <w:tr>
        <w:tc>
          <w:tcPr>
            <w:tcW w:type="dxa" w:w="1512"/>
            <w:shd w:fill="F0F0F0"/>
            <w:vAlign w:val="center"/>
          </w:tcPr>
          <w:p>
            <w:pPr>
              <w:jc w:val="left"/>
            </w:pPr>
            <w:r/>
            <w:r>
              <w:rPr>
                <w:rFonts w:ascii="Calibri" w:hAnsi="Calibri"/>
                <w:color w:val="2D2D2D"/>
                <w:sz w:val="18"/>
              </w:rPr>
              <w:t>**USDP**</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8.45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Highest regulatory quality (Paxos)</w:t>
            </w:r>
          </w:p>
        </w:tc>
      </w:tr>
      <w:tr>
        <w:tc>
          <w:tcPr>
            <w:tcW w:type="dxa" w:w="1512"/>
            <w:vAlign w:val="center"/>
          </w:tcPr>
          <w:p>
            <w:pPr>
              <w:jc w:val="left"/>
            </w:pPr>
            <w:r/>
            <w:r>
              <w:rPr>
                <w:rFonts w:ascii="Calibri" w:hAnsi="Calibri"/>
                <w:color w:val="2D2D2D"/>
                <w:sz w:val="18"/>
              </w:rPr>
              <w:t>**EURC**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EUR</w:t>
            </w:r>
          </w:p>
        </w:tc>
        <w:tc>
          <w:tcPr>
            <w:tcW w:type="dxa" w:w="1512"/>
            <w:vAlign w:val="center"/>
          </w:tcPr>
          <w:p>
            <w:pPr>
              <w:jc w:val="left"/>
            </w:pPr>
            <w:r/>
            <w:r>
              <w:rPr>
                <w:rFonts w:ascii="Calibri" w:hAnsi="Calibri"/>
                <w:color w:val="2D2D2D"/>
                <w:sz w:val="18"/>
              </w:rPr>
              <w:t>7.80</w:t>
            </w:r>
          </w:p>
        </w:tc>
        <w:tc>
          <w:tcPr>
            <w:tcW w:type="dxa" w:w="1512"/>
            <w:vAlign w:val="center"/>
          </w:tcPr>
          <w:p>
            <w:pPr>
              <w:jc w:val="left"/>
            </w:pPr>
            <w:r/>
            <w:r>
              <w:rPr>
                <w:rFonts w:ascii="Calibri" w:hAnsi="Calibri"/>
                <w:color w:val="2D2D2D"/>
                <w:sz w:val="18"/>
              </w:rPr>
              <w:t>**0.5%**</w:t>
            </w:r>
          </w:p>
        </w:tc>
        <w:tc>
          <w:tcPr>
            <w:tcW w:type="dxa" w:w="1512"/>
            <w:vAlign w:val="center"/>
          </w:tcPr>
          <w:p>
            <w:pPr>
              <w:jc w:val="left"/>
            </w:pPr>
            <w:r/>
            <w:r>
              <w:rPr>
                <w:rFonts w:ascii="Calibri" w:hAnsi="Calibri"/>
                <w:color w:val="2D2D2D"/>
                <w:sz w:val="18"/>
              </w:rPr>
              <w:t>EUR currency diversification</w:t>
            </w:r>
          </w:p>
        </w:tc>
      </w:tr>
      <w:tr>
        <w:tc>
          <w:tcPr>
            <w:tcW w:type="dxa" w:w="1512"/>
            <w:shd w:fill="F0F0F0"/>
            <w:vAlign w:val="center"/>
          </w:tcPr>
          <w:p>
            <w:pPr>
              <w:jc w:val="left"/>
            </w:pPr>
            <w:r/>
            <w:r>
              <w:rPr>
                <w:rFonts w:ascii="Calibri" w:hAnsi="Calibri"/>
                <w:color w:val="2D2D2D"/>
                <w:sz w:val="18"/>
              </w:rPr>
              <w:t>**BUIDL**</w:t>
            </w:r>
          </w:p>
        </w:tc>
        <w:tc>
          <w:tcPr>
            <w:tcW w:type="dxa" w:w="1512"/>
            <w:shd w:fill="F0F0F0"/>
            <w:vAlign w:val="center"/>
          </w:tcPr>
          <w:p>
            <w:pPr>
              <w:jc w:val="left"/>
            </w:pPr>
            <w:r/>
            <w:r>
              <w:rPr>
                <w:rFonts w:ascii="Calibri" w:hAnsi="Calibri"/>
                <w:color w:val="2D2D2D"/>
                <w:sz w:val="18"/>
              </w:rPr>
              <w:t>Tokenized government</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8.55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Tokenized T-bills (BlackRock)</w:t>
            </w:r>
          </w:p>
        </w:tc>
      </w:tr>
      <w:tr>
        <w:tc>
          <w:tcPr>
            <w:tcW w:type="dxa" w:w="1512"/>
            <w:vAlign w:val="center"/>
          </w:tcPr>
          <w:p>
            <w:pPr>
              <w:jc w:val="left"/>
            </w:pPr>
            <w:r/>
            <w:r>
              <w:rPr>
                <w:rFonts w:ascii="Calibri" w:hAnsi="Calibri"/>
                <w:color w:val="2D2D2D"/>
                <w:sz w:val="18"/>
              </w:rPr>
              <w:t>DAI (optional)</w:t>
            </w:r>
          </w:p>
        </w:tc>
        <w:tc>
          <w:tcPr>
            <w:tcW w:type="dxa" w:w="1512"/>
            <w:vAlign w:val="center"/>
          </w:tcPr>
          <w:p>
            <w:pPr>
              <w:jc w:val="left"/>
            </w:pPr>
            <w:r/>
            <w:r>
              <w:rPr>
                <w:rFonts w:ascii="Calibri" w:hAnsi="Calibri"/>
                <w:color w:val="2D2D2D"/>
                <w:sz w:val="18"/>
              </w:rPr>
              <w:t>Decentralized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6.25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OPTIONAL — below core threshold</w:t>
            </w:r>
          </w:p>
        </w:tc>
      </w:tr>
      <w:tr>
        <w:tc>
          <w:tcPr>
            <w:tcW w:type="dxa" w:w="1512"/>
            <w:shd w:fill="F0F0F0"/>
            <w:vAlign w:val="center"/>
          </w:tcPr>
          <w:p>
            <w:pPr>
              <w:jc w:val="left"/>
            </w:pPr>
            <w:r/>
            <w:r>
              <w:rPr>
                <w:rFonts w:ascii="Calibri" w:hAnsi="Calibri"/>
                <w:color w:val="2D2D2D"/>
                <w:sz w:val="18"/>
              </w:rPr>
              <w:t>USDT</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6.15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EXCLUDED — below threshold</w:t>
            </w:r>
          </w:p>
        </w:tc>
      </w:tr>
      <w:tr>
        <w:tc>
          <w:tcPr>
            <w:tcW w:type="dxa" w:w="1512"/>
            <w:vAlign w:val="center"/>
          </w:tcPr>
          <w:p>
            <w:pPr>
              <w:jc w:val="left"/>
            </w:pPr>
            <w:r/>
            <w:r>
              <w:rPr>
                <w:rFonts w:ascii="Calibri" w:hAnsi="Calibri"/>
                <w:color w:val="2D2D2D"/>
                <w:sz w:val="18"/>
              </w:rPr>
              <w:t>**Total**</w:t>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t>**3.5%**</w:t>
            </w:r>
          </w:p>
        </w:tc>
        <w:tc>
          <w:tcPr>
            <w:tcW w:type="dxa" w:w="1512"/>
            <w:vAlign w:val="center"/>
          </w:tcPr>
          <w:p>
            <w:pPr>
              <w:jc w:val="left"/>
            </w:pPr>
            <w:r/>
            <w:r>
              <w:rPr>
                <w:rFonts w:ascii="Calibri" w:hAnsi="Calibri"/>
                <w:color w:val="2D2D2D"/>
                <w:sz w:val="18"/>
              </w:rPr>
              <w:t>Below 5% cap — conservative</w:t>
            </w:r>
          </w:p>
        </w:tc>
      </w:tr>
    </w:tbl>
    <w:p/>
    <w:p>
      <w:pPr>
        <w:pStyle w:val="Heading3"/>
      </w:pPr>
      <w:r>
        <w:t>7.5 Stablecoin Exposure Metrics</w:t>
      </w:r>
    </w:p>
    <w:p>
      <w:pPr>
        <w:ind w:left="283"/>
        <w:shd w:fill="F5F5F5"/>
      </w:pPr>
      <w:r>
        <w:rPr>
          <w:rFonts w:ascii="Consolas" w:hAnsi="Consolas"/>
          <w:color w:val="6B6B6B"/>
          <w:sz w:val="18"/>
        </w:rPr>
        <w:t>SE = Σ Stablecoin Value / R_a                           (nominal exposure)</w:t>
        <w:br/>
        <w:t>SAE = Σ (Stablecoin Value × DRQS_i⁻¹ × StressFactor) / R_a  (risk-adjusted exposure)</w:t>
      </w:r>
    </w:p>
    <w:p>
      <w:r>
        <w:t>SAE prevents the system from underestimating stablecoin risk. A stressed stablecoin (low DRQS) has a higher effective risk weight than its nominal allocation.</w:t>
      </w:r>
    </w:p>
    <w:p>
      <w:pPr>
        <w:pStyle w:val="Heading3"/>
      </w:pPr>
      <w:r>
        <w:t>7.6 Multi-Dimensional Stablecoin State Machine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State</w:t>
            </w:r>
          </w:p>
        </w:tc>
        <w:tc>
          <w:tcPr>
            <w:tcW w:type="dxa" w:w="1296"/>
            <w:shd w:fill="1A365F"/>
            <w:vAlign w:val="center"/>
          </w:tcPr>
          <w:p>
            <w:pPr>
              <w:jc w:val="left"/>
            </w:pPr>
            <w:r/>
            <w:r>
              <w:rPr>
                <w:rFonts w:ascii="Calibri" w:hAnsi="Calibri"/>
                <w:b/>
                <w:color w:val="FFFFFF"/>
                <w:sz w:val="18"/>
              </w:rPr>
              <w:t>Price</w:t>
            </w:r>
          </w:p>
        </w:tc>
        <w:tc>
          <w:tcPr>
            <w:tcW w:type="dxa" w:w="1296"/>
            <w:shd w:fill="1A365F"/>
            <w:vAlign w:val="center"/>
          </w:tcPr>
          <w:p>
            <w:pPr>
              <w:jc w:val="left"/>
            </w:pPr>
            <w:r/>
            <w:r>
              <w:rPr>
                <w:rFonts w:ascii="Calibri" w:hAnsi="Calibri"/>
                <w:b/>
                <w:color w:val="FFFFFF"/>
                <w:sz w:val="18"/>
              </w:rPr>
              <w:t>Liquidity</w:t>
            </w:r>
          </w:p>
        </w:tc>
        <w:tc>
          <w:tcPr>
            <w:tcW w:type="dxa" w:w="1296"/>
            <w:shd w:fill="1A365F"/>
            <w:vAlign w:val="center"/>
          </w:tcPr>
          <w:p>
            <w:pPr>
              <w:jc w:val="left"/>
            </w:pPr>
            <w:r/>
            <w:r>
              <w:rPr>
                <w:rFonts w:ascii="Calibri" w:hAnsi="Calibri"/>
                <w:b/>
                <w:color w:val="FFFFFF"/>
                <w:sz w:val="18"/>
              </w:rPr>
              <w:t>Redemption</w:t>
            </w:r>
          </w:p>
        </w:tc>
        <w:tc>
          <w:tcPr>
            <w:tcW w:type="dxa" w:w="1296"/>
            <w:shd w:fill="1A365F"/>
            <w:vAlign w:val="center"/>
          </w:tcPr>
          <w:p>
            <w:pPr>
              <w:jc w:val="left"/>
            </w:pPr>
            <w:r/>
            <w:r>
              <w:rPr>
                <w:rFonts w:ascii="Calibri" w:hAnsi="Calibri"/>
                <w:b/>
                <w:color w:val="FFFFFF"/>
                <w:sz w:val="18"/>
              </w:rPr>
              <w:t>Reserve</w:t>
            </w:r>
          </w:p>
        </w:tc>
        <w:tc>
          <w:tcPr>
            <w:tcW w:type="dxa" w:w="1296"/>
            <w:shd w:fill="1A365F"/>
            <w:vAlign w:val="center"/>
          </w:tcPr>
          <w:p>
            <w:pPr>
              <w:jc w:val="left"/>
            </w:pPr>
            <w:r/>
            <w:r>
              <w:rPr>
                <w:rFonts w:ascii="Calibri" w:hAnsi="Calibri"/>
                <w:b/>
                <w:color w:val="FFFFFF"/>
                <w:sz w:val="18"/>
              </w:rPr>
              <w:t>Issuer</w:t>
            </w:r>
          </w:p>
        </w:tc>
        <w:tc>
          <w:tcPr>
            <w:tcW w:type="dxa" w:w="1296"/>
            <w:shd w:fill="1A365F"/>
            <w:vAlign w:val="center"/>
          </w:tcPr>
          <w:p>
            <w:pPr>
              <w:jc w:val="left"/>
            </w:pPr>
            <w:r/>
            <w:r>
              <w:rPr>
                <w:rFonts w:ascii="Calibri" w:hAnsi="Calibri"/>
                <w:b/>
                <w:color w:val="FFFFFF"/>
                <w:sz w:val="18"/>
              </w:rPr>
              <w:t>Regulatory</w:t>
            </w:r>
          </w:p>
        </w:tc>
      </w:tr>
      <w:tr>
        <w:tc>
          <w:tcPr>
            <w:tcW w:type="dxa" w:w="1296"/>
            <w:vAlign w:val="center"/>
          </w:tcPr>
          <w:p>
            <w:pPr>
              <w:jc w:val="left"/>
            </w:pPr>
            <w:r/>
            <w:r>
              <w:rPr>
                <w:rFonts w:ascii="Calibri" w:hAnsi="Calibri"/>
                <w:color w:val="2D2D2D"/>
                <w:sz w:val="18"/>
              </w:rPr>
              <w:t>NORMAL</w:t>
            </w:r>
          </w:p>
        </w:tc>
        <w:tc>
          <w:tcPr>
            <w:tcW w:type="dxa" w:w="1296"/>
            <w:vAlign w:val="center"/>
          </w:tcPr>
          <w:p>
            <w:pPr>
              <w:jc w:val="left"/>
            </w:pPr>
            <w:r/>
            <w:r>
              <w:rPr>
                <w:rFonts w:ascii="Calibri" w:hAnsi="Calibri"/>
                <w:color w:val="2D2D2D"/>
                <w:sz w:val="18"/>
              </w:rPr>
              <w:t>&lt;1%</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Working</w:t>
            </w:r>
          </w:p>
        </w:tc>
        <w:tc>
          <w:tcPr>
            <w:tcW w:type="dxa" w:w="1296"/>
            <w:vAlign w:val="center"/>
          </w:tcPr>
          <w:p>
            <w:pPr>
              <w:jc w:val="left"/>
            </w:pPr>
            <w:r/>
            <w:r>
              <w:rPr>
                <w:rFonts w:ascii="Calibri" w:hAnsi="Calibri"/>
                <w:color w:val="2D2D2D"/>
                <w:sz w:val="18"/>
              </w:rPr>
              <w:t>Verified</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Good</w:t>
            </w:r>
          </w:p>
        </w:tc>
      </w:tr>
      <w:tr>
        <w:tc>
          <w:tcPr>
            <w:tcW w:type="dxa" w:w="1296"/>
            <w:shd w:fill="F0F0F0"/>
            <w:vAlign w:val="center"/>
          </w:tcPr>
          <w:p>
            <w:pPr>
              <w:jc w:val="left"/>
            </w:pPr>
            <w:r/>
            <w:r>
              <w:rPr>
                <w:rFonts w:ascii="Calibri" w:hAnsi="Calibri"/>
                <w:color w:val="2D2D2D"/>
                <w:sz w:val="18"/>
              </w:rPr>
              <w:t>WATCH</w:t>
            </w:r>
          </w:p>
        </w:tc>
        <w:tc>
          <w:tcPr>
            <w:tcW w:type="dxa" w:w="1296"/>
            <w:shd w:fill="F0F0F0"/>
            <w:vAlign w:val="center"/>
          </w:tcPr>
          <w:p>
            <w:pPr>
              <w:jc w:val="left"/>
            </w:pPr>
            <w:r/>
            <w:r>
              <w:rPr>
                <w:rFonts w:ascii="Calibri" w:hAnsi="Calibri"/>
                <w:color w:val="2D2D2D"/>
                <w:sz w:val="18"/>
              </w:rPr>
              <w:t>&gt;2%</w:t>
            </w:r>
          </w:p>
        </w:tc>
        <w:tc>
          <w:tcPr>
            <w:tcW w:type="dxa" w:w="1296"/>
            <w:shd w:fill="F0F0F0"/>
            <w:vAlign w:val="center"/>
          </w:tcPr>
          <w:p>
            <w:pPr>
              <w:jc w:val="left"/>
            </w:pPr>
            <w:r/>
            <w:r>
              <w:rPr>
                <w:rFonts w:ascii="Calibri" w:hAnsi="Calibri"/>
                <w:color w:val="2D2D2D"/>
                <w:sz w:val="18"/>
              </w:rPr>
              <w:t>OR Deter.</w:t>
            </w:r>
          </w:p>
        </w:tc>
        <w:tc>
          <w:tcPr>
            <w:tcW w:type="dxa" w:w="1296"/>
            <w:shd w:fill="F0F0F0"/>
            <w:vAlign w:val="center"/>
          </w:tcPr>
          <w:p>
            <w:pPr>
              <w:jc w:val="left"/>
            </w:pPr>
            <w:r/>
            <w:r>
              <w:rPr>
                <w:rFonts w:ascii="Calibri" w:hAnsi="Calibri"/>
                <w:color w:val="2D2D2D"/>
                <w:sz w:val="18"/>
              </w:rPr>
              <w:t>OR Slow</w:t>
            </w:r>
          </w:p>
        </w:tc>
        <w:tc>
          <w:tcPr>
            <w:tcW w:type="dxa" w:w="1296"/>
            <w:shd w:fill="F0F0F0"/>
            <w:vAlign w:val="center"/>
          </w:tcPr>
          <w:p>
            <w:pPr>
              <w:jc w:val="left"/>
            </w:pPr>
            <w:r/>
            <w:r>
              <w:rPr>
                <w:rFonts w:ascii="Calibri" w:hAnsi="Calibri"/>
                <w:color w:val="2D2D2D"/>
                <w:sz w:val="18"/>
              </w:rPr>
              <w:t>OR Opaq.</w:t>
            </w:r>
          </w:p>
        </w:tc>
        <w:tc>
          <w:tcPr>
            <w:tcW w:type="dxa" w:w="1296"/>
            <w:shd w:fill="F0F0F0"/>
            <w:vAlign w:val="center"/>
          </w:tcPr>
          <w:p>
            <w:pPr>
              <w:jc w:val="left"/>
            </w:pPr>
            <w:r/>
            <w:r>
              <w:rPr>
                <w:rFonts w:ascii="Calibri" w:hAnsi="Calibri"/>
                <w:color w:val="2D2D2D"/>
                <w:sz w:val="18"/>
              </w:rPr>
              <w:t>OR Conc.</w:t>
            </w:r>
          </w:p>
        </w:tc>
        <w:tc>
          <w:tcPr>
            <w:tcW w:type="dxa" w:w="1296"/>
            <w:shd w:fill="F0F0F0"/>
            <w:vAlign w:val="center"/>
          </w:tcPr>
          <w:p>
            <w:pPr>
              <w:jc w:val="left"/>
            </w:pPr>
            <w:r/>
            <w:r>
              <w:rPr>
                <w:rFonts w:ascii="Calibri" w:hAnsi="Calibri"/>
                <w:color w:val="2D2D2D"/>
                <w:sz w:val="18"/>
              </w:rPr>
              <w:t>OR Review</w:t>
            </w:r>
          </w:p>
        </w:tc>
      </w:tr>
      <w:tr>
        <w:tc>
          <w:tcPr>
            <w:tcW w:type="dxa" w:w="1296"/>
            <w:vAlign w:val="center"/>
          </w:tcPr>
          <w:p>
            <w:pPr>
              <w:jc w:val="left"/>
            </w:pPr>
            <w:r/>
            <w:r>
              <w:rPr>
                <w:rFonts w:ascii="Calibri" w:hAnsi="Calibri"/>
                <w:color w:val="2D2D2D"/>
                <w:sz w:val="18"/>
              </w:rPr>
              <w:t>REDUCE</w:t>
            </w:r>
          </w:p>
        </w:tc>
        <w:tc>
          <w:tcPr>
            <w:tcW w:type="dxa" w:w="1296"/>
            <w:vAlign w:val="center"/>
          </w:tcPr>
          <w:p>
            <w:pPr>
              <w:jc w:val="left"/>
            </w:pPr>
            <w:r/>
            <w:r>
              <w:rPr>
                <w:rFonts w:ascii="Calibri" w:hAnsi="Calibri"/>
                <w:color w:val="2D2D2D"/>
                <w:sz w:val="18"/>
              </w:rPr>
              <w:t>&gt;5%</w:t>
            </w:r>
          </w:p>
        </w:tc>
        <w:tc>
          <w:tcPr>
            <w:tcW w:type="dxa" w:w="1296"/>
            <w:vAlign w:val="center"/>
          </w:tcPr>
          <w:p>
            <w:pPr>
              <w:jc w:val="left"/>
            </w:pPr>
            <w:r/>
            <w:r>
              <w:rPr>
                <w:rFonts w:ascii="Calibri" w:hAnsi="Calibri"/>
                <w:color w:val="2D2D2D"/>
                <w:sz w:val="18"/>
              </w:rPr>
              <w:t>OR Impair.</w:t>
            </w:r>
          </w:p>
        </w:tc>
        <w:tc>
          <w:tcPr>
            <w:tcW w:type="dxa" w:w="1296"/>
            <w:vAlign w:val="center"/>
          </w:tcPr>
          <w:p>
            <w:pPr>
              <w:jc w:val="left"/>
            </w:pPr>
            <w:r/>
            <w:r>
              <w:rPr>
                <w:rFonts w:ascii="Calibri" w:hAnsi="Calibri"/>
                <w:color w:val="2D2D2D"/>
                <w:sz w:val="18"/>
              </w:rPr>
              <w:t>OR Delay</w:t>
            </w:r>
          </w:p>
        </w:tc>
        <w:tc>
          <w:tcPr>
            <w:tcW w:type="dxa" w:w="1296"/>
            <w:vAlign w:val="center"/>
          </w:tcPr>
          <w:p>
            <w:pPr>
              <w:jc w:val="left"/>
            </w:pPr>
            <w:r/>
            <w:r>
              <w:rPr>
                <w:rFonts w:ascii="Calibri" w:hAnsi="Calibri"/>
                <w:color w:val="2D2D2D"/>
                <w:sz w:val="18"/>
              </w:rPr>
              <w:t>OR Quest.</w:t>
            </w:r>
          </w:p>
        </w:tc>
        <w:tc>
          <w:tcPr>
            <w:tcW w:type="dxa" w:w="1296"/>
            <w:vAlign w:val="center"/>
          </w:tcPr>
          <w:p>
            <w:pPr>
              <w:jc w:val="left"/>
            </w:pPr>
            <w:r/>
            <w:r>
              <w:rPr>
                <w:rFonts w:ascii="Calibri" w:hAnsi="Calibri"/>
                <w:color w:val="2D2D2D"/>
                <w:sz w:val="18"/>
              </w:rPr>
              <w:t>OR Distress</w:t>
            </w:r>
          </w:p>
        </w:tc>
        <w:tc>
          <w:tcPr>
            <w:tcW w:type="dxa" w:w="1296"/>
            <w:vAlign w:val="center"/>
          </w:tcPr>
          <w:p>
            <w:pPr>
              <w:jc w:val="left"/>
            </w:pPr>
            <w:r/>
            <w:r>
              <w:rPr>
                <w:rFonts w:ascii="Calibri" w:hAnsi="Calibri"/>
                <w:color w:val="2D2D2D"/>
                <w:sz w:val="18"/>
              </w:rPr>
              <w:t>OR Action</w:t>
            </w:r>
          </w:p>
        </w:tc>
      </w:tr>
      <w:tr>
        <w:tc>
          <w:tcPr>
            <w:tcW w:type="dxa" w:w="1296"/>
            <w:shd w:fill="F0F0F0"/>
            <w:vAlign w:val="center"/>
          </w:tcPr>
          <w:p>
            <w:pPr>
              <w:jc w:val="left"/>
            </w:pPr>
            <w:r/>
            <w:r>
              <w:rPr>
                <w:rFonts w:ascii="Calibri" w:hAnsi="Calibri"/>
                <w:color w:val="2D2D2D"/>
                <w:sz w:val="18"/>
              </w:rPr>
              <w:t>SUSPEND</w:t>
            </w:r>
          </w:p>
        </w:tc>
        <w:tc>
          <w:tcPr>
            <w:tcW w:type="dxa" w:w="1296"/>
            <w:shd w:fill="F0F0F0"/>
            <w:vAlign w:val="center"/>
          </w:tcPr>
          <w:p>
            <w:pPr>
              <w:jc w:val="left"/>
            </w:pPr>
            <w:r/>
            <w:r>
              <w:rPr>
                <w:rFonts w:ascii="Calibri" w:hAnsi="Calibri"/>
                <w:color w:val="2D2D2D"/>
                <w:sz w:val="18"/>
              </w:rPr>
              <w:t>&gt;10%</w:t>
            </w:r>
          </w:p>
        </w:tc>
        <w:tc>
          <w:tcPr>
            <w:tcW w:type="dxa" w:w="1296"/>
            <w:shd w:fill="F0F0F0"/>
            <w:vAlign w:val="center"/>
          </w:tcPr>
          <w:p>
            <w:pPr>
              <w:jc w:val="left"/>
            </w:pPr>
            <w:r/>
            <w:r>
              <w:rPr>
                <w:rFonts w:ascii="Calibri" w:hAnsi="Calibri"/>
                <w:color w:val="2D2D2D"/>
                <w:sz w:val="18"/>
              </w:rPr>
              <w:t>OR Frozen</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Impair.</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Sanction</w:t>
            </w:r>
          </w:p>
        </w:tc>
      </w:tr>
      <w:tr>
        <w:tc>
          <w:tcPr>
            <w:tcW w:type="dxa" w:w="1296"/>
            <w:vAlign w:val="center"/>
          </w:tcPr>
          <w:p>
            <w:pPr>
              <w:jc w:val="left"/>
            </w:pPr>
            <w:r/>
            <w:r>
              <w:rPr>
                <w:rFonts w:ascii="Calibri" w:hAnsi="Calibri"/>
                <w:color w:val="2D2D2D"/>
                <w:sz w:val="18"/>
              </w:rPr>
              <w:t>SUBSTITUTE</w:t>
            </w:r>
          </w:p>
        </w:tc>
        <w:tc>
          <w:tcPr>
            <w:tcW w:type="dxa" w:w="1296"/>
            <w:vAlign w:val="center"/>
          </w:tcPr>
          <w:p>
            <w:pPr>
              <w:jc w:val="left"/>
            </w:pPr>
            <w:r/>
            <w:r>
              <w:rPr>
                <w:rFonts w:ascii="Calibri" w:hAnsi="Calibri"/>
                <w:color w:val="2D2D2D"/>
                <w:sz w:val="18"/>
              </w:rPr>
              <w:t>→ Move to highest-DRQS eligible alternative</w:t>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r>
      <w:tr>
        <w:tc>
          <w:tcPr>
            <w:tcW w:type="dxa" w:w="1296"/>
            <w:shd w:fill="F0F0F0"/>
            <w:vAlign w:val="center"/>
          </w:tcPr>
          <w:p>
            <w:pPr>
              <w:jc w:val="left"/>
            </w:pPr>
            <w:r/>
            <w:r>
              <w:rPr>
                <w:rFonts w:ascii="Calibri" w:hAnsi="Calibri"/>
                <w:color w:val="2D2D2D"/>
                <w:sz w:val="18"/>
              </w:rPr>
              <w:t>EMERGENCY EXIT</w:t>
            </w:r>
          </w:p>
        </w:tc>
        <w:tc>
          <w:tcPr>
            <w:tcW w:type="dxa" w:w="1296"/>
            <w:shd w:fill="F0F0F0"/>
            <w:vAlign w:val="center"/>
          </w:tcPr>
          <w:p>
            <w:pPr>
              <w:jc w:val="left"/>
            </w:pPr>
            <w:r/>
            <w:r>
              <w:rPr>
                <w:rFonts w:ascii="Calibri" w:hAnsi="Calibri"/>
                <w:color w:val="2D2D2D"/>
                <w:sz w:val="18"/>
              </w:rPr>
              <w:t>Immediate conversion if solvency risk material</w:t>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r>
    </w:tbl>
    <w:p/>
    <w:p>
      <w:pPr>
        <w:pStyle w:val="Heading3"/>
      </w:pPr>
      <w:r>
        <w:t>7.7 Bullion → Digital Barrier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Rebalance Direction</w:t>
            </w:r>
          </w:p>
        </w:tc>
        <w:tc>
          <w:tcPr>
            <w:tcW w:type="dxa" w:w="4536"/>
            <w:shd w:fill="1A365F"/>
            <w:vAlign w:val="center"/>
          </w:tcPr>
          <w:p>
            <w:pPr>
              <w:jc w:val="left"/>
            </w:pPr>
            <w:r/>
            <w:r>
              <w:rPr>
                <w:rFonts w:ascii="Calibri" w:hAnsi="Calibri"/>
                <w:b/>
                <w:color w:val="FFFFFF"/>
                <w:sz w:val="18"/>
              </w:rPr>
              <w:t>Barrier</w:t>
            </w:r>
          </w:p>
        </w:tc>
      </w:tr>
      <w:tr>
        <w:tc>
          <w:tcPr>
            <w:tcW w:type="dxa" w:w="4536"/>
            <w:vAlign w:val="center"/>
          </w:tcPr>
          <w:p>
            <w:pPr>
              <w:jc w:val="left"/>
            </w:pPr>
            <w:r/>
            <w:r>
              <w:rPr>
                <w:rFonts w:ascii="Calibri" w:hAnsi="Calibri"/>
                <w:color w:val="2D2D2D"/>
                <w:sz w:val="18"/>
              </w:rPr>
              <w:t>Gold ↔ Silver (within bullion)</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Fiat ↔ Fiat (within fiat)</w:t>
            </w:r>
          </w:p>
        </w:tc>
        <w:tc>
          <w:tcPr>
            <w:tcW w:type="dxa" w:w="4536"/>
            <w:shd w:fill="F0F0F0"/>
            <w:vAlign w:val="center"/>
          </w:tcPr>
          <w:p>
            <w:pPr>
              <w:jc w:val="left"/>
            </w:pPr>
            <w:r/>
            <w:r>
              <w:rPr>
                <w:rFonts w:ascii="Calibri" w:hAnsi="Calibri"/>
                <w:color w:val="2D2D2D"/>
                <w:sz w:val="18"/>
              </w:rPr>
              <w:t>Normal hysteresis</w:t>
            </w:r>
          </w:p>
        </w:tc>
      </w:tr>
      <w:tr>
        <w:tc>
          <w:tcPr>
            <w:tcW w:type="dxa" w:w="4536"/>
            <w:vAlign w:val="center"/>
          </w:tcPr>
          <w:p>
            <w:pPr>
              <w:jc w:val="left"/>
            </w:pPr>
            <w:r/>
            <w:r>
              <w:rPr>
                <w:rFonts w:ascii="Calibri" w:hAnsi="Calibri"/>
                <w:color w:val="2D2D2D"/>
                <w:sz w:val="18"/>
              </w:rPr>
              <w:t>Stablecoin ↔ Stablecoin (within digital)</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Bullion → Fiat</w:t>
            </w:r>
          </w:p>
        </w:tc>
        <w:tc>
          <w:tcPr>
            <w:tcW w:type="dxa" w:w="4536"/>
            <w:shd w:fill="F0F0F0"/>
            <w:vAlign w:val="center"/>
          </w:tcPr>
          <w:p>
            <w:pPr>
              <w:jc w:val="left"/>
            </w:pPr>
            <w:r/>
            <w:r>
              <w:rPr>
                <w:rFonts w:ascii="Calibri" w:hAnsi="Calibri"/>
                <w:color w:val="2D2D2D"/>
                <w:sz w:val="18"/>
              </w:rPr>
              <w:t>Medium (T2, 3-of-5)</w:t>
            </w:r>
          </w:p>
        </w:tc>
      </w:tr>
      <w:tr>
        <w:tc>
          <w:tcPr>
            <w:tcW w:type="dxa" w:w="4536"/>
            <w:vAlign w:val="center"/>
          </w:tcPr>
          <w:p>
            <w:pPr>
              <w:jc w:val="left"/>
            </w:pPr>
            <w:r/>
            <w:r>
              <w:rPr>
                <w:rFonts w:ascii="Calibri" w:hAnsi="Calibri"/>
                <w:color w:val="2D2D2D"/>
                <w:sz w:val="18"/>
              </w:rPr>
              <w:t>Fiat → Bullion</w:t>
            </w:r>
          </w:p>
        </w:tc>
        <w:tc>
          <w:tcPr>
            <w:tcW w:type="dxa" w:w="4536"/>
            <w:vAlign w:val="center"/>
          </w:tcPr>
          <w:p>
            <w:pPr>
              <w:jc w:val="left"/>
            </w:pPr>
            <w:r/>
            <w:r>
              <w:rPr>
                <w:rFonts w:ascii="Calibri" w:hAnsi="Calibri"/>
                <w:color w:val="2D2D2D"/>
                <w:sz w:val="18"/>
              </w:rPr>
              <w:t>Medium (T2, 3-of-5)</w:t>
            </w:r>
          </w:p>
        </w:tc>
      </w:tr>
      <w:tr>
        <w:tc>
          <w:tcPr>
            <w:tcW w:type="dxa" w:w="4536"/>
            <w:shd w:fill="F0F0F0"/>
            <w:vAlign w:val="center"/>
          </w:tcPr>
          <w:p>
            <w:pPr>
              <w:jc w:val="left"/>
            </w:pPr>
            <w:r/>
            <w:r>
              <w:rPr>
                <w:rFonts w:ascii="Calibri" w:hAnsi="Calibri"/>
                <w:color w:val="2D2D2D"/>
                <w:sz w:val="18"/>
              </w:rPr>
              <w:t>Fiat → Digital</w:t>
            </w:r>
          </w:p>
        </w:tc>
        <w:tc>
          <w:tcPr>
            <w:tcW w:type="dxa" w:w="4536"/>
            <w:shd w:fill="F0F0F0"/>
            <w:vAlign w:val="center"/>
          </w:tcPr>
          <w:p>
            <w:pPr>
              <w:jc w:val="left"/>
            </w:pPr>
            <w:r/>
            <w:r>
              <w:rPr>
                <w:rFonts w:ascii="Calibri" w:hAnsi="Calibri"/>
                <w:color w:val="2D2D2D"/>
                <w:sz w:val="18"/>
              </w:rPr>
              <w:t>Normal (within 5% cap)</w:t>
            </w:r>
          </w:p>
        </w:tc>
      </w:tr>
      <w:tr>
        <w:tc>
          <w:tcPr>
            <w:tcW w:type="dxa" w:w="4536"/>
            <w:vAlign w:val="center"/>
          </w:tcPr>
          <w:p>
            <w:pPr>
              <w:jc w:val="left"/>
            </w:pPr>
            <w:r/>
            <w:r>
              <w:rPr>
                <w:rFonts w:ascii="Calibri" w:hAnsi="Calibri"/>
                <w:color w:val="2D2D2D"/>
                <w:sz w:val="18"/>
              </w:rPr>
              <w:t>Digital → Fiat</w:t>
            </w:r>
          </w:p>
        </w:tc>
        <w:tc>
          <w:tcPr>
            <w:tcW w:type="dxa" w:w="4536"/>
            <w:vAlign w:val="center"/>
          </w:tcPr>
          <w:p>
            <w:pPr>
              <w:jc w:val="left"/>
            </w:pPr>
            <w:r/>
            <w:r>
              <w:rPr>
                <w:rFonts w:ascii="Calibri" w:hAnsi="Calibri"/>
                <w:color w:val="2D2D2D"/>
                <w:sz w:val="18"/>
              </w:rPr>
              <w:t>Normal (encouraged)</w:t>
            </w:r>
          </w:p>
        </w:tc>
      </w:tr>
      <w:tr>
        <w:tc>
          <w:tcPr>
            <w:tcW w:type="dxa" w:w="4536"/>
            <w:shd w:fill="F0F0F0"/>
            <w:vAlign w:val="center"/>
          </w:tcPr>
          <w:p>
            <w:pPr>
              <w:jc w:val="left"/>
            </w:pPr>
            <w:r/>
            <w:r>
              <w:rPr>
                <w:rFonts w:ascii="Calibri" w:hAnsi="Calibri"/>
                <w:color w:val="2D2D2D"/>
                <w:sz w:val="18"/>
              </w:rPr>
              <w:t>**Bullion → Digital**</w:t>
            </w:r>
          </w:p>
        </w:tc>
        <w:tc>
          <w:tcPr>
            <w:tcW w:type="dxa" w:w="4536"/>
            <w:shd w:fill="F0F0F0"/>
            <w:vAlign w:val="center"/>
          </w:tcPr>
          <w:p>
            <w:pPr>
              <w:jc w:val="left"/>
            </w:pPr>
            <w:r/>
            <w:r>
              <w:rPr>
                <w:rFonts w:ascii="Calibri" w:hAnsi="Calibri"/>
                <w:color w:val="2D2D2D"/>
                <w:sz w:val="18"/>
              </w:rPr>
              <w:t>**HIGH (T3, 5-of-5 + Council, EMERGENCY ONLY)**</w:t>
            </w:r>
          </w:p>
        </w:tc>
      </w:tr>
      <w:tr>
        <w:tc>
          <w:tcPr>
            <w:tcW w:type="dxa" w:w="4536"/>
            <w:vAlign w:val="center"/>
          </w:tcPr>
          <w:p>
            <w:pPr>
              <w:jc w:val="left"/>
            </w:pPr>
            <w:r/>
            <w:r>
              <w:rPr>
                <w:rFonts w:ascii="Calibri" w:hAnsi="Calibri"/>
                <w:color w:val="2D2D2D"/>
                <w:sz w:val="18"/>
              </w:rPr>
              <w:t>Digital → Bullion</w:t>
            </w:r>
          </w:p>
        </w:tc>
        <w:tc>
          <w:tcPr>
            <w:tcW w:type="dxa" w:w="4536"/>
            <w:vAlign w:val="center"/>
          </w:tcPr>
          <w:p>
            <w:pPr>
              <w:jc w:val="left"/>
            </w:pPr>
            <w:r/>
            <w:r>
              <w:rPr>
                <w:rFonts w:ascii="Calibri" w:hAnsi="Calibri"/>
                <w:color w:val="2D2D2D"/>
                <w:sz w:val="18"/>
              </w:rPr>
              <w:t>Normal (improving anchor — encouraged)</w:t>
            </w:r>
          </w:p>
        </w:tc>
      </w:tr>
    </w:tbl>
    <w:p/>
    <w:p>
      <w:r>
        <w:rPr>
          <w:b/>
        </w:rPr>
        <w:t>Gold can NEVER be sold to buy stablecoins except during emergency governance.</w:t>
      </w:r>
    </w:p>
    <w:p>
      <w:pPr>
        <w:pStyle w:val="Heading3"/>
      </w:pPr>
      <w:r>
        <w:t>7.8 Dynamic Reallocation When Digital → 0%</w:t>
      </w:r>
    </w:p>
    <w:p>
      <w:r>
        <w:t>When stablecoins are SUSPENDED (depeg event):</w:t>
      </w:r>
    </w:p>
    <w:p>
      <w:pPr>
        <w:pStyle w:val="ListBullet"/>
        <w:ind w:left="425"/>
      </w:pPr>
      <w:r>
        <w:t>Pillar C → 0%</w:t>
      </w:r>
    </w:p>
    <w:p>
      <w:pPr>
        <w:pStyle w:val="ListBullet"/>
        <w:ind w:left="425"/>
      </w:pPr>
      <w:r>
        <w:t>Pillar B → absorbs the freed allocation (increases proportionally)</w:t>
      </w:r>
    </w:p>
    <w:p>
      <w:pPr>
        <w:pStyle w:val="ListBullet"/>
        <w:ind w:left="425"/>
      </w:pPr>
      <w:r>
        <w:t>Pillar A → UNCHANGED (gold is the anchor)</w:t>
      </w:r>
    </w:p>
    <w:p>
      <w:pPr>
        <w:pStyle w:val="ListBullet"/>
        <w:ind w:left="425"/>
      </w:pPr>
      <w:r>
        <w:t>RR IMPROVES (stablecoins have haircuts; fiat doesn't)</w:t>
      </w:r>
    </w:p>
    <w:p>
      <w:pPr>
        <w:pBdr>
          <w:bottom w:val="single" w:sz="12" w:space="1" w:color="C59B1E"/>
        </w:pBdr>
      </w:pPr>
    </w:p>
    <w:p>
      <w:pPr>
        <w:pStyle w:val="Heading2"/>
      </w:pPr>
      <w:r>
        <w:t>8. REBALANCING ENGINE</w:t>
      </w:r>
    </w:p>
    <w:p>
      <w:pPr>
        <w:pStyle w:val="Heading3"/>
      </w:pPr>
      <w:r>
        <w:t>8.1 Pipeline</w:t>
      </w:r>
    </w:p>
    <w:p>
      <w:pPr>
        <w:ind w:left="283"/>
        <w:shd w:fill="F5F5F5"/>
      </w:pPr>
      <w:r>
        <w:rPr>
          <w:rFonts w:ascii="Consolas" w:hAnsi="Consolas"/>
          <w:color w:val="6B6B6B"/>
          <w:sz w:val="18"/>
        </w:rPr>
        <w:t>DRIFT → VALIDATE → CONFIRM → PROPOSE → APPROVE → EXECUTE → RECONCILE</w:t>
      </w:r>
    </w:p>
    <w:p>
      <w:r>
        <w:rPr>
          <w:b/>
        </w:rPr>
        <w:t>NEVER:</w:t>
      </w:r>
      <w:r>
        <w:t xml:space="preserve"> </w:t>
      </w:r>
      <w:r>
        <w:rPr>
          <w:rFonts w:ascii="Consolas" w:hAnsi="Consolas"/>
          <w:color w:val="6B6B6B"/>
          <w:sz w:val="19"/>
        </w:rPr>
        <w:t>PRICE_MOVE → IMMEDIATE_TRADE</w:t>
      </w:r>
    </w:p>
    <w:p>
      <w:pPr>
        <w:pStyle w:val="Heading3"/>
      </w:pPr>
      <w:r>
        <w:t>8.2 Trigger Types (9 + LCR + Stablecoin)</w:t>
      </w:r>
    </w:p>
    <w:p>
      <w:pPr>
        <w:pStyle w:val="ListNumber"/>
        <w:ind w:left="425"/>
      </w:pPr>
      <w:r>
        <w:rPr>
          <w:rFonts w:ascii="Consolas" w:hAnsi="Consolas"/>
          <w:color w:val="6B6B6B"/>
          <w:sz w:val="19"/>
        </w:rPr>
        <w:t>weight_drift</w:t>
      </w:r>
      <w:r>
        <w:t xml:space="preserve"> (&gt;2% soft, &gt;3% hard)</w:t>
      </w:r>
    </w:p>
    <w:p>
      <w:pPr>
        <w:pStyle w:val="ListNumber"/>
        <w:ind w:left="425"/>
      </w:pPr>
      <w:r>
        <w:rPr>
          <w:rFonts w:ascii="Consolas" w:hAnsi="Consolas"/>
          <w:color w:val="6B6B6B"/>
          <w:sz w:val="19"/>
        </w:rPr>
        <w:t>layer_breach</w:t>
      </w:r>
      <w:r>
        <w:t xml:space="preserve"> (outside [min, max])</w:t>
      </w:r>
    </w:p>
    <w:p>
      <w:pPr>
        <w:pStyle w:val="ListNumber"/>
        <w:ind w:left="425"/>
      </w:pPr>
      <w:r>
        <w:rPr>
          <w:rFonts w:ascii="Consolas" w:hAnsi="Consolas"/>
          <w:color w:val="6B6B6B"/>
          <w:sz w:val="19"/>
        </w:rPr>
        <w:t>bullion_band</w:t>
      </w:r>
      <w:r>
        <w:t xml:space="preserve"> (φ_t outside [60%, 95%])</w:t>
      </w:r>
    </w:p>
    <w:p>
      <w:pPr>
        <w:pStyle w:val="ListNumber"/>
        <w:ind w:left="425"/>
      </w:pPr>
      <w:r>
        <w:rPr>
          <w:rFonts w:ascii="Consolas" w:hAnsi="Consolas"/>
          <w:color w:val="6B6B6B"/>
          <w:sz w:val="19"/>
        </w:rPr>
        <w:t>stablecoin_eligibility</w:t>
      </w:r>
      <w:r>
        <w:t xml:space="preserve"> (DRQS &lt; threshold)</w:t>
      </w:r>
    </w:p>
    <w:p>
      <w:pPr>
        <w:pStyle w:val="ListNumber"/>
        <w:ind w:left="425"/>
      </w:pPr>
      <w:r>
        <w:rPr>
          <w:rFonts w:ascii="Consolas" w:hAnsi="Consolas"/>
          <w:color w:val="6B6B6B"/>
          <w:sz w:val="19"/>
        </w:rPr>
        <w:t>currency_eligibility</w:t>
      </w:r>
      <w:r>
        <w:t xml:space="preserve"> (status ≠ full)</w:t>
      </w:r>
    </w:p>
    <w:p>
      <w:pPr>
        <w:pStyle w:val="ListNumber"/>
        <w:ind w:left="425"/>
      </w:pPr>
      <w:r>
        <w:rPr>
          <w:rFonts w:ascii="Consolas" w:hAnsi="Consolas"/>
          <w:color w:val="6B6B6B"/>
          <w:sz w:val="19"/>
        </w:rPr>
        <w:t>concentration_cap</w:t>
      </w:r>
      <w:r>
        <w:t xml:space="preserve"> (&gt;60% general, &gt;35% USD)</w:t>
      </w:r>
    </w:p>
    <w:p>
      <w:pPr>
        <w:pStyle w:val="ListNumber"/>
        <w:ind w:left="425"/>
      </w:pPr>
      <w:r>
        <w:rPr>
          <w:rFonts w:ascii="Consolas" w:hAnsi="Consolas"/>
          <w:color w:val="6B6B6B"/>
          <w:sz w:val="19"/>
        </w:rPr>
        <w:t>minimum_floor</w:t>
      </w:r>
      <w:r>
        <w:t xml:space="preserve"> (&lt;0.5%)</w:t>
      </w:r>
    </w:p>
    <w:p>
      <w:pPr>
        <w:pStyle w:val="ListNumber"/>
        <w:ind w:left="425"/>
      </w:pPr>
      <w:r>
        <w:rPr>
          <w:rFonts w:ascii="Consolas" w:hAnsi="Consolas"/>
          <w:color w:val="6B6B6B"/>
          <w:sz w:val="19"/>
        </w:rPr>
        <w:t>reserve_ratio</w:t>
      </w:r>
      <w:r>
        <w:t xml:space="preserve"> (&lt;100% critical, &lt;105% medium)</w:t>
      </w:r>
    </w:p>
    <w:p>
      <w:pPr>
        <w:pStyle w:val="ListNumber"/>
        <w:ind w:left="425"/>
      </w:pPr>
      <w:r>
        <w:rPr>
          <w:rFonts w:ascii="Consolas" w:hAnsi="Consolas"/>
          <w:color w:val="6B6B6B"/>
          <w:sz w:val="19"/>
        </w:rPr>
        <w:t>council_authorization</w:t>
      </w:r>
      <w:r>
        <w:t xml:space="preserve"> (low)</w:t>
      </w:r>
    </w:p>
    <w:p>
      <w:pPr>
        <w:pStyle w:val="ListNumber"/>
        <w:ind w:left="425"/>
      </w:pPr>
      <w:r>
        <w:t>LCR (&lt;1.0 high, &lt;1.2 medium)</w:t>
      </w:r>
    </w:p>
    <w:p>
      <w:pPr>
        <w:pStyle w:val="ListNumber"/>
        <w:ind w:left="425"/>
      </w:pPr>
      <w:r>
        <w:rPr>
          <w:rFonts w:ascii="Consolas" w:hAnsi="Consolas"/>
          <w:color w:val="6B6B6B"/>
          <w:sz w:val="19"/>
        </w:rPr>
        <w:t>stablecoin_depeg</w:t>
      </w:r>
      <w:r>
        <w:t xml:space="preserve"> (SD &gt;2% watch, &gt;5% reduce, &gt;10% suspend)</w:t>
      </w:r>
    </w:p>
    <w:p>
      <w:pPr>
        <w:pStyle w:val="Heading3"/>
      </w:pPr>
      <w:r>
        <w:t>8.3 Hysteresis</w:t>
      </w:r>
    </w:p>
    <w:p>
      <w:pPr>
        <w:pStyle w:val="ListBullet"/>
        <w:ind w:left="425"/>
      </w:pPr>
      <w:r>
        <w:t>2% band: |proposed weight − current weight| ≤ 2% → no action</w:t>
      </w:r>
    </w:p>
    <w:p>
      <w:pPr>
        <w:pStyle w:val="ListBullet"/>
        <w:ind w:left="425"/>
      </w:pPr>
      <w:r>
        <w:t>2-cycle confirmation: &gt;2% change must persist 2 consecutive cycles</w:t>
      </w:r>
    </w:p>
    <w:p>
      <w:pPr>
        <w:pStyle w:val="ListBullet"/>
        <w:ind w:left="425"/>
      </w:pPr>
      <w:r>
        <w:t>Direction-tracking: reversal resets counter (anti-whipsaw)</w:t>
      </w:r>
    </w:p>
    <w:p>
      <w:pPr>
        <w:pStyle w:val="Heading3"/>
      </w:pPr>
      <w:r>
        <w:t>8.4 Trade Suppression</w:t>
      </w:r>
    </w:p>
    <w:p>
      <w:pPr>
        <w:ind w:left="283"/>
        <w:shd w:fill="F5F5F5"/>
      </w:pPr>
      <w:r>
        <w:rPr>
          <w:rFonts w:ascii="Consolas" w:hAnsi="Consolas"/>
          <w:color w:val="6B6B6B"/>
          <w:sz w:val="18"/>
        </w:rPr>
        <w:t>If expected_benefit ≤ transaction_cost + slippage + market_impact + 2bp_buffer:</w:t>
        <w:br/>
        <w:t xml:space="preserve">    SUPPRESS (unless emergency override)</w:t>
      </w:r>
    </w:p>
    <w:p>
      <w:r>
        <w:t>Emergency overrides: SDP, Constitutional Emergency, concentration_cap, RR&lt;100%, minimum_floor.</w:t>
      </w:r>
    </w:p>
    <w:p>
      <w:pPr>
        <w:pStyle w:val="Heading3"/>
      </w:pPr>
      <w:r>
        <w:t>8.5 Turnover Limits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Weekly per asset</w:t>
            </w:r>
          </w:p>
        </w:tc>
        <w:tc>
          <w:tcPr>
            <w:tcW w:type="dxa" w:w="4536"/>
            <w:vAlign w:val="center"/>
          </w:tcPr>
          <w:p>
            <w:pPr>
              <w:jc w:val="left"/>
            </w:pPr>
            <w:r/>
            <w:r>
              <w:rPr>
                <w:rFonts w:ascii="Calibri" w:hAnsi="Calibri"/>
                <w:color w:val="2D2D2D"/>
                <w:sz w:val="18"/>
              </w:rPr>
              <w:t>3%</w:t>
            </w:r>
          </w:p>
        </w:tc>
      </w:tr>
      <w:tr>
        <w:tc>
          <w:tcPr>
            <w:tcW w:type="dxa" w:w="4536"/>
            <w:shd w:fill="F0F0F0"/>
            <w:vAlign w:val="center"/>
          </w:tcPr>
          <w:p>
            <w:pPr>
              <w:jc w:val="left"/>
            </w:pPr>
            <w:r/>
            <w:r>
              <w:rPr>
                <w:rFonts w:ascii="Calibri" w:hAnsi="Calibri"/>
                <w:color w:val="2D2D2D"/>
                <w:sz w:val="18"/>
              </w:rPr>
              <w:t>Daily per asset</w:t>
            </w:r>
          </w:p>
        </w:tc>
        <w:tc>
          <w:tcPr>
            <w:tcW w:type="dxa" w:w="4536"/>
            <w:shd w:fill="F0F0F0"/>
            <w:vAlign w:val="center"/>
          </w:tcPr>
          <w:p>
            <w:pPr>
              <w:jc w:val="left"/>
            </w:pPr>
            <w:r/>
            <w:r>
              <w:rPr>
                <w:rFonts w:ascii="Calibri" w:hAnsi="Calibri"/>
                <w:color w:val="2D2D2D"/>
                <w:sz w:val="18"/>
              </w:rPr>
              <w:t>1%</w:t>
            </w:r>
          </w:p>
        </w:tc>
      </w:tr>
      <w:tr>
        <w:tc>
          <w:tcPr>
            <w:tcW w:type="dxa" w:w="4536"/>
            <w:vAlign w:val="center"/>
          </w:tcPr>
          <w:p>
            <w:pPr>
              <w:jc w:val="left"/>
            </w:pPr>
            <w:r/>
            <w:r>
              <w:rPr>
                <w:rFonts w:ascii="Calibri" w:hAnsi="Calibri"/>
                <w:color w:val="2D2D2D"/>
                <w:sz w:val="18"/>
              </w:rPr>
              <w:t>Monthly per asset</w:t>
            </w:r>
          </w:p>
        </w:tc>
        <w:tc>
          <w:tcPr>
            <w:tcW w:type="dxa" w:w="4536"/>
            <w:vAlign w:val="center"/>
          </w:tcPr>
          <w:p>
            <w:pPr>
              <w:jc w:val="left"/>
            </w:pPr>
            <w:r/>
            <w:r>
              <w:rPr>
                <w:rFonts w:ascii="Calibri" w:hAnsi="Calibri"/>
                <w:color w:val="2D2D2D"/>
                <w:sz w:val="18"/>
              </w:rPr>
              <w:t>6%</w:t>
            </w:r>
          </w:p>
        </w:tc>
      </w:tr>
      <w:tr>
        <w:tc>
          <w:tcPr>
            <w:tcW w:type="dxa" w:w="4536"/>
            <w:shd w:fill="F0F0F0"/>
            <w:vAlign w:val="center"/>
          </w:tcPr>
          <w:p>
            <w:pPr>
              <w:jc w:val="left"/>
            </w:pPr>
            <w:r/>
            <w:r>
              <w:rPr>
                <w:rFonts w:ascii="Calibri" w:hAnsi="Calibri"/>
                <w:color w:val="2D2D2D"/>
                <w:sz w:val="18"/>
              </w:rPr>
              <w:t>Single gold trade</w:t>
            </w:r>
          </w:p>
        </w:tc>
        <w:tc>
          <w:tcPr>
            <w:tcW w:type="dxa" w:w="4536"/>
            <w:shd w:fill="F0F0F0"/>
            <w:vAlign w:val="center"/>
          </w:tcPr>
          <w:p>
            <w:pPr>
              <w:jc w:val="left"/>
            </w:pPr>
            <w:r/>
            <w:r>
              <w:rPr>
                <w:rFonts w:ascii="Calibri" w:hAnsi="Calibri"/>
                <w:color w:val="2D2D2D"/>
                <w:sz w:val="18"/>
              </w:rPr>
              <w:t>$25M</w:t>
            </w:r>
          </w:p>
        </w:tc>
      </w:tr>
      <w:tr>
        <w:tc>
          <w:tcPr>
            <w:tcW w:type="dxa" w:w="4536"/>
            <w:vAlign w:val="center"/>
          </w:tcPr>
          <w:p>
            <w:pPr>
              <w:jc w:val="left"/>
            </w:pPr>
            <w:r/>
            <w:r>
              <w:rPr>
                <w:rFonts w:ascii="Calibri" w:hAnsi="Calibri"/>
                <w:color w:val="2D2D2D"/>
                <w:sz w:val="18"/>
              </w:rPr>
              <w:t>Single silver trade</w:t>
            </w:r>
          </w:p>
        </w:tc>
        <w:tc>
          <w:tcPr>
            <w:tcW w:type="dxa" w:w="4536"/>
            <w:vAlign w:val="center"/>
          </w:tcPr>
          <w:p>
            <w:pPr>
              <w:jc w:val="left"/>
            </w:pPr>
            <w:r/>
            <w:r>
              <w:rPr>
                <w:rFonts w:ascii="Calibri" w:hAnsi="Calibri"/>
                <w:color w:val="2D2D2D"/>
                <w:sz w:val="18"/>
              </w:rPr>
              <w:t>$10M</w:t>
            </w:r>
          </w:p>
        </w:tc>
      </w:tr>
      <w:tr>
        <w:tc>
          <w:tcPr>
            <w:tcW w:type="dxa" w:w="4536"/>
            <w:shd w:fill="F0F0F0"/>
            <w:vAlign w:val="center"/>
          </w:tcPr>
          <w:p>
            <w:pPr>
              <w:jc w:val="left"/>
            </w:pPr>
            <w:r/>
            <w:r>
              <w:rPr>
                <w:rFonts w:ascii="Calibri" w:hAnsi="Calibri"/>
                <w:color w:val="2D2D2D"/>
                <w:sz w:val="18"/>
              </w:rPr>
              <w:t>Single sovereign trade</w:t>
            </w:r>
          </w:p>
        </w:tc>
        <w:tc>
          <w:tcPr>
            <w:tcW w:type="dxa" w:w="4536"/>
            <w:shd w:fill="F0F0F0"/>
            <w:vAlign w:val="center"/>
          </w:tcPr>
          <w:p>
            <w:pPr>
              <w:jc w:val="left"/>
            </w:pPr>
            <w:r/>
            <w:r>
              <w:rPr>
                <w:rFonts w:ascii="Calibri" w:hAnsi="Calibri"/>
                <w:color w:val="2D2D2D"/>
                <w:sz w:val="18"/>
              </w:rPr>
              <w:t>$100M</w:t>
            </w:r>
          </w:p>
        </w:tc>
      </w:tr>
      <w:tr>
        <w:tc>
          <w:tcPr>
            <w:tcW w:type="dxa" w:w="4536"/>
            <w:vAlign w:val="center"/>
          </w:tcPr>
          <w:p>
            <w:pPr>
              <w:jc w:val="left"/>
            </w:pPr>
            <w:r/>
            <w:r>
              <w:rPr>
                <w:rFonts w:ascii="Calibri" w:hAnsi="Calibri"/>
                <w:color w:val="2D2D2D"/>
                <w:sz w:val="18"/>
              </w:rPr>
              <w:t>Single stablecoin trade</w:t>
            </w:r>
          </w:p>
        </w:tc>
        <w:tc>
          <w:tcPr>
            <w:tcW w:type="dxa" w:w="4536"/>
            <w:vAlign w:val="center"/>
          </w:tcPr>
          <w:p>
            <w:pPr>
              <w:jc w:val="left"/>
            </w:pPr>
            <w:r/>
            <w:r>
              <w:rPr>
                <w:rFonts w:ascii="Calibri" w:hAnsi="Calibri"/>
                <w:color w:val="2D2D2D"/>
                <w:sz w:val="18"/>
              </w:rPr>
              <w:t>$50M</w:t>
            </w:r>
          </w:p>
        </w:tc>
      </w:tr>
    </w:tbl>
    <w:p/>
    <w:p>
      <w:pPr>
        <w:pStyle w:val="Heading3"/>
      </w:pPr>
      <w:r>
        <w:t>8.6 Fee Model</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Asset Class</w:t>
            </w:r>
          </w:p>
        </w:tc>
        <w:tc>
          <w:tcPr>
            <w:tcW w:type="dxa" w:w="1814"/>
            <w:shd w:fill="1A365F"/>
            <w:vAlign w:val="center"/>
          </w:tcPr>
          <w:p>
            <w:pPr>
              <w:jc w:val="left"/>
            </w:pPr>
            <w:r/>
            <w:r>
              <w:rPr>
                <w:rFonts w:ascii="Calibri" w:hAnsi="Calibri"/>
                <w:b/>
                <w:color w:val="FFFFFF"/>
                <w:sz w:val="18"/>
              </w:rPr>
              <w:t>Execution (bps)</w:t>
            </w:r>
          </w:p>
        </w:tc>
        <w:tc>
          <w:tcPr>
            <w:tcW w:type="dxa" w:w="1814"/>
            <w:shd w:fill="1A365F"/>
            <w:vAlign w:val="center"/>
          </w:tcPr>
          <w:p>
            <w:pPr>
              <w:jc w:val="left"/>
            </w:pPr>
            <w:r/>
            <w:r>
              <w:rPr>
                <w:rFonts w:ascii="Calibri" w:hAnsi="Calibri"/>
                <w:b/>
                <w:color w:val="FFFFFF"/>
                <w:sz w:val="18"/>
              </w:rPr>
              <w:t>Slippage (bps)</w:t>
            </w:r>
          </w:p>
        </w:tc>
        <w:tc>
          <w:tcPr>
            <w:tcW w:type="dxa" w:w="1814"/>
            <w:shd w:fill="1A365F"/>
            <w:vAlign w:val="center"/>
          </w:tcPr>
          <w:p>
            <w:pPr>
              <w:jc w:val="left"/>
            </w:pPr>
            <w:r/>
            <w:r>
              <w:rPr>
                <w:rFonts w:ascii="Calibri" w:hAnsi="Calibri"/>
                <w:b/>
                <w:color w:val="FFFFFF"/>
                <w:sz w:val="18"/>
              </w:rPr>
              <w:t>Spread (bps)</w:t>
            </w:r>
          </w:p>
        </w:tc>
        <w:tc>
          <w:tcPr>
            <w:tcW w:type="dxa" w:w="1814"/>
            <w:shd w:fill="1A365F"/>
            <w:vAlign w:val="center"/>
          </w:tcPr>
          <w:p>
            <w:pPr>
              <w:jc w:val="left"/>
            </w:pPr>
            <w:r/>
            <w:r>
              <w:rPr>
                <w:rFonts w:ascii="Calibri" w:hAnsi="Calibri"/>
                <w:b/>
                <w:color w:val="FFFFFF"/>
                <w:sz w:val="18"/>
              </w:rPr>
              <w:t>Total (VWAP)</w:t>
            </w:r>
          </w:p>
        </w:tc>
      </w:tr>
      <w:tr>
        <w:tc>
          <w:tcPr>
            <w:tcW w:type="dxa" w:w="1814"/>
            <w:vAlign w:val="center"/>
          </w:tcPr>
          <w:p>
            <w:pPr>
              <w:jc w:val="left"/>
            </w:pPr>
            <w:r/>
            <w:r>
              <w:rPr>
                <w:rFonts w:ascii="Calibri" w:hAnsi="Calibri"/>
                <w:color w:val="2D2D2D"/>
                <w:sz w:val="18"/>
              </w:rPr>
              <w:t>Cash</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r>
      <w:tr>
        <w:tc>
          <w:tcPr>
            <w:tcW w:type="dxa" w:w="1814"/>
            <w:shd w:fill="F0F0F0"/>
            <w:vAlign w:val="center"/>
          </w:tcPr>
          <w:p>
            <w:pPr>
              <w:jc w:val="left"/>
            </w:pPr>
            <w:r/>
            <w:r>
              <w:rPr>
                <w:rFonts w:ascii="Calibri" w:hAnsi="Calibri"/>
                <w:color w:val="2D2D2D"/>
                <w:sz w:val="18"/>
              </w:rPr>
              <w:t>Sovereign</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4</w:t>
            </w:r>
          </w:p>
        </w:tc>
      </w:tr>
      <w:tr>
        <w:tc>
          <w:tcPr>
            <w:tcW w:type="dxa" w:w="1814"/>
            <w:vAlign w:val="center"/>
          </w:tcPr>
          <w:p>
            <w:pPr>
              <w:jc w:val="left"/>
            </w:pPr>
            <w:r/>
            <w:r>
              <w:rPr>
                <w:rFonts w:ascii="Calibri" w:hAnsi="Calibri"/>
                <w:color w:val="2D2D2D"/>
                <w:sz w:val="18"/>
              </w:rPr>
              <w:t>Gold</w:t>
            </w:r>
          </w:p>
        </w:tc>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10</w:t>
            </w:r>
          </w:p>
        </w:tc>
      </w:tr>
      <w:tr>
        <w:tc>
          <w:tcPr>
            <w:tcW w:type="dxa" w:w="1814"/>
            <w:shd w:fill="F0F0F0"/>
            <w:vAlign w:val="center"/>
          </w:tcPr>
          <w:p>
            <w:pPr>
              <w:jc w:val="left"/>
            </w:pPr>
            <w:r/>
            <w:r>
              <w:rPr>
                <w:rFonts w:ascii="Calibri" w:hAnsi="Calibri"/>
                <w:color w:val="2D2D2D"/>
                <w:sz w:val="18"/>
              </w:rPr>
              <w:t>Silver</w:t>
            </w:r>
          </w:p>
        </w:tc>
        <w:tc>
          <w:tcPr>
            <w:tcW w:type="dxa" w:w="1814"/>
            <w:shd w:fill="F0F0F0"/>
            <w:vAlign w:val="center"/>
          </w:tcPr>
          <w:p>
            <w:pPr>
              <w:jc w:val="left"/>
            </w:pPr>
            <w:r/>
            <w:r>
              <w:rPr>
                <w:rFonts w:ascii="Calibri" w:hAnsi="Calibri"/>
                <w:color w:val="2D2D2D"/>
                <w:sz w:val="18"/>
              </w:rPr>
              <w:t>7</w:t>
            </w:r>
          </w:p>
        </w:tc>
        <w:tc>
          <w:tcPr>
            <w:tcW w:type="dxa" w:w="1814"/>
            <w:shd w:fill="F0F0F0"/>
            <w:vAlign w:val="center"/>
          </w:tcPr>
          <w:p>
            <w:pPr>
              <w:jc w:val="left"/>
            </w:pPr>
            <w:r/>
            <w:r>
              <w:rPr>
                <w:rFonts w:ascii="Calibri" w:hAnsi="Calibri"/>
                <w:color w:val="2D2D2D"/>
                <w:sz w:val="18"/>
              </w:rPr>
              <w:t>8</w:t>
            </w:r>
          </w:p>
        </w:tc>
        <w:tc>
          <w:tcPr>
            <w:tcW w:type="dxa" w:w="1814"/>
            <w:shd w:fill="F0F0F0"/>
            <w:vAlign w:val="center"/>
          </w:tcPr>
          <w:p>
            <w:pPr>
              <w:jc w:val="left"/>
            </w:pPr>
            <w:r/>
            <w:r>
              <w:rPr>
                <w:rFonts w:ascii="Calibri" w:hAnsi="Calibri"/>
                <w:color w:val="2D2D2D"/>
                <w:sz w:val="18"/>
              </w:rPr>
              <w:t>5</w:t>
            </w:r>
          </w:p>
        </w:tc>
        <w:tc>
          <w:tcPr>
            <w:tcW w:type="dxa" w:w="1814"/>
            <w:shd w:fill="F0F0F0"/>
            <w:vAlign w:val="center"/>
          </w:tcPr>
          <w:p>
            <w:pPr>
              <w:jc w:val="left"/>
            </w:pPr>
            <w:r/>
            <w:r>
              <w:rPr>
                <w:rFonts w:ascii="Calibri" w:hAnsi="Calibri"/>
                <w:color w:val="2D2D2D"/>
                <w:sz w:val="18"/>
              </w:rPr>
              <w:t>20</w:t>
            </w:r>
          </w:p>
        </w:tc>
      </w:tr>
      <w:tr>
        <w:tc>
          <w:tcPr>
            <w:tcW w:type="dxa" w:w="1814"/>
            <w:vAlign w:val="center"/>
          </w:tcPr>
          <w:p>
            <w:pPr>
              <w:jc w:val="left"/>
            </w:pPr>
            <w:r/>
            <w:r>
              <w:rPr>
                <w:rFonts w:ascii="Calibri" w:hAnsi="Calibri"/>
                <w:color w:val="2D2D2D"/>
                <w:sz w:val="18"/>
              </w:rPr>
              <w:t>Stablecoin</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6</w:t>
            </w:r>
          </w:p>
        </w:tc>
      </w:tr>
      <w:tr>
        <w:tc>
          <w:tcPr>
            <w:tcW w:type="dxa" w:w="1814"/>
            <w:shd w:fill="F0F0F0"/>
            <w:vAlign w:val="center"/>
          </w:tcPr>
          <w:p>
            <w:pPr>
              <w:jc w:val="left"/>
            </w:pPr>
            <w:r/>
            <w:r>
              <w:rPr>
                <w:rFonts w:ascii="Calibri" w:hAnsi="Calibri"/>
                <w:color w:val="2D2D2D"/>
                <w:sz w:val="18"/>
              </w:rPr>
              <w:t>Fiat FX</w:t>
            </w:r>
          </w:p>
        </w:tc>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7</w:t>
            </w:r>
          </w:p>
        </w:tc>
      </w:tr>
    </w:tbl>
    <w:p/>
    <w:p>
      <w:pPr>
        <w:pStyle w:val="Heading3"/>
      </w:pPr>
      <w:r>
        <w:t>8.7 Approval Routing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Severity</w:t>
            </w:r>
          </w:p>
        </w:tc>
        <w:tc>
          <w:tcPr>
            <w:tcW w:type="dxa" w:w="4536"/>
            <w:shd w:fill="1A365F"/>
            <w:vAlign w:val="center"/>
          </w:tcPr>
          <w:p>
            <w:pPr>
              <w:jc w:val="left"/>
            </w:pPr>
            <w:r/>
            <w:r>
              <w:rPr>
                <w:rFonts w:ascii="Calibri" w:hAnsi="Calibri"/>
                <w:b/>
                <w:color w:val="FFFFFF"/>
                <w:sz w:val="18"/>
              </w:rPr>
              <w:t>Threshold</w:t>
            </w:r>
          </w:p>
        </w:tc>
      </w:tr>
      <w:tr>
        <w:tc>
          <w:tcPr>
            <w:tcW w:type="dxa" w:w="4536"/>
            <w:vAlign w:val="center"/>
          </w:tcPr>
          <w:p>
            <w:pPr>
              <w:jc w:val="left"/>
            </w:pPr>
            <w:r/>
            <w:r>
              <w:rPr>
                <w:rFonts w:ascii="Calibri" w:hAnsi="Calibri"/>
                <w:color w:val="2D2D2D"/>
                <w:sz w:val="18"/>
              </w:rPr>
              <w:t>Low</w:t>
            </w:r>
          </w:p>
        </w:tc>
        <w:tc>
          <w:tcPr>
            <w:tcW w:type="dxa" w:w="4536"/>
            <w:vAlign w:val="center"/>
          </w:tcPr>
          <w:p>
            <w:pPr>
              <w:jc w:val="left"/>
            </w:pPr>
            <w:r/>
            <w:r>
              <w:rPr>
                <w:rFonts w:ascii="Calibri" w:hAnsi="Calibri"/>
                <w:color w:val="2D2D2D"/>
                <w:sz w:val="18"/>
              </w:rPr>
              <w:t>2 of 5 roles</w:t>
            </w:r>
          </w:p>
        </w:tc>
      </w:tr>
      <w:tr>
        <w:tc>
          <w:tcPr>
            <w:tcW w:type="dxa" w:w="4536"/>
            <w:shd w:fill="F0F0F0"/>
            <w:vAlign w:val="center"/>
          </w:tcPr>
          <w:p>
            <w:pPr>
              <w:jc w:val="left"/>
            </w:pPr>
            <w:r/>
            <w:r>
              <w:rPr>
                <w:rFonts w:ascii="Calibri" w:hAnsi="Calibri"/>
                <w:color w:val="2D2D2D"/>
                <w:sz w:val="18"/>
              </w:rPr>
              <w:t>Medium</w:t>
            </w:r>
          </w:p>
        </w:tc>
        <w:tc>
          <w:tcPr>
            <w:tcW w:type="dxa" w:w="4536"/>
            <w:shd w:fill="F0F0F0"/>
            <w:vAlign w:val="center"/>
          </w:tcPr>
          <w:p>
            <w:pPr>
              <w:jc w:val="left"/>
            </w:pPr>
            <w:r/>
            <w:r>
              <w:rPr>
                <w:rFonts w:ascii="Calibri" w:hAnsi="Calibri"/>
                <w:color w:val="2D2D2D"/>
                <w:sz w:val="18"/>
              </w:rPr>
              <w:t>3 of 5</w:t>
            </w:r>
          </w:p>
        </w:tc>
      </w:tr>
      <w:tr>
        <w:tc>
          <w:tcPr>
            <w:tcW w:type="dxa" w:w="4536"/>
            <w:vAlign w:val="center"/>
          </w:tcPr>
          <w:p>
            <w:pPr>
              <w:jc w:val="left"/>
            </w:pPr>
            <w:r/>
            <w:r>
              <w:rPr>
                <w:rFonts w:ascii="Calibri" w:hAnsi="Calibri"/>
                <w:color w:val="2D2D2D"/>
                <w:sz w:val="18"/>
              </w:rPr>
              <w:t>High</w:t>
            </w:r>
          </w:p>
        </w:tc>
        <w:tc>
          <w:tcPr>
            <w:tcW w:type="dxa" w:w="4536"/>
            <w:vAlign w:val="center"/>
          </w:tcPr>
          <w:p>
            <w:pPr>
              <w:jc w:val="left"/>
            </w:pPr>
            <w:r/>
            <w:r>
              <w:rPr>
                <w:rFonts w:ascii="Calibri" w:hAnsi="Calibri"/>
                <w:color w:val="2D2D2D"/>
                <w:sz w:val="18"/>
              </w:rPr>
              <w:t>4 of 5</w:t>
            </w:r>
          </w:p>
        </w:tc>
      </w:tr>
      <w:tr>
        <w:tc>
          <w:tcPr>
            <w:tcW w:type="dxa" w:w="4536"/>
            <w:shd w:fill="F0F0F0"/>
            <w:vAlign w:val="center"/>
          </w:tcPr>
          <w:p>
            <w:pPr>
              <w:jc w:val="left"/>
            </w:pPr>
            <w:r/>
            <w:r>
              <w:rPr>
                <w:rFonts w:ascii="Calibri" w:hAnsi="Calibri"/>
                <w:color w:val="2D2D2D"/>
                <w:sz w:val="18"/>
              </w:rPr>
              <w:t>Critical</w:t>
            </w:r>
          </w:p>
        </w:tc>
        <w:tc>
          <w:tcPr>
            <w:tcW w:type="dxa" w:w="4536"/>
            <w:shd w:fill="F0F0F0"/>
            <w:vAlign w:val="center"/>
          </w:tcPr>
          <w:p>
            <w:pPr>
              <w:jc w:val="left"/>
            </w:pPr>
            <w:r/>
            <w:r>
              <w:rPr>
                <w:rFonts w:ascii="Calibri" w:hAnsi="Calibri"/>
                <w:color w:val="2D2D2D"/>
                <w:sz w:val="18"/>
              </w:rPr>
              <w:t>5 of 5 (unanimous) + Constitutional Council flag</w:t>
            </w:r>
          </w:p>
        </w:tc>
      </w:tr>
    </w:tbl>
    <w:p/>
    <w:p>
      <w:r>
        <w:t>5 roles: Treasury, Risk, Constitutional, Operations, Independent Oversight.</w:t>
      </w:r>
    </w:p>
    <w:p>
      <w:pPr>
        <w:pStyle w:val="Heading3"/>
      </w:pPr>
      <w:r>
        <w:t>8.8 Proposal Binding (§14)</w:t>
      </w:r>
    </w:p>
    <w:p>
      <w:pPr>
        <w:pStyle w:val="ListBullet"/>
        <w:ind w:left="425"/>
      </w:pPr>
      <w:r>
        <w:t>Every proposal has a cryptographic hash binding to all parameters</w:t>
      </w:r>
    </w:p>
    <w:p>
      <w:pPr>
        <w:pStyle w:val="ListBullet"/>
        <w:ind w:left="425"/>
      </w:pPr>
      <w:r>
        <w:t>Changing any parameter → different hash → approval invalidated</w:t>
      </w:r>
    </w:p>
    <w:p>
      <w:pPr>
        <w:pStyle w:val="ListBullet"/>
        <w:ind w:left="425"/>
      </w:pPr>
      <w:r>
        <w:rPr>
          <w:rFonts w:ascii="Consolas" w:hAnsi="Consolas"/>
          <w:color w:val="6B6B6B"/>
          <w:sz w:val="19"/>
        </w:rPr>
        <w:t>validUntil</w:t>
      </w:r>
      <w:r>
        <w:t>: proposals expire (default 7 days)</w:t>
      </w:r>
    </w:p>
    <w:p>
      <w:pPr>
        <w:pStyle w:val="ListBullet"/>
        <w:ind w:left="425"/>
      </w:pPr>
      <w:r>
        <w:t>Replay protection: same hash can only execute once</w:t>
      </w:r>
    </w:p>
    <w:p>
      <w:pPr>
        <w:pBdr>
          <w:bottom w:val="single" w:sz="12" w:space="1" w:color="C59B1E"/>
        </w:pBdr>
      </w:pPr>
    </w:p>
    <w:p>
      <w:pPr>
        <w:pStyle w:val="Heading2"/>
      </w:pPr>
      <w:r>
        <w:t>9. LIQUIDITY &amp; REDEMPTION</w:t>
      </w:r>
    </w:p>
    <w:p>
      <w:pPr>
        <w:pStyle w:val="Heading3"/>
      </w:pPr>
      <w:r>
        <w:t>9.1 LCR (Layer 3 — Hard Metric)</w:t>
      </w:r>
    </w:p>
    <w:p>
      <w:pPr>
        <w:ind w:left="283"/>
        <w:shd w:fill="F5F5F5"/>
      </w:pPr>
      <w:r>
        <w:rPr>
          <w:rFonts w:ascii="Consolas" w:hAnsi="Consolas"/>
          <w:color w:val="6B6B6B"/>
          <w:sz w:val="18"/>
        </w:rPr>
        <w:t>LCR = HQLA / 30-day net outflows</w:t>
        <w:br/>
        <w:t>HQLA = cash + sovereign × approved liquidity factor + eligible digital liquidity × approved liquidity factor</w:t>
        <w:br/>
        <w:br/>
        <w:t>Hard floor:       LCR ≥ 1.00</w:t>
        <w:br/>
        <w:t>Policy target:    LCR ≥ 1.25</w:t>
        <w:br/>
        <w:t>Strategic target: LCR ≥ 2.00</w:t>
        <w:br/>
        <w:t>Stress target:    scenario-specific; may require ≥3.00 only where independently validated</w:t>
      </w:r>
    </w:p>
    <w:p>
      <w:r>
        <w:t>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p>
    <w:p>
      <w:r>
        <w:t>Gold and silver are excluded from base HQLA unless independently validated as immediately realizable under the applicable stress horizon.</w:t>
      </w:r>
    </w:p>
    <w:p>
      <w:pPr>
        <w:pStyle w:val="Heading3"/>
      </w:pPr>
      <w:r>
        <w:t>9.2 LRR</w:t>
      </w:r>
    </w:p>
    <w:p>
      <w:pPr>
        <w:ind w:left="283"/>
        <w:shd w:fill="F5F5F5"/>
      </w:pPr>
      <w:r>
        <w:rPr>
          <w:rFonts w:ascii="Consolas" w:hAnsi="Consolas"/>
          <w:color w:val="6B6B6B"/>
          <w:sz w:val="18"/>
        </w:rPr>
        <w:t>LRR = Immediately Available Liquidity / Expected 30-Day Redemption Demand</w:t>
        <w:br/>
        <w:t>Strong: ≥ 1.2 | Compliant: ≥ 1.0 | Marginal: ≥ 0.9 | Critical: &lt; 0.9</w:t>
      </w:r>
    </w:p>
    <w:p>
      <w:r>
        <w:t>Excludes gold and silver by design (Bullion Protection Rule).</w:t>
      </w:r>
    </w:p>
    <w:p>
      <w:pPr>
        <w:pStyle w:val="Heading3"/>
      </w:pPr>
      <w:r>
        <w:t>9.3A PREFUNDED INSTITUTIONAL REDEMPTION LIQUIDITY</w:t>
      </w:r>
    </w:p>
    <w:p>
      <w:r>
        <w:t>To eliminate settlement-latency asymmetry between on-chain MTQ redemption and traditional banking rails, institutional redemption operations SHALL maintain prefunded, segregated liquidity facilities at qualified banking/custody institutions.</w:t>
      </w:r>
    </w:p>
    <w:p>
      <w:r>
        <w:t>Minimum requirements:</w:t>
      </w:r>
    </w:p>
    <w:p>
      <w:pPr>
        <w:pStyle w:val="ListNumber"/>
        <w:ind w:left="425"/>
      </w:pPr>
      <w:r>
        <w:t>Prefunded liquidity shall cover the approved institutional redemption window and minimum stressed outflow assumption.</w:t>
      </w:r>
    </w:p>
    <w:p>
      <w:pPr>
        <w:pStyle w:val="ListNumber"/>
        <w:ind w:left="425"/>
      </w:pPr>
      <w:r>
        <w:t>Prefunded accounts shall be legally segregated from operating capital and subject to bankruptcy-remoteness analysis.</w:t>
      </w:r>
    </w:p>
    <w:p>
      <w:pPr>
        <w:pStyle w:val="ListNumber"/>
        <w:ind w:left="425"/>
      </w:pPr>
      <w:r>
        <w:t>The redemption engine SHALL distinguish token burn finality from fiat settlement finality.</w:t>
      </w:r>
    </w:p>
    <w:p>
      <w:pPr>
        <w:pStyle w:val="ListNumber"/>
        <w:ind w:left="425"/>
      </w:pPr>
      <w:r>
        <w:t>A redemption shall not be represented as “instant fiat settlement” unless the participant-facing liquidity facility can actually deliver within that stated service level.</w:t>
      </w:r>
    </w:p>
    <w:p>
      <w:pPr>
        <w:pStyle w:val="ListNumber"/>
        <w:ind w:left="425"/>
      </w:pPr>
      <w:r>
        <w:t>Banking and custody concentration limits SHALL remain active during all redemption events.</w:t>
      </w:r>
    </w:p>
    <w:p>
      <w:pPr>
        <w:pStyle w:val="ListNumber"/>
        <w:ind w:left="425"/>
      </w:pPr>
      <w:r>
        <w:t>Failure of any one bank, custodian, or payment rail SHALL trigger the documented replacement/failover path without changing the holder’s underlying legal claim.</w:t>
      </w:r>
    </w:p>
    <w:p>
      <w:pPr>
        <w:pStyle w:val="ListNumber"/>
        <w:ind w:left="425"/>
      </w:pPr>
      <w:r>
        <w:t>The Institution SHALL publish settlement-time statistics separately for on-chain finality, reserve release, bank instruction, and participant receipt.</w:t>
      </w:r>
    </w:p>
    <w:p>
      <w:r>
        <w:t>Institutional Redemption Waterfall:</w:t>
      </w:r>
    </w:p>
    <w:p>
      <w:r>
        <w:t>MTQ burn → reserve eligibility check → prefunded liquidity allocation → regulated banking/payment rail → participant receipt → independent reconciliation.</w:t>
      </w:r>
    </w:p>
    <w:p>
      <w:r>
        <w:t>No reserve asset may be sold solely to compensate for an avoidable banking-rail settlement delay where sufficient prefunded eligible liquidity exists.</w:t>
      </w:r>
    </w:p>
    <w:p>
      <w:pPr>
        <w:pStyle w:val="Heading3"/>
      </w:pPr>
      <w:r>
        <w:t>9.3 Redemption (§34 — LEGAL RIGHT PROTECTED; PROCESSING NOT ABSOLUTE)</w:t>
      </w:r>
    </w:p>
    <w:p>
      <w:pPr>
        <w:pStyle w:val="ListBullet"/>
        <w:ind w:left="425"/>
      </w:pPr>
      <w:r>
        <w:t>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ListBullet"/>
        <w:ind w:left="425"/>
      </w:pPr>
      <w:r>
        <w:t>1 kg gold minimum (physical redemption)</w:t>
      </w:r>
    </w:p>
    <w:p>
      <w:pPr>
        <w:pStyle w:val="ListBullet"/>
        <w:ind w:left="425"/>
      </w:pPr>
      <w:r>
        <w:t>10-minute soft finality, 7-day hard finality</w:t>
      </w:r>
    </w:p>
    <w:p>
      <w:pPr>
        <w:pStyle w:val="ListBullet"/>
        <w:ind w:left="425"/>
      </w:pPr>
      <w:r>
        <w:t>Fee: 0.05% (5 bps), capped at $5,000</w:t>
      </w:r>
    </w:p>
    <w:p>
      <w:pPr>
        <w:pStyle w:val="ListBullet"/>
        <w:ind w:left="425"/>
      </w:pPr>
      <w:r>
        <w:t>Article X sequential liquidation order enforced</w:t>
      </w:r>
    </w:p>
    <w:p>
      <w:pPr>
        <w:pStyle w:val="ListBullet"/>
        <w:ind w:left="425"/>
      </w:pPr>
      <w:r>
        <w:t>Graduated liquidity-capacity controls are policy-defined for RR below 105%; RR below 100% activates constitutional emergency recovery. Any control must preserve the underlying legal redemption claim.</w:t>
      </w:r>
    </w:p>
    <w:p>
      <w:pPr>
        <w:pStyle w:val="Heading3"/>
      </w:pPr>
      <w:r>
        <w:t>9.4 Article X Sequential Liquidation</w:t>
      </w:r>
    </w:p>
    <w:p>
      <w:pPr>
        <w:pStyle w:val="ListNumber"/>
        <w:ind w:left="425"/>
      </w:pPr>
      <w:r>
        <w:t>Stablecoins (fastest, depeg risk if held)</w:t>
      </w:r>
    </w:p>
    <w:p>
      <w:pPr>
        <w:pStyle w:val="ListNumber"/>
        <w:ind w:left="425"/>
      </w:pPr>
      <w:r>
        <w:t>Cash (HQLA L1, 0% haircut)</w:t>
      </w:r>
    </w:p>
    <w:p>
      <w:pPr>
        <w:pStyle w:val="ListNumber"/>
        <w:ind w:left="425"/>
      </w:pPr>
      <w:r>
        <w:t>Sovereign (HQLA L2A, T+1)</w:t>
      </w:r>
    </w:p>
    <w:p>
      <w:pPr>
        <w:pStyle w:val="ListNumber"/>
        <w:ind w:left="425"/>
      </w:pPr>
      <w:r>
        <w:t>Non-USD FX (7 bps cost)</w:t>
      </w:r>
    </w:p>
    <w:p>
      <w:pPr>
        <w:pStyle w:val="ListNumber"/>
        <w:ind w:left="425"/>
      </w:pPr>
      <w:r>
        <w:t>Silver (20 bps cost, $10M trade limit)</w:t>
      </w:r>
    </w:p>
    <w:p>
      <w:pPr>
        <w:pStyle w:val="ListNumber"/>
        <w:ind w:left="425"/>
      </w:pPr>
      <w:r>
        <w:rPr>
          <w:b/>
        </w:rPr>
        <w:t>Gold LAST</w:t>
      </w:r>
      <w:r>
        <w:t xml:space="preserve"> (requires Exhaustion Certificate, constitutional strategic capital)</w:t>
      </w:r>
    </w:p>
    <w:p>
      <w:r>
        <w:t xml:space="preserve">Pro-rata liquidation is </w:t>
      </w:r>
      <w:r>
        <w:rPr>
          <w:b/>
        </w:rPr>
        <w:t>prohibited</w:t>
      </w:r>
      <w:r>
        <w:t>.</w:t>
      </w:r>
    </w:p>
    <w:p>
      <w:pPr>
        <w:pBdr>
          <w:bottom w:val="single" w:sz="12" w:space="1" w:color="C59B1E"/>
        </w:pBdr>
      </w:pPr>
    </w:p>
    <w:p>
      <w:pPr>
        <w:pStyle w:val="Heading2"/>
      </w:pPr>
      <w:r>
        <w:t>10. SEVEN-STATE RESERVE ACCOUNTING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Source</w:t>
            </w:r>
          </w:p>
        </w:tc>
        <w:tc>
          <w:tcPr>
            <w:tcW w:type="dxa" w:w="2268"/>
            <w:shd w:fill="1A365F"/>
            <w:vAlign w:val="center"/>
          </w:tcPr>
          <w:p>
            <w:pPr>
              <w:jc w:val="left"/>
            </w:pPr>
            <w:r/>
            <w:r>
              <w:rPr>
                <w:rFonts w:ascii="Calibri" w:hAnsi="Calibri"/>
                <w:b/>
                <w:color w:val="FFFFFF"/>
                <w:sz w:val="18"/>
              </w:rPr>
              <w:t>Must NOT masquerade as</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TARGET</w:t>
            </w:r>
          </w:p>
        </w:tc>
        <w:tc>
          <w:tcPr>
            <w:tcW w:type="dxa" w:w="2268"/>
            <w:vAlign w:val="center"/>
          </w:tcPr>
          <w:p>
            <w:pPr>
              <w:jc w:val="left"/>
            </w:pPr>
            <w:r/>
            <w:r>
              <w:rPr>
                <w:rFonts w:ascii="Calibri" w:hAnsi="Calibri"/>
                <w:color w:val="2D2D2D"/>
                <w:sz w:val="18"/>
              </w:rPr>
              <w:t>Engine</w:t>
            </w:r>
          </w:p>
        </w:tc>
        <w:tc>
          <w:tcPr>
            <w:tcW w:type="dxa" w:w="2268"/>
            <w:vAlign w:val="center"/>
          </w:tcPr>
          <w:p>
            <w:pPr>
              <w:jc w:val="left"/>
            </w:pPr>
            <w:r/>
            <w:r>
              <w:rPr>
                <w:rFonts w:ascii="Calibri" w:hAnsi="Calibri"/>
                <w:color w:val="2D2D2D"/>
                <w:sz w:val="18"/>
              </w:rPr>
              <w:t>Actual custody</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ACTUAL</w:t>
            </w:r>
          </w:p>
        </w:tc>
        <w:tc>
          <w:tcPr>
            <w:tcW w:type="dxa" w:w="2268"/>
            <w:shd w:fill="F0F0F0"/>
            <w:vAlign w:val="center"/>
          </w:tcPr>
          <w:p>
            <w:pPr>
              <w:jc w:val="left"/>
            </w:pPr>
            <w:r/>
            <w:r>
              <w:rPr>
                <w:rFonts w:ascii="Calibri" w:hAnsi="Calibri"/>
                <w:color w:val="2D2D2D"/>
                <w:sz w:val="18"/>
              </w:rPr>
              <w:t>Committed ledger</w:t>
            </w:r>
          </w:p>
        </w:tc>
        <w:tc>
          <w:tcPr>
            <w:tcW w:type="dxa" w:w="2268"/>
            <w:shd w:fill="F0F0F0"/>
            <w:vAlign w:val="center"/>
          </w:tcPr>
          <w:p>
            <w:pPr>
              <w:jc w:val="left"/>
            </w:pPr>
            <w:r/>
            <w:r>
              <w:rPr>
                <w:rFonts w:ascii="Calibri" w:hAnsi="Calibri"/>
                <w:color w:val="2D2D2D"/>
                <w:sz w:val="18"/>
              </w:rPr>
              <w:t>Custodian-confirmed</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PROPOSED</w:t>
            </w:r>
          </w:p>
        </w:tc>
        <w:tc>
          <w:tcPr>
            <w:tcW w:type="dxa" w:w="2268"/>
            <w:vAlign w:val="center"/>
          </w:tcPr>
          <w:p>
            <w:pPr>
              <w:jc w:val="left"/>
            </w:pPr>
            <w:r/>
            <w:r>
              <w:rPr>
                <w:rFonts w:ascii="Calibri" w:hAnsi="Calibri"/>
                <w:color w:val="2D2D2D"/>
                <w:sz w:val="18"/>
              </w:rPr>
              <w:t>RebalanceProposal</w:t>
            </w:r>
          </w:p>
        </w:tc>
        <w:tc>
          <w:tcPr>
            <w:tcW w:type="dxa" w:w="2268"/>
            <w:vAlign w:val="center"/>
          </w:tcPr>
          <w:p>
            <w:pPr>
              <w:jc w:val="left"/>
            </w:pPr>
            <w:r/>
            <w:r>
              <w:rPr>
                <w:rFonts w:ascii="Calibri" w:hAnsi="Calibri"/>
                <w:color w:val="2D2D2D"/>
                <w:sz w:val="18"/>
              </w:rPr>
              <w:t>Approved</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APPROVED</w:t>
            </w:r>
          </w:p>
        </w:tc>
        <w:tc>
          <w:tcPr>
            <w:tcW w:type="dxa" w:w="2268"/>
            <w:shd w:fill="F0F0F0"/>
            <w:vAlign w:val="center"/>
          </w:tcPr>
          <w:p>
            <w:pPr>
              <w:jc w:val="left"/>
            </w:pPr>
            <w:r/>
            <w:r>
              <w:rPr>
                <w:rFonts w:ascii="Calibri" w:hAnsi="Calibri"/>
                <w:color w:val="2D2D2D"/>
                <w:sz w:val="18"/>
              </w:rPr>
              <w:t>Governance vote</w:t>
            </w:r>
          </w:p>
        </w:tc>
        <w:tc>
          <w:tcPr>
            <w:tcW w:type="dxa" w:w="2268"/>
            <w:shd w:fill="F0F0F0"/>
            <w:vAlign w:val="center"/>
          </w:tcPr>
          <w:p>
            <w:pPr>
              <w:jc w:val="left"/>
            </w:pPr>
            <w:r/>
            <w:r>
              <w:rPr>
                <w:rFonts w:ascii="Calibri" w:hAnsi="Calibri"/>
                <w:color w:val="2D2D2D"/>
                <w:sz w:val="18"/>
              </w:rPr>
              <w:t>Executed</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EXECUTED</w:t>
            </w:r>
          </w:p>
        </w:tc>
        <w:tc>
          <w:tcPr>
            <w:tcW w:type="dxa" w:w="2268"/>
            <w:vAlign w:val="center"/>
          </w:tcPr>
          <w:p>
            <w:pPr>
              <w:jc w:val="left"/>
            </w:pPr>
            <w:r/>
            <w:r>
              <w:rPr>
                <w:rFonts w:ascii="Calibri" w:hAnsi="Calibri"/>
                <w:color w:val="2D2D2D"/>
                <w:sz w:val="18"/>
              </w:rPr>
              <w:t>ExecutionResult</w:t>
            </w:r>
          </w:p>
        </w:tc>
        <w:tc>
          <w:tcPr>
            <w:tcW w:type="dxa" w:w="2268"/>
            <w:vAlign w:val="center"/>
          </w:tcPr>
          <w:p>
            <w:pPr>
              <w:jc w:val="left"/>
            </w:pPr>
            <w:r/>
            <w:r>
              <w:rPr>
                <w:rFonts w:ascii="Calibri" w:hAnsi="Calibri"/>
                <w:color w:val="2D2D2D"/>
                <w:sz w:val="18"/>
              </w:rPr>
              <w:t>Custodian-confirmed</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CUSTODIAN-CONFIRMED</w:t>
            </w:r>
          </w:p>
        </w:tc>
        <w:tc>
          <w:tcPr>
            <w:tcW w:type="dxa" w:w="2268"/>
            <w:shd w:fill="F0F0F0"/>
            <w:vAlign w:val="center"/>
          </w:tcPr>
          <w:p>
            <w:pPr>
              <w:jc w:val="left"/>
            </w:pPr>
            <w:r/>
            <w:r>
              <w:rPr>
                <w:rFonts w:ascii="Calibri" w:hAnsi="Calibri"/>
                <w:color w:val="2D2D2D"/>
                <w:sz w:val="18"/>
              </w:rPr>
              <w:t>Independent custodian attestation</w:t>
            </w:r>
          </w:p>
        </w:tc>
        <w:tc>
          <w:tcPr>
            <w:tcW w:type="dxa" w:w="2268"/>
            <w:shd w:fill="F0F0F0"/>
            <w:vAlign w:val="center"/>
          </w:tcPr>
          <w:p>
            <w:pPr>
              <w:jc w:val="left"/>
            </w:pPr>
            <w:r/>
            <w:r>
              <w:rPr>
                <w:rFonts w:ascii="Calibri" w:hAnsi="Calibri"/>
                <w:color w:val="2D2D2D"/>
                <w:sz w:val="18"/>
              </w:rPr>
              <w:t>Reconciled</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RECONCILED</w:t>
            </w:r>
          </w:p>
        </w:tc>
        <w:tc>
          <w:tcPr>
            <w:tcW w:type="dxa" w:w="2268"/>
            <w:vAlign w:val="center"/>
          </w:tcPr>
          <w:p>
            <w:pPr>
              <w:jc w:val="left"/>
            </w:pPr>
            <w:r/>
            <w:r>
              <w:rPr>
                <w:rFonts w:ascii="Calibri" w:hAnsi="Calibri"/>
                <w:color w:val="2D2D2D"/>
                <w:sz w:val="18"/>
              </w:rPr>
              <w:t>Variance-resolution</w:t>
            </w:r>
          </w:p>
        </w:tc>
        <w:tc>
          <w:tcPr>
            <w:tcW w:type="dxa" w:w="2268"/>
            <w:vAlign w:val="center"/>
          </w:tcPr>
          <w:p>
            <w:pPr>
              <w:jc w:val="left"/>
            </w:pPr>
            <w:r/>
            <w:r>
              <w:rPr>
                <w:rFonts w:ascii="Calibri" w:hAnsi="Calibri"/>
                <w:color w:val="2D2D2D"/>
                <w:sz w:val="18"/>
              </w:rPr>
              <w:t>Target</w:t>
            </w:r>
          </w:p>
        </w:tc>
      </w:tr>
    </w:tbl>
    <w:p/>
    <w:p>
      <w:pPr>
        <w:pBdr>
          <w:bottom w:val="single" w:sz="12" w:space="1" w:color="C59B1E"/>
        </w:pBdr>
      </w:pPr>
    </w:p>
    <w:p>
      <w:pPr>
        <w:pStyle w:val="Heading2"/>
      </w:pPr>
      <w:r>
        <w:t>11. CUSTODY &amp; RECONCILIATION</w:t>
      </w:r>
    </w:p>
    <w:p>
      <w:pPr>
        <w:pStyle w:val="Heading3"/>
      </w:pPr>
      <w:r>
        <w:t>11.1 Custody Model</w:t>
      </w:r>
    </w:p>
    <w:p>
      <w:pPr>
        <w:pStyle w:val="ListBullet"/>
        <w:ind w:left="425"/>
      </w:pPr>
      <w:r>
        <w:t>Operating entity ≠ Reserve assets</w:t>
      </w:r>
    </w:p>
    <w:p>
      <w:pPr>
        <w:pStyle w:val="ListBullet"/>
        <w:ind w:left="425"/>
      </w:pPr>
      <w:r>
        <w:t>4-tier custodian hierarchy (official-sector, institutional, specialized vaults, contingency)</w:t>
      </w:r>
    </w:p>
    <w:p>
      <w:pPr>
        <w:pStyle w:val="ListBullet"/>
        <w:ind w:left="425"/>
      </w:pPr>
      <w:r>
        <w:t>25% per-custodian cap, 30% per-jurisdiction cap, ≥3 custodians</w:t>
      </w:r>
    </w:p>
    <w:p>
      <w:pPr>
        <w:pStyle w:val="ListBullet"/>
        <w:ind w:left="425"/>
      </w:pPr>
      <w:r>
        <w:t>Allocated physical bullion (LBMA Good Delivery, ≥99.5% gold, ≥99.9% silver)</w:t>
      </w:r>
    </w:p>
    <w:p>
      <w:pPr>
        <w:pStyle w:val="ListBullet"/>
        <w:ind w:left="425"/>
      </w:pPr>
      <w:r>
        <w:t>No commingling, no rehypothecation</w:t>
      </w:r>
    </w:p>
    <w:p>
      <w:pPr>
        <w:pStyle w:val="Heading3"/>
      </w:pPr>
      <w:r>
        <w:t>11.2 Reconciliation</w:t>
      </w:r>
    </w:p>
    <w:p>
      <w:pPr>
        <w:pStyle w:val="ListBullet"/>
        <w:ind w:left="425"/>
      </w:pPr>
      <w:r>
        <w:t>4-tier severity: 0.1% (informational), 0.5% (warning), 1% (execution pause), 5% (emergency)</w:t>
      </w:r>
    </w:p>
    <w:p>
      <w:pPr>
        <w:pStyle w:val="ListBullet"/>
        <w:ind w:left="425"/>
      </w:pPr>
      <w:r>
        <w:t>Variance persists across restarts (stored durably in Turso)</w:t>
      </w:r>
    </w:p>
    <w:p>
      <w:pPr>
        <w:pBdr>
          <w:bottom w:val="single" w:sz="12" w:space="1" w:color="C59B1E"/>
        </w:pBdr>
      </w:pPr>
    </w:p>
    <w:p>
      <w:pPr>
        <w:pStyle w:val="Heading2"/>
      </w:pPr>
      <w:r>
        <w:t>12. ORACLE ARCHITECTURE</w:t>
      </w:r>
    </w:p>
    <w:p>
      <w:pPr>
        <w:pStyle w:val="Heading3"/>
      </w:pPr>
      <w:r>
        <w:t>12.1 Target Architecture (Mainnet)</w:t>
      </w:r>
    </w:p>
    <w:p>
      <w:pPr>
        <w:pStyle w:val="ListBullet"/>
        <w:ind w:left="425"/>
      </w:pPr>
      <w:r>
        <w:rPr>
          <w:b/>
        </w:rPr>
        <w:t>Gold:</w:t>
      </w:r>
      <w:r>
        <w:t xml:space="preserve"> 3+ independent sources, median + 2% outlier rejection</w:t>
      </w:r>
    </w:p>
    <w:p>
      <w:pPr>
        <w:pStyle w:val="ListBullet"/>
        <w:ind w:left="425"/>
      </w:pPr>
      <w:r>
        <w:rPr>
          <w:b/>
        </w:rPr>
        <w:t>Silver:</w:t>
      </w:r>
      <w:r>
        <w:t xml:space="preserve"> minimum 5 independent eligible sources at production; testnet may operate below target only with explicit TESTNET status</w:t>
      </w:r>
    </w:p>
    <w:p>
      <w:pPr>
        <w:pStyle w:val="ListBullet"/>
        <w:ind w:left="425"/>
      </w:pPr>
      <w:r>
        <w:rPr>
          <w:b/>
        </w:rPr>
        <w:t>FX:</w:t>
      </w:r>
      <w:r>
        <w:t xml:space="preserve"> minimum 5 independent institutional-quality sources at production</w:t>
      </w:r>
    </w:p>
    <w:p>
      <w:pPr>
        <w:pStyle w:val="ListBullet"/>
        <w:ind w:left="425"/>
      </w:pPr>
      <w:r>
        <w:rPr>
          <w:b/>
        </w:rPr>
        <w:t>Stablecoins/digital liquidity:</w:t>
      </w:r>
      <w:r>
        <w:t xml:space="preserve"> real-time price, redemption, liquidity, reserve-attestation, issuer, regulatory, and custody monitoring; hardcoded $1 values are prohibited in production risk calculations</w:t>
      </w:r>
    </w:p>
    <w:p>
      <w:pPr>
        <w:pStyle w:val="Heading3"/>
      </w:pPr>
      <w:r>
        <w:t>12.2 Freshness</w:t>
      </w:r>
    </w:p>
    <w:p>
      <w:pPr>
        <w:pStyle w:val="ListBullet"/>
        <w:ind w:left="425"/>
      </w:pPr>
      <w:r>
        <w:t>Off-chain: 60 seconds</w:t>
      </w:r>
    </w:p>
    <w:p>
      <w:pPr>
        <w:pStyle w:val="ListBullet"/>
        <w:ind w:left="425"/>
      </w:pPr>
      <w:r>
        <w:t>On-chain: 1 hour</w:t>
      </w:r>
    </w:p>
    <w:p>
      <w:pPr>
        <w:pStyle w:val="ListBullet"/>
        <w:ind w:left="425"/>
      </w:pPr>
      <w:r>
        <w:t>All oracle read paths enforce staleness</w:t>
      </w:r>
    </w:p>
    <w:p>
      <w:pPr>
        <w:pStyle w:val="Heading3"/>
      </w:pPr>
      <w:r>
        <w:t>12.3 Circuit Breakers</w:t>
      </w:r>
    </w:p>
    <w:p>
      <w:pPr>
        <w:pStyle w:val="ListBullet"/>
        <w:ind w:left="425"/>
      </w:pPr>
      <w:r>
        <w:t>Trading halt if 2+ sources disagree &gt;3%</w:t>
      </w:r>
    </w:p>
    <w:p>
      <w:pPr>
        <w:pStyle w:val="ListBullet"/>
        <w:ind w:left="425"/>
      </w:pPr>
      <w:r>
        <w:t>Cool-down if price moves &gt;10% in 1 hour</w:t>
      </w:r>
    </w:p>
    <w:p>
      <w:pPr>
        <w:pStyle w:val="ListBullet"/>
        <w:ind w:left="425"/>
      </w:pPr>
      <w:r>
        <w:t>Council notification if price moves &gt;20% in 1 day</w:t>
      </w:r>
    </w:p>
    <w:p>
      <w:pPr>
        <w:pStyle w:val="Heading3"/>
      </w:pPr>
      <w:r>
        <w:t>12.4 Fallback Hierarchy</w:t>
      </w:r>
    </w:p>
    <w:p>
      <w:r>
        <w:t>Tier 1 (median) → Tier 2 (single, quorumMet=false) → Tier 3 (last-known-good) → Tier 4 (hardcoded baseline)</w:t>
      </w:r>
    </w:p>
    <w:p>
      <w:pPr>
        <w:pBdr>
          <w:bottom w:val="single" w:sz="12" w:space="1" w:color="C59B1E"/>
        </w:pBdr>
      </w:pPr>
    </w:p>
    <w:p>
      <w:pPr>
        <w:pStyle w:val="Heading2"/>
      </w:pPr>
      <w:r>
        <w:t>13. GOVERNANCE</w:t>
      </w:r>
    </w:p>
    <w:p>
      <w:pPr>
        <w:pStyle w:val="Heading3"/>
      </w:pPr>
      <w:r>
        <w:t>13.1 Monetary Council</w:t>
      </w:r>
    </w:p>
    <w:p>
      <w:pPr>
        <w:pStyle w:val="ListBullet"/>
        <w:ind w:left="425"/>
      </w:pPr>
      <w:r>
        <w:t>7 members (independent professionals, 4-year staggered terms)</w:t>
      </w:r>
    </w:p>
    <w:p>
      <w:pPr>
        <w:pStyle w:val="ListBullet"/>
        <w:ind w:left="425"/>
      </w:pPr>
      <w:r>
        <w:t>Supermajority: 6/7 (85.7%) for constitutional amendments</w:t>
      </w:r>
    </w:p>
    <w:p>
      <w:pPr>
        <w:pStyle w:val="ListBullet"/>
        <w:ind w:left="425"/>
      </w:pPr>
      <w:r>
        <w:t>Standard: 4/7 for policy</w:t>
      </w:r>
    </w:p>
    <w:p>
      <w:pPr>
        <w:pStyle w:val="Heading3"/>
      </w:pPr>
      <w:r>
        <w:t>13.2 Amendment Workflow</w:t>
      </w:r>
    </w:p>
    <w:p>
      <w:r>
        <w:t xml:space="preserve">11 stages. </w:t>
      </w:r>
      <w:r>
        <w:rPr>
          <w:b/>
        </w:rPr>
        <w:t>Timelock: 90 days (constitutional), 7 days (policy).</w:t>
      </w:r>
    </w:p>
    <w:p>
      <w:pPr>
        <w:pStyle w:val="Heading3"/>
      </w:pPr>
      <w:r>
        <w:t>13.3 Emergency Governance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Level</w:t>
            </w:r>
          </w:p>
        </w:tc>
        <w:tc>
          <w:tcPr>
            <w:tcW w:type="dxa" w:w="4536"/>
            <w:shd w:fill="1A365F"/>
            <w:vAlign w:val="center"/>
          </w:tcPr>
          <w:p>
            <w:pPr>
              <w:jc w:val="left"/>
            </w:pPr>
            <w:r/>
            <w:r>
              <w:rPr>
                <w:rFonts w:ascii="Calibri" w:hAnsi="Calibri"/>
                <w:b/>
                <w:color w:val="FFFFFF"/>
                <w:sz w:val="18"/>
              </w:rPr>
              <w:t>Expiry</w:t>
            </w:r>
          </w:p>
        </w:tc>
      </w:tr>
      <w:tr>
        <w:tc>
          <w:tcPr>
            <w:tcW w:type="dxa" w:w="4536"/>
            <w:vAlign w:val="center"/>
          </w:tcPr>
          <w:p>
            <w:pPr>
              <w:jc w:val="left"/>
            </w:pPr>
            <w:r/>
            <w:r>
              <w:rPr>
                <w:rFonts w:ascii="Calibri" w:hAnsi="Calibri"/>
                <w:color w:val="2D2D2D"/>
                <w:sz w:val="18"/>
              </w:rPr>
              <w:t>Normal</w:t>
            </w:r>
          </w:p>
        </w:tc>
        <w:tc>
          <w:tcPr>
            <w:tcW w:type="dxa" w:w="4536"/>
            <w:vAlign w:val="center"/>
          </w:tcPr>
          <w:p>
            <w:pPr>
              <w:jc w:val="left"/>
            </w:pPr>
            <w:r/>
            <w:r>
              <w:rPr>
                <w:rFonts w:ascii="Calibri" w:hAnsi="Calibri"/>
                <w:color w:val="2D2D2D"/>
                <w:sz w:val="18"/>
              </w:rPr>
              <w:t>No expiry</w:t>
            </w:r>
          </w:p>
        </w:tc>
      </w:tr>
      <w:tr>
        <w:tc>
          <w:tcPr>
            <w:tcW w:type="dxa" w:w="4536"/>
            <w:shd w:fill="F0F0F0"/>
            <w:vAlign w:val="center"/>
          </w:tcPr>
          <w:p>
            <w:pPr>
              <w:jc w:val="left"/>
            </w:pPr>
            <w:r/>
            <w:r>
              <w:rPr>
                <w:rFonts w:ascii="Calibri" w:hAnsi="Calibri"/>
                <w:color w:val="2D2D2D"/>
                <w:sz w:val="18"/>
              </w:rPr>
              <w:t>Heightened Watch</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Emergency</w:t>
            </w:r>
          </w:p>
        </w:tc>
        <w:tc>
          <w:tcPr>
            <w:tcW w:type="dxa" w:w="4536"/>
            <w:vAlign w:val="center"/>
          </w:tcPr>
          <w:p>
            <w:pPr>
              <w:jc w:val="left"/>
            </w:pPr>
            <w:r/>
            <w:r>
              <w:rPr>
                <w:rFonts w:ascii="Calibri" w:hAnsi="Calibri"/>
                <w:color w:val="2D2D2D"/>
                <w:sz w:val="18"/>
              </w:rPr>
              <w:t>7 days</w:t>
            </w:r>
          </w:p>
        </w:tc>
      </w:tr>
      <w:tr>
        <w:tc>
          <w:tcPr>
            <w:tcW w:type="dxa" w:w="4536"/>
            <w:shd w:fill="F0F0F0"/>
            <w:vAlign w:val="center"/>
          </w:tcPr>
          <w:p>
            <w:pPr>
              <w:jc w:val="left"/>
            </w:pPr>
            <w:r/>
            <w:r>
              <w:rPr>
                <w:rFonts w:ascii="Calibri" w:hAnsi="Calibri"/>
                <w:color w:val="2D2D2D"/>
                <w:sz w:val="18"/>
              </w:rPr>
              <w:t>Constitutional Emergency</w:t>
            </w:r>
          </w:p>
        </w:tc>
        <w:tc>
          <w:tcPr>
            <w:tcW w:type="dxa" w:w="4536"/>
            <w:shd w:fill="F0F0F0"/>
            <w:vAlign w:val="center"/>
          </w:tcPr>
          <w:p>
            <w:pPr>
              <w:jc w:val="left"/>
            </w:pPr>
            <w:r/>
            <w:r>
              <w:rPr>
                <w:rFonts w:ascii="Calibri" w:hAnsi="Calibri"/>
                <w:color w:val="2D2D2D"/>
                <w:sz w:val="18"/>
              </w:rPr>
              <w:t>24 hours</w:t>
            </w:r>
          </w:p>
        </w:tc>
      </w:tr>
    </w:tbl>
    <w:p/>
    <w:p>
      <w:r>
        <w:t>11 objective triggers (non-discretionary).</w:t>
      </w:r>
    </w:p>
    <w:p>
      <w:pPr>
        <w:pBdr>
          <w:bottom w:val="single" w:sz="12" w:space="1" w:color="C59B1E"/>
        </w:pBdr>
      </w:pPr>
    </w:p>
    <w:p>
      <w:pPr>
        <w:pStyle w:val="Heading2"/>
      </w:pPr>
      <w:r>
        <w:t>14. CONSTITUTIONAL INVARIANTS</w:t>
      </w:r>
    </w:p>
    <w:p>
      <w:pPr>
        <w:pStyle w:val="Heading3"/>
      </w:pPr>
      <w:r>
        <w:t>14.1 Five Absolute Invariants</w:t>
      </w:r>
    </w:p>
    <w:p>
      <w:pPr>
        <w:pStyle w:val="ListNumber"/>
        <w:ind w:left="425"/>
      </w:pPr>
      <w:r>
        <w:rPr>
          <w:b/>
        </w:rPr>
        <w:t>100% Reserve Ratio:</w:t>
      </w:r>
      <w:r>
        <w:t xml:space="preserve"> </w:t>
      </w:r>
      <w:r>
        <w:rPr>
          <w:rFonts w:ascii="Consolas" w:hAnsi="Consolas"/>
          <w:color w:val="6B6B6B"/>
          <w:sz w:val="19"/>
        </w:rPr>
        <w:t>R_a ≥ S × PAR</w:t>
      </w:r>
      <w:r>
        <w:t xml:space="preserve"> at all times (policy ≥105%, strategic ≥120%)</w:t>
      </w:r>
    </w:p>
    <w:p>
      <w:pPr>
        <w:pStyle w:val="ListNumber"/>
        <w:ind w:left="425"/>
      </w:pPr>
      <w:r>
        <w:rPr>
          <w:b/>
        </w:rPr>
        <w:t>No Discretionary Minting:</w:t>
      </w:r>
      <w:r>
        <w:t xml:space="preserve"> Minting only upon verified deposit</w:t>
      </w:r>
    </w:p>
    <w:p>
      <w:pPr>
        <w:pStyle w:val="ListNumber"/>
        <w:ind w:left="425"/>
      </w:pPr>
      <w:r>
        <w:rPr>
          <w:b/>
        </w:rPr>
        <w:t>No Lending of Reserves:</w:t>
      </w:r>
      <w:r>
        <w:t xml:space="preserve"> No leverage, no fractional reserve, no rehypothecation</w:t>
      </w:r>
    </w:p>
    <w:p>
      <w:pPr>
        <w:pStyle w:val="ListNumber"/>
        <w:ind w:left="425"/>
      </w:pPr>
      <w:r>
        <w:rPr>
          <w:b/>
        </w:rPr>
        <w:t>No Commingling:</w:t>
      </w:r>
      <w:r>
        <w:t xml:space="preserve"> Yield Program assets never mix with settlement reserves</w:t>
      </w:r>
    </w:p>
    <w:p>
      <w:pPr>
        <w:pStyle w:val="ListNumber"/>
        <w:ind w:left="425"/>
      </w:pPr>
      <w:r>
        <w:rPr>
          <w:b/>
        </w:rPr>
        <w:t>Bullion Preservation:</w:t>
      </w:r>
      <w:r>
        <w:t xml:space="preserve"> Gold liquidated LAST, requires Exhaustion Certificate</w:t>
      </w:r>
    </w:p>
    <w:p>
      <w:pPr>
        <w:pStyle w:val="Heading3"/>
      </w:pPr>
      <w:r>
        <w:t>14.2 On-Chain Invariants</w:t>
      </w:r>
    </w:p>
    <w:p>
      <w:r>
        <w:t>10 on-chain checkable invariants. 15 forbidden function selectors. Anti-platform clause permanently frozen.</w:t>
      </w:r>
    </w:p>
    <w:p>
      <w:pPr>
        <w:pBdr>
          <w:bottom w:val="single" w:sz="12" w:space="1" w:color="C59B1E"/>
        </w:pBdr>
      </w:pPr>
    </w:p>
    <w:p>
      <w:pPr>
        <w:pStyle w:val="Heading2"/>
      </w:pPr>
      <w:r>
        <w:t>15. DETERMINISM</w:t>
      </w:r>
    </w:p>
    <w:p>
      <w:pPr>
        <w:pStyle w:val="ListBullet"/>
        <w:ind w:left="425"/>
      </w:pPr>
      <w:r>
        <w:t xml:space="preserve">No </w:t>
      </w:r>
      <w:r>
        <w:rPr>
          <w:rFonts w:ascii="Consolas" w:hAnsi="Consolas"/>
          <w:color w:val="6B6B6B"/>
          <w:sz w:val="19"/>
        </w:rPr>
        <w:t>Date.now()</w:t>
      </w:r>
      <w:r>
        <w:t xml:space="preserve"> in decision mathematics</w:t>
      </w:r>
    </w:p>
    <w:p>
      <w:pPr>
        <w:pStyle w:val="ListBullet"/>
        <w:ind w:left="425"/>
      </w:pPr>
      <w:r>
        <w:t xml:space="preserve">No </w:t>
      </w:r>
      <w:r>
        <w:rPr>
          <w:rFonts w:ascii="Consolas" w:hAnsi="Consolas"/>
          <w:color w:val="6B6B6B"/>
          <w:sz w:val="19"/>
        </w:rPr>
        <w:t>Math.random()</w:t>
      </w:r>
      <w:r>
        <w:t xml:space="preserve"> in monetary calculations</w:t>
      </w:r>
    </w:p>
    <w:p>
      <w:pPr>
        <w:pStyle w:val="ListBullet"/>
        <w:ind w:left="425"/>
      </w:pPr>
      <w:r>
        <w:t>All decision functions are pure (same inputs → same outputs)</w:t>
      </w:r>
    </w:p>
    <w:p>
      <w:pPr>
        <w:pStyle w:val="ListBullet"/>
        <w:ind w:left="425"/>
      </w:pPr>
      <w:r>
        <w:rPr>
          <w:rFonts w:ascii="Consolas" w:hAnsi="Consolas"/>
          <w:color w:val="6B6B6B"/>
          <w:sz w:val="19"/>
        </w:rPr>
        <w:t>decimal.js</w:t>
      </w:r>
      <w:r>
        <w:t xml:space="preserve"> fixed-point arithmetic</w:t>
      </w:r>
    </w:p>
    <w:p>
      <w:pPr>
        <w:pStyle w:val="ListBullet"/>
        <w:ind w:left="425"/>
      </w:pPr>
      <w:r>
        <w:rPr>
          <w:rFonts w:ascii="Consolas" w:hAnsi="Consolas"/>
          <w:color w:val="6B6B6B"/>
          <w:sz w:val="19"/>
        </w:rPr>
        <w:t>asOfTimestamp</w:t>
      </w:r>
      <w:r>
        <w:t xml:space="preserve"> passed as parameter</w:t>
      </w:r>
    </w:p>
    <w:p>
      <w:pPr>
        <w:pBdr>
          <w:bottom w:val="single" w:sz="12" w:space="1" w:color="C59B1E"/>
        </w:pBdr>
      </w:pPr>
    </w:p>
    <w:p>
      <w:pPr>
        <w:pStyle w:val="Heading2"/>
      </w:pPr>
      <w:r>
        <w:t>16. AUDIT TRAIL</w:t>
      </w:r>
    </w:p>
    <w:p>
      <w:pPr>
        <w:pStyle w:val="ListBullet"/>
        <w:ind w:left="425"/>
      </w:pPr>
      <w:r>
        <w:t>Every reserve-state transition creates an immutable event</w:t>
      </w:r>
    </w:p>
    <w:p>
      <w:pPr>
        <w:pStyle w:val="ListBullet"/>
        <w:ind w:left="425"/>
      </w:pPr>
      <w:r>
        <w:t>JSONL append-only ledger</w:t>
      </w:r>
    </w:p>
    <w:p>
      <w:pPr>
        <w:pStyle w:val="ListBullet"/>
        <w:ind w:left="425"/>
      </w:pPr>
      <w:r>
        <w:t>Synchronous write (</w:t>
      </w:r>
      <w:r>
        <w:rPr>
          <w:rFonts w:ascii="Consolas" w:hAnsi="Consolas"/>
          <w:color w:val="6B6B6B"/>
          <w:sz w:val="19"/>
        </w:rPr>
        <w:t>appendFileSync</w:t>
      </w:r>
      <w:r>
        <w:t>)</w:t>
      </w:r>
    </w:p>
    <w:p>
      <w:pPr>
        <w:pStyle w:val="ListBullet"/>
        <w:ind w:left="425"/>
      </w:pPr>
      <w:r>
        <w:t>Must survive application restart (durable file + Turso)</w:t>
      </w:r>
    </w:p>
    <w:p>
      <w:pPr>
        <w:pBdr>
          <w:bottom w:val="single" w:sz="12" w:space="1" w:color="C59B1E"/>
        </w:pBdr>
      </w:pPr>
    </w:p>
    <w:p>
      <w:pPr>
        <w:pStyle w:val="Heading2"/>
      </w:pPr>
      <w:r>
        <w:t>17. SMART CONTRACT REQUIREMENTS</w:t>
      </w:r>
    </w:p>
    <w:p>
      <w:pPr>
        <w:pStyle w:val="Heading3"/>
      </w:pPr>
      <w:r>
        <w:t>17.1 Reserve.sol (4-Tier + Article X)</w:t>
      </w:r>
    </w:p>
    <w:p>
      <w:pPr>
        <w:pStyle w:val="ListBullet"/>
        <w:ind w:left="425"/>
      </w:pPr>
      <w:r>
        <w:t>4 constitutional tiers + sequential liquidation</w:t>
      </w:r>
    </w:p>
    <w:p>
      <w:pPr>
        <w:pStyle w:val="ListBullet"/>
        <w:ind w:left="425"/>
      </w:pPr>
      <w:r>
        <w:t>Gold liquidation requires Exhaustion Certificate</w:t>
      </w:r>
    </w:p>
    <w:p>
      <w:pPr>
        <w:pStyle w:val="ListBullet"/>
        <w:ind w:left="425"/>
      </w:pPr>
      <w:r>
        <w:t>§22A basket verification on-chain</w:t>
      </w:r>
    </w:p>
    <w:p>
      <w:pPr>
        <w:pStyle w:val="ListBullet"/>
        <w:ind w:left="425"/>
      </w:pPr>
      <w:r>
        <w:t>§14 proposal hash binding + replay protection</w:t>
      </w:r>
    </w:p>
    <w:p>
      <w:pPr>
        <w:pStyle w:val="Heading3"/>
      </w:pPr>
      <w:r>
        <w:t>17.2 Mint.sol</w:t>
      </w:r>
    </w:p>
    <w:p>
      <w:pPr>
        <w:pStyle w:val="ListBullet"/>
        <w:ind w:left="425"/>
      </w:pPr>
      <w:r>
        <w:t>4-tier model matching Reserve.sol</w:t>
      </w:r>
    </w:p>
    <w:p>
      <w:pPr>
        <w:pStyle w:val="ListBullet"/>
        <w:ind w:left="425"/>
      </w:pPr>
      <w:r>
        <w:t>Mint fee: 5 bps, capped at $5,000</w:t>
      </w:r>
    </w:p>
    <w:p>
      <w:pPr>
        <w:pStyle w:val="ListBullet"/>
        <w:ind w:left="425"/>
      </w:pPr>
      <w:r>
        <w:t xml:space="preserve">Must verify </w:t>
      </w:r>
      <w:r>
        <w:rPr>
          <w:rFonts w:ascii="Consolas" w:hAnsi="Consolas"/>
          <w:color w:val="6B6B6B"/>
          <w:sz w:val="19"/>
        </w:rPr>
        <w:t>!mtq.mintingPaused()</w:t>
      </w:r>
      <w:r>
        <w:t xml:space="preserve"> (RR ≥ 100%)</w:t>
      </w:r>
    </w:p>
    <w:p>
      <w:pPr>
        <w:pStyle w:val="Heading3"/>
      </w:pPr>
      <w:r>
        <w:t>17.3 Redeem.sol</w:t>
      </w:r>
    </w:p>
    <w:p>
      <w:pPr>
        <w:pStyle w:val="ListBullet"/>
        <w:ind w:left="425"/>
      </w:pPr>
      <w:r>
        <w:rPr>
          <w:b/>
        </w:rPr>
        <w:t>Never pausable</w:t>
      </w:r>
    </w:p>
    <w:p>
      <w:pPr>
        <w:pStyle w:val="ListBullet"/>
        <w:ind w:left="425"/>
      </w:pPr>
      <w:r>
        <w:t>Fee: 5 bps, capped at $5,000</w:t>
      </w:r>
    </w:p>
    <w:p>
      <w:pPr>
        <w:pStyle w:val="Heading3"/>
      </w:pPr>
      <w:r>
        <w:t>17.4 MTQ.sol</w:t>
      </w:r>
    </w:p>
    <w:p>
      <w:pPr>
        <w:pStyle w:val="ListBullet"/>
        <w:ind w:left="425"/>
      </w:pPr>
      <w:r>
        <w:rPr>
          <w:rFonts w:ascii="Consolas" w:hAnsi="Consolas"/>
          <w:color w:val="6B6B6B"/>
          <w:sz w:val="19"/>
        </w:rPr>
        <w:t>mint()</w:t>
      </w:r>
      <w:r>
        <w:t xml:space="preserve">: checks </w:t>
      </w:r>
      <w:r>
        <w:rPr>
          <w:rFonts w:ascii="Consolas" w:hAnsi="Consolas"/>
          <w:color w:val="6B6B6B"/>
          <w:sz w:val="19"/>
        </w:rPr>
        <w:t>!mintingPaused</w:t>
      </w:r>
      <w:r>
        <w:t>, 1:1 deposit, auto-pause if RR&lt;100%</w:t>
      </w:r>
    </w:p>
    <w:p>
      <w:pPr>
        <w:pStyle w:val="ListBullet"/>
        <w:ind w:left="425"/>
      </w:pPr>
      <w:r>
        <w:rPr>
          <w:rFonts w:ascii="Consolas" w:hAnsi="Consolas"/>
          <w:color w:val="6B6B6B"/>
          <w:sz w:val="19"/>
        </w:rPr>
        <w:t>burn()</w:t>
      </w:r>
      <w:r>
        <w:t>: never paused</w:t>
      </w:r>
    </w:p>
    <w:p>
      <w:pPr>
        <w:pStyle w:val="ListBullet"/>
        <w:ind w:left="425"/>
      </w:pPr>
      <w:r>
        <w:t xml:space="preserve">Founder cap 20% enforced in </w:t>
      </w:r>
      <w:r>
        <w:rPr>
          <w:rFonts w:ascii="Consolas" w:hAnsi="Consolas"/>
          <w:color w:val="6B6B6B"/>
          <w:sz w:val="19"/>
        </w:rPr>
        <w:t>_transfer()</w:t>
      </w:r>
    </w:p>
    <w:p>
      <w:pPr>
        <w:pStyle w:val="Heading3"/>
      </w:pPr>
      <w:r>
        <w:t>17.5 Governance.sol</w:t>
      </w:r>
    </w:p>
    <w:p>
      <w:pPr>
        <w:pStyle w:val="ListBullet"/>
        <w:ind w:left="425"/>
      </w:pPr>
      <w:r>
        <w:t>7-member Council, 6/7 supermajority for constitutional</w:t>
      </w:r>
    </w:p>
    <w:p>
      <w:pPr>
        <w:pStyle w:val="ListBullet"/>
        <w:ind w:left="425"/>
      </w:pPr>
      <w:r>
        <w:t>15 forbidden selectors</w:t>
      </w:r>
    </w:p>
    <w:p>
      <w:pPr>
        <w:pStyle w:val="ListBullet"/>
        <w:ind w:left="425"/>
      </w:pPr>
      <w:r>
        <w:rPr>
          <w:rFonts w:ascii="Consolas" w:hAnsi="Consolas"/>
          <w:color w:val="6B6B6B"/>
          <w:sz w:val="19"/>
        </w:rPr>
        <w:t>checkInvariant(uint8)</w:t>
      </w:r>
      <w:r>
        <w:t xml:space="preserve"> for 10 on-chain invariants</w:t>
      </w:r>
    </w:p>
    <w:p>
      <w:pPr>
        <w:pStyle w:val="Heading3"/>
      </w:pPr>
      <w:r>
        <w:t>17.6 Oracle.sol</w:t>
      </w:r>
    </w:p>
    <w:p>
      <w:pPr>
        <w:pStyle w:val="ListBullet"/>
        <w:ind w:left="425"/>
      </w:pPr>
      <w:r>
        <w:t>All read paths enforce staleness</w:t>
      </w:r>
    </w:p>
    <w:p>
      <w:pPr>
        <w:pStyle w:val="ListBullet"/>
        <w:ind w:left="425"/>
      </w:pPr>
      <w:r>
        <w:t>Mainnet: multi-source consensus (≥5/8 quorum)</w:t>
      </w:r>
    </w:p>
    <w:p>
      <w:pPr>
        <w:pBdr>
          <w:bottom w:val="single" w:sz="12" w:space="1" w:color="C59B1E"/>
        </w:pBdr>
      </w:pPr>
    </w:p>
    <w:p>
      <w:pPr>
        <w:pStyle w:val="Heading2"/>
      </w:pPr>
      <w:r>
        <w:t>18. EXECUTION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Execution</w:t>
            </w:r>
          </w:p>
        </w:tc>
        <w:tc>
          <w:tcPr>
            <w:tcW w:type="dxa" w:w="2268"/>
            <w:shd w:fill="1A365F"/>
            <w:vAlign w:val="center"/>
          </w:tcPr>
          <w:p>
            <w:pPr>
              <w:jc w:val="left"/>
            </w:pPr>
            <w:r/>
            <w:r>
              <w:rPr>
                <w:rFonts w:ascii="Calibri" w:hAnsi="Calibri"/>
                <w:b/>
                <w:color w:val="FFFFFF"/>
                <w:sz w:val="18"/>
              </w:rPr>
              <w:t>Approval</w:t>
            </w:r>
          </w:p>
        </w:tc>
        <w:tc>
          <w:tcPr>
            <w:tcW w:type="dxa" w:w="2268"/>
            <w:shd w:fill="1A365F"/>
            <w:vAlign w:val="center"/>
          </w:tcPr>
          <w:p>
            <w:pPr>
              <w:jc w:val="left"/>
            </w:pPr>
            <w:r/>
            <w:r>
              <w:rPr>
                <w:rFonts w:ascii="Calibri" w:hAnsi="Calibri"/>
                <w:b/>
                <w:color w:val="FFFFFF"/>
                <w:sz w:val="18"/>
              </w:rPr>
              <w:t>Use</w:t>
            </w:r>
          </w:p>
        </w:tc>
      </w:tr>
      <w:tr>
        <w:tc>
          <w:tcPr>
            <w:tcW w:type="dxa" w:w="2268"/>
            <w:vAlign w:val="center"/>
          </w:tcPr>
          <w:p>
            <w:pPr>
              <w:jc w:val="left"/>
            </w:pPr>
            <w:r/>
            <w:r>
              <w:rPr>
                <w:rFonts w:ascii="Calibri" w:hAnsi="Calibri"/>
                <w:color w:val="2D2D2D"/>
                <w:sz w:val="18"/>
              </w:rPr>
              <w:t>SIMULATION</w:t>
            </w:r>
          </w:p>
        </w:tc>
        <w:tc>
          <w:tcPr>
            <w:tcW w:type="dxa" w:w="2268"/>
            <w:vAlign w:val="center"/>
          </w:tcPr>
          <w:p>
            <w:pPr>
              <w:jc w:val="left"/>
            </w:pPr>
            <w:r/>
            <w:r>
              <w:rPr>
                <w:rFonts w:ascii="Calibri" w:hAnsi="Calibri"/>
                <w:color w:val="2D2D2D"/>
                <w:sz w:val="18"/>
              </w:rPr>
              <w:t>Simulated</w:t>
            </w:r>
          </w:p>
        </w:tc>
        <w:tc>
          <w:tcPr>
            <w:tcW w:type="dxa" w:w="2268"/>
            <w:vAlign w:val="center"/>
          </w:tcPr>
          <w:p>
            <w:pPr>
              <w:jc w:val="left"/>
            </w:pPr>
            <w:r/>
            <w:r>
              <w:rPr>
                <w:rFonts w:ascii="Calibri" w:hAnsi="Calibri"/>
                <w:color w:val="2D2D2D"/>
                <w:sz w:val="18"/>
              </w:rPr>
              <w:t>Auto-approve</w:t>
            </w:r>
          </w:p>
        </w:tc>
        <w:tc>
          <w:tcPr>
            <w:tcW w:type="dxa" w:w="2268"/>
            <w:vAlign w:val="center"/>
          </w:tcPr>
          <w:p>
            <w:pPr>
              <w:jc w:val="left"/>
            </w:pPr>
            <w:r/>
            <w:r>
              <w:rPr>
                <w:rFonts w:ascii="Calibri" w:hAnsi="Calibri"/>
                <w:color w:val="2D2D2D"/>
                <w:sz w:val="18"/>
              </w:rPr>
              <w:t>Testnet (default)</w:t>
            </w:r>
          </w:p>
        </w:tc>
      </w:tr>
      <w:tr>
        <w:tc>
          <w:tcPr>
            <w:tcW w:type="dxa" w:w="2268"/>
            <w:shd w:fill="F0F0F0"/>
            <w:vAlign w:val="center"/>
          </w:tcPr>
          <w:p>
            <w:pPr>
              <w:jc w:val="left"/>
            </w:pPr>
            <w:r/>
            <w:r>
              <w:rPr>
                <w:rFonts w:ascii="Calibri" w:hAnsi="Calibri"/>
                <w:color w:val="2D2D2D"/>
                <w:sz w:val="18"/>
              </w:rPr>
              <w:t>SHADOW</w:t>
            </w:r>
          </w:p>
        </w:tc>
        <w:tc>
          <w:tcPr>
            <w:tcW w:type="dxa" w:w="2268"/>
            <w:shd w:fill="F0F0F0"/>
            <w:vAlign w:val="center"/>
          </w:tcPr>
          <w:p>
            <w:pPr>
              <w:jc w:val="left"/>
            </w:pPr>
            <w:r/>
            <w:r>
              <w:rPr>
                <w:rFonts w:ascii="Calibri" w:hAnsi="Calibri"/>
                <w:color w:val="2D2D2D"/>
                <w:sz w:val="18"/>
              </w:rPr>
              <w:t>No execution</w:t>
            </w:r>
          </w:p>
        </w:tc>
        <w:tc>
          <w:tcPr>
            <w:tcW w:type="dxa" w:w="2268"/>
            <w:shd w:fill="F0F0F0"/>
            <w:vAlign w:val="center"/>
          </w:tcPr>
          <w:p>
            <w:pPr>
              <w:jc w:val="left"/>
            </w:pPr>
            <w:r/>
            <w:r>
              <w:rPr>
                <w:rFonts w:ascii="Calibri" w:hAnsi="Calibri"/>
                <w:color w:val="2D2D2D"/>
                <w:sz w:val="18"/>
              </w:rPr>
              <w:t>Manual (severity-routed)</w:t>
            </w:r>
          </w:p>
        </w:tc>
        <w:tc>
          <w:tcPr>
            <w:tcW w:type="dxa" w:w="2268"/>
            <w:shd w:fill="F0F0F0"/>
            <w:vAlign w:val="center"/>
          </w:tcPr>
          <w:p>
            <w:pPr>
              <w:jc w:val="left"/>
            </w:pPr>
            <w:r/>
            <w:r>
              <w:rPr>
                <w:rFonts w:ascii="Calibri" w:hAnsi="Calibri"/>
                <w:color w:val="2D2D2D"/>
                <w:sz w:val="18"/>
              </w:rPr>
              <w:t>Institutional observation</w:t>
            </w:r>
          </w:p>
        </w:tc>
      </w:tr>
      <w:tr>
        <w:tc>
          <w:tcPr>
            <w:tcW w:type="dxa" w:w="2268"/>
            <w:vAlign w:val="center"/>
          </w:tcPr>
          <w:p>
            <w:pPr>
              <w:jc w:val="left"/>
            </w:pPr>
            <w:r/>
            <w:r>
              <w:rPr>
                <w:rFonts w:ascii="Calibri" w:hAnsi="Calibri"/>
                <w:color w:val="2D2D2D"/>
                <w:sz w:val="18"/>
              </w:rPr>
              <w:t>LIVE</w:t>
            </w:r>
          </w:p>
        </w:tc>
        <w:tc>
          <w:tcPr>
            <w:tcW w:type="dxa" w:w="2268"/>
            <w:vAlign w:val="center"/>
          </w:tcPr>
          <w:p>
            <w:pPr>
              <w:jc w:val="left"/>
            </w:pPr>
            <w:r/>
            <w:r>
              <w:rPr>
                <w:rFonts w:ascii="Calibri" w:hAnsi="Calibri"/>
                <w:color w:val="2D2D2D"/>
                <w:sz w:val="18"/>
              </w:rPr>
              <w:t>Real execution</w:t>
            </w:r>
          </w:p>
        </w:tc>
        <w:tc>
          <w:tcPr>
            <w:tcW w:type="dxa" w:w="2268"/>
            <w:vAlign w:val="center"/>
          </w:tcPr>
          <w:p>
            <w:pPr>
              <w:jc w:val="left"/>
            </w:pPr>
            <w:r/>
            <w:r>
              <w:rPr>
                <w:rFonts w:ascii="Calibri" w:hAnsi="Calibri"/>
                <w:color w:val="2D2D2D"/>
                <w:sz w:val="18"/>
              </w:rPr>
              <w:t>Manual (severity-routed)</w:t>
            </w:r>
          </w:p>
        </w:tc>
        <w:tc>
          <w:tcPr>
            <w:tcW w:type="dxa" w:w="2268"/>
            <w:vAlign w:val="center"/>
          </w:tcPr>
          <w:p>
            <w:pPr>
              <w:jc w:val="left"/>
            </w:pPr>
            <w:r/>
            <w:r>
              <w:rPr>
                <w:rFonts w:ascii="Calibri" w:hAnsi="Calibri"/>
                <w:color w:val="2D2D2D"/>
                <w:sz w:val="18"/>
              </w:rPr>
              <w:t>Production</w:t>
            </w:r>
          </w:p>
        </w:tc>
      </w:tr>
    </w:tbl>
    <w:p/>
    <w:p>
      <w:r>
        <w:rPr>
          <w:b/>
        </w:rPr>
        <w:t>Production gate:</w:t>
      </w:r>
      <w:r>
        <w:t xml:space="preserve"> </w:t>
      </w:r>
      <w:r>
        <w:rPr>
          <w:rFonts w:ascii="Consolas" w:hAnsi="Consolas"/>
          <w:color w:val="6B6B6B"/>
          <w:sz w:val="19"/>
        </w:rPr>
        <w:t>NODE_ENV=production</w:t>
      </w:r>
      <w:r>
        <w:t xml:space="preserve"> + </w:t>
      </w:r>
      <w:r>
        <w:rPr>
          <w:rFonts w:ascii="Consolas" w:hAnsi="Consolas"/>
          <w:color w:val="6B6B6B"/>
          <w:sz w:val="19"/>
        </w:rPr>
        <w:t>EXECUTION_MODE=SIMULATION</w:t>
      </w:r>
      <w:r>
        <w:t xml:space="preserve"> → refuses to run.</w:t>
      </w:r>
    </w:p>
    <w:p>
      <w:pPr>
        <w:pBdr>
          <w:bottom w:val="single" w:sz="12" w:space="1" w:color="C59B1E"/>
        </w:pBdr>
      </w:pPr>
    </w:p>
    <w:p>
      <w:pPr>
        <w:pStyle w:val="Heading2"/>
      </w:pPr>
      <w:r>
        <w:t>19. USER FEES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Fee</w:t>
            </w:r>
          </w:p>
        </w:tc>
        <w:tc>
          <w:tcPr>
            <w:tcW w:type="dxa" w:w="3024"/>
            <w:shd w:fill="1A365F"/>
            <w:vAlign w:val="center"/>
          </w:tcPr>
          <w:p>
            <w:pPr>
              <w:jc w:val="left"/>
            </w:pPr>
            <w:r/>
            <w:r>
              <w:rPr>
                <w:rFonts w:ascii="Calibri" w:hAnsi="Calibri"/>
                <w:b/>
                <w:color w:val="FFFFFF"/>
                <w:sz w:val="18"/>
              </w:rPr>
              <w:t>Rate</w:t>
            </w:r>
          </w:p>
        </w:tc>
        <w:tc>
          <w:tcPr>
            <w:tcW w:type="dxa" w:w="3024"/>
            <w:shd w:fill="1A365F"/>
            <w:vAlign w:val="center"/>
          </w:tcPr>
          <w:p>
            <w:pPr>
              <w:jc w:val="left"/>
            </w:pPr>
            <w:r/>
            <w:r>
              <w:rPr>
                <w:rFonts w:ascii="Calibri" w:hAnsi="Calibri"/>
                <w:b/>
                <w:color w:val="FFFFFF"/>
                <w:sz w:val="18"/>
              </w:rPr>
              <w:t>Cap</w:t>
            </w:r>
          </w:p>
        </w:tc>
      </w:tr>
      <w:tr>
        <w:tc>
          <w:tcPr>
            <w:tcW w:type="dxa" w:w="3024"/>
            <w:vAlign w:val="center"/>
          </w:tcPr>
          <w:p>
            <w:pPr>
              <w:jc w:val="left"/>
            </w:pPr>
            <w:r/>
            <w:r>
              <w:rPr>
                <w:rFonts w:ascii="Calibri" w:hAnsi="Calibri"/>
                <w:color w:val="2D2D2D"/>
                <w:sz w:val="18"/>
              </w:rPr>
              <w:t>Minting</w:t>
            </w:r>
          </w:p>
        </w:tc>
        <w:tc>
          <w:tcPr>
            <w:tcW w:type="dxa" w:w="3024"/>
            <w:vAlign w:val="center"/>
          </w:tcPr>
          <w:p>
            <w:pPr>
              <w:jc w:val="left"/>
            </w:pPr>
            <w:r/>
            <w:r>
              <w:rPr>
                <w:rFonts w:ascii="Calibri" w:hAnsi="Calibri"/>
                <w:color w:val="2D2D2D"/>
                <w:sz w:val="18"/>
              </w:rPr>
              <w:t>0.05% (5 bps)</w:t>
            </w:r>
          </w:p>
        </w:tc>
        <w:tc>
          <w:tcPr>
            <w:tcW w:type="dxa" w:w="3024"/>
            <w:vAlign w:val="center"/>
          </w:tcPr>
          <w:p>
            <w:pPr>
              <w:jc w:val="left"/>
            </w:pPr>
            <w:r/>
            <w:r>
              <w:rPr>
                <w:rFonts w:ascii="Calibri" w:hAnsi="Calibri"/>
                <w:color w:val="2D2D2D"/>
                <w:sz w:val="18"/>
              </w:rPr>
              <w:t>$5,000</w:t>
            </w:r>
          </w:p>
        </w:tc>
      </w:tr>
      <w:tr>
        <w:tc>
          <w:tcPr>
            <w:tcW w:type="dxa" w:w="3024"/>
            <w:shd w:fill="F0F0F0"/>
            <w:vAlign w:val="center"/>
          </w:tcPr>
          <w:p>
            <w:pPr>
              <w:jc w:val="left"/>
            </w:pPr>
            <w:r/>
            <w:r>
              <w:rPr>
                <w:rFonts w:ascii="Calibri" w:hAnsi="Calibri"/>
                <w:color w:val="2D2D2D"/>
                <w:sz w:val="18"/>
              </w:rPr>
              <w:t>Redemption</w:t>
            </w:r>
          </w:p>
        </w:tc>
        <w:tc>
          <w:tcPr>
            <w:tcW w:type="dxa" w:w="3024"/>
            <w:shd w:fill="F0F0F0"/>
            <w:vAlign w:val="center"/>
          </w:tcPr>
          <w:p>
            <w:pPr>
              <w:jc w:val="left"/>
            </w:pPr>
            <w:r/>
            <w:r>
              <w:rPr>
                <w:rFonts w:ascii="Calibri" w:hAnsi="Calibri"/>
                <w:color w:val="2D2D2D"/>
                <w:sz w:val="18"/>
              </w:rPr>
              <w:t>0.05% (5 bps)</w:t>
            </w:r>
          </w:p>
        </w:tc>
        <w:tc>
          <w:tcPr>
            <w:tcW w:type="dxa" w:w="3024"/>
            <w:shd w:fill="F0F0F0"/>
            <w:vAlign w:val="center"/>
          </w:tcPr>
          <w:p>
            <w:pPr>
              <w:jc w:val="left"/>
            </w:pPr>
            <w:r/>
            <w:r>
              <w:rPr>
                <w:rFonts w:ascii="Calibri" w:hAnsi="Calibri"/>
                <w:color w:val="2D2D2D"/>
                <w:sz w:val="18"/>
              </w:rPr>
              <w:t>$5,000</w:t>
            </w:r>
          </w:p>
        </w:tc>
      </w:tr>
      <w:tr>
        <w:tc>
          <w:tcPr>
            <w:tcW w:type="dxa" w:w="3024"/>
            <w:vAlign w:val="center"/>
          </w:tcPr>
          <w:p>
            <w:pPr>
              <w:jc w:val="left"/>
            </w:pPr>
            <w:r/>
            <w:r>
              <w:rPr>
                <w:rFonts w:ascii="Calibri" w:hAnsi="Calibri"/>
                <w:color w:val="2D2D2D"/>
                <w:sz w:val="18"/>
              </w:rPr>
              <w:t>Transfer</w:t>
            </w:r>
          </w:p>
        </w:tc>
        <w:tc>
          <w:tcPr>
            <w:tcW w:type="dxa" w:w="3024"/>
            <w:vAlign w:val="center"/>
          </w:tcPr>
          <w:p>
            <w:pPr>
              <w:jc w:val="left"/>
            </w:pPr>
            <w:r/>
            <w:r>
              <w:rPr>
                <w:rFonts w:ascii="Calibri" w:hAnsi="Calibri"/>
                <w:color w:val="2D2D2D"/>
                <w:sz w:val="18"/>
              </w:rPr>
              <w:t>0.01% (1 bp)</w:t>
            </w:r>
          </w:p>
        </w:tc>
        <w:tc>
          <w:tcPr>
            <w:tcW w:type="dxa" w:w="3024"/>
            <w:vAlign w:val="center"/>
          </w:tcPr>
          <w:p>
            <w:pPr>
              <w:jc w:val="left"/>
            </w:pPr>
            <w:r/>
            <w:r>
              <w:rPr>
                <w:rFonts w:ascii="Calibri" w:hAnsi="Calibri"/>
                <w:color w:val="2D2D2D"/>
                <w:sz w:val="18"/>
              </w:rPr>
              <w:t>$1,000</w:t>
            </w:r>
          </w:p>
        </w:tc>
      </w:tr>
      <w:tr>
        <w:tc>
          <w:tcPr>
            <w:tcW w:type="dxa" w:w="3024"/>
            <w:shd w:fill="F0F0F0"/>
            <w:vAlign w:val="center"/>
          </w:tcPr>
          <w:p>
            <w:pPr>
              <w:jc w:val="left"/>
            </w:pPr>
            <w:r/>
            <w:r>
              <w:rPr>
                <w:rFonts w:ascii="Calibri" w:hAnsi="Calibri"/>
                <w:color w:val="2D2D2D"/>
                <w:sz w:val="18"/>
              </w:rPr>
              <w:t>Custody</w:t>
            </w:r>
          </w:p>
        </w:tc>
        <w:tc>
          <w:tcPr>
            <w:tcW w:type="dxa" w:w="3024"/>
            <w:shd w:fill="F0F0F0"/>
            <w:vAlign w:val="center"/>
          </w:tcPr>
          <w:p>
            <w:pPr>
              <w:jc w:val="left"/>
            </w:pPr>
            <w:r/>
            <w:r>
              <w:rPr>
                <w:rFonts w:ascii="Calibri" w:hAnsi="Calibri"/>
                <w:color w:val="2D2D2D"/>
                <w:sz w:val="18"/>
              </w:rPr>
              <w:t>0.10% p.a.</w:t>
            </w:r>
          </w:p>
        </w:tc>
        <w:tc>
          <w:tcPr>
            <w:tcW w:type="dxa" w:w="3024"/>
            <w:shd w:fill="F0F0F0"/>
            <w:vAlign w:val="center"/>
          </w:tcPr>
          <w:p>
            <w:pPr>
              <w:jc w:val="left"/>
            </w:pPr>
            <w:r/>
            <w:r>
              <w:rPr>
                <w:rFonts w:ascii="Calibri" w:hAnsi="Calibri"/>
                <w:color w:val="2D2D2D"/>
                <w:sz w:val="18"/>
              </w:rPr>
              <w:t>None</w:t>
            </w:r>
          </w:p>
        </w:tc>
      </w:tr>
    </w:tbl>
    <w:p/>
    <w:p>
      <w:pPr>
        <w:pBdr>
          <w:bottom w:val="single" w:sz="12" w:space="1" w:color="C59B1E"/>
        </w:pBdr>
      </w:pPr>
    </w:p>
    <w:p>
      <w:pPr>
        <w:pStyle w:val="Heading2"/>
      </w:pPr>
      <w:r>
        <w:t>20. SUPPORTED CURRENCIES</w:t>
      </w:r>
    </w:p>
    <w:p>
      <w:r>
        <w:rPr>
          <w:b/>
        </w:rPr>
        <w:t>Reserve-Eligible (Layer A):</w:t>
      </w:r>
      <w:r>
        <w:t xml:space="preserve"> USD, EUR, CHF, JPY, GBP, SGD, AED, SAR, CNY, CAD, AUD (11)</w:t>
      </w:r>
    </w:p>
    <w:p>
      <w:r>
        <w:rPr>
          <w:b/>
        </w:rPr>
        <w:t>Bullion:</w:t>
      </w:r>
      <w:r>
        <w:t xml:space="preserve"> XAU (gold oz), XAG (silver oz)</w:t>
      </w:r>
    </w:p>
    <w:p>
      <w:r>
        <w:rPr>
          <w:b/>
        </w:rPr>
        <w:t>Settlement-Only (Layer B):</w:t>
      </w:r>
      <w:r>
        <w:t xml:space="preserve"> EGP, INR, KRW, TRY, BRL, MXN, ZAR, IDR, MYR, THB</w:t>
      </w:r>
    </w:p>
    <w:p>
      <w:pPr>
        <w:pBdr>
          <w:bottom w:val="single" w:sz="12" w:space="1" w:color="C59B1E"/>
        </w:pBdr>
      </w:pPr>
    </w:p>
    <w:p>
      <w:pPr>
        <w:pStyle w:val="Heading2"/>
      </w:pPr>
      <w:r>
        <w:t>21. FINALITY</w:t>
      </w:r>
    </w:p>
    <w:p>
      <w:pPr>
        <w:pStyle w:val="ListBullet"/>
        <w:ind w:left="425"/>
      </w:pPr>
      <w:r>
        <w:t>Soft finality: 10 minutes</w:t>
      </w:r>
    </w:p>
    <w:p>
      <w:pPr>
        <w:pStyle w:val="ListBullet"/>
        <w:ind w:left="425"/>
      </w:pPr>
      <w:r>
        <w:t>Hard finality: 7 days</w:t>
      </w:r>
    </w:p>
    <w:p>
      <w:pPr>
        <w:pStyle w:val="ListBullet"/>
        <w:ind w:left="425"/>
      </w:pPr>
      <w:r>
        <w:t>Minimum physical gold redemption: 1 kg</w:t>
      </w:r>
    </w:p>
    <w:p>
      <w:pPr>
        <w:pBdr>
          <w:bottom w:val="single" w:sz="12" w:space="1" w:color="C59B1E"/>
        </w:pBdr>
      </w:pPr>
    </w:p>
    <w:p>
      <w:pPr>
        <w:pStyle w:val="Heading2"/>
      </w:pPr>
      <w:r>
        <w:t>22. RESERVE VERIFICATION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Level</w:t>
            </w:r>
          </w:p>
        </w:tc>
        <w:tc>
          <w:tcPr>
            <w:tcW w:type="dxa" w:w="3024"/>
            <w:shd w:fill="1A365F"/>
            <w:vAlign w:val="center"/>
          </w:tcPr>
          <w:p>
            <w:pPr>
              <w:jc w:val="left"/>
            </w:pPr>
            <w:r/>
            <w:r>
              <w:rPr>
                <w:rFonts w:ascii="Calibri" w:hAnsi="Calibri"/>
                <w:b/>
                <w:color w:val="FFFFFF"/>
                <w:sz w:val="18"/>
              </w:rPr>
              <w:t>Definition</w:t>
            </w:r>
          </w:p>
        </w:tc>
        <w:tc>
          <w:tcPr>
            <w:tcW w:type="dxa" w:w="3024"/>
            <w:shd w:fill="1A365F"/>
            <w:vAlign w:val="center"/>
          </w:tcPr>
          <w:p>
            <w:pPr>
              <w:jc w:val="left"/>
            </w:pPr>
            <w:r/>
            <w:r>
              <w:rPr>
                <w:rFonts w:ascii="Calibri" w:hAnsi="Calibri"/>
                <w:b/>
                <w:color w:val="FFFFFF"/>
                <w:sz w:val="18"/>
              </w:rPr>
              <w:t>Acceptable For</w:t>
            </w:r>
          </w:p>
        </w:tc>
      </w:tr>
      <w:tr>
        <w:tc>
          <w:tcPr>
            <w:tcW w:type="dxa" w:w="3024"/>
            <w:vAlign w:val="center"/>
          </w:tcPr>
          <w:p>
            <w:pPr>
              <w:jc w:val="left"/>
            </w:pPr>
            <w:r/>
            <w:r>
              <w:rPr>
                <w:rFonts w:ascii="Calibri" w:hAnsi="Calibri"/>
                <w:color w:val="2D2D2D"/>
                <w:sz w:val="18"/>
              </w:rPr>
              <w:t>0 — Modeled</w:t>
            </w:r>
          </w:p>
        </w:tc>
        <w:tc>
          <w:tcPr>
            <w:tcW w:type="dxa" w:w="3024"/>
            <w:vAlign w:val="center"/>
          </w:tcPr>
          <w:p>
            <w:pPr>
              <w:jc w:val="left"/>
            </w:pPr>
            <w:r/>
            <w:r>
              <w:rPr>
                <w:rFonts w:ascii="Calibri" w:hAnsi="Calibri"/>
                <w:color w:val="2D2D2D"/>
                <w:sz w:val="18"/>
              </w:rPr>
              <w:t>Hardcoded in source code</w:t>
            </w:r>
          </w:p>
        </w:tc>
        <w:tc>
          <w:tcPr>
            <w:tcW w:type="dxa" w:w="3024"/>
            <w:vAlign w:val="center"/>
          </w:tcPr>
          <w:p>
            <w:pPr>
              <w:jc w:val="left"/>
            </w:pPr>
            <w:r/>
            <w:r>
              <w:rPr>
                <w:rFonts w:ascii="Calibri" w:hAnsi="Calibri"/>
                <w:color w:val="2D2D2D"/>
                <w:sz w:val="18"/>
              </w:rPr>
              <w:t>Testnet only</w:t>
            </w:r>
          </w:p>
        </w:tc>
      </w:tr>
      <w:tr>
        <w:tc>
          <w:tcPr>
            <w:tcW w:type="dxa" w:w="3024"/>
            <w:shd w:fill="F0F0F0"/>
            <w:vAlign w:val="center"/>
          </w:tcPr>
          <w:p>
            <w:pPr>
              <w:jc w:val="left"/>
            </w:pPr>
            <w:r/>
            <w:r>
              <w:rPr>
                <w:rFonts w:ascii="Calibri" w:hAnsi="Calibri"/>
                <w:color w:val="2D2D2D"/>
                <w:sz w:val="18"/>
              </w:rPr>
              <w:t>1 — System-reported</w:t>
            </w:r>
          </w:p>
        </w:tc>
        <w:tc>
          <w:tcPr>
            <w:tcW w:type="dxa" w:w="3024"/>
            <w:shd w:fill="F0F0F0"/>
            <w:vAlign w:val="center"/>
          </w:tcPr>
          <w:p>
            <w:pPr>
              <w:jc w:val="left"/>
            </w:pPr>
            <w:r/>
            <w:r>
              <w:rPr>
                <w:rFonts w:ascii="Calibri" w:hAnsi="Calibri"/>
                <w:color w:val="2D2D2D"/>
                <w:sz w:val="18"/>
              </w:rPr>
              <w:t>API reports the value</w:t>
            </w:r>
          </w:p>
        </w:tc>
        <w:tc>
          <w:tcPr>
            <w:tcW w:type="dxa" w:w="3024"/>
            <w:shd w:fill="F0F0F0"/>
            <w:vAlign w:val="center"/>
          </w:tcPr>
          <w:p>
            <w:pPr>
              <w:jc w:val="left"/>
            </w:pPr>
            <w:r/>
            <w:r>
              <w:rPr>
                <w:rFonts w:ascii="Calibri" w:hAnsi="Calibri"/>
                <w:color w:val="2D2D2D"/>
                <w:sz w:val="18"/>
              </w:rPr>
              <w:t>Testnet, internal monitoring</w:t>
            </w:r>
          </w:p>
        </w:tc>
      </w:tr>
      <w:tr>
        <w:tc>
          <w:tcPr>
            <w:tcW w:type="dxa" w:w="3024"/>
            <w:vAlign w:val="center"/>
          </w:tcPr>
          <w:p>
            <w:pPr>
              <w:jc w:val="left"/>
            </w:pPr>
            <w:r/>
            <w:r>
              <w:rPr>
                <w:rFonts w:ascii="Calibri" w:hAnsi="Calibri"/>
                <w:color w:val="2D2D2D"/>
                <w:sz w:val="18"/>
              </w:rPr>
              <w:t>2 — Custodian-attested</w:t>
            </w:r>
          </w:p>
        </w:tc>
        <w:tc>
          <w:tcPr>
            <w:tcW w:type="dxa" w:w="3024"/>
            <w:vAlign w:val="center"/>
          </w:tcPr>
          <w:p>
            <w:pPr>
              <w:jc w:val="left"/>
            </w:pPr>
            <w:r/>
            <w:r>
              <w:rPr>
                <w:rFonts w:ascii="Calibri" w:hAnsi="Calibri"/>
                <w:color w:val="2D2D2D"/>
                <w:sz w:val="18"/>
              </w:rPr>
              <w:t>Independent custodian confirms</w:t>
            </w:r>
          </w:p>
        </w:tc>
        <w:tc>
          <w:tcPr>
            <w:tcW w:type="dxa" w:w="3024"/>
            <w:vAlign w:val="center"/>
          </w:tcPr>
          <w:p>
            <w:pPr>
              <w:jc w:val="left"/>
            </w:pPr>
            <w:r/>
            <w:r>
              <w:rPr>
                <w:rFonts w:ascii="Calibri" w:hAnsi="Calibri"/>
                <w:color w:val="2D2D2D"/>
                <w:sz w:val="18"/>
              </w:rPr>
              <w:t>Institutional pilot</w:t>
            </w:r>
          </w:p>
        </w:tc>
      </w:tr>
      <w:tr>
        <w:tc>
          <w:tcPr>
            <w:tcW w:type="dxa" w:w="3024"/>
            <w:shd w:fill="F0F0F0"/>
            <w:vAlign w:val="center"/>
          </w:tcPr>
          <w:p>
            <w:pPr>
              <w:jc w:val="left"/>
            </w:pPr>
            <w:r/>
            <w:r>
              <w:rPr>
                <w:rFonts w:ascii="Calibri" w:hAnsi="Calibri"/>
                <w:color w:val="2D2D2D"/>
                <w:sz w:val="18"/>
              </w:rPr>
              <w:t>3 — Independently audited</w:t>
            </w:r>
          </w:p>
        </w:tc>
        <w:tc>
          <w:tcPr>
            <w:tcW w:type="dxa" w:w="3024"/>
            <w:shd w:fill="F0F0F0"/>
            <w:vAlign w:val="center"/>
          </w:tcPr>
          <w:p>
            <w:pPr>
              <w:jc w:val="left"/>
            </w:pPr>
            <w:r/>
            <w:r>
              <w:rPr>
                <w:rFonts w:ascii="Calibri" w:hAnsi="Calibri"/>
                <w:color w:val="2D2D2D"/>
                <w:sz w:val="18"/>
              </w:rPr>
              <w:t>Qualified auditor verifies</w:t>
            </w:r>
          </w:p>
        </w:tc>
        <w:tc>
          <w:tcPr>
            <w:tcW w:type="dxa" w:w="3024"/>
            <w:shd w:fill="F0F0F0"/>
            <w:vAlign w:val="center"/>
          </w:tcPr>
          <w:p>
            <w:pPr>
              <w:jc w:val="left"/>
            </w:pPr>
            <w:r/>
            <w:r>
              <w:rPr>
                <w:rFonts w:ascii="Calibri" w:hAnsi="Calibri"/>
                <w:color w:val="2D2D2D"/>
                <w:sz w:val="18"/>
              </w:rPr>
              <w:t>Mainnet</w:t>
            </w:r>
          </w:p>
        </w:tc>
      </w:tr>
      <w:tr>
        <w:tc>
          <w:tcPr>
            <w:tcW w:type="dxa" w:w="3024"/>
            <w:vAlign w:val="center"/>
          </w:tcPr>
          <w:p>
            <w:pPr>
              <w:jc w:val="left"/>
            </w:pPr>
            <w:r/>
            <w:r>
              <w:rPr>
                <w:rFonts w:ascii="Calibri" w:hAnsi="Calibri"/>
                <w:color w:val="2D2D2D"/>
                <w:sz w:val="18"/>
              </w:rPr>
              <w:t>4 — Cryptographically verifiable</w:t>
            </w:r>
          </w:p>
        </w:tc>
        <w:tc>
          <w:tcPr>
            <w:tcW w:type="dxa" w:w="3024"/>
            <w:vAlign w:val="center"/>
          </w:tcPr>
          <w:p>
            <w:pPr>
              <w:jc w:val="left"/>
            </w:pPr>
            <w:r/>
            <w:r>
              <w:rPr>
                <w:rFonts w:ascii="Calibri" w:hAnsi="Calibri"/>
                <w:color w:val="2D2D2D"/>
                <w:sz w:val="18"/>
              </w:rPr>
              <w:t>Real-time on-chain proof</w:t>
            </w:r>
          </w:p>
        </w:tc>
        <w:tc>
          <w:tcPr>
            <w:tcW w:type="dxa" w:w="3024"/>
            <w:vAlign w:val="center"/>
          </w:tcPr>
          <w:p>
            <w:pPr>
              <w:jc w:val="left"/>
            </w:pPr>
            <w:r/>
            <w:r>
              <w:rPr>
                <w:rFonts w:ascii="Calibri" w:hAnsi="Calibri"/>
                <w:color w:val="2D2D2D"/>
                <w:sz w:val="18"/>
              </w:rPr>
              <w:t>Central-bank use</w:t>
            </w:r>
          </w:p>
        </w:tc>
      </w:tr>
    </w:tbl>
    <w:p/>
    <w:p>
      <w:r>
        <w:rPr>
          <w:b/>
        </w:rPr>
        <w:t>VERIFIED NAV must be reported separately from MODELED NAV. Never represent modeled reserves as verified reserves.</w:t>
      </w:r>
    </w:p>
    <w:p>
      <w:pPr>
        <w:pBdr>
          <w:bottom w:val="single" w:sz="12" w:space="1" w:color="C59B1E"/>
        </w:pBdr>
      </w:pPr>
    </w:p>
    <w:p>
      <w:pPr>
        <w:pStyle w:val="Heading2"/>
      </w:pPr>
      <w:r>
        <w:t>APPENDIX A: DOCUMENTS SUPERSEDED</w:t>
      </w:r>
    </w:p>
    <w:p>
      <w:r>
        <w:t>v22, v21, v20, v19, v18, and all addenda. These remain as historical references.</w:t>
      </w:r>
    </w:p>
    <w:p>
      <w:pPr>
        <w:pStyle w:val="Heading2"/>
      </w:pPr>
      <w:r>
        <w:t>APPENDIX B: CENTRALIZED SPECIFICATION</w:t>
      </w:r>
    </w:p>
    <w:p>
      <w:r>
        <w:rPr>
          <w:rFonts w:ascii="Consolas" w:hAnsi="Consolas"/>
          <w:color w:val="6B6B6B"/>
          <w:sz w:val="19"/>
        </w:rPr>
        <w:t>src/lib/reserve-policy-spec.ts</w:t>
      </w:r>
      <w:r>
        <w:t xml:space="preserve"> — v24 constants mirrored.</w:t>
      </w:r>
    </w:p>
    <w:p>
      <w:pPr>
        <w:pStyle w:val="Heading2"/>
      </w:pPr>
      <w:r>
        <w:t>APPENDIX C: v24 CHANGES FROM v22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Change</w:t>
            </w:r>
          </w:p>
        </w:tc>
        <w:tc>
          <w:tcPr>
            <w:tcW w:type="dxa" w:w="3024"/>
            <w:shd w:fill="1A365F"/>
            <w:vAlign w:val="center"/>
          </w:tcPr>
          <w:p>
            <w:pPr>
              <w:jc w:val="left"/>
            </w:pPr>
            <w:r/>
            <w:r>
              <w:rPr>
                <w:rFonts w:ascii="Calibri" w:hAnsi="Calibri"/>
                <w:b/>
                <w:color w:val="FFFFFF"/>
                <w:sz w:val="18"/>
              </w:rPr>
              <w:t>Section</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Stablecoin reclassification</w:t>
            </w:r>
          </w:p>
        </w:tc>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Digital liquidity sleeve, NOT reserve pillar</w:t>
            </w:r>
          </w:p>
        </w:tc>
      </w:tr>
      <w:tr>
        <w:tc>
          <w:tcPr>
            <w:tcW w:type="dxa" w:w="3024"/>
            <w:shd w:fill="F0F0F0"/>
            <w:vAlign w:val="center"/>
          </w:tcPr>
          <w:p>
            <w:pPr>
              <w:jc w:val="left"/>
            </w:pPr>
            <w:r/>
            <w:r>
              <w:rPr>
                <w:rFonts w:ascii="Calibri" w:hAnsi="Calibri"/>
                <w:color w:val="2D2D2D"/>
                <w:sz w:val="18"/>
              </w:rPr>
              <w:t>5% MAXIMUM not mandate</w:t>
            </w:r>
          </w:p>
        </w:tc>
        <w:tc>
          <w:tcPr>
            <w:tcW w:type="dxa" w:w="3024"/>
            <w:shd w:fill="F0F0F0"/>
            <w:vAlign w:val="center"/>
          </w:tcPr>
          <w:p>
            <w:pPr>
              <w:jc w:val="left"/>
            </w:pPr>
            <w:r/>
            <w:r>
              <w:rPr>
                <w:rFonts w:ascii="Calibri" w:hAnsi="Calibri"/>
                <w:color w:val="2D2D2D"/>
                <w:sz w:val="18"/>
              </w:rPr>
              <w:t>§7.2</w:t>
            </w:r>
          </w:p>
        </w:tc>
        <w:tc>
          <w:tcPr>
            <w:tcW w:type="dxa" w:w="3024"/>
            <w:shd w:fill="F0F0F0"/>
            <w:vAlign w:val="center"/>
          </w:tcPr>
          <w:p>
            <w:pPr>
              <w:jc w:val="left"/>
            </w:pPr>
            <w:r/>
            <w:r>
              <w:rPr>
                <w:rFonts w:ascii="Calibri" w:hAnsi="Calibri"/>
                <w:color w:val="2D2D2D"/>
                <w:sz w:val="18"/>
              </w:rPr>
              <w:t>Can go to 0% during stress</w:t>
            </w:r>
          </w:p>
        </w:tc>
      </w:tr>
      <w:tr>
        <w:tc>
          <w:tcPr>
            <w:tcW w:type="dxa" w:w="3024"/>
            <w:vAlign w:val="center"/>
          </w:tcPr>
          <w:p>
            <w:pPr>
              <w:jc w:val="left"/>
            </w:pPr>
            <w:r/>
            <w:r>
              <w:rPr>
                <w:rFonts w:ascii="Calibri" w:hAnsi="Calibri"/>
                <w:color w:val="2D2D2D"/>
                <w:sz w:val="18"/>
              </w:rPr>
              <w:t>DAI optional</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Not mandatory (DRQS below threshold)</w:t>
            </w:r>
          </w:p>
        </w:tc>
      </w:tr>
      <w:tr>
        <w:tc>
          <w:tcPr>
            <w:tcW w:type="dxa" w:w="3024"/>
            <w:shd w:fill="F0F0F0"/>
            <w:vAlign w:val="center"/>
          </w:tcPr>
          <w:p>
            <w:pPr>
              <w:jc w:val="left"/>
            </w:pPr>
            <w:r/>
            <w:r>
              <w:rPr>
                <w:rFonts w:ascii="Calibri" w:hAnsi="Calibri"/>
                <w:color w:val="2D2D2D"/>
                <w:sz w:val="18"/>
              </w:rPr>
              <w:t>USDT excluded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DRQS=6.15, below threshold</w:t>
            </w:r>
          </w:p>
        </w:tc>
      </w:tr>
      <w:tr>
        <w:tc>
          <w:tcPr>
            <w:tcW w:type="dxa" w:w="3024"/>
            <w:vAlign w:val="center"/>
          </w:tcPr>
          <w:p>
            <w:pPr>
              <w:jc w:val="left"/>
            </w:pPr>
            <w:r/>
            <w:r>
              <w:rPr>
                <w:rFonts w:ascii="Calibri" w:hAnsi="Calibri"/>
                <w:color w:val="2D2D2D"/>
                <w:sz w:val="18"/>
              </w:rPr>
              <w:t>USDP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DRQS=8.45, Paxos trust</w:t>
            </w:r>
          </w:p>
        </w:tc>
      </w:tr>
      <w:tr>
        <w:tc>
          <w:tcPr>
            <w:tcW w:type="dxa" w:w="3024"/>
            <w:shd w:fill="F0F0F0"/>
            <w:vAlign w:val="center"/>
          </w:tcPr>
          <w:p>
            <w:pPr>
              <w:jc w:val="left"/>
            </w:pPr>
            <w:r/>
            <w:r>
              <w:rPr>
                <w:rFonts w:ascii="Calibri" w:hAnsi="Calibri"/>
                <w:color w:val="2D2D2D"/>
                <w:sz w:val="18"/>
              </w:rPr>
              <w:t>EURC added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EUR currency diversification</w:t>
            </w:r>
          </w:p>
        </w:tc>
      </w:tr>
      <w:tr>
        <w:tc>
          <w:tcPr>
            <w:tcW w:type="dxa" w:w="3024"/>
            <w:vAlign w:val="center"/>
          </w:tcPr>
          <w:p>
            <w:pPr>
              <w:jc w:val="left"/>
            </w:pPr>
            <w:r/>
            <w:r>
              <w:rPr>
                <w:rFonts w:ascii="Calibri" w:hAnsi="Calibri"/>
                <w:color w:val="2D2D2D"/>
                <w:sz w:val="18"/>
              </w:rPr>
              <w:t>BUIDL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Tokenized government liquidity</w:t>
            </w:r>
          </w:p>
        </w:tc>
      </w:tr>
      <w:tr>
        <w:tc>
          <w:tcPr>
            <w:tcW w:type="dxa" w:w="3024"/>
            <w:shd w:fill="F0F0F0"/>
            <w:vAlign w:val="center"/>
          </w:tcPr>
          <w:p>
            <w:pPr>
              <w:jc w:val="left"/>
            </w:pPr>
            <w:r/>
            <w:r>
              <w:rPr>
                <w:rFonts w:ascii="Calibri" w:hAnsi="Calibri"/>
                <w:color w:val="2D2D2D"/>
                <w:sz w:val="18"/>
              </w:rPr>
              <w:t>DRQS implemented</w:t>
            </w:r>
          </w:p>
        </w:tc>
        <w:tc>
          <w:tcPr>
            <w:tcW w:type="dxa" w:w="3024"/>
            <w:shd w:fill="F0F0F0"/>
            <w:vAlign w:val="center"/>
          </w:tcPr>
          <w:p>
            <w:pPr>
              <w:jc w:val="left"/>
            </w:pPr>
            <w:r/>
            <w:r>
              <w:rPr>
                <w:rFonts w:ascii="Calibri" w:hAnsi="Calibri"/>
                <w:color w:val="2D2D2D"/>
                <w:sz w:val="18"/>
              </w:rPr>
              <w:t>§7.3</w:t>
            </w:r>
          </w:p>
        </w:tc>
        <w:tc>
          <w:tcPr>
            <w:tcW w:type="dxa" w:w="3024"/>
            <w:shd w:fill="F0F0F0"/>
            <w:vAlign w:val="center"/>
          </w:tcPr>
          <w:p>
            <w:pPr>
              <w:jc w:val="left"/>
            </w:pPr>
            <w:r/>
            <w:r>
              <w:rPr>
                <w:rFonts w:ascii="Calibri" w:hAnsi="Calibri"/>
                <w:color w:val="2D2D2D"/>
                <w:sz w:val="18"/>
              </w:rPr>
              <w:t>8-factor stablecoin quality score</w:t>
            </w:r>
          </w:p>
        </w:tc>
      </w:tr>
      <w:tr>
        <w:tc>
          <w:tcPr>
            <w:tcW w:type="dxa" w:w="3024"/>
            <w:vAlign w:val="center"/>
          </w:tcPr>
          <w:p>
            <w:pPr>
              <w:jc w:val="left"/>
            </w:pPr>
            <w:r/>
            <w:r>
              <w:rPr>
                <w:rFonts w:ascii="Calibri" w:hAnsi="Calibri"/>
                <w:color w:val="2D2D2D"/>
                <w:sz w:val="18"/>
              </w:rPr>
              <w:t>Multi-dim depeg monitoring</w:t>
            </w:r>
          </w:p>
        </w:tc>
        <w:tc>
          <w:tcPr>
            <w:tcW w:type="dxa" w:w="3024"/>
            <w:vAlign w:val="center"/>
          </w:tcPr>
          <w:p>
            <w:pPr>
              <w:jc w:val="left"/>
            </w:pPr>
            <w:r/>
            <w:r>
              <w:rPr>
                <w:rFonts w:ascii="Calibri" w:hAnsi="Calibri"/>
                <w:color w:val="2D2D2D"/>
                <w:sz w:val="18"/>
              </w:rPr>
              <w:t>§7.6</w:t>
            </w:r>
          </w:p>
        </w:tc>
        <w:tc>
          <w:tcPr>
            <w:tcW w:type="dxa" w:w="3024"/>
            <w:vAlign w:val="center"/>
          </w:tcPr>
          <w:p>
            <w:pPr>
              <w:jc w:val="left"/>
            </w:pPr>
            <w:r/>
            <w:r>
              <w:rPr>
                <w:rFonts w:ascii="Calibri" w:hAnsi="Calibri"/>
                <w:color w:val="2D2D2D"/>
                <w:sz w:val="18"/>
              </w:rPr>
              <w:t>6-dimensional state machine</w:t>
            </w:r>
          </w:p>
        </w:tc>
      </w:tr>
      <w:tr>
        <w:tc>
          <w:tcPr>
            <w:tcW w:type="dxa" w:w="3024"/>
            <w:shd w:fill="F0F0F0"/>
            <w:vAlign w:val="center"/>
          </w:tcPr>
          <w:p>
            <w:pPr>
              <w:jc w:val="left"/>
            </w:pPr>
            <w:r/>
            <w:r>
              <w:rPr>
                <w:rFonts w:ascii="Calibri" w:hAnsi="Calibri"/>
                <w:color w:val="2D2D2D"/>
                <w:sz w:val="18"/>
              </w:rPr>
              <w:t>Bullion→Digital barrier</w:t>
            </w:r>
          </w:p>
        </w:tc>
        <w:tc>
          <w:tcPr>
            <w:tcW w:type="dxa" w:w="3024"/>
            <w:shd w:fill="F0F0F0"/>
            <w:vAlign w:val="center"/>
          </w:tcPr>
          <w:p>
            <w:pPr>
              <w:jc w:val="left"/>
            </w:pPr>
            <w:r/>
            <w:r>
              <w:rPr>
                <w:rFonts w:ascii="Calibri" w:hAnsi="Calibri"/>
                <w:color w:val="2D2D2D"/>
                <w:sz w:val="18"/>
              </w:rPr>
              <w:t>§7.7</w:t>
            </w:r>
          </w:p>
        </w:tc>
        <w:tc>
          <w:tcPr>
            <w:tcW w:type="dxa" w:w="3024"/>
            <w:shd w:fill="F0F0F0"/>
            <w:vAlign w:val="center"/>
          </w:tcPr>
          <w:p>
            <w:pPr>
              <w:jc w:val="left"/>
            </w:pPr>
            <w:r/>
            <w:r>
              <w:rPr>
                <w:rFonts w:ascii="Calibri" w:hAnsi="Calibri"/>
                <w:color w:val="2D2D2D"/>
                <w:sz w:val="18"/>
              </w:rPr>
              <w:t>Emergency governance only</w:t>
            </w:r>
          </w:p>
        </w:tc>
      </w:tr>
      <w:tr>
        <w:tc>
          <w:tcPr>
            <w:tcW w:type="dxa" w:w="3024"/>
            <w:vAlign w:val="center"/>
          </w:tcPr>
          <w:p>
            <w:pPr>
              <w:jc w:val="left"/>
            </w:pPr>
            <w:r/>
            <w:r>
              <w:rPr>
                <w:rFonts w:ascii="Calibri" w:hAnsi="Calibri"/>
                <w:color w:val="2D2D2D"/>
                <w:sz w:val="18"/>
              </w:rPr>
              <w:t>SAE metric</w:t>
            </w:r>
          </w:p>
        </w:tc>
        <w:tc>
          <w:tcPr>
            <w:tcW w:type="dxa" w:w="3024"/>
            <w:vAlign w:val="center"/>
          </w:tcPr>
          <w:p>
            <w:pPr>
              <w:jc w:val="left"/>
            </w:pPr>
            <w:r/>
            <w:r>
              <w:rPr>
                <w:rFonts w:ascii="Calibri" w:hAnsi="Calibri"/>
                <w:color w:val="2D2D2D"/>
                <w:sz w:val="18"/>
              </w:rPr>
              <w:t>§7.5</w:t>
            </w:r>
          </w:p>
        </w:tc>
        <w:tc>
          <w:tcPr>
            <w:tcW w:type="dxa" w:w="3024"/>
            <w:vAlign w:val="center"/>
          </w:tcPr>
          <w:p>
            <w:pPr>
              <w:jc w:val="left"/>
            </w:pPr>
            <w:r/>
            <w:r>
              <w:rPr>
                <w:rFonts w:ascii="Calibri" w:hAnsi="Calibri"/>
                <w:color w:val="2D2D2D"/>
                <w:sz w:val="18"/>
              </w:rPr>
              <w:t>Risk-adjusted stablecoin exposure</w:t>
            </w:r>
          </w:p>
        </w:tc>
      </w:tr>
      <w:tr>
        <w:tc>
          <w:tcPr>
            <w:tcW w:type="dxa" w:w="3024"/>
            <w:shd w:fill="F0F0F0"/>
            <w:vAlign w:val="center"/>
          </w:tcPr>
          <w:p>
            <w:pPr>
              <w:jc w:val="left"/>
            </w:pPr>
            <w:r/>
            <w:r>
              <w:rPr>
                <w:rFonts w:ascii="Calibri" w:hAnsi="Calibri"/>
                <w:color w:val="2D2D2D"/>
                <w:sz w:val="18"/>
              </w:rPr>
              <w:t>GACR metric</w:t>
            </w:r>
          </w:p>
        </w:tc>
        <w:tc>
          <w:tcPr>
            <w:tcW w:type="dxa" w:w="3024"/>
            <w:shd w:fill="F0F0F0"/>
            <w:vAlign w:val="center"/>
          </w:tcPr>
          <w:p>
            <w:pPr>
              <w:jc w:val="left"/>
            </w:pPr>
            <w:r/>
            <w:r>
              <w:rPr>
                <w:rFonts w:ascii="Calibri" w:hAnsi="Calibri"/>
                <w:color w:val="2D2D2D"/>
                <w:sz w:val="18"/>
              </w:rPr>
              <w:t>§3.10</w:t>
            </w:r>
          </w:p>
        </w:tc>
        <w:tc>
          <w:tcPr>
            <w:tcW w:type="dxa" w:w="3024"/>
            <w:shd w:fill="F0F0F0"/>
            <w:vAlign w:val="center"/>
          </w:tcPr>
          <w:p>
            <w:pPr>
              <w:jc w:val="left"/>
            </w:pPr>
            <w:r/>
            <w:r>
              <w:rPr>
                <w:rFonts w:ascii="Calibri" w:hAnsi="Calibri"/>
                <w:color w:val="2D2D2D"/>
                <w:sz w:val="18"/>
              </w:rPr>
              <w:t>Gold-adjusted coverage (reporting, =RR)</w:t>
            </w:r>
          </w:p>
        </w:tc>
      </w:tr>
      <w:tr>
        <w:tc>
          <w:tcPr>
            <w:tcW w:type="dxa" w:w="3024"/>
            <w:vAlign w:val="center"/>
          </w:tcPr>
          <w:p>
            <w:pPr>
              <w:jc w:val="left"/>
            </w:pPr>
            <w:r/>
            <w:r>
              <w:rPr>
                <w:rFonts w:ascii="Calibri" w:hAnsi="Calibri"/>
                <w:color w:val="2D2D2D"/>
                <w:sz w:val="18"/>
              </w:rPr>
              <w:t>BRI weights updated</w:t>
            </w:r>
          </w:p>
        </w:tc>
        <w:tc>
          <w:tcPr>
            <w:tcW w:type="dxa" w:w="3024"/>
            <w:vAlign w:val="center"/>
          </w:tcPr>
          <w:p>
            <w:pPr>
              <w:jc w:val="left"/>
            </w:pPr>
            <w:r/>
            <w:r>
              <w:rPr>
                <w:rFonts w:ascii="Calibri" w:hAnsi="Calibri"/>
                <w:color w:val="2D2D2D"/>
                <w:sz w:val="18"/>
              </w:rPr>
              <w:t>§3.8</w:t>
            </w:r>
          </w:p>
        </w:tc>
        <w:tc>
          <w:tcPr>
            <w:tcW w:type="dxa" w:w="3024"/>
            <w:vAlign w:val="center"/>
          </w:tcPr>
          <w:p>
            <w:pPr>
              <w:jc w:val="left"/>
            </w:pPr>
            <w:r/>
            <w:r>
              <w:rPr>
                <w:rFonts w:ascii="Calibri" w:hAnsi="Calibri"/>
                <w:color w:val="2D2D2D"/>
                <w:sz w:val="18"/>
              </w:rPr>
              <w:t>0.90/0.10 (from 0.85/0.15, independently verified)</w:t>
            </w:r>
          </w:p>
        </w:tc>
      </w:tr>
      <w:tr>
        <w:tc>
          <w:tcPr>
            <w:tcW w:type="dxa" w:w="3024"/>
            <w:shd w:fill="F0F0F0"/>
            <w:vAlign w:val="center"/>
          </w:tcPr>
          <w:p>
            <w:pPr>
              <w:jc w:val="left"/>
            </w:pPr>
            <w:r/>
            <w:r>
              <w:rPr>
                <w:rFonts w:ascii="Calibri" w:hAnsi="Calibri"/>
                <w:color w:val="2D2D2D"/>
                <w:sz w:val="18"/>
              </w:rPr>
              <w:t>USD target zone</w:t>
            </w:r>
          </w:p>
        </w:tc>
        <w:tc>
          <w:tcPr>
            <w:tcW w:type="dxa" w:w="3024"/>
            <w:shd w:fill="F0F0F0"/>
            <w:vAlign w:val="center"/>
          </w:tcPr>
          <w:p>
            <w:pPr>
              <w:jc w:val="left"/>
            </w:pPr>
            <w:r/>
            <w:r>
              <w:rPr>
                <w:rFonts w:ascii="Calibri" w:hAnsi="Calibri"/>
                <w:color w:val="2D2D2D"/>
                <w:sz w:val="18"/>
              </w:rPr>
              <w:t>§4.2</w:t>
            </w:r>
          </w:p>
        </w:tc>
        <w:tc>
          <w:tcPr>
            <w:tcW w:type="dxa" w:w="3024"/>
            <w:shd w:fill="F0F0F0"/>
            <w:vAlign w:val="center"/>
          </w:tcPr>
          <w:p>
            <w:pPr>
              <w:jc w:val="left"/>
            </w:pPr>
            <w:r/>
            <w:r>
              <w:rPr>
                <w:rFonts w:ascii="Calibri" w:hAnsi="Calibri"/>
                <w:color w:val="2D2D2D"/>
                <w:sz w:val="18"/>
              </w:rPr>
              <w:t>25-30% (not precise 27%)</w:t>
            </w:r>
          </w:p>
        </w:tc>
      </w:tr>
      <w:tr>
        <w:tc>
          <w:tcPr>
            <w:tcW w:type="dxa" w:w="3024"/>
            <w:vAlign w:val="center"/>
          </w:tcPr>
          <w:p>
            <w:pPr>
              <w:jc w:val="left"/>
            </w:pPr>
            <w:r/>
            <w:r>
              <w:rPr>
                <w:rFonts w:ascii="Calibri" w:hAnsi="Calibri"/>
                <w:color w:val="2D2D2D"/>
                <w:sz w:val="18"/>
              </w:rPr>
              <w:t>Stress-RR constraint</w:t>
            </w:r>
          </w:p>
        </w:tc>
        <w:tc>
          <w:tcPr>
            <w:tcW w:type="dxa" w:w="3024"/>
            <w:vAlign w:val="center"/>
          </w:tcPr>
          <w:p>
            <w:pPr>
              <w:jc w:val="left"/>
            </w:pPr>
            <w:r/>
            <w:r>
              <w:rPr>
                <w:rFonts w:ascii="Calibri" w:hAnsi="Calibri"/>
                <w:color w:val="2D2D2D"/>
                <w:sz w:val="18"/>
              </w:rPr>
              <w:t>§3.14</w:t>
            </w:r>
          </w:p>
        </w:tc>
        <w:tc>
          <w:tcPr>
            <w:tcW w:type="dxa" w:w="3024"/>
            <w:vAlign w:val="center"/>
          </w:tcPr>
          <w:p>
            <w:pPr>
              <w:jc w:val="left"/>
            </w:pPr>
            <w:r/>
            <w:r>
              <w:rPr>
                <w:rFonts w:ascii="Calibri" w:hAnsi="Calibri"/>
                <w:color w:val="2D2D2D"/>
                <w:sz w:val="18"/>
              </w:rPr>
              <w:t>Hard constraint for optimizer</w:t>
            </w:r>
          </w:p>
        </w:tc>
      </w:tr>
      <w:tr>
        <w:tc>
          <w:tcPr>
            <w:tcW w:type="dxa" w:w="3024"/>
            <w:shd w:fill="F0F0F0"/>
            <w:vAlign w:val="center"/>
          </w:tcPr>
          <w:p>
            <w:pPr>
              <w:jc w:val="left"/>
            </w:pPr>
            <w:r/>
            <w:r>
              <w:rPr>
                <w:rFonts w:ascii="Calibri" w:hAnsi="Calibri"/>
                <w:color w:val="2D2D2D"/>
                <w:sz w:val="18"/>
              </w:rPr>
              <w:t>PAR clarification</w:t>
            </w:r>
          </w:p>
        </w:tc>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USD-denominated settlement unit, NOT USD-backed identity</w:t>
            </w:r>
          </w:p>
        </w:tc>
      </w:tr>
      <w:tr>
        <w:tc>
          <w:tcPr>
            <w:tcW w:type="dxa" w:w="3024"/>
            <w:vAlign w:val="center"/>
          </w:tcPr>
          <w:p>
            <w:pPr>
              <w:jc w:val="left"/>
            </w:pPr>
            <w:r/>
            <w:r>
              <w:rPr>
                <w:rFonts w:ascii="Calibri" w:hAnsi="Calibri"/>
                <w:color w:val="2D2D2D"/>
                <w:sz w:val="18"/>
              </w:rPr>
              <w:t>Dynamic pillar bands</w:t>
            </w:r>
          </w:p>
        </w:tc>
        <w:tc>
          <w:tcPr>
            <w:tcW w:type="dxa" w:w="3024"/>
            <w:vAlign w:val="center"/>
          </w:tcPr>
          <w:p>
            <w:pPr>
              <w:jc w:val="left"/>
            </w:pPr>
            <w:r/>
            <w:r>
              <w:rPr>
                <w:rFonts w:ascii="Calibri" w:hAnsi="Calibri"/>
                <w:color w:val="2D2D2D"/>
                <w:sz w:val="18"/>
              </w:rPr>
              <w:t>§4.4</w:t>
            </w:r>
          </w:p>
        </w:tc>
        <w:tc>
          <w:tcPr>
            <w:tcW w:type="dxa" w:w="3024"/>
            <w:vAlign w:val="center"/>
          </w:tcPr>
          <w:p>
            <w:pPr>
              <w:jc w:val="left"/>
            </w:pPr>
            <w:r/>
            <w:r>
              <w:rPr>
                <w:rFonts w:ascii="Calibri" w:hAnsi="Calibri"/>
                <w:color w:val="2D2D2D"/>
                <w:sz w:val="18"/>
              </w:rPr>
              <w:t>Pillars can adjust within constitutional ranges</w:t>
            </w:r>
          </w:p>
        </w:tc>
      </w:tr>
      <w:tr>
        <w:tc>
          <w:tcPr>
            <w:tcW w:type="dxa" w:w="3024"/>
            <w:shd w:fill="F0F0F0"/>
            <w:vAlign w:val="center"/>
          </w:tcPr>
          <w:p>
            <w:pPr>
              <w:jc w:val="left"/>
            </w:pPr>
            <w:r/>
            <w:r>
              <w:rPr>
                <w:rFonts w:ascii="Calibri" w:hAnsi="Calibri"/>
                <w:color w:val="2D2D2D"/>
                <w:sz w:val="18"/>
              </w:rPr>
              <w:t>**CBGRS metric (v24.1.1)**</w:t>
            </w:r>
          </w:p>
        </w:tc>
        <w:tc>
          <w:tcPr>
            <w:tcW w:type="dxa" w:w="3024"/>
            <w:shd w:fill="F0F0F0"/>
            <w:vAlign w:val="center"/>
          </w:tcPr>
          <w:p>
            <w:pPr>
              <w:jc w:val="left"/>
            </w:pPr>
            <w:r/>
            <w:r>
              <w:rPr>
                <w:rFonts w:ascii="Calibri" w:hAnsi="Calibri"/>
                <w:color w:val="2D2D2D"/>
                <w:sz w:val="18"/>
              </w:rPr>
              <w:t>**§3.7B**</w:t>
            </w:r>
          </w:p>
        </w:tc>
        <w:tc>
          <w:tcPr>
            <w:tcW w:type="dxa" w:w="3024"/>
            <w:shd w:fill="F0F0F0"/>
            <w:vAlign w:val="center"/>
          </w:tcPr>
          <w:p>
            <w:pPr>
              <w:jc w:val="left"/>
            </w:pPr>
            <w:r/>
            <w:r>
              <w:rPr>
                <w:rFonts w:ascii="Calibri" w:hAnsi="Calibri"/>
                <w:color w:val="2D2D2D"/>
                <w:sz w:val="18"/>
              </w:rPr>
              <w:t>**Currency Basket Gold-Relative Strength — Layer-2 advisory, weighted geometric mean. Additive patch; no existing metric modified.**</w:t>
            </w:r>
          </w:p>
        </w:tc>
      </w:tr>
    </w:tbl>
    <w:p/>
    <w:p>
      <w:pPr>
        <w:pBdr>
          <w:bottom w:val="single" w:sz="12" w:space="1" w:color="C59B1E"/>
        </w:pBdr>
      </w:pPr>
    </w:p>
    <w:p>
      <w:r>
        <w:rPr>
          <w:b/>
        </w:rPr>
        <w:t>This blueprint is the authoritative active specification for MITHQAL, subject to the V24.1 Release Gates. v24.0 and all earlier versions are historical/non-normative.</w:t>
      </w:r>
    </w:p>
    <w:p>
      <w:pPr>
        <w:pBdr>
          <w:bottom w:val="single" w:sz="12" w:space="1" w:color="C59B1E"/>
        </w:pBdr>
      </w:pPr>
    </w:p>
    <w:p>
      <w:pPr>
        <w:pStyle w:val="Heading2"/>
      </w:pPr>
      <w:r>
        <w:t>V24.2 RELEASE GATES — MANDATORY BEFORE PRODUCTION</w:t>
      </w:r>
    </w:p>
    <w:p>
      <w:r>
        <w:t>(Updated from v24.1 — adds Model Gate, Cost Gate, and Jurisdiction Gate)</w:t>
      </w:r>
    </w:p>
    <w:p>
      <w:r>
        <w:t>The following gates are release-blocking. Passing documentation alone is insufficient; each gate requires independently reproducible evidence.</w:t>
      </w:r>
    </w:p>
    <w:p>
      <w:pPr>
        <w:pStyle w:val="ListNumber"/>
        <w:ind w:left="425"/>
      </w:pPr>
      <w:r>
        <w:rPr>
          <w:b/>
        </w:rPr>
        <w:t>Arithmetic Gate:</w:t>
      </w:r>
      <w:r>
        <w:t xml:space="preserve"> every active reserve allocation table sums exactly to 100.0000%.</w:t>
      </w:r>
    </w:p>
    <w:p>
      <w:pPr>
        <w:pStyle w:val="ListNumber"/>
        <w:ind w:left="425"/>
      </w:pPr>
      <w:r>
        <w:rPr>
          <w:b/>
        </w:rPr>
        <w:t>Constant Gate:</w:t>
      </w:r>
      <w:r>
        <w:t xml:space="preserve"> no conflicting active constitutional constants exist for PAR, RR, LCR, reserve ranges, digital liquidity, concentration limits, or liquidation order.</w:t>
      </w:r>
    </w:p>
    <w:p>
      <w:pPr>
        <w:pStyle w:val="ListNumber"/>
        <w:ind w:left="425"/>
      </w:pPr>
      <w:r>
        <w:rPr>
          <w:b/>
        </w:rPr>
        <w:t>Solvency Gate:</w:t>
      </w:r>
      <w:r>
        <w:t xml:space="preserve"> RR, Stress-RR, haircuts, counterparty factors, and liability definitions are independently reproduced.</w:t>
      </w:r>
    </w:p>
    <w:p>
      <w:pPr>
        <w:pStyle w:val="ListNumber"/>
        <w:ind w:left="425"/>
      </w:pPr>
      <w:r>
        <w:rPr>
          <w:b/>
        </w:rPr>
        <w:t>Liquidity Gate:</w:t>
      </w:r>
      <w:r>
        <w:t xml:space="preserve"> LCR/LRR survive prescribed redemption-stress scenarios and reverse-stress testing, and prefunded institutional redemption liquidity is independently reconciled and tested.</w:t>
      </w:r>
    </w:p>
    <w:p>
      <w:pPr>
        <w:pStyle w:val="ListNumber"/>
        <w:ind w:left="425"/>
      </w:pPr>
      <w:r>
        <w:rPr>
          <w:b/>
        </w:rPr>
        <w:t>Model Gate:</w:t>
      </w:r>
      <w:r>
        <w:t xml:space="preserve"> optimizer and risk models pass challenger-model, parameter-sensitivity, regime-break, and procyclicality review.</w:t>
      </w:r>
    </w:p>
    <w:p>
      <w:pPr>
        <w:pStyle w:val="ListNumber"/>
        <w:ind w:left="425"/>
      </w:pPr>
      <w:r>
        <w:rPr>
          <w:b/>
        </w:rPr>
        <w:t>Oracle Gate:</w:t>
      </w:r>
      <w:r>
        <w:t xml:space="preserve"> production oracle quorum, common-mode failure testing, jurisdiction/infrastructure diversity, and failure recovery are demonstrated in adversarial testing.</w:t>
      </w:r>
    </w:p>
    <w:p>
      <w:pPr>
        <w:pStyle w:val="ListNumber"/>
        <w:ind w:left="425"/>
      </w:pPr>
      <w:r>
        <w:rPr>
          <w:b/>
        </w:rPr>
        <w:t>Custody Gate:</w:t>
      </w:r>
      <w:r>
        <w:t xml:space="preserve"> legal segregation, bankruptcy remoteness, proof of title, and independent reconciliation are documented.</w:t>
      </w:r>
    </w:p>
    <w:p>
      <w:pPr>
        <w:pStyle w:val="ListNumber"/>
        <w:ind w:left="425"/>
      </w:pPr>
      <w:r>
        <w:rPr>
          <w:b/>
        </w:rPr>
        <w:t>Legal Gate:</w:t>
      </w:r>
      <w:r>
        <w:t xml:space="preserve"> jurisdiction-specific legal opinions define holder rights, issuer obligations, redemption, classification, insolvency treatment, reserve segregation, bankruptcy remoteness, and enforceability of the chosen custody structure.</w:t>
      </w:r>
    </w:p>
    <w:p>
      <w:pPr>
        <w:pStyle w:val="ListNumber"/>
        <w:ind w:left="425"/>
      </w:pPr>
      <w:r>
        <w:rPr>
          <w:b/>
        </w:rPr>
        <w:t>Sharia Gate:</w:t>
      </w:r>
      <w:r>
        <w:t xml:space="preserve"> where marketed as Sharia-compliant, an independent qualified Sharia board issues the applicable certification; otherwise language must state “designed for Sharia review.”</w:t>
      </w:r>
    </w:p>
    <w:p>
      <w:pPr>
        <w:pStyle w:val="ListNumber"/>
        <w:ind w:left="425"/>
      </w:pPr>
      <w:r>
        <w:rPr>
          <w:b/>
        </w:rPr>
        <w:t>Regulatory Gate:</w:t>
      </w:r>
      <w:r>
        <w:t xml:space="preserve"> no production launch in a jurisdiction without documented licensing/registration or written counsel confirming the applicable lawful pathway.</w:t>
      </w:r>
    </w:p>
    <w:p>
      <w:pPr>
        <w:pStyle w:val="ListNumber"/>
        <w:ind w:left="425"/>
      </w:pPr>
      <w:r>
        <w:rPr>
          <w:b/>
        </w:rPr>
        <w:t>Institutional Claim Gate:</w:t>
      </w:r>
      <w:r>
        <w:t xml:space="preserve"> public claims must be evidence-based and must not imply endorsement or guaranteed outcomes.</w:t>
      </w:r>
    </w:p>
    <w:p>
      <w:pPr>
        <w:pStyle w:val="ListNumber"/>
        <w:ind w:left="425"/>
      </w:pPr>
      <w:r>
        <w:rPr>
          <w:b/>
        </w:rPr>
        <w:t>Disaster Gate:</w:t>
      </w:r>
      <w:r>
        <w:t xml:space="preserve"> custody, banking, oracle, MPC, smart-contract, key-management, and data failover procedures are tested end-to-end.</w:t>
      </w:r>
    </w:p>
    <w:p>
      <w:pPr>
        <w:pStyle w:val="ListNumber"/>
        <w:ind w:left="425"/>
      </w:pPr>
      <w:r>
        <w:rPr>
          <w:b/>
        </w:rPr>
        <w:t>Migration Gate:</w:t>
      </w:r>
      <w:r>
        <w:t xml:space="preserve"> any v23-to-v24 upgrade must preserve or improve every constitutional invariant; no silent parameter migration is permitted.</w:t>
      </w:r>
    </w:p>
    <w:p>
      <w:pPr>
        <w:pBdr>
          <w:bottom w:val="single" w:sz="12" w:space="1" w:color="C59B1E"/>
        </w:pBdr>
      </w:pPr>
    </w:p>
    <w:p>
      <w:pPr>
        <w:pStyle w:val="Heading2"/>
      </w:pPr>
      <w:r>
        <w:t>V24.2 FINAL INSTITUTIONAL RELEASE DECISION</w:t>
      </w:r>
    </w:p>
    <w:p>
      <w:r>
        <w:rPr>
          <w:b/>
        </w:rPr>
        <w:t>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p>
      <w:pPr>
        <w:pStyle w:val="Heading3"/>
      </w:pPr>
      <w:r>
        <w:t>Canonical arithmetic</w:t>
      </w:r>
    </w:p>
    <w:p>
      <w:pPr>
        <w:ind w:left="283"/>
        <w:shd w:fill="F5F5F5"/>
      </w:pPr>
      <w:r>
        <w:rPr>
          <w:rFonts w:ascii="Consolas" w:hAnsi="Consolas"/>
          <w:color w:val="6B6B6B"/>
          <w:sz w:val="18"/>
        </w:rPr>
        <w:t>Bullion target = 20.0%</w:t>
        <w:br/>
        <w:t>Fiat target    = 76.5%</w:t>
        <w:br/>
        <w:t>Digital target = 3.5%</w:t>
        <w:br/>
        <w:t>TOTAL          = 100.0%</w:t>
        <w:br/>
        <w:br/>
        <w:t>Fiat detail:</w:t>
        <w:br/>
        <w:t>27.0 + 19.5 + 6.0 + 6.0 + 5.0 + 4.0 + 3.0 + 3.0 + 2.0 + 0.5 + 0.5 = 76.5%</w:t>
      </w:r>
    </w:p>
    <w:p>
      <w:pPr>
        <w:pStyle w:val="Heading3"/>
      </w:pPr>
      <w:r>
        <w:t>Canonical solvency</w:t>
      </w:r>
    </w:p>
    <w:p>
      <w:pPr>
        <w:ind w:left="283"/>
        <w:shd w:fill="F5F5F5"/>
      </w:pPr>
      <w:r>
        <w:rPr>
          <w:rFonts w:ascii="Consolas" w:hAnsi="Consolas"/>
          <w:color w:val="6B6B6B"/>
          <w:sz w:val="18"/>
        </w:rPr>
        <w:t>RR = R_a / (S × PAR)</w:t>
        <w:br/>
        <w:t>RR floor     = 100%</w:t>
        <w:br/>
        <w:t>RR policy    = 105%</w:t>
        <w:br/>
        <w:t>RR strategic = 120%</w:t>
        <w:br/>
        <w:t>StressRR(s)  = R_stress(s) / (S × PAR)</w:t>
      </w:r>
    </w:p>
    <w:p>
      <w:pPr>
        <w:pStyle w:val="Heading3"/>
      </w:pPr>
      <w:r>
        <w:t>Institutional positioning</w:t>
      </w:r>
    </w:p>
    <w:p>
      <w:r>
        <w:t>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p>
      <w:pPr>
        <w:pStyle w:val="Heading3"/>
      </w:pPr>
      <w:r>
        <w:t>Evidence standard</w:t>
      </w:r>
    </w:p>
    <w:p>
      <w:r>
        <w:t>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p>
      <w:pPr>
        <w:pStyle w:val="Heading3"/>
      </w:pPr>
      <w:r>
        <w:t>Mandatory evidence package</w:t>
      </w:r>
    </w:p>
    <w:p>
      <w:r>
        <w:t>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r>
        <w:rPr>
          <w:b/>
        </w:rPr>
        <w:t>No production communication may claim “central-bank approved,” “risk-free,” “economically invincible,” “zero-counterparty-risk,” or “regulator-approved” unless the competent authority has actually issued such written approval and the evidence is archived.</w:t>
      </w:r>
    </w:p>
    <w:p>
      <w:pPr>
        <w:pBdr>
          <w:bottom w:val="single" w:sz="12" w:space="1" w:color="C59B1E"/>
        </w:pBdr>
      </w:pPr>
    </w:p>
    <w:p>
      <w:pPr>
        <w:pStyle w:val="Heading2"/>
      </w:pPr>
      <w:r>
        <w:t>ORIGINAL v19 SPECIFICATION — HISTORICAL / NON-NORMATIVE ARCHIVE</w:t>
      </w:r>
    </w:p>
    <w:p>
      <w:pPr>
        <w:spacing w:before="120" w:after="120"/>
        <w:ind w:left="567" w:right="567"/>
        <w:pBdr>
          <w:left w:val="single" w:sz="24" w:space="8" w:color="C59B1E"/>
        </w:pBdr>
        <w:shd w:fill="FFFBF0"/>
      </w:pPr>
      <w:r>
        <w:rPr>
          <w:b/>
          <w:i/>
          <w:color w:val="1A365F"/>
          <w:sz w:val="22"/>
        </w:rPr>
        <w:t>**NON-NORMATIVE ARCHIVE NOTICE:** 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r>
        <w:t xml:space="preserve">The following is the original v19 specification. Where it conflicts with the v23 amendments above, </w:t>
      </w:r>
      <w:r>
        <w:rPr>
          <w:b/>
        </w:rPr>
        <w:t>v23 wins.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LAYER 0 — INSTITUTIONAL PHILOSOPHY &amp; CONSTITUTIONAL META-FRAMEWORK (REVISED)</w:t>
      </w:r>
    </w:p>
    <w:p>
      <w:r>
        <w:t>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p>
    <w:p>
      <w:r>
        <w:t>CONSTITUTIONAL AUTHORITY HIERARCHY</w:t>
      </w:r>
    </w:p>
    <w:p>
      <w:r>
        <w:t>Every constitutional provision shall derive authority according to the following hierarchy:</w:t>
      </w:r>
    </w:p>
    <w:p>
      <w:r>
        <w:t>Constitutional Authority Rule:</w:t>
      </w:r>
    </w:p>
    <w:p>
      <w:r>
        <w:t>No lower layer may contradict any higher layer. Where conflict exists, the higher constitutional authority prevails automatically. This hierarchy shall govern all constitutional interpretation, amendment, and implementation decisions.</w:t>
      </w:r>
    </w:p>
    <w:p>
      <w:r>
        <w:t>CONSTITUTIONAL CONFLICT RESOLUTION</w:t>
      </w:r>
    </w:p>
    <w:p>
      <w:r>
        <w:t>Where two constitutional provisions appear inconsistent, the following resolution hierarchy shall apply:</w:t>
      </w:r>
    </w:p>
    <w:p>
      <w:r>
        <w:t>Conflict Resolution Rules:</w:t>
      </w:r>
    </w:p>
    <w:p>
      <w:r>
        <w:t>Preserve Constitutional Invariants — Invariants shall never be violated</w:t>
      </w:r>
    </w:p>
    <w:p>
      <w:r>
        <w:t>Preserve Solvency — Reserve solvency shall never be compromised</w:t>
      </w:r>
    </w:p>
    <w:p>
      <w:r>
        <w:t>Preserve Redeemability — Redemption rights shall never be restricted</w:t>
      </w:r>
    </w:p>
    <w:p>
      <w:r>
        <w:t>Preserve Neutrality — Institutional neutrality shall be maintained</w:t>
      </w:r>
    </w:p>
    <w:p>
      <w:r>
        <w:t>Preserve Determinism — Deterministic operation shall be preserved</w:t>
      </w:r>
    </w:p>
    <w:p>
      <w:r>
        <w:t>Preserve Institutional Continuity — Long-term continuity shall be protected</w:t>
      </w:r>
    </w:p>
    <w:p>
      <w:r>
        <w:t>Operational Constraint:</w:t>
      </w:r>
    </w:p>
    <w:p>
      <w:r>
        <w:t>Only after these constitutional preservation requirements are satisfied may operational optimization be considered. No operational convenience shall justify compromising any constitutional preservation requirement.</w:t>
      </w:r>
    </w:p>
    <w:p>
      <w:r>
        <w:t>CONSTITUTIONAL INSTITUTIONAL SURVIVAL DOCTRINE</w:t>
      </w:r>
    </w:p>
    <w:p>
      <w:r>
        <w:t>Constitutional Principle:</w:t>
      </w:r>
    </w:p>
    <w:p>
      <w:r>
        <w:t>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p>
    <w:p>
      <w:r>
        <w:t>Survival Requirements:</w:t>
      </w:r>
    </w:p>
    <w:p>
      <w:r>
        <w:t>Application:</w:t>
      </w:r>
    </w:p>
    <w:p>
      <w:r>
        <w:t>Every constitutional decision shall be evaluated against the question: "Does this preserve the Institution for future generations?" If the answer is no, the decision shall be rejected regardless of other benefits.</w:t>
      </w:r>
    </w:p>
    <w:p>
      <w:r>
        <w:t>CONSTITUTIONAL TIME PRINCIPLE</w:t>
      </w:r>
    </w:p>
    <w:p>
      <w:r>
        <w:t>Constitutional Principle:</w:t>
      </w:r>
    </w:p>
    <w:p>
      <w:r>
        <w:t>Constitutional decisions shall prioritize long-term institutional stability over short-term operational advantage. No temporary benefit shall justify permanent constitutional weakening.</w:t>
      </w:r>
    </w:p>
    <w:p>
      <w:r>
        <w:t>Time Principle Requirements:</w:t>
      </w:r>
    </w:p>
    <w:p>
      <w:r>
        <w:t>Application:</w:t>
      </w:r>
    </w:p>
    <w:p>
      <w:r>
        <w:t>Every constitutional decision shall be evaluated against the question: "Does this decision strengthen or weaken the Institution for the next 50 years?" Decisions that provide temporary benefit at the cost of permanent weakening shall be rejected.</w:t>
      </w:r>
    </w:p>
    <w:p>
      <w:r>
        <w:t>CONSTITUTIONAL INSTITUTIONAL HUMILITY DOCTRINE</w:t>
      </w:r>
    </w:p>
    <w:p>
      <w:r>
        <w:t>Constitutional Principle:</w:t>
      </w:r>
    </w:p>
    <w:p>
      <w:r>
        <w:t>The Institution acknowledges that knowledge, technology, regulation, and markets evolve. Accordingly, constitutional governance shall favor evidence over assumption, verification over confidence, and continuous improvement over institutional certainty.</w:t>
      </w:r>
    </w:p>
    <w:p>
      <w:r>
        <w:t>Humility Requirements:</w:t>
      </w:r>
    </w:p>
    <w:p>
      <w:r>
        <w:t>Application:</w:t>
      </w:r>
    </w:p>
    <w:p>
      <w:r>
        <w:t>The Institution makes no claim of superiority over sovereign currencies, central banks, or existing payment systems. Its objective is to complement international trade settlement through constitutional stability, transparency, and prudence.</w:t>
      </w:r>
    </w:p>
    <w:p>
      <w:r>
        <w:t>CONSTITUTIONAL VALUES</w:t>
      </w:r>
    </w:p>
    <w:p>
      <w:r>
        <w:t>Constitutional Principle:</w:t>
      </w:r>
    </w:p>
    <w:p>
      <w:r>
        <w:t>The Institution is founded upon constitutional values that guide all decision-making, interpretation, and operation. These values are enduring and shall inform every constitutional decision.</w:t>
      </w:r>
    </w:p>
    <w:p>
      <w:r>
        <w:t>Core Constitutional Values:</w:t>
      </w:r>
    </w:p>
    <w:p>
      <w:r>
        <w:t>Value Application:</w:t>
      </w:r>
    </w:p>
    <w:p>
      <w:r>
        <w:t>These values shall inform every constitutional interpretation, amendment, decision, and operation. No constitutional provision shall be interpreted or applied in a manner inconsistent with these values.</w:t>
      </w:r>
    </w:p>
    <w:p>
      <w:r>
        <w:t>CONSTITUTIONAL INVARIANTS REFERENCE</w:t>
      </w:r>
    </w:p>
    <w:p>
      <w:r>
        <w:t>Constitutional Principle:</w:t>
      </w:r>
    </w:p>
    <w:p>
      <w:r>
        <w:t>Layer 0 recognizes the Constitutional Invariants established in Part II, Article I as supreme institutional constraints. No doctrine, policy, interpretation, or amendment may override a Constitutional Invariant.</w:t>
      </w:r>
    </w:p>
    <w:p>
      <w:r>
        <w:t>Invariants Summary:</w:t>
      </w:r>
    </w:p>
    <w:p>
      <w:r>
        <w:t>Invariant Supremacy:</w:t>
      </w:r>
    </w:p>
    <w:p>
      <w:r>
        <w:t>Constitutional Invariants are permanent and unalterable. No governance body may suspend, amend, circumvent, or weaken them under any circumstances. Any constitutional provision, policy, interpretation, or operational decision that conflicts with an invariant is void.</w:t>
      </w:r>
    </w:p>
    <w:p>
      <w:r>
        <w:t>0.1 INSTITUTIONAL IDENTITY AND PURPOSE</w:t>
      </w:r>
    </w:p>
    <w:p>
      <w:r>
        <w:t>Constitutional Statement:</w:t>
      </w:r>
    </w:p>
    <w:p>
      <w:r>
        <w:t>The Institution is constituted as a permanent, neutral, fully reserved, deterministic monetary infrastructure for international settlement. Its purpose is to facilitate value transfer with finality, transparency, and constitutional stability.</w:t>
      </w:r>
    </w:p>
    <w:p>
      <w:r>
        <w:t>The Institution exists independently of any technology, jurisdiction, or generation of leadership. Its identity is constitutional, not technological. Its purpose is permanent, not temporary. Its governance is rule-based, not discretionary.</w:t>
      </w:r>
    </w:p>
    <w:p>
      <w:r>
        <w:t>Constitutional Identity:</w:t>
      </w:r>
    </w:p>
    <w:p>
      <w:r>
        <w:t>Core Purpose:</w:t>
      </w:r>
    </w:p>
    <w:p>
      <w:r>
        <w:t>What This Means in Practice:</w:t>
      </w:r>
    </w:p>
    <w:p>
      <w:r>
        <w:t>The Institution is not a software project, blockchain application, or technology product</w:t>
      </w:r>
    </w:p>
    <w:p>
      <w:r>
        <w:t>The Institution is not dependent on any specific technology stack</w:t>
      </w:r>
    </w:p>
    <w:p>
      <w:r>
        <w:t>If blockchain technology becomes obsolete, the Institution continues through other means</w:t>
      </w:r>
    </w:p>
    <w:p>
      <w:r>
        <w:t>The legal, governance, and monetary structure is permanent; implementation is temporary</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0.2 CONSTITUTIONAL INTERPRETATION RULES</w:t>
      </w:r>
    </w:p>
    <w:p>
      <w:r>
        <w:t>Constitutional Principle:</w:t>
      </w:r>
    </w:p>
    <w:p>
      <w:r>
        <w:t>The Constitution shall be interpreted according to its original institutional intent, constitutional purpose, and preservation of institutional integrity.</w:t>
      </w:r>
    </w:p>
    <w:p>
      <w:r>
        <w:t>Interpretation Rules:</w:t>
      </w:r>
    </w:p>
    <w:p>
      <w:pPr>
        <w:pStyle w:val="ListNumber"/>
        <w:ind w:left="425"/>
      </w:pPr>
      <w:r>
        <w:t>Textual Primacy</w:t>
      </w:r>
    </w:p>
    <w:p>
      <w:r>
        <w:t>Interpretation begins with the constitutional text. The text is the primary source of meaning.</w:t>
      </w:r>
    </w:p>
    <w:p>
      <w:pPr>
        <w:pStyle w:val="ListNumber"/>
        <w:ind w:left="425"/>
      </w:pPr>
      <w:r>
        <w:t>Contextual Reading</w:t>
      </w:r>
    </w:p>
    <w:p>
      <w:r>
        <w:t>Provisions shall be read in the context of the Constitution as a whole. No provision is interpreted in isolation.</w:t>
      </w:r>
    </w:p>
    <w:p>
      <w:pPr>
        <w:pStyle w:val="ListNumber"/>
        <w:ind w:left="425"/>
      </w:pPr>
      <w:r>
        <w:t>Purpose Alignment</w:t>
      </w:r>
    </w:p>
    <w:p>
      <w:r>
        <w:t>Interpretation shall serve constitutional purposes and advance constitutional objectives. Interpretation shall not frustrate constitutional purposes.</w:t>
      </w:r>
    </w:p>
    <w:p>
      <w:pPr>
        <w:pStyle w:val="ListNumber"/>
        <w:ind w:left="425"/>
      </w:pPr>
      <w:r>
        <w:t>Constitutional Preservation</w:t>
      </w:r>
    </w:p>
    <w:p>
      <w:r>
        <w:t>Interpretation shall preserve constitutional integrity, protect constitutional invariants, and prevent constitutional drift.</w:t>
      </w:r>
    </w:p>
    <w:p>
      <w:pPr>
        <w:pStyle w:val="ListNumber"/>
        <w:ind w:left="425"/>
      </w:pPr>
      <w:r>
        <w:t>Presumption Against Drift</w:t>
      </w:r>
    </w:p>
    <w:p>
      <w:r>
        <w:t>Where ambiguity exists, interpretation shall favor:</w:t>
      </w:r>
    </w:p>
    <w:p>
      <w:r>
        <w:t>Preservation of Constitutional Invariants</w:t>
      </w:r>
    </w:p>
    <w:p>
      <w:r>
        <w:t>Institutional Stability</w:t>
      </w:r>
    </w:p>
    <w:p>
      <w:r>
        <w:t>Solvency</w:t>
      </w:r>
    </w:p>
    <w:p>
      <w:r>
        <w:t>Neutrality</w:t>
      </w:r>
    </w:p>
    <w:p>
      <w:r>
        <w:t>Redeemability</w:t>
      </w:r>
    </w:p>
    <w:p>
      <w:pPr>
        <w:pStyle w:val="ListNumber"/>
        <w:ind w:left="425"/>
      </w:pPr>
      <w:r>
        <w:t>Narrow Construction of Exceptions</w:t>
      </w:r>
    </w:p>
    <w:p>
      <w:r>
        <w:t>Exceptions to constitutional principles shall be construed narrowly and limited to their specific terms.</w:t>
      </w:r>
    </w:p>
    <w:p>
      <w:pPr>
        <w:pStyle w:val="ListNumber"/>
        <w:ind w:left="425"/>
      </w:pPr>
      <w:r>
        <w:t>Broad Construction of Protections</w:t>
      </w:r>
    </w:p>
    <w:p>
      <w:r>
        <w:t>Constitutional protections shall be construed broadly to provide maximum coverage.</w:t>
      </w:r>
    </w:p>
    <w:p>
      <w:pPr>
        <w:pStyle w:val="ListNumber"/>
        <w:ind w:left="425"/>
      </w:pPr>
      <w:r>
        <w:t>Prohibition Against Circumvention</w:t>
      </w:r>
    </w:p>
    <w:p>
      <w:r>
        <w:t>Interpretation that would circumvent constitutional provisions is prohibited. Interpretation cannot achieve what the Constitution prohibits.</w:t>
      </w:r>
    </w:p>
    <w:p>
      <w:pPr>
        <w:pStyle w:val="ListNumber"/>
        <w:ind w:left="425"/>
      </w:pPr>
      <w:r>
        <w:t>Evolution Maximization</w:t>
      </w:r>
    </w:p>
    <w:p>
      <w:r>
        <w:t>Evolution shall maximize backward constitutional compatibility to prevent institutional forks.</w:t>
      </w:r>
    </w:p>
    <w:p>
      <w:r>
        <w:t>0.3 TRUST DOCTRINE</w:t>
      </w:r>
    </w:p>
    <w:p>
      <w:r>
        <w:t>Constitutional Principle:</w:t>
      </w:r>
    </w:p>
    <w:p>
      <w:r>
        <w:t>Institutional trust is earned through verifiable operations, constitutional stability, deterministic execution, and continuous transparency. Trust is never claimed, promised, or marketed. It is demonstrated through evidence.</w:t>
      </w:r>
    </w:p>
    <w:p>
      <w:r>
        <w:t>Trust Pillars:</w:t>
      </w:r>
    </w:p>
    <w:p>
      <w:r>
        <w:t>Trust Framework:</w:t>
      </w:r>
    </w:p>
    <w:p>
      <w:r>
        <w:t>Trust is not a declaration. It is a property that emerges from continuous demonstration of these ten pillars. No communication shall claim trustworthiness. Trustworthiness shall be demonstrated through verifiable operations, independent audits, and constitutional stability.</w:t>
      </w:r>
    </w:p>
    <w:p>
      <w:r>
        <w:t>0.4 NEUTRALITY DOCTRINE</w:t>
      </w:r>
    </w:p>
    <w:p>
      <w:r>
        <w:t>Constitutional Principle:</w:t>
      </w:r>
    </w:p>
    <w:p>
      <w:r>
        <w:t>The Institution is neutral. It does not take sides in political disputes, does not favor any jurisdiction, does not align with any geopolitical bloc, and does not express opinions on political, economic, or social matters.</w:t>
      </w:r>
    </w:p>
    <w:p>
      <w:r>
        <w:t>Neutrality Requirements:</w:t>
      </w:r>
    </w:p>
    <w:p>
      <w:r>
        <w:t>Sanctions Compliance Clarification:</w:t>
      </w:r>
    </w:p>
    <w:p>
      <w:r>
        <w:t>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p>
    <w:p>
      <w:r>
        <w:t>Neutrality Scope:</w:t>
      </w:r>
    </w:p>
    <w:p>
      <w:r>
        <w:t>Neutrality applies to all institutional operations, communications, governance decisions, and reserve management activities. Neutrality does not mean lawlessness.</w:t>
      </w:r>
    </w:p>
    <w:p>
      <w:r>
        <w:t>0.5 EVIDENCE DOCTRINE</w:t>
      </w:r>
    </w:p>
    <w:p>
      <w:r>
        <w:t>Constitutional Principle:</w:t>
      </w:r>
    </w:p>
    <w:p>
      <w:r>
        <w:t>Every constitutional claim shall be supported by verifiable evidence. Every assertion shall be capable of independent verification. No claim shall rest solely on institutional assertion.</w:t>
      </w:r>
    </w:p>
    <w:p>
      <w:r>
        <w:t>Evidence Requirements:</w:t>
      </w:r>
    </w:p>
    <w:p>
      <w:r>
        <w:t>Evidence Quality Hierarchy:</w:t>
      </w:r>
    </w:p>
    <w:p>
      <w:r>
        <w:t>Evidence shall be evaluated according to constitutional reliability:</w:t>
      </w:r>
    </w:p>
    <w:p>
      <w:r>
        <w:t>Evidence Rule:</w:t>
      </w:r>
    </w:p>
    <w:p>
      <w:r>
        <w:t>Institutional assertion alone shall never constitute constitutional evidence. Every constitutional claim shall be supported by evidence at priority level 1-5.</w:t>
      </w:r>
    </w:p>
    <w:p>
      <w:r>
        <w:t>0.6 DEPENDENCY DOCTRINE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Dependency Categories:</w:t>
      </w:r>
    </w:p>
    <w:p>
      <w:r>
        <w:t>Dependency Requirements:</w:t>
      </w:r>
    </w:p>
    <w:p>
      <w:r>
        <w:t>Dependency Governance:</w:t>
      </w:r>
    </w:p>
    <w:p>
      <w:r>
        <w:t>No institutional operation shall depend on any single external entity, service provider, jurisdiction, or technology. Dependency concentration shall be limited by constitutional policy. Failure of any single dependency shall not interrupt constitutional operation.</w:t>
      </w:r>
    </w:p>
    <w:p>
      <w:r>
        <w:t>0.7 TECHNOLOGY-AGNOSTIC DESIGN PRINCIPLES</w:t>
      </w:r>
    </w:p>
    <w:p>
      <w:r>
        <w:t>Constitutional Principle:</w:t>
      </w:r>
    </w:p>
    <w:p>
      <w:r>
        <w:t>The Institution is not dependent on any specific technology, vendor, platform, blockchain, or implementation. Technology serves the Institution; the Institution does not serve technology.</w:t>
      </w:r>
    </w:p>
    <w:p>
      <w:r>
        <w:t>Technology-Agnostic Requirements:</w:t>
      </w:r>
    </w:p>
    <w:p>
      <w:r>
        <w:t>Technology Constraint:</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Technology Evolution:</w:t>
      </w:r>
    </w:p>
    <w:p>
      <w:r>
        <w:t>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p>
    <w:p>
      <w:r>
        <w:t>0.8 EVOLUTION DOCTRINE</w:t>
      </w:r>
    </w:p>
    <w:p>
      <w:r>
        <w:t>Constitutional Principle:</w:t>
      </w:r>
    </w:p>
    <w:p>
      <w:r>
        <w:t>The Constitution is designed to endure for decades while permitting controlled evolution. Evolution shall preserve Constitutional Invariants, institutional identity, and constitutional integrity. Evolution shall maximize backward constitutional compatibility.</w:t>
      </w:r>
    </w:p>
    <w:p>
      <w:r>
        <w:t>Evolution Requirements:</w:t>
      </w:r>
    </w:p>
    <w:p>
      <w:r>
        <w:t>Evolution Boundaries:</w:t>
      </w:r>
    </w:p>
    <w:p>
      <w:r>
        <w:t>Evolution Rule:</w:t>
      </w:r>
    </w:p>
    <w:p>
      <w:r>
        <w:t>No evolution shall weaken constitutional stability. Evolution shall strengthen the Institution while preserving its constitutional foundations. Backward constitutional compatibility shall be maximized to prevent institutional forks.</w:t>
      </w:r>
    </w:p>
    <w:p>
      <w:r>
        <w:t>0.9 LONGEVITY DOCTRINE (50–100+ YEARS)</w:t>
      </w:r>
    </w:p>
    <w:p>
      <w:r>
        <w:t>Constitutional Principle:</w:t>
      </w:r>
    </w:p>
    <w:p>
      <w:r>
        <w:t>The Institution is designed to survive for generations. Governance, knowledge transfer, institutional memory, and constitutional interpretation shall be preserved indefinitely.</w:t>
      </w:r>
    </w:p>
    <w:p>
      <w:r>
        <w:t>Longevity Requirements:</w:t>
      </w:r>
    </w:p>
    <w:p>
      <w:r>
        <w:t>Constitutional Century Review:</w:t>
      </w:r>
    </w:p>
    <w:p>
      <w:r>
        <w:t>Every ten years the Institution shall conduct a Constitutional Century Review evaluating whether existing constitutional assumptions remain valid for the next century. The review shall assess:</w:t>
      </w:r>
    </w:p>
    <w:p>
      <w:r>
        <w:t>Technology evolution</w:t>
      </w:r>
    </w:p>
    <w:p>
      <w:r>
        <w:t>Market evolution</w:t>
      </w:r>
    </w:p>
    <w:p>
      <w:r>
        <w:t>Regulatory evolution</w:t>
      </w:r>
    </w:p>
    <w:p>
      <w:r>
        <w:t>Geopolitical evolution</w:t>
      </w:r>
    </w:p>
    <w:p>
      <w:r>
        <w:t>Institutional assumptions</w:t>
      </w:r>
    </w:p>
    <w:p>
      <w:r>
        <w:t>Constitutional adequacy</w:t>
      </w:r>
    </w:p>
    <w:p>
      <w:r>
        <w:t>Longevity Scope:</w:t>
      </w:r>
    </w:p>
    <w:p>
      <w:r>
        <w:t>The Institution shall outlive its founders, its initial technology stack, and its first generation of leadership. It shall continue through defined governance processes, documented institutional memory, and constitutional stability.</w:t>
      </w:r>
    </w:p>
    <w:p>
      <w:r>
        <w:t>0.10 HUMAN GOVERNANCE DOCTRINE</w:t>
      </w:r>
    </w:p>
    <w:p>
      <w:r>
        <w:t>Constitutional Principle:</w:t>
      </w:r>
    </w:p>
    <w:p>
      <w:r>
        <w:t>Governance shall be exercised by qualified human professionals through constitutional institutions. No algorithm, artificial intelligence, or automated system shall replace human constitutional authority.</w:t>
      </w:r>
    </w:p>
    <w:p>
      <w:r>
        <w:t>Human Governance Requirements:</w:t>
      </w:r>
    </w:p>
    <w:p>
      <w:r>
        <w:t>Human Accountability Rule:</w:t>
      </w:r>
    </w:p>
    <w:p>
      <w:r>
        <w:t>Human authorities remain accountable for all decisions made using artificial intelligence assistance. Delegation to artificial intelligence does not transfer constitutional responsibility. Human decision-makers remain fully accountable for all outcomes.</w:t>
      </w:r>
    </w:p>
    <w:p>
      <w:r>
        <w:t>Human Oversight:</w:t>
      </w:r>
    </w:p>
    <w:p>
      <w:r>
        <w:t>Every constitutional decision shall be attributable to a human authority. Every automated process shall be subject to human oversight. No constitutional operation shall be fully autonomous.</w:t>
      </w:r>
    </w:p>
    <w:p>
      <w:r>
        <w:t>0.11 KNOWLEDGE PRESERVATION DOCTRINE</w:t>
      </w:r>
    </w:p>
    <w:p>
      <w:r>
        <w:t>Constitutional Principle:</w:t>
      </w:r>
    </w:p>
    <w:p>
      <w:r>
        <w:t>Institutional knowledge shall be preserved across generations through systematic documentation, archiving, training, and transfer protocols. No institutional knowledge shall be lost through personnel transitions or technology changes.</w:t>
      </w:r>
    </w:p>
    <w:p>
      <w:r>
        <w:t>Knowledge Preservation Requirements:</w:t>
      </w:r>
    </w:p>
    <w:p>
      <w:r>
        <w:t>Institutional Memory Categories:</w:t>
      </w:r>
    </w:p>
    <w:p>
      <w:r>
        <w:t>Knowledge Preservation Mechanisms:</w:t>
      </w:r>
    </w:p>
    <w:p>
      <w:r>
        <w:t>0.12 LAYER 0 VERIFICATION CRITERIA</w:t>
      </w:r>
    </w:p>
    <w:p>
      <w:r>
        <w:t>text</w:t>
      </w:r>
    </w:p>
    <w:p>
      <w:r>
        <w:t>✓ Institutional identity and purpose defined</w:t>
      </w:r>
    </w:p>
    <w:p>
      <w:r>
        <w:t>✓ Constitutional authority hierarchy established</w:t>
      </w:r>
    </w:p>
    <w:p>
      <w:r>
        <w:t>✓ Constitutional conflict resolution defined</w:t>
      </w:r>
    </w:p>
    <w:p>
      <w:r>
        <w:t>✓ Institutional survival doctrine established</w:t>
      </w:r>
    </w:p>
    <w:p>
      <w:r>
        <w:t>✓ Constitutional time principle established</w:t>
      </w:r>
    </w:p>
    <w:p>
      <w:r>
        <w:t>✓ Institutional humility doctrine established</w:t>
      </w:r>
    </w:p>
    <w:p>
      <w:r>
        <w:t>✓ Constitutional values defined</w:t>
      </w:r>
    </w:p>
    <w:p>
      <w:r>
        <w:t>✓ Constitutional invariants reference established</w:t>
      </w:r>
    </w:p>
    <w:p>
      <w:r>
        <w:t>✓ Constitutional interpretation rules established</w:t>
      </w:r>
    </w:p>
    <w:p>
      <w:r>
        <w:t>✓ Trust Doctrine established</w:t>
      </w:r>
    </w:p>
    <w:p>
      <w:r>
        <w:t>✓ Neutrality Doctrine established with sanctions clarification</w:t>
      </w:r>
    </w:p>
    <w:p>
      <w:r>
        <w:t>✓ Evidence Doctrine established with quality hierarchy</w:t>
      </w:r>
    </w:p>
    <w:p>
      <w:r>
        <w:t>✓ Dependency Doctrine established with categories and limits</w:t>
      </w:r>
    </w:p>
    <w:p>
      <w:r>
        <w:t>✓ Technology-Agnostic Design Principles established</w:t>
      </w:r>
    </w:p>
    <w:p>
      <w:r>
        <w:t>✓ Evolution Doctrine established with backward compatibility</w:t>
      </w:r>
    </w:p>
    <w:p>
      <w:r>
        <w:t>✓ Longevity Doctrine established with Century Review</w:t>
      </w:r>
    </w:p>
    <w:p>
      <w:r>
        <w:t>✓ Human Governance Doctrine established</w:t>
      </w:r>
    </w:p>
    <w:p>
      <w:r>
        <w:t>✓ Knowledge Preservation Doctrine established</w:t>
      </w:r>
    </w:p>
    <w:p>
      <w:r>
        <w:t>✓ All doctrines internally consistent</w:t>
      </w:r>
    </w:p>
    <w:p>
      <w:r>
        <w:t>✓ Constitutional authority flow established</w:t>
      </w:r>
    </w:p>
    <w:p>
      <w:r>
        <w:t>✓ No contradictory provisions</w:t>
      </w:r>
    </w:p>
    <w:p>
      <w:r>
        <w:t>✓ Technology independence verified</w:t>
      </w:r>
    </w:p>
    <w:p>
      <w:r>
        <w:t>✓ Long-term continuity established</w:t>
      </w:r>
    </w:p>
    <w:p>
      <w:r>
        <w:t>0.13 LAYER 0 RELATION TO OTHER LAYERS</w:t>
      </w:r>
    </w:p>
    <w:p>
      <w:r>
        <w:t>Constitutional Authority Statement:</w:t>
      </w:r>
    </w:p>
    <w:p>
      <w:r>
        <w:t>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p>
    <w:p>
      <w:r>
        <w:t>Supremacy Clause:</w:t>
      </w:r>
    </w:p>
    <w:p>
      <w:r>
        <w:t>Constitutional Purpose (Priority 1) and Constitutional Invariants (Priority 2) are supreme. No doctrine, policy, amendment, or interpretation may contradict them. All constitutional provisions are subordinate to these supreme authorities.</w:t>
      </w:r>
    </w:p>
    <w:p>
      <w:r>
        <w:t>[END OF LAYER 0 — INSTITUTIONAL PHILOSOPHY &amp; CONSTITUTIONAL META-FRAMEWORK]</w:t>
      </w:r>
    </w:p>
    <w:p>
      <w:r>
        <w:t>TABLE OF CONTENTS</w:t>
      </w:r>
    </w:p>
    <w:p>
      <w:r>
        <w:t>PART I — CONSTITUTIONAL MATHEMATICAL FOUNDATIONS (Sections 1-11)</w:t>
      </w:r>
    </w:p>
    <w:p>
      <w:r>
        <w:t>Section 1: Constitutional Numeraire Independence and Valuation Framework</w:t>
      </w:r>
    </w:p>
    <w:p>
      <w:r>
        <w:t>Section 2: Constitutional Three-Layer Reserve Valuation Model</w:t>
      </w:r>
    </w:p>
    <w:p>
      <w:r>
        <w:t>Section 3: Constitutional Net Asset Value (NAV) Framework</w:t>
      </w:r>
    </w:p>
    <w:p>
      <w:r>
        <w:t>Section 4: Constitutional Reserve Ratio</w:t>
      </w:r>
    </w:p>
    <w:p>
      <w:r>
        <w:t>Section 5: Liquidity Coverage Ratio (LCR)</w:t>
      </w:r>
    </w:p>
    <w:p>
      <w:r>
        <w:t>Section 6: Adjusted Reserve Valuation — Fixed Constitutional Haircuts</w:t>
      </w:r>
    </w:p>
    <w:p>
      <w:r>
        <w:t>Section 7: Counterparty Risk Adjustment — Composite Score</w:t>
      </w:r>
    </w:p>
    <w:p>
      <w:r>
        <w:t>Section 8: Reserve Duration Constraint</w:t>
      </w:r>
    </w:p>
    <w:p>
      <w:r>
        <w:t>Section 9: Constitutional Risk Index (CRI) — Root Mean Square</w:t>
      </w:r>
    </w:p>
    <w:p>
      <w:r>
        <w:t>Section 10: Counterparty Exposure Limits</w:t>
      </w:r>
    </w:p>
    <w:p>
      <w:r>
        <w:t>Section 11: Monetary Engine Determinism</w:t>
      </w:r>
    </w:p>
    <w:p>
      <w:r>
        <w:t>PART II — CURRENCY ENGINE (Sections 12-22)</w:t>
      </w:r>
    </w:p>
    <w:p>
      <w:r>
        <w:t>Section 12: Currency Eligibility — Constitutional Admission Framework</w:t>
      </w:r>
    </w:p>
    <w:p>
      <w:r>
        <w:t>Section 13: Structural Weight</w:t>
      </w:r>
    </w:p>
    <w:p>
      <w:r>
        <w:t>Section 14: Gold Anchor</w:t>
      </w:r>
    </w:p>
    <w:p>
      <w:r>
        <w:t>Section 15: Momentum Adjustment</w:t>
      </w:r>
    </w:p>
    <w:p>
      <w:r>
        <w:t>Section 16: Mean Reversion Adjustment</w:t>
      </w:r>
    </w:p>
    <w:p>
      <w:r>
        <w:t>Section 17: Volatility Attenuation Engine (Shock Absorber)</w:t>
      </w:r>
    </w:p>
    <w:p>
      <w:r>
        <w:t>Section 18: Liquidity Overlay</w:t>
      </w:r>
    </w:p>
    <w:p>
      <w:r>
        <w:t>Section 19: Raw Constitutional Currency Weight</w:t>
      </w:r>
    </w:p>
    <w:p>
      <w:r>
        <w:t>Section 20: Constitutional Normalization</w:t>
      </w:r>
    </w:p>
    <w:p>
      <w:r>
        <w:t>Section 21: Constitutional Concentration Cap</w:t>
      </w:r>
    </w:p>
    <w:p>
      <w:r>
        <w:t>Section 22: Constitutional Minimum Floor</w:t>
      </w:r>
    </w:p>
    <w:p>
      <w:r>
        <w:t>Section 22A: Final Constitutional Basket Verification</w:t>
      </w:r>
    </w:p>
    <w:p>
      <w:r>
        <w:t>PART III — ILLUSTRATIVE CONSTITUTIONAL CURRENCY WEIGHTING EXAMPLE (Non-Normative)</w:t>
      </w:r>
    </w:p>
    <w:p>
      <w:r>
        <w:t>PART IV — RESERVE ALLOCATION (Sections 23-29)</w:t>
      </w:r>
    </w:p>
    <w:p>
      <w:r>
        <w:t>Section 23: Constitutional Reserve Allocation Framework</w:t>
      </w:r>
    </w:p>
    <w:p>
      <w:r>
        <w:t>Section 24: Constitutional Fiat Reserve Layer</w:t>
      </w:r>
    </w:p>
    <w:p>
      <w:r>
        <w:t>Section 25: Constitutional Bullion Reserve Layer</w:t>
      </w:r>
    </w:p>
    <w:p>
      <w:r>
        <w:t>Section 26: Constitutional Operational Stablecoin Reserve Layer</w:t>
      </w:r>
    </w:p>
    <w:p>
      <w:r>
        <w:t>Section 27: Constitutional Stablecoin Replacement Framework</w:t>
      </w:r>
    </w:p>
    <w:p>
      <w:r>
        <w:t>Section 28: Constitutional Gold and Silver Acquisition Framework</w:t>
      </w:r>
    </w:p>
    <w:p>
      <w:r>
        <w:t>Section 29: Constitutional Reserve Rebalancing Algorithm</w:t>
      </w:r>
    </w:p>
    <w:p>
      <w:r>
        <w:t>PART V — ORACLE ENGINE &amp; TECHNICAL OPERATIONS (Sections 30-42)</w:t>
      </w:r>
    </w:p>
    <w:p>
      <w:r>
        <w:t>Section 30: Constitutional Oracle Architecture</w:t>
      </w:r>
    </w:p>
    <w:p>
      <w:r>
        <w:t>Section 31: Constitutional Oracle Consensus — Weighted Median Framework</w:t>
      </w:r>
    </w:p>
    <w:p>
      <w:r>
        <w:t>Section 32: Constitutional Oracle Failure Recovery</w:t>
      </w:r>
    </w:p>
    <w:p>
      <w:r>
        <w:t>Section 33: Severe Deviation Protocol (SDP)</w:t>
      </w:r>
    </w:p>
    <w:p>
      <w:r>
        <w:t>Section 34: Constitutional Redemption Sequencing</w:t>
      </w:r>
    </w:p>
    <w:p>
      <w:r>
        <w:t>Section 35: Constitutional Settlement Finality</w:t>
      </w:r>
    </w:p>
    <w:p>
      <w:r>
        <w:t>Section 36: Constitutional Supply Lifecycle</w:t>
      </w:r>
    </w:p>
    <w:p>
      <w:r>
        <w:t>Section 37: Constitutional Proof of Reserves, Solvency &amp; Transparency</w:t>
      </w:r>
    </w:p>
    <w:p>
      <w:r>
        <w:t>Section 38: Constitutional Formal Verification</w:t>
      </w:r>
    </w:p>
    <w:p>
      <w:r>
        <w:t>Section 39: Constitutional Cryptographic Framework</w:t>
      </w:r>
    </w:p>
    <w:p>
      <w:r>
        <w:t>Section 40: Constitutional Stress Testing</w:t>
      </w:r>
    </w:p>
    <w:p>
      <w:r>
        <w:t>Section 41: Constitutional Operational Capital Buffer</w:t>
      </w:r>
    </w:p>
    <w:p>
      <w:r>
        <w:t>Section 42: Constitutional Proof of Reserves Metadata</w:t>
      </w:r>
    </w:p>
    <w:p>
      <w:r>
        <w:t>PART VI — GOVERNANCE &amp; CONSTITUTIONAL FRAMEWORK (Sections 43-55)</w:t>
      </w:r>
    </w:p>
    <w:p>
      <w:r>
        <w:t>Section 43: Constitutional Amendment &amp; Governance Framework</w:t>
      </w:r>
    </w:p>
    <w:p>
      <w:r>
        <w:t>Section 44: Constitutional Emergency Governance Framework</w:t>
      </w:r>
    </w:p>
    <w:p>
      <w:r>
        <w:t>Section 45: Constitutional Invariants (Non-Amendable Provisions)</w:t>
      </w:r>
    </w:p>
    <w:p>
      <w:r>
        <w:t>Section 46: Constitutional Communication Standards</w:t>
      </w:r>
    </w:p>
    <w:p>
      <w:r>
        <w:t>Section 47: Constitutional Continuity &amp; Institutional Resilience Framework</w:t>
      </w:r>
    </w:p>
    <w:p>
      <w:r>
        <w:t>Section 48: Jurisdictional Regulatory Implementation — United States</w:t>
      </w:r>
    </w:p>
    <w:p>
      <w:r>
        <w:t>Section 49: Constitutional Sharia Governance Framework</w:t>
      </w:r>
    </w:p>
    <w:p>
      <w:r>
        <w:t>Section 50: Constitutional Bullion Standards</w:t>
      </w:r>
    </w:p>
    <w:p>
      <w:r>
        <w:t>Section 51: Constitutional Silver Standards</w:t>
      </w:r>
    </w:p>
    <w:p>
      <w:r>
        <w:t>Section 52: Mathematical Engine Evolution</w:t>
      </w:r>
    </w:p>
    <w:p>
      <w:r>
        <w:t>Section 53: Constitutional Constants Modification</w:t>
      </w:r>
    </w:p>
    <w:p>
      <w:r>
        <w:t>Section 54: Constitutional Verification &amp; Readiness</w:t>
      </w:r>
    </w:p>
    <w:p>
      <w:r>
        <w:t>Section 55: Constitutional Release Declaration</w:t>
      </w:r>
    </w:p>
    <w:p>
      <w:r>
        <w:t>Section 56: Constitutional Dependency Framework</w:t>
      </w:r>
    </w:p>
    <w:p>
      <w:r>
        <w:t>PART I — CONSTITUTIONAL MATHEMATICAL FOUNDATIONS</w:t>
      </w:r>
    </w:p>
    <w:p>
      <w:r>
        <w:t>Section 1: Constitutional Numeraire Independence and Valuation Framework</w:t>
      </w:r>
    </w:p>
    <w:p>
      <w:r>
        <w:t>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p>
    <w:p>
      <w:r>
        <w:t>Formula</w:t>
      </w:r>
    </w:p>
    <w:p>
      <w:r>
        <w:t>text</w:t>
      </w:r>
    </w:p>
    <w:p>
      <w:r>
        <w:t>R_t(n) = Σ_{a∈A} Q_{a,t} · P_{a,t}(n)</w:t>
      </w:r>
    </w:p>
    <w:p>
      <w:r>
        <w:t>Where:</w:t>
      </w:r>
    </w:p>
    <w:p>
      <w:r>
        <w:t>Constitutional Valuation Requirement</w:t>
      </w:r>
    </w:p>
    <w:p>
      <w:r>
        <w:t>All reserve assets shall be valued using independently verifiable market prices obtained through the Constitutional Oracle Framework. Every valuation shall be timestamped, reproducible, and attributable to a specific Oracle Snapshot Identifier.</w:t>
      </w:r>
    </w:p>
    <w:p>
      <w:r>
        <w:t>Numeraire Invariance</w:t>
      </w:r>
    </w:p>
    <w:p>
      <w:r>
        <w:t>Constitutional Invariant: Changing the reporting numeraire shall never change:</w:t>
      </w:r>
    </w:p>
    <w:p>
      <w:r>
        <w:t>Reserve composition</w:t>
      </w:r>
    </w:p>
    <w:p>
      <w:r>
        <w:t>Asset quantities</w:t>
      </w:r>
    </w:p>
    <w:p>
      <w:r>
        <w:t>Constitutional weights</w:t>
      </w:r>
    </w:p>
    <w:p>
      <w:r>
        <w:t>Relative asset allocations</w:t>
      </w:r>
    </w:p>
    <w:p>
      <w:r>
        <w:t>Redemption rights</w:t>
      </w:r>
    </w:p>
    <w:p>
      <w:r>
        <w:t>Governance decisions</w:t>
      </w:r>
    </w:p>
    <w:p>
      <w:r>
        <w:t>Monetary policy</w:t>
      </w:r>
    </w:p>
    <w:p>
      <w:r>
        <w:t>Only the numerical representation of valuation changes.</w:t>
      </w:r>
    </w:p>
    <w:p>
      <w:r>
        <w:t>Constitutional Statement</w:t>
      </w:r>
    </w:p>
    <w:p>
      <w:r>
        <w:t>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p>
    <w:p>
      <w:r>
        <w:t>Numeraire Invariance Property</w:t>
      </w:r>
    </w:p>
    <w:p>
      <w:r>
        <w:t>For any two approved numeraires m and n:</w:t>
      </w:r>
    </w:p>
    <w:p>
      <w:r>
        <w:t>text</w:t>
      </w:r>
    </w:p>
    <w:p>
      <w:r>
        <w:t>R_t(m) = FX_{n→m} × R_t(n)</w:t>
      </w:r>
    </w:p>
    <w:p>
      <w:r>
        <w:t>Therefore:</w:t>
      </w:r>
    </w:p>
    <w:p>
      <w:r>
        <w:t>text</w:t>
      </w:r>
    </w:p>
    <w:p>
      <w:r>
        <w:t>NAV_t(m) = FX_{n→m} × NAV_t(n)</w:t>
      </w:r>
    </w:p>
    <w:p>
      <w:r>
        <w:t>While:</w:t>
      </w:r>
    </w:p>
    <w:p>
      <w:r>
        <w:t>text</w:t>
      </w:r>
    </w:p>
    <w:p>
      <w:r>
        <w:t>W_i(m) = W_i(n)</w:t>
      </w:r>
    </w:p>
    <w:p>
      <w:r>
        <w:t>This formally proves that constitutional weights never change with numeraire selection.</w:t>
      </w:r>
    </w:p>
    <w:p>
      <w:r>
        <w:t>Implementation Requirement</w:t>
      </w:r>
    </w:p>
    <w:p>
      <w:r>
        <w:t>All internal calculations shall be performed using fixed-precision arithmetic.</w:t>
      </w:r>
    </w:p>
    <w:p>
      <w:r>
        <w:t>Conversion into the reporting numeraire occurs only at the valuation layer.</w:t>
      </w:r>
    </w:p>
    <w:p>
      <w:r>
        <w:t>Internal reserve accounting remains numerically independent of presentation currency.</w:t>
      </w:r>
    </w:p>
    <w:p>
      <w:r>
        <w:t>Verification Test</w:t>
      </w:r>
    </w:p>
    <w:p>
      <w:r>
        <w:t>The implementation shall satisfy the following verification conditions:</w:t>
      </w:r>
    </w:p>
    <w:p>
      <w:r>
        <w:t>text</w:t>
      </w:r>
    </w:p>
    <w:p>
      <w:r>
        <w:t>Input: Reserve Basket</w:t>
      </w:r>
    </w:p>
    <w:p>
      <w:r>
        <w:t>↓</w:t>
      </w:r>
    </w:p>
    <w:p>
      <w:r>
        <w:t>Compute NAV in USD</w:t>
      </w:r>
    </w:p>
    <w:p>
      <w:r>
        <w:t>↓</w:t>
      </w:r>
    </w:p>
    <w:p>
      <w:r>
        <w:t>Convert to EUR</w:t>
      </w:r>
    </w:p>
    <w:p>
      <w:r>
        <w:t>↓</w:t>
      </w:r>
    </w:p>
    <w:p>
      <w:r>
        <w:t>Convert to XDR</w:t>
      </w:r>
    </w:p>
    <w:p>
      <w:r>
        <w:t>↓</w:t>
      </w:r>
    </w:p>
    <w:p>
      <w:r>
        <w:t>Compare Basket Weights</w:t>
      </w:r>
    </w:p>
    <w:p>
      <w:r>
        <w:t>↓</w:t>
      </w:r>
    </w:p>
    <w:p>
      <w:r>
        <w:t>Result: All constitutional weights identical</w:t>
      </w:r>
    </w:p>
    <w:p>
      <w:r>
        <w:t>Reserve quantities identical</w:t>
      </w:r>
    </w:p>
    <w:p>
      <w:r>
        <w:t>Only reported values differ</w:t>
      </w:r>
    </w:p>
    <w:p>
      <w:r>
        <w:t>Constitutional Design Principle</w:t>
      </w:r>
    </w:p>
    <w:p>
      <w:r>
        <w:t>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p>
    <w:p>
      <w:r>
        <w:t>External Validation</w:t>
      </w:r>
    </w:p>
    <w:p>
      <w:r>
        <w:t>Independent auditors shall be capable of reproducing reserve valuations in any approved reporting numeraire using identical reserve quantities, oracle data, and exchange rates.</w:t>
      </w:r>
    </w:p>
    <w:p>
      <w:r>
        <w:t>Successful reproduction shall produce identical constitutional weights and reserve composition.</w:t>
      </w:r>
    </w:p>
    <w:p>
      <w:r>
        <w:t>Mathematical Proof of Numeraire Independence</w:t>
      </w:r>
    </w:p>
    <w:p>
      <w:r>
        <w:t>Let:</w:t>
      </w:r>
    </w:p>
    <w:p>
      <w:r>
        <w:t>text</w:t>
      </w:r>
    </w:p>
    <w:p>
      <w:r>
        <w:t>P_a(m) = FX_{n→m} × P_a(n)</w:t>
      </w:r>
    </w:p>
    <w:p>
      <w:r>
        <w:t>Then:</w:t>
      </w:r>
    </w:p>
    <w:p>
      <w:r>
        <w:t>text</w:t>
      </w:r>
    </w:p>
    <w:p>
      <w:r>
        <w:t>R_t(m) = Σ Q × P(m)</w:t>
      </w:r>
    </w:p>
    <w:p>
      <w:r>
        <w:t>= Σ Q × FX × P(n)</w:t>
      </w:r>
    </w:p>
    <w:p>
      <w:r>
        <w:t>= FX × Σ Q × P(n)</w:t>
      </w:r>
    </w:p>
    <w:p>
      <w:r>
        <w:t>= FX × R_t(n)</w:t>
      </w:r>
    </w:p>
    <w:p>
      <w:r>
        <w:t>Since:</w:t>
      </w:r>
    </w:p>
    <w:p>
      <w:r>
        <w:t>text</w:t>
      </w:r>
    </w:p>
    <w:p>
      <w:r>
        <w:t>NAV = R / S</w:t>
      </w:r>
    </w:p>
    <w:p>
      <w:r>
        <w:t>Then:</w:t>
      </w:r>
    </w:p>
    <w:p>
      <w:r>
        <w:t>text</w:t>
      </w:r>
    </w:p>
    <w:p>
      <w:r>
        <w:t>NAV(m) = FX × NAV(n)</w:t>
      </w:r>
    </w:p>
    <w:p>
      <w:r>
        <w:t>Since W_i depends only upon relative reserve composition, not accounting units:</w:t>
      </w:r>
    </w:p>
    <w:p>
      <w:r>
        <w:t>text</w:t>
      </w:r>
    </w:p>
    <w:p>
      <w:r>
        <w:t>W_i(m) = W_i(n)</w:t>
      </w:r>
    </w:p>
    <w:p>
      <w:r>
        <w:t>Q.E.D. — Constitutional weights are invariant with respect to numeraire selection.</w:t>
      </w:r>
    </w:p>
    <w:p>
      <w:r>
        <w:t>Constitutional Verification</w:t>
      </w:r>
    </w:p>
    <w:p>
      <w:r>
        <w:t>text</w:t>
      </w:r>
    </w:p>
    <w:p>
      <w:r>
        <w:t>✓ Constitutional Principle established</w:t>
      </w:r>
    </w:p>
    <w:p>
      <w:r>
        <w:t>✓ Valuation Framework defined</w:t>
      </w:r>
    </w:p>
    <w:p>
      <w:r>
        <w:t>✓ Numeraire Invariance established</w:t>
      </w:r>
    </w:p>
    <w:p>
      <w:r>
        <w:t>✓ Constitutional Statement made</w:t>
      </w:r>
    </w:p>
    <w:p>
      <w:r>
        <w:t>✓ Numeraire Invariance Property proven</w:t>
      </w:r>
    </w:p>
    <w:p>
      <w:r>
        <w:t>✓ Implementation Requirement established</w:t>
      </w:r>
    </w:p>
    <w:p>
      <w:r>
        <w:t>✓ Verification Test defined</w:t>
      </w:r>
    </w:p>
    <w:p>
      <w:r>
        <w:t>✓ Constitutional Design Principle established</w:t>
      </w:r>
    </w:p>
    <w:p>
      <w:r>
        <w:t>✓ External Validation requirement established</w:t>
      </w:r>
    </w:p>
    <w:p>
      <w:r>
        <w:t>✓ Mathematical Proof completed</w:t>
      </w:r>
    </w:p>
    <w:p>
      <w:r>
        <w:t>Related Sections</w:t>
      </w:r>
    </w:p>
    <w:p>
      <w:r>
        <w:t>Section 2 — Constitutional Three-Layer Reserve Valuation Model</w:t>
      </w:r>
    </w:p>
    <w:p>
      <w:r>
        <w:t>Section 3 — Constitutional Net Asset Value (NAV) Framework</w:t>
      </w:r>
    </w:p>
    <w:p>
      <w:r>
        <w:t>Section 14 — Gold Anchor</w:t>
      </w:r>
    </w:p>
    <w:p>
      <w:r>
        <w:t>Section 42 — Constitutional Proof of Reserves Metadata</w:t>
      </w:r>
    </w:p>
    <w:p>
      <w:r>
        <w:t>Relation to Layer 0:</w:t>
      </w:r>
    </w:p>
    <w:p>
      <w:r>
        <w:t>This Section implements the following doctrines established in Layer 0:</w:t>
      </w:r>
    </w:p>
    <w:p>
      <w:r>
        <w:t>All numeraire independence requirements derive their constitutional authority from Layer 0, Section 0.1 (Institutional Identity and Purpose) and Section 0.2 (Constitutional Interpretation Rules).</w:t>
      </w:r>
    </w:p>
    <w:p>
      <w:r>
        <w:t>[END OF SECTION 1 — CONSTITUTIONAL NUMERAIRE INDEPENDENCE AND VALUATION FRAMEWORK]</w:t>
      </w:r>
    </w:p>
    <w:p>
      <w:r>
        <w:t>Section 2: Constitutional Three-Layer Reserve Valuation Model</w:t>
      </w:r>
    </w:p>
    <w:p>
      <w:r>
        <w:t>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p>
    <w:p>
      <w:r>
        <w:t>2.1 Market Reserve (Accounting)</w:t>
      </w:r>
    </w:p>
    <w:p>
      <w:r>
        <w:t>text</w:t>
      </w:r>
    </w:p>
    <w:p>
      <w:r>
        <w:t>R_m = ∑_{a∈A} Q_{a,t} × P_{a,t}(n)</w:t>
      </w:r>
    </w:p>
    <w:p>
      <w:r>
        <w:t>Purpose: Market Reserve represents the mark-to-market accounting value of constitutional reserves before prudential adjustments. It is used exclusively for accounting valuation, financial reporting, and calculation of Market NAV.</w:t>
      </w:r>
    </w:p>
    <w:p>
      <w:r>
        <w:t>2.2 Adjusted Reserve (Solvency)</w:t>
      </w:r>
    </w:p>
    <w:p>
      <w:r>
        <w:t>text</w:t>
      </w:r>
    </w:p>
    <w:p>
      <w:r>
        <w:t>R_a = ∑_{a∈A} Q_{a,t} × P_{a,t}(n) × (1−H_a) × C_a</w:t>
      </w:r>
    </w:p>
    <w:p>
      <w:r>
        <w:t>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p>
    <w:p>
      <w:r>
        <w:t>2.3 Liquidation Reserve (Extreme Stress)</w:t>
      </w:r>
    </w:p>
    <w:p>
      <w:r>
        <w:t>text</w:t>
      </w:r>
    </w:p>
    <w:p>
      <w:r>
        <w:t>R_l = ∑_{a∈A} Q_{a,t} × P_{a,t}(n) × (1−H_a) × C_a × S_a</w:t>
      </w:r>
    </w:p>
    <w:p>
      <w:r>
        <w:t>Purpose: Liquidation Reserve represents the estimated realizable value of constitutional reserves under severe market disruption, distressed liquidation, and crisis conditions. It is used exclusively for stress testing, contingency planning, and reverse stress analysis.</w:t>
      </w:r>
    </w:p>
    <w:p>
      <w:r>
        <w:t>Variable Definitions</w:t>
      </w:r>
    </w:p>
    <w:p>
      <w:r>
        <w:t>Constitutional Reserve Hierarchy</w:t>
      </w:r>
    </w:p>
    <w:p>
      <w:r>
        <w:t>The reserve measures satisfy the following constitutional relationship:</w:t>
      </w:r>
    </w:p>
    <w:p>
      <w:r>
        <w:t>text</w:t>
      </w:r>
    </w:p>
    <w:p>
      <w:r>
        <w:t>R_l ≤ R_a ≤ R_m</w:t>
      </w:r>
    </w:p>
    <w:p>
      <w:r>
        <w:t>This relationship shall always hold.</w:t>
      </w:r>
    </w:p>
    <w:p>
      <w:r>
        <w:t>If R_a &gt; R_m or R_l &gt; R_a, the valuation process shall immediately fail constitutional verification.</w:t>
      </w:r>
    </w:p>
    <w:p>
      <w:r>
        <w:t>Constitutional Invariants</w:t>
      </w:r>
    </w:p>
    <w:p>
      <w:r>
        <w:t>Every valuation cycle shall satisfy:</w:t>
      </w:r>
    </w:p>
    <w:p>
      <w:r>
        <w:t>0 ≤ H_a ≤ 1</w:t>
      </w:r>
    </w:p>
    <w:p>
      <w:r>
        <w:t>0 ≤ C_a ≤ 1</w:t>
      </w:r>
    </w:p>
    <w:p>
      <w:r>
        <w:t>0 ≤ S_a ≤ 1</w:t>
      </w:r>
    </w:p>
    <w:p>
      <w:r>
        <w:t>R_l ≤ R_a ≤ R_m</w:t>
      </w:r>
    </w:p>
    <w:p>
      <w:r>
        <w:t>These invariants shall be verified automatically before any Proof of Reserves is generated.</w:t>
      </w:r>
    </w:p>
    <w:p>
      <w:r>
        <w:t>Reserve Layer Purpose Table</w:t>
      </w:r>
    </w:p>
    <w:p>
      <w:r>
        <w:t>Implementation Requirement</w:t>
      </w:r>
    </w:p>
    <w:p>
      <w:r>
        <w:t>Reserve layers shall be calculated sequentially:</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Each layer shall use the output of the previous layer.</w:t>
      </w:r>
    </w:p>
    <w:p>
      <w:r>
        <w:t>Direct calculation of Liquidation Reserve from Market Reserve without intermediate validation is prohibited.</w:t>
      </w:r>
    </w:p>
    <w:p>
      <w:r>
        <w:t>Validation Rules</w:t>
      </w:r>
    </w:p>
    <w:p>
      <w:r>
        <w:t>Every reserve calculation shall satisfy the following verification checks:</w:t>
      </w:r>
    </w:p>
    <w:p>
      <w:r>
        <w:t>text</w:t>
      </w:r>
    </w:p>
    <w:p>
      <w:r>
        <w:t>Market Reserve calculated successfully</w:t>
      </w:r>
    </w:p>
    <w:p>
      <w:r>
        <w:t>│</w:t>
      </w:r>
    </w:p>
    <w:p>
      <w:r>
        <w:t>▼</w:t>
      </w:r>
    </w:p>
    <w:p>
      <w:r>
        <w:t>Adjusted Reserve ≤ Market Reserve</w:t>
      </w:r>
    </w:p>
    <w:p>
      <w:r>
        <w:t>│</w:t>
      </w:r>
    </w:p>
    <w:p>
      <w:r>
        <w:t>▼</w:t>
      </w:r>
    </w:p>
    <w:p>
      <w:r>
        <w:t>Liquidation Reserve ≤ Adjusted Reserve</w:t>
      </w:r>
    </w:p>
    <w:p>
      <w:r>
        <w:t>│</w:t>
      </w:r>
    </w:p>
    <w:p>
      <w:r>
        <w:t>▼</w:t>
      </w:r>
    </w:p>
    <w:p>
      <w:r>
        <w:t>No negative reserve values</w:t>
      </w:r>
    </w:p>
    <w:p>
      <w:r>
        <w:t>│</w:t>
      </w:r>
    </w:p>
    <w:p>
      <w:r>
        <w:t>▼</w:t>
      </w:r>
    </w:p>
    <w:p>
      <w:r>
        <w:t>All reserve assets included exactly once</w:t>
      </w:r>
    </w:p>
    <w:p>
      <w:r>
        <w:t>│</w:t>
      </w:r>
    </w:p>
    <w:p>
      <w:r>
        <w:t>▼</w:t>
      </w:r>
    </w:p>
    <w:p>
      <w:r>
        <w:t>Reserve valuation timestamp consistent across all assets</w:t>
      </w:r>
    </w:p>
    <w:p>
      <w:r>
        <w:t>│</w:t>
      </w:r>
    </w:p>
    <w:p>
      <w:r>
        <w:t>▼</w:t>
      </w:r>
    </w:p>
    <w:p>
      <w:r>
        <w:t>Oracle Snapshot ID identical for all calculations</w:t>
      </w:r>
    </w:p>
    <w:p>
      <w:r>
        <w:t>Failure of any verification invalidates the valuation cycle.</w:t>
      </w:r>
    </w:p>
    <w:p>
      <w:r>
        <w:t>Accounting Clarification</w:t>
      </w:r>
    </w:p>
    <w:p>
      <w:r>
        <w:t>Market Reserve represents fair-value accounting based upon current market prices. It is not historical cost accounting.</w:t>
      </w:r>
    </w:p>
    <w:p>
      <w:r>
        <w:t>Constitutional Clarification</w:t>
      </w:r>
    </w:p>
    <w:p>
      <w:r>
        <w:t>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p>
    <w:p>
      <w:r>
        <w:t>Constitutional Design Principle</w:t>
      </w:r>
    </w:p>
    <w:p>
      <w:r>
        <w:t>Reserve strength shall be evaluated under multiple valuation perspectives rather than a single numerical measure. Accounting value, prudential solvency, and crisis resilience answer different constitutional questions and therefore require different reserve metrics.</w:t>
      </w:r>
    </w:p>
    <w:p>
      <w:r>
        <w:t>Formal Verification Properties</w:t>
      </w:r>
    </w:p>
    <w:p>
      <w:r>
        <w:t>The implementation shall verify:</w:t>
      </w:r>
    </w:p>
    <w:p>
      <w:r>
        <w:t>∀ assets:</w:t>
      </w:r>
    </w:p>
    <w:p>
      <w:r>
        <w:t>Q ≥ 0</w:t>
      </w:r>
    </w:p>
    <w:p>
      <w:r>
        <w:t>P ≥ 0</w:t>
      </w:r>
    </w:p>
    <w:p>
      <w:r>
        <w:t>0 ≤ H ≤ 1</w:t>
      </w:r>
    </w:p>
    <w:p>
      <w:r>
        <w:t>0 ≤ C ≤ 1</w:t>
      </w:r>
    </w:p>
    <w:p>
      <w:r>
        <w:t>0 ≤ S ≤ 1</w:t>
      </w:r>
    </w:p>
    <w:p>
      <w:r>
        <w:t>And:</w:t>
      </w:r>
    </w:p>
    <w:p>
      <w:r>
        <w:t>R_l ≤ R_a ≤ R_m</w:t>
      </w:r>
    </w:p>
    <w:p>
      <w:r>
        <w:t>For every valuation cycle.</w:t>
      </w:r>
    </w:p>
    <w:p>
      <w:r>
        <w:t>External Audit Requirement</w:t>
      </w:r>
    </w:p>
    <w:p>
      <w:r>
        <w:t>Independent auditors shall be capable of reproducing all three reserve layers using identical reserve quantities, oracle prices, constitutional haircuts, counterparty adjustments, and stress coefficients.</w:t>
      </w:r>
    </w:p>
    <w:p>
      <w:r>
        <w:t>Successful reproduction shall produce identical reserve values within the defined numerical precision.</w:t>
      </w:r>
    </w:p>
    <w:p>
      <w:r>
        <w:t>Complete Process Flow</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w:t>
      </w:r>
    </w:p>
    <w:p>
      <w:r>
        <w:t>▼</w:t>
      </w:r>
    </w:p>
    <w:p>
      <w:r>
        <w:t>Reserve Ratio      Stress Testing      Proof of Reserves      Regulatory Reporting</w:t>
      </w:r>
    </w:p>
    <w:p>
      <w:r>
        <w:t>Constitutional Verification</w:t>
      </w:r>
    </w:p>
    <w:p>
      <w:r>
        <w:t>text</w:t>
      </w:r>
    </w:p>
    <w:p>
      <w:r>
        <w:t>✓ Constitutional Principle established</w:t>
      </w:r>
    </w:p>
    <w:p>
      <w:r>
        <w:t>✓ Market Reserve defined</w:t>
      </w:r>
    </w:p>
    <w:p>
      <w:r>
        <w:t>✓ Adjusted Reserve defined</w:t>
      </w:r>
    </w:p>
    <w:p>
      <w:r>
        <w:t>✓ Liquidation Reserve defined</w:t>
      </w:r>
    </w:p>
    <w:p>
      <w:r>
        <w:t>✓ Variable Definitions provided</w:t>
      </w:r>
    </w:p>
    <w:p>
      <w:r>
        <w:t>✓ Constitutional Reserve Hierarchy established</w:t>
      </w:r>
    </w:p>
    <w:p>
      <w:r>
        <w:t>✓ Constitutional Invariants defined</w:t>
      </w:r>
    </w:p>
    <w:p>
      <w:r>
        <w:t>✓ Reserve Layer Purpose Table defined</w:t>
      </w:r>
    </w:p>
    <w:p>
      <w:r>
        <w:t>✓ Implementation Requirement established</w:t>
      </w:r>
    </w:p>
    <w:p>
      <w:r>
        <w:t>✓ Validation Rules established</w:t>
      </w:r>
    </w:p>
    <w:p>
      <w:r>
        <w:t>✓ Accounting Clarification provided</w:t>
      </w:r>
    </w:p>
    <w:p>
      <w:r>
        <w:t>✓ Constitutional Clarification provided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3 — Constitutional Net Asset Value (NAV) Framework</w:t>
      </w:r>
    </w:p>
    <w:p>
      <w:r>
        <w:t>Section 4 — Constitutional Reserve Ratio</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2 — CONSTITUTIONAL THREE-LAYER RESERVE VALUATION MODEL]</w:t>
      </w:r>
    </w:p>
    <w:p>
      <w:r>
        <w:t>Section 3: Constitutional Net Asset Value (NAV) Framework</w:t>
      </w:r>
    </w:p>
    <w:p>
      <w:r>
        <w:t>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p>
    <w:p>
      <w:r>
        <w:t>3.1 Market NAV (Accounting)</w:t>
      </w:r>
    </w:p>
    <w:p>
      <w:r>
        <w:t>text</w:t>
      </w:r>
    </w:p>
    <w:p>
      <w:r>
        <w:t>NAV_m = R_m / S</w:t>
      </w:r>
    </w:p>
    <w:p>
      <w:r>
        <w:t>Purpose: Market NAV represents the fair-value accounting value of one MTQ unit based upon Market Reserve. It shall be used exclusively for financial reporting, reserve valuation, accounting disclosures, and redemption pricing.</w:t>
      </w:r>
    </w:p>
    <w:p>
      <w:r>
        <w:t>3.2 Prudential NAV (Solvency)</w:t>
      </w:r>
    </w:p>
    <w:p>
      <w:r>
        <w:t>text</w:t>
      </w:r>
    </w:p>
    <w:p>
      <w:r>
        <w:t>NAV_l = R_a / S</w:t>
      </w:r>
    </w:p>
    <w:p>
      <w:r>
        <w:t>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p>
    <w:p>
      <w:r>
        <w:t>3.3 Stress NAV (Extreme)</w:t>
      </w:r>
    </w:p>
    <w:p>
      <w:r>
        <w:t>text</w:t>
      </w:r>
    </w:p>
    <w:p>
      <w:r>
        <w:t>NAV_stress = R_l / S</w:t>
      </w:r>
    </w:p>
    <w:p>
      <w:r>
        <w:t>Purpose: Stress NAV represents the estimated realizable value of one MTQ unit under severe market disruption and distressed liquidation conditions. It shall be used exclusively for stress testing, reverse stress testing, recovery planning, and contingency analysis.</w:t>
      </w:r>
    </w:p>
    <w:p>
      <w:r>
        <w:t>Variable Definitions</w:t>
      </w:r>
    </w:p>
    <w:p>
      <w:r>
        <w:t>Constitutional NAV Hierarchy</w:t>
      </w:r>
    </w:p>
    <w:p>
      <w:r>
        <w:t>The following relationship shall always hold:</w:t>
      </w:r>
    </w:p>
    <w:p>
      <w:r>
        <w:t>text</w:t>
      </w:r>
    </w:p>
    <w:p>
      <w:r>
        <w:t>NAV_stress ≤ NAV_l ≤ NAV_m</w:t>
      </w:r>
    </w:p>
    <w:p>
      <w:r>
        <w:t>This relationship is a Constitutional Invariant.</w:t>
      </w:r>
    </w:p>
    <w:p>
      <w:r>
        <w:t>Any calculation violating this hierarchy shall fail constitutional verification.</w:t>
      </w:r>
    </w:p>
    <w:p>
      <w:r>
        <w:t>Constitutional Invariants</w:t>
      </w:r>
    </w:p>
    <w:p>
      <w:r>
        <w:t>Every NAV calculation shall satisfy:</w:t>
      </w:r>
    </w:p>
    <w:p>
      <w:r>
        <w:t>S &gt; 0</w:t>
      </w:r>
    </w:p>
    <w:p>
      <w:r>
        <w:t>NAV_m ≥ 0</w:t>
      </w:r>
    </w:p>
    <w:p>
      <w:r>
        <w:t>NAV_l ≥ 0</w:t>
      </w:r>
    </w:p>
    <w:p>
      <w:r>
        <w:t>NAV_stress ≥ 0</w:t>
      </w:r>
    </w:p>
    <w:p>
      <w:r>
        <w:t>NAV_stress ≤ NAV_l ≤ NAV_m</w:t>
      </w:r>
    </w:p>
    <w:p>
      <w:r>
        <w:t>No NAV calculation shall proceed if the MTQ supply equals zero.</w:t>
      </w:r>
    </w:p>
    <w:p>
      <w:r>
        <w:t>NAV Purpose Table</w:t>
      </w:r>
    </w:p>
    <w:p>
      <w:r>
        <w:t>Implementation Requirement</w:t>
      </w:r>
    </w:p>
    <w:p>
      <w:r>
        <w:t>NAV values shall be calculated only after successful completion of the corresponding reserve valuation:</w:t>
      </w:r>
    </w:p>
    <w:p>
      <w:r>
        <w:t>text</w:t>
      </w:r>
    </w:p>
    <w:p>
      <w:r>
        <w:t>Market Reserve</w:t>
      </w:r>
    </w:p>
    <w:p>
      <w:r>
        <w:t>│</w:t>
      </w:r>
    </w:p>
    <w:p>
      <w:r>
        <w:t>▼</w:t>
      </w:r>
    </w:p>
    <w:p>
      <w:r>
        <w:t>Market NAV</w:t>
      </w:r>
    </w:p>
    <w:p>
      <w:r>
        <w:t>Adjusted Reserve</w:t>
      </w:r>
    </w:p>
    <w:p>
      <w:r>
        <w:t>│</w:t>
      </w:r>
    </w:p>
    <w:p>
      <w:r>
        <w:t>▼</w:t>
      </w:r>
    </w:p>
    <w:p>
      <w:r>
        <w:t>Prudential NAV</w:t>
      </w:r>
    </w:p>
    <w:p>
      <w:r>
        <w:t>Liquidation Reserve</w:t>
      </w:r>
    </w:p>
    <w:p>
      <w:r>
        <w:t>│</w:t>
      </w:r>
    </w:p>
    <w:p>
      <w:r>
        <w:t>▼</w:t>
      </w:r>
    </w:p>
    <w:p>
      <w:r>
        <w:t>Stress NAV</w:t>
      </w:r>
    </w:p>
    <w:p>
      <w:r>
        <w:t>NAV calculations shall never bypass reserve validation.</w:t>
      </w:r>
    </w:p>
    <w:p>
      <w:r>
        <w:t>Constitutional Clarification</w:t>
      </w:r>
    </w:p>
    <w:p>
      <w:r>
        <w:t>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p>
    <w:p>
      <w:r>
        <w:t>Numeraire Independence</w:t>
      </w:r>
    </w:p>
    <w:p>
      <w:r>
        <w:t>For any approved reporting numeraires m and n:</w:t>
      </w:r>
    </w:p>
    <w:p>
      <w:r>
        <w:t>NAV_m(m) = FX_{n→m} × NAV_m(n)</w:t>
      </w:r>
    </w:p>
    <w:p>
      <w:r>
        <w:t>NAV_l(m) = FX_{n→m} × NAV_l(n)</w:t>
      </w:r>
    </w:p>
    <w:p>
      <w:r>
        <w:t>NAV_stress(m) = FX_{n→m} × NAV_stress(n)</w:t>
      </w:r>
    </w:p>
    <w:p>
      <w:r>
        <w:t>Changing the reporting numeraire modifies only the numerical expression of NAV. It shall never modify reserve composition, constitutional weights, redemption rights, or reserve adequacy.</w:t>
      </w:r>
    </w:p>
    <w:p>
      <w:r>
        <w:t>Validation Rules</w:t>
      </w:r>
    </w:p>
    <w:p>
      <w:r>
        <w:t>Every NAV calculation shall verify:</w:t>
      </w:r>
    </w:p>
    <w:p>
      <w:r>
        <w:t>text</w:t>
      </w:r>
    </w:p>
    <w:p>
      <w:r>
        <w:t>Reserve valuation completed</w:t>
      </w:r>
    </w:p>
    <w:p>
      <w:r>
        <w:t>│</w:t>
      </w:r>
    </w:p>
    <w:p>
      <w:r>
        <w:t>▼</w:t>
      </w:r>
    </w:p>
    <w:p>
      <w:r>
        <w:t>Supply greater than zero</w:t>
      </w:r>
    </w:p>
    <w:p>
      <w:r>
        <w:t>│</w:t>
      </w:r>
    </w:p>
    <w:p>
      <w:r>
        <w:t>▼</w:t>
      </w:r>
    </w:p>
    <w:p>
      <w:r>
        <w:t>Correct reserve layer selected</w:t>
      </w:r>
    </w:p>
    <w:p>
      <w:r>
        <w:t>│</w:t>
      </w:r>
    </w:p>
    <w:p>
      <w:r>
        <w:t>▼</w:t>
      </w:r>
    </w:p>
    <w:p>
      <w:r>
        <w:t>NAV calculated</w:t>
      </w:r>
    </w:p>
    <w:p>
      <w:r>
        <w:t>│</w:t>
      </w:r>
    </w:p>
    <w:p>
      <w:r>
        <w:t>▼</w:t>
      </w:r>
    </w:p>
    <w:p>
      <w:r>
        <w:t>Numerical precision verified</w:t>
      </w:r>
    </w:p>
    <w:p>
      <w:r>
        <w:t>│</w:t>
      </w:r>
    </w:p>
    <w:p>
      <w:r>
        <w:t>▼</w:t>
      </w:r>
    </w:p>
    <w:p>
      <w:r>
        <w:t>Hierarchy verified</w:t>
      </w:r>
    </w:p>
    <w:p>
      <w:r>
        <w:t>│</w:t>
      </w:r>
    </w:p>
    <w:p>
      <w:r>
        <w:t>▼</w:t>
      </w:r>
    </w:p>
    <w:p>
      <w:r>
        <w:t>Proof generated</w:t>
      </w:r>
    </w:p>
    <w:p>
      <w:r>
        <w:t>Failure of any validation step invalidates the NAV calculation.</w:t>
      </w:r>
    </w:p>
    <w:p>
      <w:r>
        <w:t>Constitutional Design Principle</w:t>
      </w:r>
    </w:p>
    <w:p>
      <w:r>
        <w:t>The Institution distinguishes between valuation, solvency, and crisis resilience. A single NAV measure cannot simultaneously satisfy accounting, prudential regulation, and stress analysis. Separate NAV definitions improve transparency, auditability, and institutional discipline.</w:t>
      </w:r>
    </w:p>
    <w:p>
      <w:r>
        <w:t>Formal Verification Properties</w:t>
      </w:r>
    </w:p>
    <w:p>
      <w:r>
        <w:t>The implementation shall verify:</w:t>
      </w:r>
    </w:p>
    <w:p>
      <w:r>
        <w:t>S &gt; 0</w:t>
      </w:r>
    </w:p>
    <w:p>
      <w:r>
        <w:t>R_m ≥ R_a ≥ R_l</w:t>
      </w:r>
    </w:p>
    <w:p>
      <w:r>
        <w:t>NAV_m ≥ NAV_l ≥ NAV_stress</w:t>
      </w:r>
    </w:p>
    <w:p>
      <w:r>
        <w:t>Division by zero impossible</w:t>
      </w:r>
    </w:p>
    <w:p>
      <w:r>
        <w:t>Deterministic arithmetic only</w:t>
      </w:r>
    </w:p>
    <w:p>
      <w:r>
        <w:t>These properties shall be verified for every valuation cycle.</w:t>
      </w:r>
    </w:p>
    <w:p>
      <w:r>
        <w:t>External Audit Requirement</w:t>
      </w:r>
    </w:p>
    <w:p>
      <w:r>
        <w:t>Independent auditors shall be capable of reproducing all NAV measures using identical reserve quantities, reserve valuations, MTQ supply, and oracle data.</w:t>
      </w:r>
    </w:p>
    <w:p>
      <w:r>
        <w:t>Successful reproduction shall generate identical NAV values within the defined numerical precision.</w:t>
      </w:r>
    </w:p>
    <w:p>
      <w:r>
        <w:t>Complete Process Flow</w:t>
      </w:r>
    </w:p>
    <w:p>
      <w:r>
        <w:t>text</w:t>
      </w:r>
    </w:p>
    <w:p>
      <w:r>
        <w:t>Reserve Assets</w:t>
      </w:r>
    </w:p>
    <w:p>
      <w:r>
        <w:t>│</w:t>
      </w:r>
    </w:p>
    <w:p>
      <w:r>
        <w:t>▼</w:t>
      </w:r>
    </w:p>
    <w:p>
      <w:r>
        <w:t>Market Reserve (R_m)</w:t>
      </w:r>
    </w:p>
    <w:p>
      <w:r>
        <w:t>│</w:t>
      </w:r>
    </w:p>
    <w:p>
      <w:r>
        <w:t>▼</w:t>
      </w:r>
    </w:p>
    <w:p>
      <w:r>
        <w:t>Market NAV (NAV_m)</w:t>
      </w:r>
    </w:p>
    <w:p>
      <w:r>
        <w:t>│</w:t>
      </w:r>
    </w:p>
    <w:p>
      <w:r>
        <w:t>▼</w:t>
      </w:r>
    </w:p>
    <w:p>
      <w:r>
        <w:t>Accounting &amp; Redemption Valuation</w:t>
      </w:r>
    </w:p>
    <w:p>
      <w:r>
        <w:t>Adjusted Reserve (R_a)</w:t>
      </w:r>
    </w:p>
    <w:p>
      <w:r>
        <w:t>│</w:t>
      </w:r>
    </w:p>
    <w:p>
      <w:r>
        <w:t>▼</w:t>
      </w:r>
    </w:p>
    <w:p>
      <w:r>
        <w:t>Prudential NAV (NAV_l)</w:t>
      </w:r>
    </w:p>
    <w:p>
      <w:r>
        <w:t>│</w:t>
      </w:r>
    </w:p>
    <w:p>
      <w:r>
        <w:t>▼</w:t>
      </w:r>
    </w:p>
    <w:p>
      <w:r>
        <w:t>Reserve Ratio</w:t>
      </w:r>
    </w:p>
    <w:p>
      <w:r>
        <w:t>Proof of Reserves</w:t>
      </w:r>
    </w:p>
    <w:p>
      <w:r>
        <w:t>Solvency Monitoring</w:t>
      </w:r>
    </w:p>
    <w:p>
      <w:r>
        <w:t>Liquidation Reserve (R_l)</w:t>
      </w:r>
    </w:p>
    <w:p>
      <w:r>
        <w:t>│</w:t>
      </w:r>
    </w:p>
    <w:p>
      <w:r>
        <w:t>▼</w:t>
      </w:r>
    </w:p>
    <w:p>
      <w:r>
        <w:t>Stress NAV (NAV_stress)</w:t>
      </w:r>
    </w:p>
    <w:p>
      <w:r>
        <w:t>│</w:t>
      </w:r>
    </w:p>
    <w:p>
      <w:r>
        <w:t>▼</w:t>
      </w:r>
    </w:p>
    <w:p>
      <w:r>
        <w:t>Stress Testing</w:t>
      </w:r>
    </w:p>
    <w:p>
      <w:r>
        <w:t>Recovery Planning</w:t>
      </w:r>
    </w:p>
    <w:p>
      <w:r>
        <w:t>Reverse Stress Analysis</w:t>
      </w:r>
    </w:p>
    <w:p>
      <w:r>
        <w:t>Constitutional Verification</w:t>
      </w:r>
    </w:p>
    <w:p>
      <w:r>
        <w:t>text</w:t>
      </w:r>
    </w:p>
    <w:p>
      <w:r>
        <w:t>✓ Constitutional Principle established</w:t>
      </w:r>
    </w:p>
    <w:p>
      <w:r>
        <w:t>✓ Market NAV defined</w:t>
      </w:r>
    </w:p>
    <w:p>
      <w:r>
        <w:t>✓ Prudential NAV defined</w:t>
      </w:r>
    </w:p>
    <w:p>
      <w:r>
        <w:t>✓ Stress NAV defined</w:t>
      </w:r>
    </w:p>
    <w:p>
      <w:r>
        <w:t>✓ Variable Definitions provided</w:t>
      </w:r>
    </w:p>
    <w:p>
      <w:r>
        <w:t>✓ Constitutional NAV Hierarchy established</w:t>
      </w:r>
    </w:p>
    <w:p>
      <w:r>
        <w:t>✓ Constitutional Invariants defined</w:t>
      </w:r>
    </w:p>
    <w:p>
      <w:r>
        <w:t>✓ NAV Purpose Table defined</w:t>
      </w:r>
    </w:p>
    <w:p>
      <w:r>
        <w:t>✓ Implementation Requirement established</w:t>
      </w:r>
    </w:p>
    <w:p>
      <w:r>
        <w:t>✓ Constitutional Clarification provided</w:t>
      </w:r>
    </w:p>
    <w:p>
      <w:r>
        <w:t>✓ Numeraire Independence established</w:t>
      </w:r>
    </w:p>
    <w:p>
      <w:r>
        <w:t>✓ Validation Rules established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2 — Constitutional Three-Layer Reserve Valuation Model</w:t>
      </w:r>
    </w:p>
    <w:p>
      <w:r>
        <w:t>Section 4 — Constitutional Reserve Ratio</w:t>
      </w:r>
    </w:p>
    <w:p>
      <w:r>
        <w:t>Section 5 — Liquidity Coverage Ratio (LCR)</w:t>
      </w:r>
    </w:p>
    <w:p>
      <w:r>
        <w:t>Section 6 — Adjusted Reserve Valuation — Fixed Constitutional Haircuts</w:t>
      </w:r>
    </w:p>
    <w:p>
      <w:r>
        <w:t>Section 34 — Constitutional Redemption Sequencing</w:t>
      </w:r>
    </w:p>
    <w:p>
      <w:r>
        <w:t>Section 42 — Constitutional Proof of Reserves Metadata</w:t>
      </w:r>
    </w:p>
    <w:p>
      <w:r>
        <w:t>[END OF SECTION 3 — CONSTITUTIONAL NET ASSET VALUE (NAV) FRAMEWORK]</w:t>
      </w:r>
    </w:p>
    <w:p>
      <w:r>
        <w:t>Section 4: Constitutional Reserve Ratio</w:t>
      </w:r>
    </w:p>
    <w:p>
      <w:r>
        <w:t>text</w:t>
      </w:r>
    </w:p>
    <w:p>
      <w:r>
        <w:t>RR = R_a / L</w:t>
      </w:r>
    </w:p>
    <w:p>
      <w:r>
        <w:t>Where:</w:t>
      </w:r>
    </w:p>
    <w:p>
      <w:r>
        <w:t>R_a = Adjusted Reserve</w:t>
      </w:r>
    </w:p>
    <w:p>
      <w:r>
        <w:t>L = Redemption Liability</w:t>
      </w:r>
    </w:p>
    <w:p>
      <w:r>
        <w:t>Redemption Liability:</w:t>
      </w:r>
    </w:p>
    <w:p>
      <w:r>
        <w:t>text</w:t>
      </w:r>
    </w:p>
    <w:p>
      <w:r>
        <w:t>L = S × NAV_m</w:t>
      </w:r>
    </w:p>
    <w:p>
      <w:r>
        <w:t>Where:</w:t>
      </w:r>
    </w:p>
    <w:p>
      <w:r>
        <w:t>S = Total MTQ Supply</w:t>
      </w:r>
    </w:p>
    <w:p>
      <w:r>
        <w:t>NAV_m = Market NAV</w:t>
      </w:r>
    </w:p>
    <w:p>
      <w:r>
        <w:t>Constitutional Requirement: RR ≥ 1.00</w:t>
      </w:r>
    </w:p>
    <w:p>
      <w:r>
        <w:t>Policy Target: RR ≥ 1.02</w:t>
      </w:r>
    </w:p>
    <w:p>
      <w:r>
        <w:t>Constitutional Note</w:t>
      </w:r>
    </w:p>
    <w:p>
      <w:r>
        <w:t>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p>
    <w:p>
      <w:r>
        <w:t>Interpretation</w:t>
      </w:r>
    </w:p>
    <w:p>
      <w:r>
        <w:t>Automatic Actions</w:t>
      </w:r>
    </w:p>
    <w:p>
      <w:r>
        <w:t>Mathematical Clarification</w:t>
      </w:r>
    </w:p>
    <w:p>
      <w:r>
        <w:t>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p>
    <w:p>
      <w:r>
        <w:t>Regulatory Reference</w:t>
      </w:r>
    </w:p>
    <w:p>
      <w:r>
        <w:t>The Constitutional Reserve Ratio serves a prudential function analogous to regulatory solvency metrics while remaining specific to the constitutional reserve framework.</w:t>
      </w:r>
    </w:p>
    <w:p>
      <w:r>
        <w:t>Constitutional Verification</w:t>
      </w:r>
    </w:p>
    <w:p>
      <w:r>
        <w:t>text</w:t>
      </w:r>
    </w:p>
    <w:p>
      <w:r>
        <w:t>✓ Constitutional formula defined</w:t>
      </w:r>
    </w:p>
    <w:p>
      <w:r>
        <w:t>✓ Redemption Liability defined</w:t>
      </w:r>
    </w:p>
    <w:p>
      <w:r>
        <w:t>✓ Constitutional Requirement established</w:t>
      </w:r>
    </w:p>
    <w:p>
      <w:r>
        <w:t>✓ Policy Target established</w:t>
      </w:r>
    </w:p>
    <w:p>
      <w:r>
        <w:t>✓ Constitutional Note provided</w:t>
      </w:r>
    </w:p>
    <w:p>
      <w:r>
        <w:t>✓ Interpretation table provided</w:t>
      </w:r>
    </w:p>
    <w:p>
      <w:r>
        <w:t>✓ Automatic Actions defined</w:t>
      </w:r>
    </w:p>
    <w:p>
      <w:r>
        <w:t>✓ Mathematical Clarification provided</w:t>
      </w:r>
    </w:p>
    <w:p>
      <w:r>
        <w:t>✓ Regulatory Reference provided</w:t>
      </w:r>
    </w:p>
    <w:p>
      <w:r>
        <w:t>Related Sections</w:t>
      </w:r>
    </w:p>
    <w:p>
      <w:r>
        <w:t>Section 2 — Constitutional Three-Layer Reserve Valuation Model</w:t>
      </w:r>
    </w:p>
    <w:p>
      <w:r>
        <w:t>Section 3 — Constitutional Net Asset Value (NAV) Framework</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4 — CONSTITUTIONAL RESERVE RATIO]</w:t>
      </w:r>
    </w:p>
    <w:p>
      <w:r>
        <w:t>Section 5: Liquidity Coverage Ratio (LCR)</w:t>
      </w:r>
    </w:p>
    <w:p>
      <w:r>
        <w:t>Institutional systems separate solvency and liquidity:</w:t>
      </w:r>
    </w:p>
    <w:p>
      <w:r>
        <w:t>text</w:t>
      </w:r>
    </w:p>
    <w:p>
      <w:r>
        <w:t>LCR = HQLA / 30-Day_Net_Redemption_Outflow</w:t>
      </w:r>
    </w:p>
    <w:p>
      <w:r>
        <w:t>Target: LCR ≥ 1.00</w:t>
      </w:r>
    </w:p>
    <w:p>
      <w:r>
        <w:t>High Quality Liquid Assets (HQLA)</w:t>
      </w:r>
    </w:p>
    <w:p>
      <w:r>
        <w:t>HQLA consists only of reserve assets that are expected to be convertible into settlement liquidity within the defined stress horizon with minimal loss of value.</w:t>
      </w:r>
    </w:p>
    <w:p>
      <w:r>
        <w:t>Eligible HQLA:</w:t>
      </w:r>
    </w:p>
    <w:p>
      <w:r>
        <w:t>Tier 1 Cash</w:t>
      </w:r>
    </w:p>
    <w:p>
      <w:r>
        <w:t>Eligible Stablecoins</w:t>
      </w:r>
    </w:p>
    <w:p>
      <w:r>
        <w:t>Other assets explicitly designated by Constitutional Policy</w:t>
      </w:r>
    </w:p>
    <w:p>
      <w:r>
        <w:t>30-Day Net Redemption Outflow</w:t>
      </w:r>
    </w:p>
    <w:p>
      <w:r>
        <w:t>text</w:t>
      </w:r>
    </w:p>
    <w:p>
      <w:r>
        <w:t>30-Day Net Redemption Outflow = Expected redemption requests</w:t>
      </w:r>
    </w:p>
    <w:p>
      <w:r>
        <w:t>− Contractually committed inflows</w:t>
      </w:r>
    </w:p>
    <w:p>
      <w:r>
        <w:t>+ Operational liquidity adjustments</w:t>
      </w:r>
    </w:p>
    <w:p>
      <w:r>
        <w:t>Stress Assumptions</w:t>
      </w:r>
    </w:p>
    <w:p>
      <w:r>
        <w:t>Stress assumptions shall be defined by Constitutional Policy and shall include:</w:t>
      </w:r>
    </w:p>
    <w:p>
      <w:r>
        <w:t>Elevated redemption activity</w:t>
      </w:r>
    </w:p>
    <w:p>
      <w:r>
        <w:t>Reduced market liquidity</w:t>
      </w:r>
    </w:p>
    <w:p>
      <w:r>
        <w:t>Partial stablecoin redemption delays</w:t>
      </w:r>
    </w:p>
    <w:p>
      <w:r>
        <w:t>Temporary settlement disruption</w:t>
      </w:r>
    </w:p>
    <w:p>
      <w:r>
        <w:t>Interpretation</w:t>
      </w:r>
    </w:p>
    <w:p>
      <w:r>
        <w:t>Automatic Governance Actions</w:t>
      </w:r>
    </w:p>
    <w:p>
      <w:r>
        <w:t>Constitutional Purpose</w:t>
      </w:r>
    </w:p>
    <w:p>
      <w:r>
        <w:t>RR and LCR measure different dimensions of resilience:</w:t>
      </w:r>
    </w:p>
    <w:p>
      <w:r>
        <w:t>RR evaluates whether total prudential reserve value exceeds redemption liabilities.</w:t>
      </w:r>
    </w:p>
    <w:p>
      <w:r>
        <w:t>LCR evaluates whether sufficient immediately available liquidity exists to satisfy near-term redemption demand.</w:t>
      </w:r>
    </w:p>
    <w:p>
      <w:r>
        <w:t>Both requirements shall remain satisfied simultaneously.</w:t>
      </w:r>
    </w:p>
    <w:p>
      <w:r>
        <w:t>Cross-Reference</w:t>
      </w:r>
    </w:p>
    <w:p>
      <w:r>
        <w:t>See also:</w:t>
      </w:r>
    </w:p>
    <w:p>
      <w:r>
        <w:t>Section 2 — Constitutional Three-Layer Reserve Valuation Model</w:t>
      </w:r>
    </w:p>
    <w:p>
      <w:r>
        <w:t>Section 3 — Constitutional Net Asset Value (NAV) Framework</w:t>
      </w:r>
    </w:p>
    <w:p>
      <w:r>
        <w:t>Section 34 — Constitutional Redemption Sequencing</w:t>
      </w:r>
    </w:p>
    <w:p>
      <w:r>
        <w:t>Section 42 — Constitutional Proof of Reserves Metadata</w:t>
      </w:r>
    </w:p>
    <w:p>
      <w:r>
        <w:t>Constitutional Verification</w:t>
      </w:r>
    </w:p>
    <w:p>
      <w:r>
        <w:t>text</w:t>
      </w:r>
    </w:p>
    <w:p>
      <w:r>
        <w:t>✓ LCR formula defined</w:t>
      </w:r>
    </w:p>
    <w:p>
      <w:r>
        <w:t>✓ HQLA defined</w:t>
      </w:r>
    </w:p>
    <w:p>
      <w:r>
        <w:t>✓ 30-Day Net Redemption Outflow defined</w:t>
      </w:r>
    </w:p>
    <w:p>
      <w:r>
        <w:t>✓ Stress Assumptions defined</w:t>
      </w:r>
    </w:p>
    <w:p>
      <w:r>
        <w:t>✓ Interpretation table provided</w:t>
      </w:r>
    </w:p>
    <w:p>
      <w:r>
        <w:t>✓ Automatic Governance Actions defined</w:t>
      </w:r>
    </w:p>
    <w:p>
      <w:r>
        <w:t>✓ Constitutional Purpose established</w:t>
      </w:r>
    </w:p>
    <w:p>
      <w:r>
        <w:t>✓ Cross-Reference provided</w:t>
      </w:r>
    </w:p>
    <w:p>
      <w:r>
        <w:t>Related Sections</w:t>
      </w:r>
    </w:p>
    <w:p>
      <w:r>
        <w:t>Section 2 — Constitutional Three-Layer Reserve Valuation Model</w:t>
      </w:r>
    </w:p>
    <w:p>
      <w:r>
        <w:t>Section 3 — Constitutional Net Asset Value (NAV) Framework</w:t>
      </w:r>
    </w:p>
    <w:p>
      <w:r>
        <w:t>Section 4 — Constitutional Reserve Ratio</w:t>
      </w:r>
    </w:p>
    <w:p>
      <w:r>
        <w:t>Section 34 — Constitutional Redemption Sequencing</w:t>
      </w:r>
    </w:p>
    <w:p>
      <w:r>
        <w:t>Section 42 — Constitutional Proof of Reserves Metadata</w:t>
      </w:r>
    </w:p>
    <w:p>
      <w:r>
        <w:t>[END OF SECTION 5 — LIQUIDITY COVERAGE RATIO (LCR)]</w:t>
      </w:r>
    </w:p>
    <w:p>
      <w:r>
        <w:t>Section 6: Adjusted Reserve Valuation — Fixed Constitutional Haircuts</w:t>
      </w:r>
    </w:p>
    <w:p>
      <w:r>
        <w:t>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p>
    <w:p>
      <w:r>
        <w:t>Constitutional Valuation Sequence</w:t>
      </w:r>
    </w:p>
    <w:p>
      <w:r>
        <w:t>Reserve valuation shall always be performed in the following order:</w:t>
      </w:r>
    </w:p>
    <w:p>
      <w:r>
        <w:t>text</w:t>
      </w:r>
    </w:p>
    <w:p>
      <w:r>
        <w:t>Market Value</w:t>
      </w:r>
    </w:p>
    <w:p>
      <w:r>
        <w:t>↓</w:t>
      </w:r>
    </w:p>
    <w:p>
      <w:r>
        <w:t>Haircut</w:t>
      </w:r>
    </w:p>
    <w:p>
      <w:r>
        <w:t>↓</w:t>
      </w:r>
    </w:p>
    <w:p>
      <w:r>
        <w:t>Counterparty Adjustment</w:t>
      </w:r>
    </w:p>
    <w:p>
      <w:r>
        <w:t>↓</w:t>
      </w:r>
    </w:p>
    <w:p>
      <w:r>
        <w:t>Adjusted Reserve (R_a)</w:t>
      </w:r>
    </w:p>
    <w:p>
      <w:r>
        <w:t>This removes any ambiguity regarding calculation order.</w:t>
      </w:r>
    </w:p>
    <w:p>
      <w:r>
        <w:t>6.1 Constitutional Haircut Schedule (Version 1.0)</w:t>
      </w:r>
    </w:p>
    <w:p>
      <w:r>
        <w:t>Adjusted Reserve</w:t>
      </w:r>
    </w:p>
    <w:p>
      <w:r>
        <w:t>text</w:t>
      </w:r>
    </w:p>
    <w:p>
      <w:r>
        <w:t>R_a = Σ_a ( Q_{a,t} × P_{a,t}(n) × (1 − H_a) × C_a )</w:t>
      </w:r>
    </w:p>
    <w:p>
      <w:r>
        <w:t>Where:</w:t>
      </w:r>
    </w:p>
    <w:p>
      <w:r>
        <w:t>Constitutional Note</w:t>
      </w:r>
    </w:p>
    <w:p>
      <w:r>
        <w:t>Haircuts provide a prudential buffer against temporary market illiquidity, execution costs, settlement delays, and valuation uncertainty. They are intentionally conservative and are applied uniformly according to constitutional schedules rather than discretionary judgment.</w:t>
      </w:r>
    </w:p>
    <w:p>
      <w:r>
        <w:t>Mathematical Clarification</w:t>
      </w:r>
    </w:p>
    <w:p>
      <w:r>
        <w:t>Haircuts are fixed constitutional valuation adjustments.</w:t>
      </w:r>
    </w:p>
    <w:p>
      <w:r>
        <w:t>They are not forecasts of future price movements, expected losses, or historical volatility estimates.</w:t>
      </w:r>
    </w:p>
    <w:p>
      <w:r>
        <w:t>Actual market losses may be higher or lower than constitutional haircuts.</w:t>
      </w:r>
    </w:p>
    <w:p>
      <w:r>
        <w:t>Verification Requirements</w:t>
      </w:r>
    </w:p>
    <w:p>
      <w:r>
        <w:t>For every reserve asset:</w:t>
      </w:r>
    </w:p>
    <w:p>
      <w:r>
        <w:t>Exactly one constitutional haircut shall apply.</w:t>
      </w:r>
    </w:p>
    <w:p>
      <w:r>
        <w:t>Haircuts shall be applied before reserve aggregation.</w:t>
      </w:r>
    </w:p>
    <w:p>
      <w:r>
        <w:t>Haircuts shall be applied consistently across all validators.</w:t>
      </w:r>
    </w:p>
    <w:p>
      <w:r>
        <w:t>No asset may receive multiple constitutional haircuts.</w:t>
      </w:r>
    </w:p>
    <w:p>
      <w:r>
        <w:t>Governance Rules</w:t>
      </w:r>
    </w:p>
    <w:p>
      <w:r>
        <w:t>Constitutional haircuts may not be modified through operational policy.</w:t>
      </w:r>
    </w:p>
    <w:p>
      <w:r>
        <w:t>Only the Constitutional Amendment Process may permanently modify constitutional haircut values.</w:t>
      </w:r>
    </w:p>
    <w:p>
      <w:r>
        <w:t>Temporary policy overlays are governed separately under Section 6.2.</w:t>
      </w:r>
    </w:p>
    <w:p>
      <w:r>
        <w:t>Audit Requirements</w:t>
      </w:r>
    </w:p>
    <w:p>
      <w:r>
        <w:t>Each reserve valuation shall record:</w:t>
      </w:r>
    </w:p>
    <w:p>
      <w:r>
        <w:t>Asset identifier</w:t>
      </w:r>
    </w:p>
    <w:p>
      <w:r>
        <w:t>Market value</w:t>
      </w:r>
    </w:p>
    <w:p>
      <w:r>
        <w:t>Applied haircut</w:t>
      </w:r>
    </w:p>
    <w:p>
      <w:r>
        <w:t>Counterparty adjustment</w:t>
      </w:r>
    </w:p>
    <w:p>
      <w:r>
        <w:t>Adjusted value</w:t>
      </w:r>
    </w:p>
    <w:p>
      <w:r>
        <w:t>Valuation timestamp</w:t>
      </w:r>
    </w:p>
    <w:p>
      <w:r>
        <w:t>Oracle snapshot identifier</w:t>
      </w:r>
    </w:p>
    <w:p>
      <w:r>
        <w:t>These records shall form part of the immutable reserve audit trail.</w:t>
      </w:r>
    </w:p>
    <w:p>
      <w:r>
        <w:t>Boundary Conditions</w:t>
      </w:r>
    </w:p>
    <w:p>
      <w:r>
        <w:t>For every asset a:</w:t>
      </w:r>
    </w:p>
    <w:p>
      <w:r>
        <w:t>text</w:t>
      </w:r>
    </w:p>
    <w:p>
      <w:r>
        <w:t>0 ≤ H_a &lt; 1</w:t>
      </w:r>
    </w:p>
    <w:p>
      <w:r>
        <w:t>0 ≤ C_a ≤ 1</w:t>
      </w:r>
    </w:p>
    <w:p>
      <w:r>
        <w:t>Therefore:</w:t>
      </w:r>
    </w:p>
    <w:p>
      <w:r>
        <w:t>text</w:t>
      </w:r>
    </w:p>
    <w:p>
      <w:r>
        <w:t>0 ≤ R_a ≤ R_m</w:t>
      </w:r>
    </w:p>
    <w:p>
      <w:r>
        <w:t>Implementation Note</w:t>
      </w:r>
    </w:p>
    <w:p>
      <w:r>
        <w:t>Constitutional haircuts shall be represented using fixed-precision decimal arithmetic.</w:t>
      </w:r>
    </w:p>
    <w:p>
      <w:r>
        <w:t>Percentage values shall never be recalculated dynamically.</w:t>
      </w:r>
    </w:p>
    <w:p>
      <w:r>
        <w:t>Each haircut shall be referenced by its constitutional schedule identifier to ensure deterministic implementation across all validators.</w:t>
      </w:r>
    </w:p>
    <w:p>
      <w:r>
        <w:t>Related Sections</w:t>
      </w:r>
    </w:p>
    <w:p>
      <w:r>
        <w:t>Section 2 — Constitutional Three-Layer Reserve Valuation Model</w:t>
      </w:r>
    </w:p>
    <w:p>
      <w:r>
        <w:t>Section 4 — Constitutional Reserve Ratio</w:t>
      </w:r>
    </w:p>
    <w:p>
      <w:r>
        <w:t>Section 7 — Counterparty Risk Adjustment — Composite Score</w:t>
      </w:r>
    </w:p>
    <w:p>
      <w:r>
        <w:t>Section 42 — Daily Proof of Reserves</w:t>
      </w:r>
    </w:p>
    <w:p>
      <w:r>
        <w:t>Section 43 — Formal Verification</w:t>
      </w:r>
    </w:p>
    <w:p>
      <w:r>
        <w:t>Constitutional Verification</w:t>
      </w:r>
    </w:p>
    <w:p>
      <w:r>
        <w:t>text</w:t>
      </w:r>
    </w:p>
    <w:p>
      <w:r>
        <w:t>✓ Constitutional Principle established</w:t>
      </w:r>
    </w:p>
    <w:p>
      <w:r>
        <w:t>✓ Constitutional Valuation Sequence defined</w:t>
      </w:r>
    </w:p>
    <w:p>
      <w:r>
        <w:t>✓ Constitutional Haircut Schedule defined</w:t>
      </w:r>
    </w:p>
    <w:p>
      <w:r>
        <w:t>✓ Adjusted Reserve formula defined</w:t>
      </w:r>
    </w:p>
    <w:p>
      <w:r>
        <w:t>✓ Constitutional Note provided</w:t>
      </w:r>
    </w:p>
    <w:p>
      <w:r>
        <w:t>✓ Mathematical Clarification provided</w:t>
      </w:r>
    </w:p>
    <w:p>
      <w:r>
        <w:t>✓ Verification Requirements established</w:t>
      </w:r>
    </w:p>
    <w:p>
      <w:r>
        <w:t>✓ Governance Rules established</w:t>
      </w:r>
    </w:p>
    <w:p>
      <w:r>
        <w:t>✓ Audit Requirements established</w:t>
      </w:r>
    </w:p>
    <w:p>
      <w:r>
        <w:t>✓ Boundary Conditions defined</w:t>
      </w:r>
    </w:p>
    <w:p>
      <w:r>
        <w:t>✓ Implementation Note provided</w:t>
      </w:r>
    </w:p>
    <w:p>
      <w:r>
        <w:t>✓ Related Sections referenced</w:t>
      </w:r>
    </w:p>
    <w:p>
      <w:r>
        <w:t>[END OF SECTION 6 — ADJUSTED RESERVE VALUATION — FIXED CONSTITUTIONAL HAIRCUTS]</w:t>
      </w:r>
    </w:p>
    <w:p>
      <w:r>
        <w:t>Section 7: Counterparty Risk Adjustment — Composite Score</w:t>
      </w:r>
    </w:p>
    <w:p>
      <w:r>
        <w:t>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p>
    <w:p>
      <w:r>
        <w:t>Counterparty Adjustment</w:t>
      </w:r>
    </w:p>
    <w:p>
      <w:r>
        <w:t>text</w:t>
      </w:r>
    </w:p>
    <w:p>
      <w:r>
        <w:t>C_a = Credit_a × Jurisdiction_a × Operational_a</w:t>
      </w:r>
    </w:p>
    <w:p>
      <w:r>
        <w:t>Where:</w:t>
      </w:r>
    </w:p>
    <w:p>
      <w:r>
        <w:t>Boundary Conditions</w:t>
      </w:r>
    </w:p>
    <w:p>
      <w:r>
        <w:t>text</w:t>
      </w:r>
    </w:p>
    <w:p>
      <w:r>
        <w:t>0 ≤ C_a ≤ 1</w:t>
      </w:r>
    </w:p>
    <w:p>
      <w:r>
        <w:t>C_a = 0 indicates an ineligible counterparty.</w:t>
      </w:r>
    </w:p>
    <w:p>
      <w:r>
        <w:t>C_a = 1 indicates the highest constitutional counterparty quality.</w:t>
      </w:r>
    </w:p>
    <w:p>
      <w:r>
        <w:t>All eligible counterparties satisfy:</w:t>
      </w:r>
    </w:p>
    <w:p>
      <w:r>
        <w:t>text</w:t>
      </w:r>
    </w:p>
    <w:p>
      <w:r>
        <w:t>0.90 ≤ C_a ≤ 1.00</w:t>
      </w:r>
    </w:p>
    <w:p>
      <w:r>
        <w:t>Credit Score</w:t>
      </w:r>
    </w:p>
    <w:p>
      <w:r>
        <w:t>Jurisdiction Score</w:t>
      </w:r>
    </w:p>
    <w:p>
      <w:r>
        <w:t>Jurisdiction Risk shall be determined using Constitutional Policy based on objective criteria, including:</w:t>
      </w:r>
    </w:p>
    <w:p>
      <w:r>
        <w:t>Rule of law</w:t>
      </w:r>
    </w:p>
    <w:p>
      <w:r>
        <w:t>Sanctions exposure</w:t>
      </w:r>
    </w:p>
    <w:p>
      <w:r>
        <w:t>Capital controls</w:t>
      </w:r>
    </w:p>
    <w:p>
      <w:r>
        <w:t>Regulatory stability</w:t>
      </w:r>
    </w:p>
    <w:p>
      <w:r>
        <w:t>Enforceability of contracts</w:t>
      </w:r>
    </w:p>
    <w:p>
      <w:r>
        <w:t>Sovereign credit profile</w:t>
      </w:r>
    </w:p>
    <w:p>
      <w:r>
        <w:t>Operational Score</w:t>
      </w:r>
    </w:p>
    <w:p>
      <w:r>
        <w:t>Operational Risk shall be assessed using objective criteria including:</w:t>
      </w:r>
    </w:p>
    <w:p>
      <w:r>
        <w:t>Cybersecurity maturity</w:t>
      </w:r>
    </w:p>
    <w:p>
      <w:r>
        <w:t>Operational resilience</w:t>
      </w:r>
    </w:p>
    <w:p>
      <w:r>
        <w:t>Settlement performance</w:t>
      </w:r>
    </w:p>
    <w:p>
      <w:r>
        <w:t>Business continuity capability</w:t>
      </w:r>
    </w:p>
    <w:p>
      <w:r>
        <w:t>Internal control effectiveness</w:t>
      </w:r>
    </w:p>
    <w:p>
      <w:r>
        <w:t>External audit results</w:t>
      </w:r>
    </w:p>
    <w:p>
      <w:r>
        <w:t>Eligibility Rule</w:t>
      </w:r>
    </w:p>
    <w:p>
      <w:r>
        <w:t>A counterparty is constitutionally eligible only if all three component scores satisfy their minimum constitutional thresholds.</w:t>
      </w:r>
    </w:p>
    <w:p>
      <w:r>
        <w:t>No high score in one category may compensate for failure in another category.</w:t>
      </w:r>
    </w:p>
    <w:p>
      <w:r>
        <w:t>Calculation Example</w:t>
      </w:r>
    </w:p>
    <w:p>
      <w:r>
        <w:t>text</w:t>
      </w:r>
    </w:p>
    <w:p>
      <w:r>
        <w:t>Credit Score = 0.98</w:t>
      </w:r>
    </w:p>
    <w:p>
      <w:r>
        <w:t>Jurisdiction Score = 0.98</w:t>
      </w:r>
    </w:p>
    <w:p>
      <w:r>
        <w:t>Operational Score = 1.00</w:t>
      </w:r>
    </w:p>
    <w:p>
      <w:r>
        <w:t>C_a = 0.98 × 0.98 × 1.00</w:t>
      </w:r>
    </w:p>
    <w:p>
      <w:r>
        <w:t>= 0.9604</w:t>
      </w:r>
    </w:p>
    <w:p>
      <w:r>
        <w:t>7.1 Counterparty Downgrade Lifecycle</w:t>
      </w:r>
    </w:p>
    <w:p>
      <w:r>
        <w:t>Review Frequency</w:t>
      </w:r>
    </w:p>
    <w:p>
      <w:r>
        <w:t>Automatic Governance Actions</w:t>
      </w:r>
    </w:p>
    <w:p>
      <w:r>
        <w:t>Interaction with Exposure Limits</w:t>
      </w:r>
    </w:p>
    <w:p>
      <w:r>
        <w:t>Counterparty quality and exposure concentration shall be evaluated independently.</w:t>
      </w:r>
    </w:p>
    <w:p>
      <w:r>
        <w:t>A highly rated counterparty may not exceed constitutional concentration limits.</w:t>
      </w:r>
    </w:p>
    <w:p>
      <w:r>
        <w:t>Likewise, compliance with concentration limits does not eliminate counterparty quality requirements.</w:t>
      </w:r>
    </w:p>
    <w:p>
      <w:r>
        <w:t>Audit Requirements</w:t>
      </w:r>
    </w:p>
    <w:p>
      <w:r>
        <w:t>Every counterparty assessment shall record:</w:t>
      </w:r>
    </w:p>
    <w:p>
      <w:r>
        <w:t>Credit rating source</w:t>
      </w:r>
    </w:p>
    <w:p>
      <w:r>
        <w:t>Jurisdiction assessment</w:t>
      </w:r>
    </w:p>
    <w:p>
      <w:r>
        <w:t>Operational assessment</w:t>
      </w:r>
    </w:p>
    <w:p>
      <w:r>
        <w:t>Composite score</w:t>
      </w:r>
    </w:p>
    <w:p>
      <w:r>
        <w:t>Assessment timestamp</w:t>
      </w:r>
    </w:p>
    <w:p>
      <w:r>
        <w:t>Reviewer identifier</w:t>
      </w:r>
    </w:p>
    <w:p>
      <w:r>
        <w:t>Supporting evidence references</w:t>
      </w:r>
    </w:p>
    <w:p>
      <w:r>
        <w:t>All assessments shall be retained within the immutable audit trail.</w:t>
      </w:r>
    </w:p>
    <w:p>
      <w:r>
        <w:t>Deterministic Requirement</w:t>
      </w:r>
    </w:p>
    <w:p>
      <w:r>
        <w:t>Given identical assessment inputs, every validator shall calculate the identical counterparty adjustment factor.</w:t>
      </w:r>
    </w:p>
    <w:p>
      <w:r>
        <w:t>No subjective judgment shall occur during mathematical calculation.</w:t>
      </w:r>
    </w:p>
    <w:p>
      <w:r>
        <w:t>Related Sections</w:t>
      </w:r>
    </w:p>
    <w:p>
      <w:r>
        <w:t>Section 6 — Adjusted Reserve Valuation — Fixed Constitutional Haircuts</w:t>
      </w:r>
    </w:p>
    <w:p>
      <w:r>
        <w:t>Section 10 — Counterparty Exposure Limits</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Counterparty Adjustment formula defined</w:t>
      </w:r>
    </w:p>
    <w:p>
      <w:r>
        <w:t>✓ Boundary Conditions defined</w:t>
      </w:r>
    </w:p>
    <w:p>
      <w:r>
        <w:t>✓ Credit Score table defined</w:t>
      </w:r>
    </w:p>
    <w:p>
      <w:r>
        <w:t>✓ Jurisdiction Score table defined</w:t>
      </w:r>
    </w:p>
    <w:p>
      <w:r>
        <w:t>✓ Operational Score table defined</w:t>
      </w:r>
    </w:p>
    <w:p>
      <w:r>
        <w:t>✓ Eligibility Rule established</w:t>
      </w:r>
    </w:p>
    <w:p>
      <w:r>
        <w:t>✓ Calculation Example provided</w:t>
      </w:r>
    </w:p>
    <w:p>
      <w:r>
        <w:t>✓ Counterparty Downgrade Lifecycle defined</w:t>
      </w:r>
    </w:p>
    <w:p>
      <w:r>
        <w:t>✓ Review Frequency established</w:t>
      </w:r>
    </w:p>
    <w:p>
      <w:r>
        <w:t>✓ Automatic Governance Actions defined</w:t>
      </w:r>
    </w:p>
    <w:p>
      <w:r>
        <w:t>✓ Interaction with Exposure Limits established</w:t>
      </w:r>
    </w:p>
    <w:p>
      <w:r>
        <w:t>✓ Audit Requirements established</w:t>
      </w:r>
    </w:p>
    <w:p>
      <w:r>
        <w:t>✓ Deterministic Requirement established</w:t>
      </w:r>
    </w:p>
    <w:p>
      <w:r>
        <w:t>✓ Related Sections referenced</w:t>
      </w:r>
    </w:p>
    <w:p>
      <w:r>
        <w:t>[END OF SECTION 7 — COUNTERPARTY RISK ADJUSTMENT — COMPOSITE SCORE]</w:t>
      </w:r>
    </w:p>
    <w:p>
      <w:r>
        <w:t>Section 8: Reserve Duration Constraint</w:t>
      </w:r>
    </w:p>
    <w:p>
      <w:r>
        <w:t>Constitutional Principle: Interest-rate risk shall be limited through a constitutional duration constraint. The reserve portfolio shall maintain a short effective duration to preserve liquidity, minimize mark-to-market volatility, and support predictable redemption capacity.</w:t>
      </w:r>
    </w:p>
    <w:p>
      <w:r>
        <w:t>Portfolio Modified Duration</w:t>
      </w:r>
    </w:p>
    <w:p>
      <w:r>
        <w:t>text</w:t>
      </w:r>
    </w:p>
    <w:p>
      <w:r>
        <w:t>MD_portfolio = Σ_i (w_i × MD_i)</w:t>
      </w:r>
    </w:p>
    <w:p>
      <w:r>
        <w:t>Where:</w:t>
      </w:r>
    </w:p>
    <w:p>
      <w:r>
        <w:t>For each fixed-income instrument:</w:t>
      </w:r>
    </w:p>
    <w:p>
      <w:r>
        <w:t>text</w:t>
      </w:r>
    </w:p>
    <w:p>
      <w:r>
        <w:t>MD_i = Macaulay_Duration_i / (1 + y_i)</w:t>
      </w:r>
    </w:p>
    <w:p>
      <w:r>
        <w:t>Where:</w:t>
      </w:r>
    </w:p>
    <w:p>
      <w:r>
        <w:t>Constraint: MD_portfolio ≤ 0.75</w:t>
      </w:r>
    </w:p>
    <w:p>
      <w:r>
        <w:t>Scope</w:t>
      </w:r>
    </w:p>
    <w:p>
      <w:r>
        <w:t>The duration constraint applies only to interest-bearing reserve assets, including sovereign securities and Sukuk.</w:t>
      </w:r>
    </w:p>
    <w:p>
      <w:r>
        <w:t>The following assets are assigned zero duration for constitutional purposes:</w:t>
      </w:r>
    </w:p>
    <w:p>
      <w:r>
        <w:t>Central-bank cash</w:t>
      </w:r>
    </w:p>
    <w:p>
      <w:r>
        <w:t>Physical gold</w:t>
      </w:r>
    </w:p>
    <w:p>
      <w:r>
        <w:t>Physical silver</w:t>
      </w:r>
    </w:p>
    <w:p>
      <w:r>
        <w:t>Stablecoins</w:t>
      </w:r>
    </w:p>
    <w:p>
      <w:r>
        <w:t>Constitutional Rationale</w:t>
      </w:r>
    </w:p>
    <w:p>
      <w:r>
        <w:t>The maximum portfolio modified duration of 0.75 years is intended to:</w:t>
      </w:r>
    </w:p>
    <w:p>
      <w:r>
        <w:t>Minimize sensitivity to interest-rate changes</w:t>
      </w:r>
    </w:p>
    <w:p>
      <w:r>
        <w:t>Preserve redemption liquidity</w:t>
      </w:r>
    </w:p>
    <w:p>
      <w:r>
        <w:t>Maintain a short-duration reserve profile</w:t>
      </w:r>
    </w:p>
    <w:p>
      <w:r>
        <w:t>Reduce unrealized valuation volatility</w:t>
      </w:r>
    </w:p>
    <w:p>
      <w:r>
        <w:t>Interpretation</w:t>
      </w:r>
    </w:p>
    <w:p>
      <w:r>
        <w:t>Monitoring Frequency</w:t>
      </w:r>
    </w:p>
    <w:p>
      <w:r>
        <w:t>Portfolio modified duration shall be calculated:</w:t>
      </w:r>
    </w:p>
    <w:p>
      <w:r>
        <w:t>Daily for internal monitoring</w:t>
      </w:r>
    </w:p>
    <w:p>
      <w:r>
        <w:t>Monthly for reporting</w:t>
      </w:r>
    </w:p>
    <w:p>
      <w:r>
        <w:t>Immediately following any material reserve acquisition or disposal</w:t>
      </w:r>
    </w:p>
    <w:p>
      <w:r>
        <w:t>Automatic Actions</w:t>
      </w:r>
    </w:p>
    <w:p>
      <w:r>
        <w:t>If MD_portfolio exceeds 0.75 years:</w:t>
      </w:r>
    </w:p>
    <w:p>
      <w:r>
        <w:t>New purchases of longer-duration assets are suspended</w:t>
      </w:r>
    </w:p>
    <w:p>
      <w:r>
        <w:t>A duration reduction plan is generated</w:t>
      </w:r>
    </w:p>
    <w:p>
      <w:r>
        <w:t>Rebalancing shall begin within the constitutionally defined operational window</w:t>
      </w:r>
    </w:p>
    <w:p>
      <w:r>
        <w:t>The Monetary Council shall receive notification if the breach persists beyond one reporting cycle</w:t>
      </w:r>
    </w:p>
    <w:p>
      <w:r>
        <w:t>Temporary Exception</w:t>
      </w:r>
    </w:p>
    <w:p>
      <w:r>
        <w:t>A temporary duration breach may occur due to extraordinary market conditions.</w:t>
      </w:r>
    </w:p>
    <w:p>
      <w:r>
        <w:t>Such breaches shall:</w:t>
      </w:r>
    </w:p>
    <w:p>
      <w:r>
        <w:t>Be documented</w:t>
      </w:r>
    </w:p>
    <w:p>
      <w:r>
        <w:t>Be reported</w:t>
      </w:r>
    </w:p>
    <w:p>
      <w:r>
        <w:t>Be corrected as soon as reasonably practicable</w:t>
      </w:r>
    </w:p>
    <w:p>
      <w:r>
        <w:t>No temporary breach constitutes a constitutional amendment.</w:t>
      </w:r>
    </w:p>
    <w:p>
      <w:r>
        <w:t>Stress Testing</w:t>
      </w:r>
    </w:p>
    <w:p>
      <w:r>
        <w:t>Interest-rate stress scenarios shall evaluate the effect of parallel and non-parallel yield curve movements on reserve valuation and Constitutional Reserve Ratio.</w:t>
      </w:r>
    </w:p>
    <w:p>
      <w:r>
        <w:t>Verification Requirements</w:t>
      </w:r>
    </w:p>
    <w:p>
      <w:r>
        <w:t>Every duration calculation shall record:</w:t>
      </w:r>
    </w:p>
    <w:p>
      <w:r>
        <w:t>Security identifier</w:t>
      </w:r>
    </w:p>
    <w:p>
      <w:r>
        <w:t>Market value</w:t>
      </w:r>
    </w:p>
    <w:p>
      <w:r>
        <w:t>Yield to maturity</w:t>
      </w:r>
    </w:p>
    <w:p>
      <w:r>
        <w:t>Individual modified duration</w:t>
      </w:r>
    </w:p>
    <w:p>
      <w:r>
        <w:t>Portfolio weight</w:t>
      </w:r>
    </w:p>
    <w:p>
      <w:r>
        <w:t>Portfolio modified duration</w:t>
      </w:r>
    </w:p>
    <w:p>
      <w:r>
        <w:t>Calculation timestamp</w:t>
      </w:r>
    </w:p>
    <w:p>
      <w:r>
        <w:t>Deterministic Requirement</w:t>
      </w:r>
    </w:p>
    <w:p>
      <w:r>
        <w:t>Portfolio duration shall be calculated using fixed-precision decimal arithmetic.</w:t>
      </w:r>
    </w:p>
    <w:p>
      <w:r>
        <w:t>Given identical reserve holdings and market inputs, every validator shall calculate the identical portfolio modified duration.</w:t>
      </w:r>
    </w:p>
    <w:p>
      <w:r>
        <w:t>Boundary Conditions</w:t>
      </w:r>
    </w:p>
    <w:p>
      <w:r>
        <w:t>text</w:t>
      </w:r>
    </w:p>
    <w:p>
      <w:r>
        <w:t>MD_portfolio ≥ 0</w:t>
      </w:r>
    </w:p>
    <w:p>
      <w:r>
        <w:t>MD_portfolio ≤ Maximum individual asset duration</w:t>
      </w:r>
    </w:p>
    <w:p>
      <w:r>
        <w:t>If no interest-bearing assets are held:</w:t>
      </w:r>
    </w:p>
    <w:p>
      <w:r>
        <w:t>text</w:t>
      </w:r>
    </w:p>
    <w:p>
      <w:r>
        <w:t>MD_portfolio = 0</w:t>
      </w:r>
    </w:p>
    <w:p>
      <w:r>
        <w:t>Related Sections</w:t>
      </w:r>
    </w:p>
    <w:p>
      <w:r>
        <w:t>Section 2 — Constitutional Three-Layer Reserve Valuation Model</w:t>
      </w:r>
    </w:p>
    <w:p>
      <w:r>
        <w:t>Section 6 — Adjusted Reserve Valuation — Fixed Constitutional Haircuts</w:t>
      </w:r>
    </w:p>
    <w:p>
      <w:r>
        <w:t>Section 37 — Reserve Rebalancing Algorithm</w:t>
      </w:r>
    </w:p>
    <w:p>
      <w:r>
        <w:t>Section 45 — Mandatory Stress Testing Framework</w:t>
      </w:r>
    </w:p>
    <w:p>
      <w:r>
        <w:t>Section 43 — Formal Verification</w:t>
      </w:r>
    </w:p>
    <w:p>
      <w:r>
        <w:t>Constitutional Verification</w:t>
      </w:r>
    </w:p>
    <w:p>
      <w:r>
        <w:t>text</w:t>
      </w:r>
    </w:p>
    <w:p>
      <w:r>
        <w:t>✓ Constitutional Principle established</w:t>
      </w:r>
    </w:p>
    <w:p>
      <w:r>
        <w:t>✓ Portfolio Modified Duration formula defined</w:t>
      </w:r>
    </w:p>
    <w:p>
      <w:r>
        <w:t>✓ Scope defined</w:t>
      </w:r>
    </w:p>
    <w:p>
      <w:r>
        <w:t>✓ Constitutional Rationale provided</w:t>
      </w:r>
    </w:p>
    <w:p>
      <w:r>
        <w:t>✓ Interpretation table provided</w:t>
      </w:r>
    </w:p>
    <w:p>
      <w:r>
        <w:t>✓ Monitoring Frequency established</w:t>
      </w:r>
    </w:p>
    <w:p>
      <w:r>
        <w:t>✓ Automatic Actions defined</w:t>
      </w:r>
    </w:p>
    <w:p>
      <w:r>
        <w:t>✓ Temporary Exception defined</w:t>
      </w:r>
    </w:p>
    <w:p>
      <w:r>
        <w:t>✓ Stress Testing requirement established</w:t>
      </w:r>
    </w:p>
    <w:p>
      <w:r>
        <w:t>✓ Verification Requirements established</w:t>
      </w:r>
    </w:p>
    <w:p>
      <w:r>
        <w:t>✓ Deterministic Requirement established</w:t>
      </w:r>
    </w:p>
    <w:p>
      <w:r>
        <w:t>✓ Boundary Conditions defined</w:t>
      </w:r>
    </w:p>
    <w:p>
      <w:r>
        <w:t>✓ Related Sections referenced</w:t>
      </w:r>
    </w:p>
    <w:p>
      <w:r>
        <w:t>[END OF SECTION 8 — RESERVE DURATION CONSTRAINT]</w:t>
      </w:r>
    </w:p>
    <w:p>
      <w:r>
        <w:t>Section 9: Constitutional Risk Index (CRI) — Root Mean Square</w:t>
      </w:r>
    </w:p>
    <w:p>
      <w:r>
        <w:t>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p>
    <w:p>
      <w:r>
        <w:t>Constitutional Risk Index</w:t>
      </w:r>
    </w:p>
    <w:p>
      <w:r>
        <w:t>text</w:t>
      </w:r>
    </w:p>
    <w:p>
      <w:r>
        <w:t>CRI = √( w_L × L² + w_F × F² + w_C × C² + w_P × P² + w_O × O² )</w:t>
      </w:r>
    </w:p>
    <w:p>
      <w:r>
        <w:t>Where:</w:t>
      </w:r>
    </w:p>
    <w:p>
      <w:r>
        <w:t>Boundary Conditions</w:t>
      </w:r>
    </w:p>
    <w:p>
      <w:r>
        <w:t>text</w:t>
      </w:r>
    </w:p>
    <w:p>
      <w:r>
        <w:t>Σ w_i = 1.00</w:t>
      </w:r>
    </w:p>
    <w:p>
      <w:r>
        <w:t>text</w:t>
      </w:r>
    </w:p>
    <w:p>
      <w:r>
        <w:t>0 ≤ L, F, C, P, O ≤ 100</w:t>
      </w:r>
    </w:p>
    <w:p>
      <w:r>
        <w:t>text</w:t>
      </w:r>
    </w:p>
    <w:p>
      <w:r>
        <w:t>0 ≤ CRI ≤ 100</w:t>
      </w:r>
    </w:p>
    <w:p>
      <w:r>
        <w:t>Risk Component Weights</w:t>
      </w:r>
    </w:p>
    <w:p>
      <w:r>
        <w:t>Risk Score Methodology</w:t>
      </w:r>
    </w:p>
    <w:p>
      <w:r>
        <w:t>Each component shall be normalized to a score between 0 and 100 using constitutional methodologies defined by policy.</w:t>
      </w:r>
    </w:p>
    <w:p>
      <w:r>
        <w:t>Normalization shall ensure that:</w:t>
      </w:r>
    </w:p>
    <w:p>
      <w:r>
        <w:t>0 = No measurable constitutional risk</w:t>
      </w:r>
    </w:p>
    <w:p>
      <w:r>
        <w:t>100 = Maximum constitutional risk</w:t>
      </w:r>
    </w:p>
    <w:p>
      <w:r>
        <w:t>Interpretation</w:t>
      </w:r>
    </w:p>
    <w:p>
      <w:r>
        <w:t>Automatic Governance Actions</w:t>
      </w:r>
    </w:p>
    <w:p>
      <w:r>
        <w:t>CRI ≥ 50:</w:t>
      </w:r>
    </w:p>
    <w:p>
      <w:r>
        <w:t>Enhanced supervisory reporting</w:t>
      </w:r>
    </w:p>
    <w:p>
      <w:r>
        <w:t>Daily monitoring</w:t>
      </w:r>
    </w:p>
    <w:p>
      <w:r>
        <w:t>Monetary Council notification</w:t>
      </w:r>
    </w:p>
    <w:p>
      <w:r>
        <w:t>CRI &gt; 70:</w:t>
      </w:r>
    </w:p>
    <w:p>
      <w:r>
        <w:t>Pause discretionary minting</w:t>
      </w:r>
    </w:p>
    <w:p>
      <w:r>
        <w:t>Activate Emergency Risk Review</w:t>
      </w:r>
    </w:p>
    <w:p>
      <w:r>
        <w:t>Evaluate reserve rebalancing</w:t>
      </w:r>
    </w:p>
    <w:p>
      <w:r>
        <w:t>Increase reporting frequency</w:t>
      </w:r>
    </w:p>
    <w:p>
      <w:r>
        <w:t>Publish constitutional risk notice if required</w:t>
      </w:r>
    </w:p>
    <w:p>
      <w:r>
        <w:t>Why Root Mean Square?</w:t>
      </w:r>
    </w:p>
    <w:p>
      <w:r>
        <w:t>Root Mean Square (RMS) intentionally gives greater influence to large individual risks while preventing several low-risk components from masking a severe concentration.</w:t>
      </w:r>
    </w:p>
    <w:p>
      <w:r>
        <w:t>This approach is appropriate for prudential supervision because extreme risks require disproportionate attention.</w:t>
      </w:r>
    </w:p>
    <w:p>
      <w:r>
        <w:t>The CRI is therefore conservative by constitutional design.</w:t>
      </w:r>
    </w:p>
    <w:p>
      <w:r>
        <w:t>Institutional Rationale</w:t>
      </w:r>
    </w:p>
    <w:p>
      <w:r>
        <w:t>Root Mean Square aggregation is widely used in quantitative risk management because it emphasizes large deviations while preserving mathematical simplicity, determinism, and auditability.</w:t>
      </w:r>
    </w:p>
    <w:p>
      <w:r>
        <w:t>The Constitutional Risk Index adopts this conservative aggregation method for prudential supervision.</w:t>
      </w:r>
    </w:p>
    <w:p>
      <w:r>
        <w:t>Interpretation Example</w:t>
      </w:r>
    </w:p>
    <w:p>
      <w:r>
        <w:t>Input:</w:t>
      </w:r>
    </w:p>
    <w:p>
      <w:r>
        <w:t>Calculation:</w:t>
      </w:r>
    </w:p>
    <w:p>
      <w:r>
        <w:t>text</w:t>
      </w:r>
    </w:p>
    <w:p>
      <w:r>
        <w:t>CRI = √( 0.25 × 20² + 0.25 × 30² + 0.20 × 25² + 0.15 × 40² + 0.15 × 15² )</w:t>
      </w:r>
    </w:p>
    <w:p>
      <w:r>
        <w:t>= √( 0.25 × 400 + 0.25 × 900 + 0.20 × 625 + 0.15 × 1600 + 0.15 × 225 )</w:t>
      </w:r>
    </w:p>
    <w:p>
      <w:r>
        <w:t>= √( 100 + 225 + 125 + 240 + 33.75 )</w:t>
      </w:r>
    </w:p>
    <w:p>
      <w:r>
        <w:t>= √( 723.75 )</w:t>
      </w:r>
    </w:p>
    <w:p>
      <w:r>
        <w:t>= 26.9</w:t>
      </w:r>
    </w:p>
    <w:p>
      <w:r>
        <w:t>Status: Normal Operations (CRI &lt; 30)</w:t>
      </w:r>
    </w:p>
    <w:p>
      <w:r>
        <w:t>Monitoring Frequency</w:t>
      </w:r>
    </w:p>
    <w:p>
      <w:r>
        <w:t>CRI shall be calculated:</w:t>
      </w:r>
    </w:p>
    <w:p>
      <w:r>
        <w:t>Daily during normal operations</w:t>
      </w:r>
    </w:p>
    <w:p>
      <w:r>
        <w:t>Immediately following material market events</w:t>
      </w:r>
    </w:p>
    <w:p>
      <w:r>
        <w:t>Prior to every scheduled reserve rebalancing</w:t>
      </w:r>
    </w:p>
    <w:p>
      <w:r>
        <w:t>Before publication of Daily Proof of Reserves</w:t>
      </w:r>
    </w:p>
    <w:p>
      <w:r>
        <w:t>Sensitivity</w:t>
      </w:r>
    </w:p>
    <w:p>
      <w:r>
        <w:t>Because the CRI uses Root Mean Square aggregation, an increase in any single high-risk component has a greater effect than an equivalent increase distributed across multiple lower-risk components.</w:t>
      </w:r>
    </w:p>
    <w:p>
      <w:r>
        <w:t>This behavior intentionally prioritizes concentrated institutional risks.</w:t>
      </w:r>
    </w:p>
    <w:p>
      <w:r>
        <w:t>Audit Requirements</w:t>
      </w:r>
    </w:p>
    <w:p>
      <w:r>
        <w:t>Each CRI calculation shall record:</w:t>
      </w:r>
    </w:p>
    <w:p>
      <w:r>
        <w:t>Individual component scores</w:t>
      </w:r>
    </w:p>
    <w:p>
      <w:r>
        <w:t>Component weights</w:t>
      </w:r>
    </w:p>
    <w:p>
      <w:r>
        <w:t>Final CRI</w:t>
      </w:r>
    </w:p>
    <w:p>
      <w:r>
        <w:t>Calculation timestamp</w:t>
      </w:r>
    </w:p>
    <w:p>
      <w:r>
        <w:t>Input data references</w:t>
      </w:r>
    </w:p>
    <w:p>
      <w:r>
        <w:t>Software version</w:t>
      </w:r>
    </w:p>
    <w:p>
      <w:r>
        <w:t>All calculations shall be retained within the immutable audit trail.</w:t>
      </w:r>
    </w:p>
    <w:p>
      <w:r>
        <w:t>Deterministic Requirement</w:t>
      </w:r>
    </w:p>
    <w:p>
      <w:r>
        <w:t>Given identical component scores and constitutional weights, every validator shall calculate the identical Constitutional Risk Index.</w:t>
      </w:r>
    </w:p>
    <w:p>
      <w:r>
        <w:t>No subjective adjustment may occur during mathematical calculation.</w:t>
      </w:r>
    </w:p>
    <w:p>
      <w:r>
        <w:t>Related Sections</w:t>
      </w:r>
    </w:p>
    <w:p>
      <w:r>
        <w:t>Section 4 — Constitutional Reserve Ratio</w:t>
      </w:r>
    </w:p>
    <w:p>
      <w:r>
        <w:t>Section 5 — Liquidity Coverage Ratio (LCR)</w:t>
      </w:r>
    </w:p>
    <w:p>
      <w:r>
        <w:t>Section 7 — Counterparty Risk Adjustment — Composite Score</w:t>
      </w:r>
    </w:p>
    <w:p>
      <w:r>
        <w:t>Section 10 — Counterparty Exposure Limits</w:t>
      </w:r>
    </w:p>
    <w:p>
      <w:r>
        <w:t>Section 42 — Daily Proof of Reserves</w:t>
      </w:r>
    </w:p>
    <w:p>
      <w:r>
        <w:t>Section 45 — Mandatory Stress Testing Framework</w:t>
      </w:r>
    </w:p>
    <w:p>
      <w:r>
        <w:t>Constitutional Verification</w:t>
      </w:r>
    </w:p>
    <w:p>
      <w:r>
        <w:t>text</w:t>
      </w:r>
    </w:p>
    <w:p>
      <w:r>
        <w:t>✓ Constitutional Principle established</w:t>
      </w:r>
    </w:p>
    <w:p>
      <w:r>
        <w:t>✓ Constitutional Risk Index formula defined</w:t>
      </w:r>
    </w:p>
    <w:p>
      <w:r>
        <w:t>✓ Boundary Conditions defined</w:t>
      </w:r>
    </w:p>
    <w:p>
      <w:r>
        <w:t>✓ Risk Component Weights defined</w:t>
      </w:r>
    </w:p>
    <w:p>
      <w:r>
        <w:t>✓ Risk Score Methodology defined</w:t>
      </w:r>
    </w:p>
    <w:p>
      <w:r>
        <w:t>✓ Interpretation table provided</w:t>
      </w:r>
    </w:p>
    <w:p>
      <w:r>
        <w:t>✓ Automatic Governance Actions defined</w:t>
      </w:r>
    </w:p>
    <w:p>
      <w:r>
        <w:t>✓ Why Root Mean Square explained</w:t>
      </w:r>
    </w:p>
    <w:p>
      <w:r>
        <w:t>✓ Institutional Rationale provided</w:t>
      </w:r>
    </w:p>
    <w:p>
      <w:r>
        <w:t>✓ Interpretation Example provided</w:t>
      </w:r>
    </w:p>
    <w:p>
      <w:r>
        <w:t>✓ Monitoring Frequency established</w:t>
      </w:r>
    </w:p>
    <w:p>
      <w:r>
        <w:t>✓ Sensitivity explained</w:t>
      </w:r>
    </w:p>
    <w:p>
      <w:r>
        <w:t>✓ Audit Requirements established</w:t>
      </w:r>
    </w:p>
    <w:p>
      <w:r>
        <w:t>✓ Deterministic Requirement established</w:t>
      </w:r>
    </w:p>
    <w:p>
      <w:r>
        <w:t>✓ Related Sections referenced</w:t>
      </w:r>
    </w:p>
    <w:p>
      <w:r>
        <w:t>[END OF SECTION 9 — CONSTITUTIONAL RISK INDEX (CRI) — ROOT MEAN SQUARE]</w:t>
      </w:r>
    </w:p>
    <w:p>
      <w:r>
        <w:t>Section 10: Counterparty Exposure Limits</w:t>
      </w:r>
    </w:p>
    <w:p>
      <w:r>
        <w:t>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p>
    <w:p>
      <w:r>
        <w:t>Exposure Limits</w:t>
      </w:r>
    </w:p>
    <w:p>
      <w:r>
        <w:t>Measurement Rule</w:t>
      </w:r>
    </w:p>
    <w:p>
      <w:r>
        <w:t>Unless otherwise specified, all exposure percentages shall be calculated using the Adjusted Reserve (Rₐ) immediately following the most recent reserve valuation.</w:t>
      </w:r>
    </w:p>
    <w:p>
      <w:r>
        <w:t>Exposure Calculation</w:t>
      </w:r>
    </w:p>
    <w:p>
      <w:r>
        <w:t>text</w:t>
      </w:r>
    </w:p>
    <w:p>
      <w:r>
        <w:t>Exposure_i = Value_i / R_a</w:t>
      </w:r>
    </w:p>
    <w:p>
      <w:r>
        <w:t>Where:</w:t>
      </w:r>
    </w:p>
    <w:p>
      <w:r>
        <w:t>Constitutional Requirement:</w:t>
      </w:r>
    </w:p>
    <w:p>
      <w:r>
        <w:t>text</w:t>
      </w:r>
    </w:p>
    <w:p>
      <w:r>
        <w:t>Exposure_i ≤ Constitutional Limit_i</w:t>
      </w:r>
    </w:p>
    <w:p>
      <w:r>
        <w:t>Breach Detection</w:t>
      </w:r>
    </w:p>
    <w:p>
      <w:r>
        <w:t>Exposure limits shall be evaluated:</w:t>
      </w:r>
    </w:p>
    <w:p>
      <w:r>
        <w:t>Continuously after every reserve transaction</w:t>
      </w:r>
    </w:p>
    <w:p>
      <w:r>
        <w:t>At every scheduled reserve valuation</w:t>
      </w:r>
    </w:p>
    <w:p>
      <w:r>
        <w:t>Immediately following any significant counterparty event</w:t>
      </w:r>
    </w:p>
    <w:p>
      <w:r>
        <w:t>Breach Categories</w:t>
      </w:r>
    </w:p>
    <w:p>
      <w:r>
        <w:t>Automatic Rebalancing Rule</w:t>
      </w:r>
    </w:p>
    <w:p>
      <w:r>
        <w:t>If any exposure exceeds its constitutional limit, the Reserve Rebalancing Algorithm shall generate a corrective allocation designed to restore compliance while minimizing transaction costs and market impact.</w:t>
      </w:r>
    </w:p>
    <w:p>
      <w:r>
        <w:t>Temporary Exceptions</w:t>
      </w:r>
    </w:p>
    <w:p>
      <w:r>
        <w:t>Temporary exposure breaches caused exclusively by:</w:t>
      </w:r>
    </w:p>
    <w:p>
      <w:r>
        <w:t>market valuation changes,</w:t>
      </w:r>
    </w:p>
    <w:p>
      <w:r>
        <w:t>settlement timing,</w:t>
      </w:r>
    </w:p>
    <w:p>
      <w:r>
        <w:t>corporate actions,</w:t>
      </w:r>
    </w:p>
    <w:p>
      <w:r>
        <w:t>or emergency events,</w:t>
      </w:r>
    </w:p>
    <w:p>
      <w:r>
        <w:t>shall not constitute constitutional violations provided that:</w:t>
      </w:r>
    </w:p>
    <w:p>
      <w:r>
        <w:t>no discretionary increase in exposure occurred after the breach,</w:t>
      </w:r>
    </w:p>
    <w:p>
      <w:r>
        <w:t>remediation begins immediately,</w:t>
      </w:r>
    </w:p>
    <w:p>
      <w:r>
        <w:t>full compliance is restored within the constitutionally defined remediation period.</w:t>
      </w:r>
    </w:p>
    <w:p>
      <w:r>
        <w:t>Diversification Principle</w:t>
      </w:r>
    </w:p>
    <w:p>
      <w:r>
        <w:t>Concentration limits are constitutional safeguards rather than investment targets. Reserve allocations should normally remain comfortably below the maximum permitted exposure whenever operationally practicable.</w:t>
      </w:r>
    </w:p>
    <w:p>
      <w:r>
        <w:t>Verification</w:t>
      </w:r>
    </w:p>
    <w:p>
      <w:r>
        <w:t>Every Proof of Reserves publication shall include:</w:t>
      </w:r>
    </w:p>
    <w:p>
      <w:r>
        <w:t>Largest bank exposure</w:t>
      </w:r>
    </w:p>
    <w:p>
      <w:r>
        <w:t>Largest custodian exposure</w:t>
      </w:r>
    </w:p>
    <w:p>
      <w:r>
        <w:t>Largest sovereign issuer exposure</w:t>
      </w:r>
    </w:p>
    <w:p>
      <w:r>
        <w:t>Largest stablecoin issuer exposure</w:t>
      </w:r>
    </w:p>
    <w:p>
      <w:r>
        <w:t>Largest refinery exposure</w:t>
      </w:r>
    </w:p>
    <w:p>
      <w:r>
        <w:t>Confirmation that every constitutional concentration limit has been satisfied</w:t>
      </w:r>
    </w:p>
    <w:p>
      <w:r>
        <w:t>Related Sections</w:t>
      </w:r>
    </w:p>
    <w:p>
      <w:r>
        <w:t>Section 2 — Constitutional Three-Layer Reserve Valuation Model</w:t>
      </w:r>
    </w:p>
    <w:p>
      <w:r>
        <w:t>Section 7 — Counterparty Risk Adjustment — Composite Score</w:t>
      </w:r>
    </w:p>
    <w:p>
      <w:r>
        <w:t>Section 37 — Reserve Rebalancing Algorithm</w:t>
      </w:r>
    </w:p>
    <w:p>
      <w:r>
        <w:t>Section 42 — Daily Proof of Reserves</w:t>
      </w:r>
    </w:p>
    <w:p>
      <w:r>
        <w:t>Section 43 — Formal Verification</w:t>
      </w:r>
    </w:p>
    <w:p>
      <w:r>
        <w:t>Constitutional Verification</w:t>
      </w:r>
    </w:p>
    <w:p>
      <w:r>
        <w:t>text</w:t>
      </w:r>
    </w:p>
    <w:p>
      <w:r>
        <w:t>✓ Constitutional Principle established</w:t>
      </w:r>
    </w:p>
    <w:p>
      <w:r>
        <w:t>✓ Exposure Limits defined</w:t>
      </w:r>
    </w:p>
    <w:p>
      <w:r>
        <w:t>✓ Measurement Rule established</w:t>
      </w:r>
    </w:p>
    <w:p>
      <w:r>
        <w:t>✓ Exposure Calculation defined</w:t>
      </w:r>
    </w:p>
    <w:p>
      <w:r>
        <w:t>✓ Breach Detection established</w:t>
      </w:r>
    </w:p>
    <w:p>
      <w:r>
        <w:t>✓ Breach Categories defined</w:t>
      </w:r>
    </w:p>
    <w:p>
      <w:r>
        <w:t>✓ Automatic Rebalancing Rule established</w:t>
      </w:r>
    </w:p>
    <w:p>
      <w:r>
        <w:t>✓ Temporary Exceptions defined</w:t>
      </w:r>
    </w:p>
    <w:p>
      <w:r>
        <w:t>✓ Diversification Principle established</w:t>
      </w:r>
    </w:p>
    <w:p>
      <w:r>
        <w:t>✓ Verification requirements established</w:t>
      </w:r>
    </w:p>
    <w:p>
      <w:r>
        <w:t>✓ Related Sections referenced</w:t>
      </w:r>
    </w:p>
    <w:p>
      <w:r>
        <w:t>[END OF SECTION 10 — COUNTERPARTY EXPOSURE LIMITS]</w:t>
      </w:r>
    </w:p>
    <w:p>
      <w:r>
        <w:t>Section 11: Monetary Engine Determinism</w:t>
      </w:r>
    </w:p>
    <w:p>
      <w:r>
        <w:t>Constitutional Principle: Every conforming implementation of the Monetary Engine shall produce identical outputs when provided with identical authenticated inputs, regardless of programming language, operating system, processor architecture, or execution environment.</w:t>
      </w:r>
    </w:p>
    <w:p>
      <w:r>
        <w:t>Determinism is a constitutional requirement that ensures reproducibility, auditability, interoperability, and independent verification across all participating validators.</w:t>
      </w:r>
    </w:p>
    <w:p>
      <w:r>
        <w:t>Constitutional Requirement</w:t>
      </w:r>
    </w:p>
    <w:p>
      <w:r>
        <w:t>Every validator receiving identical authenticated inputs MUST produce identical outputs. The Monetary Engine shall contain no discretionary behavior, no probabilistic calculations, no implementation-dependent arithmetic, and no non-deterministic execution paths.</w:t>
      </w:r>
    </w:p>
    <w:p>
      <w:r>
        <w:t>Canonical Implementation Requirements</w:t>
      </w:r>
    </w:p>
    <w:p>
      <w:r>
        <w:t>Arithmetic</w:t>
      </w:r>
    </w:p>
    <w:p>
      <w:r>
        <w:t>Decimal128 (IEEE-754 Decimal) or Fixed Decimal 18</w:t>
      </w:r>
    </w:p>
    <w:p>
      <w:r>
        <w:t>No binary floating-point arithmetic</w:t>
      </w:r>
    </w:p>
    <w:p>
      <w:r>
        <w:t>Fixed numerical precision throughout every calculation</w:t>
      </w:r>
    </w:p>
    <w:p>
      <w:r>
        <w:t>Execution</w:t>
      </w:r>
    </w:p>
    <w:p>
      <w:r>
        <w:t>Deterministic ordering of all calculations</w:t>
      </w:r>
    </w:p>
    <w:p>
      <w:r>
        <w:t>Deterministic iteration over collections</w:t>
      </w:r>
    </w:p>
    <w:p>
      <w:r>
        <w:t>No race-condition-dependent execution</w:t>
      </w:r>
    </w:p>
    <w:p>
      <w:r>
        <w:t>No concurrency-dependent outcomes</w:t>
      </w:r>
    </w:p>
    <w:p>
      <w:r>
        <w:t>No undefined language behavior</w:t>
      </w:r>
    </w:p>
    <w:p>
      <w:r>
        <w:t>Randomness</w:t>
      </w:r>
    </w:p>
    <w:p>
      <w:r>
        <w:t>No random number generators</w:t>
      </w:r>
    </w:p>
    <w:p>
      <w:r>
        <w:t>No entropy sources</w:t>
      </w:r>
    </w:p>
    <w:p>
      <w:r>
        <w:t>No time-dependent calculations</w:t>
      </w:r>
    </w:p>
    <w:p>
      <w:r>
        <w:t>No hardware-dependent instructions</w:t>
      </w:r>
    </w:p>
    <w:p>
      <w:r>
        <w:t>Rounding</w:t>
      </w:r>
    </w:p>
    <w:p>
      <w:r>
        <w:t>Banker's Rounding (Round Half to Even)</w:t>
      </w:r>
    </w:p>
    <w:p>
      <w:r>
        <w:t>Identical rounding rules in every implementation</w:t>
      </w:r>
    </w:p>
    <w:p>
      <w:r>
        <w:t>Verification</w:t>
      </w:r>
    </w:p>
    <w:p>
      <w:r>
        <w:t>Cryptographic hashing of canonical inputs</w:t>
      </w:r>
    </w:p>
    <w:p>
      <w:r>
        <w:t>Cryptographic hashing of canonical outputs</w:t>
      </w:r>
    </w:p>
    <w:p>
      <w:r>
        <w:t>Full reproducibility by any validator</w:t>
      </w:r>
    </w:p>
    <w:p>
      <w:r>
        <w:t>Canonical Processing Pipeline</w:t>
      </w:r>
    </w:p>
    <w:p>
      <w:r>
        <w:t>text</w:t>
      </w:r>
    </w:p>
    <w:p>
      <w:r>
        <w:t>Authenticated Inputs</w:t>
      </w:r>
    </w:p>
    <w:p>
      <w:r>
        <w:t>│</w:t>
      </w:r>
    </w:p>
    <w:p>
      <w:r>
        <w:t>▼</w:t>
      </w:r>
    </w:p>
    <w:p>
      <w:r>
        <w:t>Input Validation</w:t>
      </w:r>
    </w:p>
    <w:p>
      <w:r>
        <w:t>│</w:t>
      </w:r>
    </w:p>
    <w:p>
      <w:r>
        <w:t>▼</w:t>
      </w:r>
    </w:p>
    <w:p>
      <w:r>
        <w:t>Canonical Ordering</w:t>
      </w:r>
    </w:p>
    <w:p>
      <w:r>
        <w:t>│</w:t>
      </w:r>
    </w:p>
    <w:p>
      <w:r>
        <w:t>▼</w:t>
      </w:r>
    </w:p>
    <w:p>
      <w:r>
        <w:t>Deterministic Calculations</w:t>
      </w:r>
    </w:p>
    <w:p>
      <w:r>
        <w:t>│</w:t>
      </w:r>
    </w:p>
    <w:p>
      <w:r>
        <w:t>▼</w:t>
      </w:r>
    </w:p>
    <w:p>
      <w:r>
        <w:t>Canonical Rounding</w:t>
      </w:r>
    </w:p>
    <w:p>
      <w:r>
        <w:t>│</w:t>
      </w:r>
    </w:p>
    <w:p>
      <w:r>
        <w:t>▼</w:t>
      </w:r>
    </w:p>
    <w:p>
      <w:r>
        <w:t>Output Generation</w:t>
      </w:r>
    </w:p>
    <w:p>
      <w:r>
        <w:t>│</w:t>
      </w:r>
    </w:p>
    <w:p>
      <w:r>
        <w:t>▼</w:t>
      </w:r>
    </w:p>
    <w:p>
      <w:r>
        <w:t>Output Hash</w:t>
      </w:r>
    </w:p>
    <w:p>
      <w:r>
        <w:t>│</w:t>
      </w:r>
    </w:p>
    <w:p>
      <w:r>
        <w:t>▼</w:t>
      </w:r>
    </w:p>
    <w:p>
      <w:r>
        <w:t>Independent Verification</w:t>
      </w:r>
    </w:p>
    <w:p>
      <w:r>
        <w:t>Canonical Input Requirements</w:t>
      </w:r>
    </w:p>
    <w:p>
      <w:r>
        <w:t>Before execution, every validator shall verify:</w:t>
      </w:r>
    </w:p>
    <w:p>
      <w:r>
        <w:t>Identical reserve snapshot</w:t>
      </w:r>
    </w:p>
    <w:p>
      <w:r>
        <w:t>Identical oracle snapshot</w:t>
      </w:r>
    </w:p>
    <w:p>
      <w:r>
        <w:t>Identical constitutional constants</w:t>
      </w:r>
    </w:p>
    <w:p>
      <w:r>
        <w:t>Identical policy schedules</w:t>
      </w:r>
    </w:p>
    <w:p>
      <w:r>
        <w:t>Identical software version</w:t>
      </w:r>
    </w:p>
    <w:p>
      <w:r>
        <w:t>Identical algorithm version</w:t>
      </w:r>
    </w:p>
    <w:p>
      <w:r>
        <w:t>Identical calculation order</w:t>
      </w:r>
    </w:p>
    <w:p>
      <w:r>
        <w:t>Execution shall not begin if any required input differs.</w:t>
      </w:r>
    </w:p>
    <w:p>
      <w:r>
        <w:t>Canonical Output Requirements</w:t>
      </w:r>
    </w:p>
    <w:p>
      <w:r>
        <w:t>Every execution shall produce identical:</w:t>
      </w:r>
    </w:p>
    <w:p>
      <w:r>
        <w:t>Currency weights</w:t>
      </w:r>
    </w:p>
    <w:p>
      <w:r>
        <w:t>Reserve allocations</w:t>
      </w:r>
    </w:p>
    <w:p>
      <w:r>
        <w:t>NAV values</w:t>
      </w:r>
    </w:p>
    <w:p>
      <w:r>
        <w:t>Reserve ratio</w:t>
      </w:r>
    </w:p>
    <w:p>
      <w:r>
        <w:t>Liquidity coverage ratio</w:t>
      </w:r>
    </w:p>
    <w:p>
      <w:r>
        <w:t>Constitutional Risk Index</w:t>
      </w:r>
    </w:p>
    <w:p>
      <w:r>
        <w:t>Proof metadata</w:t>
      </w:r>
    </w:p>
    <w:p>
      <w:r>
        <w:t>Settlement outputs</w:t>
      </w:r>
    </w:p>
    <w:p>
      <w:r>
        <w:t>Cryptographic output hash</w:t>
      </w:r>
    </w:p>
    <w:p>
      <w:r>
        <w:t>Deterministic State Requirement</w:t>
      </w:r>
    </w:p>
    <w:p>
      <w:r>
        <w:t>The Monetary Engine shall behave as a pure deterministic state transition function:</w:t>
      </w:r>
    </w:p>
    <w:p>
      <w:r>
        <w:t>text</w:t>
      </w:r>
    </w:p>
    <w:p>
      <w:r>
        <w:t>State(t + 1) = F(State(t), Authenticated Inputs)</w:t>
      </w:r>
    </w:p>
    <w:p>
      <w:r>
        <w:t>Where:</w:t>
      </w:r>
    </w:p>
    <w:p>
      <w:r>
        <w:t>F is deterministic</w:t>
      </w:r>
    </w:p>
    <w:p>
      <w:r>
        <w:t>Identical inputs always produce identical outputs</w:t>
      </w:r>
    </w:p>
    <w:p>
      <w:r>
        <w:t>No external state may influence execution</w:t>
      </w:r>
    </w:p>
    <w:p>
      <w:r>
        <w:t>Prohibited Sources of Non-Determinism</w:t>
      </w:r>
    </w:p>
    <w:p>
      <w:r>
        <w:t>The following shall never influence calculations:</w:t>
      </w:r>
    </w:p>
    <w:p>
      <w:r>
        <w:t>Local system time</w:t>
      </w:r>
    </w:p>
    <w:p>
      <w:r>
        <w:t>Processor architecture</w:t>
      </w:r>
    </w:p>
    <w:p>
      <w:r>
        <w:t>Operating system</w:t>
      </w:r>
    </w:p>
    <w:p>
      <w:r>
        <w:t>Compiler optimization</w:t>
      </w:r>
    </w:p>
    <w:p>
      <w:r>
        <w:t>Thread scheduling</w:t>
      </w:r>
    </w:p>
    <w:p>
      <w:r>
        <w:t>Memory allocation order</w:t>
      </w:r>
    </w:p>
    <w:p>
      <w:r>
        <w:t>Network latency</w:t>
      </w:r>
    </w:p>
    <w:p>
      <w:r>
        <w:t>Database ordering without explicit sorting</w:t>
      </w:r>
    </w:p>
    <w:p>
      <w:r>
        <w:t>Floating-point implementation differences</w:t>
      </w:r>
    </w:p>
    <w:p>
      <w:r>
        <w:t>Hardware-specific instructions</w:t>
      </w:r>
    </w:p>
    <w:p>
      <w:r>
        <w:t>Randomness of any kind</w:t>
      </w:r>
    </w:p>
    <w:p>
      <w:r>
        <w:t>Version Consistency</w:t>
      </w:r>
    </w:p>
    <w:p>
      <w:r>
        <w:t>Each execution shall reference:</w:t>
      </w:r>
    </w:p>
    <w:p>
      <w:r>
        <w:t>Constitutional Version</w:t>
      </w:r>
    </w:p>
    <w:p>
      <w:r>
        <w:t>Algorithm Version</w:t>
      </w:r>
    </w:p>
    <w:p>
      <w:r>
        <w:t>Constants Registry Version</w:t>
      </w:r>
    </w:p>
    <w:p>
      <w:r>
        <w:t>Oracle Snapshot ID</w:t>
      </w:r>
    </w:p>
    <w:p>
      <w:r>
        <w:t>Proof Version</w:t>
      </w:r>
    </w:p>
    <w:p>
      <w:r>
        <w:t>Circuit Version</w:t>
      </w:r>
    </w:p>
    <w:p>
      <w:r>
        <w:t>Hash Algorithm Version</w:t>
      </w:r>
    </w:p>
    <w:p>
      <w:r>
        <w:t>Validators using different versions shall reject execution.</w:t>
      </w:r>
    </w:p>
    <w:p>
      <w:r>
        <w:t>Verification Requirements</w:t>
      </w:r>
    </w:p>
    <w:p>
      <w:r>
        <w:t>Independent validators shall be capable of reproducing every calculation from publicly available constitutional inputs.</w:t>
      </w:r>
    </w:p>
    <w:p>
      <w:r>
        <w:t>Verification shall confirm:</w:t>
      </w:r>
    </w:p>
    <w:p>
      <w:r>
        <w:t>Identical intermediate calculations</w:t>
      </w:r>
    </w:p>
    <w:p>
      <w:r>
        <w:t>Identical final outputs</w:t>
      </w:r>
    </w:p>
    <w:p>
      <w:r>
        <w:t>Identical cryptographic hashes</w:t>
      </w:r>
    </w:p>
    <w:p>
      <w:r>
        <w:t>Identical proof commitments</w:t>
      </w:r>
    </w:p>
    <w:p>
      <w:r>
        <w:t>Formal Verification Objective</w:t>
      </w:r>
    </w:p>
    <w:p>
      <w:r>
        <w:t>The implementation shall be capable of formal verification demonstrating:</w:t>
      </w:r>
    </w:p>
    <w:p>
      <w:r>
        <w:t>Determinism</w:t>
      </w:r>
    </w:p>
    <w:p>
      <w:r>
        <w:t>Arithmetic correctness</w:t>
      </w:r>
    </w:p>
    <w:p>
      <w:r>
        <w:t>Reproducibility</w:t>
      </w:r>
    </w:p>
    <w:p>
      <w:r>
        <w:t>Absence of undefined behavior</w:t>
      </w:r>
    </w:p>
    <w:p>
      <w:r>
        <w:t>Absence of execution ambiguity</w:t>
      </w:r>
    </w:p>
    <w:p>
      <w:r>
        <w:t>Constitutional compliance</w:t>
      </w:r>
    </w:p>
    <w:p>
      <w:r>
        <w:t>Constitutional Statement</w:t>
      </w:r>
    </w:p>
    <w:p>
      <w:r>
        <w:t>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p>
    <w:p>
      <w:r>
        <w:t>Related Sections</w:t>
      </w:r>
    </w:p>
    <w:p>
      <w:r>
        <w:t>Section 6 — Adjusted Reserve Valuation — Fixed Constitutional Haircuts</w:t>
      </w:r>
    </w:p>
    <w:p>
      <w:r>
        <w:t>Section 7 — Counterparty Risk Adjustment — Composite Score</w:t>
      </w:r>
    </w:p>
    <w:p>
      <w:r>
        <w:t>Section 9 — Constitutional Risk Index (CRI)</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Constitutional Requirement established</w:t>
      </w:r>
    </w:p>
    <w:p>
      <w:r>
        <w:t>✓ Arithmetic requirements defined</w:t>
      </w:r>
    </w:p>
    <w:p>
      <w:r>
        <w:t>✓ Execution requirements defined</w:t>
      </w:r>
    </w:p>
    <w:p>
      <w:r>
        <w:t>✓ Randomness requirements defined</w:t>
      </w:r>
    </w:p>
    <w:p>
      <w:r>
        <w:t>✓ Rounding requirements defined</w:t>
      </w:r>
    </w:p>
    <w:p>
      <w:r>
        <w:t>✓ Verification requirements defined</w:t>
      </w:r>
    </w:p>
    <w:p>
      <w:r>
        <w:t>✓ Canonical Processing Pipeline defined</w:t>
      </w:r>
    </w:p>
    <w:p>
      <w:r>
        <w:t>✓ Canonical Input Requirements defined</w:t>
      </w:r>
    </w:p>
    <w:p>
      <w:r>
        <w:t>✓ Canonical Output Requirements defined</w:t>
      </w:r>
    </w:p>
    <w:p>
      <w:r>
        <w:t>✓ Deterministic State Requirement defined</w:t>
      </w:r>
    </w:p>
    <w:p>
      <w:r>
        <w:t>✓ Prohibited Sources of Non-Determinism defined</w:t>
      </w:r>
    </w:p>
    <w:p>
      <w:r>
        <w:t>✓ Version Consistency established</w:t>
      </w:r>
    </w:p>
    <w:p>
      <w:r>
        <w:t>✓ Verification Requirements established</w:t>
      </w:r>
    </w:p>
    <w:p>
      <w:r>
        <w:t>✓ Formal Verification Objective defined</w:t>
      </w:r>
    </w:p>
    <w:p>
      <w:r>
        <w:t>✓ Constitutional Statement provided</w:t>
      </w:r>
    </w:p>
    <w:p>
      <w:r>
        <w:t>✓ Related Sections referenced</w:t>
      </w:r>
    </w:p>
    <w:p>
      <w:r>
        <w:t>[END OF SECTION 11 — MONETARY ENGINE DETERMINISM]</w:t>
      </w:r>
    </w:p>
    <w:p>
      <w:r>
        <w:t>[END OF PART I — CONSTITUTIONAL MATHEMATICAL FOUNDATIONS]</w:t>
      </w:r>
    </w:p>
    <w:p>
      <w:r>
        <w:t>PART II — CURRENCY ENGINE</w:t>
      </w:r>
    </w:p>
    <w:p>
      <w:r>
        <w:t>Section 12: Currency Eligibility — Constitutional Admission Framework</w:t>
      </w:r>
    </w:p>
    <w:p>
      <w:r>
        <w:t>Constitutional Principle: Only currencies that demonstrate sustained institutional relevance, operational accessibility, legal certainty, and market resilience shall be eligible for inclusion in the Constitutional Reserve Basket.</w:t>
      </w:r>
    </w:p>
    <w:p>
      <w:r>
        <w:t>Eligibility is based on objective, measurable, and periodically reviewed constitutional criteria. No currency possesses a permanent right to inclusion.</w:t>
      </w:r>
    </w:p>
    <w:p>
      <w:r>
        <w:t>Seven Constitutional Eligibility Criteria</w:t>
      </w:r>
    </w:p>
    <w:p>
      <w:r>
        <w:t>Constitutional Admission Rule</w:t>
      </w:r>
    </w:p>
    <w:p>
      <w:r>
        <w:t>A currency shall satisfy every constitutional eligibility criterion before becoming eligible for inclusion.</w:t>
      </w:r>
    </w:p>
    <w:p>
      <w:r>
        <w:t>Failure to satisfy any mandatory criterion shall result in probation, suspension, or removal according to the Constitutional Admission Lifecycle.</w:t>
      </w:r>
    </w:p>
    <w:p>
      <w:r>
        <w:t>Data Sources</w:t>
      </w:r>
    </w:p>
    <w:p>
      <w:r>
        <w:t>Eligibility assessments shall rely exclusively on approved institutional data sources.</w:t>
      </w:r>
    </w:p>
    <w:p>
      <w:r>
        <w:t>12.1 Constitutional Admission Lifecycle</w:t>
      </w:r>
    </w:p>
    <w:p>
      <w:r>
        <w:t>text</w:t>
      </w:r>
    </w:p>
    <w:p>
      <w:r>
        <w:t>Observation (Minimum 2 Consecutive Quarters)</w:t>
      </w:r>
    </w:p>
    <w:p>
      <w:r>
        <w:t>│</w:t>
      </w:r>
    </w:p>
    <w:p>
      <w:r>
        <w:t>▼</w:t>
      </w:r>
    </w:p>
    <w:p>
      <w:r>
        <w:t>Eligibility Assessment</w:t>
      </w:r>
    </w:p>
    <w:p>
      <w:r>
        <w:t>│</w:t>
      </w:r>
    </w:p>
    <w:p>
      <w:r>
        <w:t>▼</w:t>
      </w:r>
    </w:p>
    <w:p>
      <w:r>
        <w:t>Council Approval</w:t>
      </w:r>
    </w:p>
    <w:p>
      <w:r>
        <w:t>│</w:t>
      </w:r>
    </w:p>
    <w:p>
      <w:r>
        <w:t>▼</w:t>
      </w:r>
    </w:p>
    <w:p>
      <w:r>
        <w:t>Initial Inclusion</w:t>
      </w:r>
    </w:p>
    <w:p>
      <w:r>
        <w:t>│</w:t>
      </w:r>
    </w:p>
    <w:p>
      <w:r>
        <w:t>▼</w:t>
      </w:r>
    </w:p>
    <w:p>
      <w:r>
        <w:t>Full Constitutional Weight</w:t>
      </w:r>
    </w:p>
    <w:p>
      <w:r>
        <w:t>│</w:t>
      </w:r>
    </w:p>
    <w:p>
      <w:r>
        <w:t>▼</w:t>
      </w:r>
    </w:p>
    <w:p>
      <w:r>
        <w:t>Continuous Monitoring</w:t>
      </w:r>
    </w:p>
    <w:p>
      <w:r>
        <w:t>│</w:t>
      </w:r>
    </w:p>
    <w:p>
      <w:r>
        <w:t>▼</w:t>
      </w:r>
    </w:p>
    <w:p>
      <w:r>
        <w:t>Probation (Criteria Failure)</w:t>
      </w:r>
    </w:p>
    <w:p>
      <w:r>
        <w:t>│</w:t>
      </w:r>
    </w:p>
    <w:p>
      <w:r>
        <w:t>▼</w:t>
      </w:r>
    </w:p>
    <w:p>
      <w:r>
        <w:t>Reduced Weight (50%)</w:t>
      </w:r>
    </w:p>
    <w:p>
      <w:r>
        <w:t>│</w:t>
      </w:r>
    </w:p>
    <w:p>
      <w:r>
        <w:t>▼</w:t>
      </w:r>
    </w:p>
    <w:p>
      <w:r>
        <w:t>Removal</w:t>
      </w:r>
    </w:p>
    <w:p>
      <w:r>
        <w:t>│</w:t>
      </w:r>
    </w:p>
    <w:p>
      <w:r>
        <w:t>▼</w:t>
      </w:r>
    </w:p>
    <w:p>
      <w:r>
        <w:t>Historical Archive</w:t>
      </w:r>
    </w:p>
    <w:p>
      <w:r>
        <w:t>│</w:t>
      </w:r>
    </w:p>
    <w:p>
      <w:r>
        <w:t>▼</w:t>
      </w:r>
    </w:p>
    <w:p>
      <w:r>
        <w:t>Reapplication</w:t>
      </w:r>
    </w:p>
    <w:p>
      <w:r>
        <w:t>Observation Period</w:t>
      </w:r>
    </w:p>
    <w:p>
      <w:r>
        <w:t>A candidate currency shall successfully satisfy every constitutional criterion for a minimum of two consecutive calendar quarters before becoming eligible for Council consideration.</w:t>
      </w:r>
    </w:p>
    <w:p>
      <w:r>
        <w:t>Continuous Monitoring</w:t>
      </w:r>
    </w:p>
    <w:p>
      <w:r>
        <w:t>Every eligible currency shall be reviewed:</w:t>
      </w:r>
    </w:p>
    <w:p>
      <w:r>
        <w:t>Continuously for emergency events</w:t>
      </w:r>
    </w:p>
    <w:p>
      <w:r>
        <w:t>Quarterly for constitutional compliance</w:t>
      </w:r>
    </w:p>
    <w:p>
      <w:r>
        <w:t>Annually for comprehensive eligibility reassessment</w:t>
      </w:r>
    </w:p>
    <w:p>
      <w:r>
        <w:t>12.2 Emergency Suspension</w:t>
      </w:r>
    </w:p>
    <w:p>
      <w:r>
        <w:t>Suspension Review</w:t>
      </w:r>
    </w:p>
    <w:p>
      <w:r>
        <w:t>Emergency suspensions are temporary protective measures.</w:t>
      </w:r>
    </w:p>
    <w:p>
      <w:r>
        <w:t>Before expiration of the suspension period, the Council shall determine whether the currency shall:</w:t>
      </w:r>
    </w:p>
    <w:p>
      <w:r>
        <w:t>Return to normal eligibility</w:t>
      </w:r>
    </w:p>
    <w:p>
      <w:r>
        <w:t>Enter probation</w:t>
      </w:r>
    </w:p>
    <w:p>
      <w:r>
        <w:t>Remain suspended</w:t>
      </w:r>
    </w:p>
    <w:p>
      <w:r>
        <w:t>Be permanently removed</w:t>
      </w:r>
    </w:p>
    <w:p>
      <w:r>
        <w:t>Removal Criteria</w:t>
      </w:r>
    </w:p>
    <w:p>
      <w:r>
        <w:t>A currency shall be removed when:</w:t>
      </w:r>
    </w:p>
    <w:p>
      <w:r>
        <w:t>Constitutional eligibility criteria remain unsatisfied for two consecutive review periods</w:t>
      </w:r>
    </w:p>
    <w:p>
      <w:r>
        <w:t>Convertibility is permanently impaired</w:t>
      </w:r>
    </w:p>
    <w:p>
      <w:r>
        <w:t>Legal accessibility is permanently lost</w:t>
      </w:r>
    </w:p>
    <w:p>
      <w:r>
        <w:t>Settlement capability materially ceases</w:t>
      </w:r>
    </w:p>
    <w:p>
      <w:r>
        <w:t>Council determines continued inclusion would threaten constitutional stability</w:t>
      </w:r>
    </w:p>
    <w:p>
      <w:r>
        <w:t>Reinstatement Requirements</w:t>
      </w:r>
    </w:p>
    <w:p>
      <w:r>
        <w:t>A removed currency may be reconsidered only after:</w:t>
      </w:r>
    </w:p>
    <w:p>
      <w:r>
        <w:t>Satisfying every constitutional eligibility criterion</w:t>
      </w:r>
    </w:p>
    <w:p>
      <w:r>
        <w:t>Completing a new observation period</w:t>
      </w:r>
    </w:p>
    <w:p>
      <w:r>
        <w:t>Successful independent review</w:t>
      </w:r>
    </w:p>
    <w:p>
      <w:r>
        <w:t>Council approval</w:t>
      </w:r>
    </w:p>
    <w:p>
      <w:r>
        <w:t>Previous inclusion shall not create any presumption of future eligibility.</w:t>
      </w:r>
    </w:p>
    <w:p>
      <w:r>
        <w:t>Exceptional Circumstances</w:t>
      </w:r>
    </w:p>
    <w:p>
      <w:r>
        <w:t>Temporary geopolitical, operational, or technical disruptions shall not automatically require permanent removal provided constitutional objectives remain achievable.</w:t>
      </w:r>
    </w:p>
    <w:p>
      <w:r>
        <w:t>Verification Requirements</w:t>
      </w:r>
    </w:p>
    <w:p>
      <w:r>
        <w:t>Every quarterly Constitutional Reserve Report shall disclose:</w:t>
      </w:r>
    </w:p>
    <w:p>
      <w:r>
        <w:t>Eligible currencies</w:t>
      </w:r>
    </w:p>
    <w:p>
      <w:r>
        <w:t>Probationary currencies</w:t>
      </w:r>
    </w:p>
    <w:p>
      <w:r>
        <w:t>Suspended currencies</w:t>
      </w:r>
    </w:p>
    <w:p>
      <w:r>
        <w:t>Removed currencies</w:t>
      </w:r>
    </w:p>
    <w:p>
      <w:r>
        <w:t>Admission decisions</w:t>
      </w:r>
    </w:p>
    <w:p>
      <w:r>
        <w:t>Supporting eligibility assessments</w:t>
      </w:r>
    </w:p>
    <w:p>
      <w:r>
        <w:t>Effective dates</w:t>
      </w:r>
    </w:p>
    <w:p>
      <w:r>
        <w:t>Constitutional Statement</w:t>
      </w:r>
    </w:p>
    <w:p>
      <w:r>
        <w:t>Eligibility is earned through sustained institutional suitability rather than historical status or political influence. Inclusion and removal decisions shall be governed exclusively by constitutional criteria applied consistently to every currency.</w:t>
      </w:r>
    </w:p>
    <w:p>
      <w:r>
        <w:t>Related Sections</w:t>
      </w:r>
    </w:p>
    <w:p>
      <w:r>
        <w:t>Section 13 — Currency Basket Weighting</w:t>
      </w:r>
    </w:p>
    <w:p>
      <w:r>
        <w:t>Section 14 — Monetary Engine</w:t>
      </w:r>
    </w:p>
    <w:p>
      <w:r>
        <w:t>Section 15 — Currency Weighting Algorithm</w:t>
      </w:r>
    </w:p>
    <w:p>
      <w:r>
        <w:t>Section 42 — Daily Proof of Reserves</w:t>
      </w:r>
    </w:p>
    <w:p>
      <w:r>
        <w:t>Section 43 — Formal Verification</w:t>
      </w:r>
    </w:p>
    <w:p>
      <w:r>
        <w:t>Constitutional Verification</w:t>
      </w:r>
    </w:p>
    <w:p>
      <w:r>
        <w:t>text</w:t>
      </w:r>
    </w:p>
    <w:p>
      <w:r>
        <w:t>✓ Constitutional Principle established</w:t>
      </w:r>
    </w:p>
    <w:p>
      <w:r>
        <w:t>✓ Seven Constitutional Eligibility Criteria defined</w:t>
      </w:r>
    </w:p>
    <w:p>
      <w:r>
        <w:t>✓ Constitutional Admission Rule established</w:t>
      </w:r>
    </w:p>
    <w:p>
      <w:r>
        <w:t>✓ Data Sources defined</w:t>
      </w:r>
    </w:p>
    <w:p>
      <w:r>
        <w:t>✓ Constitutional Admission Lifecycle defined</w:t>
      </w:r>
    </w:p>
    <w:p>
      <w:r>
        <w:t>✓ Observation Period defined</w:t>
      </w:r>
    </w:p>
    <w:p>
      <w:r>
        <w:t>✓ Continuous Monitoring established</w:t>
      </w:r>
    </w:p>
    <w:p>
      <w:r>
        <w:t>✓ Emergency Suspension defined</w:t>
      </w:r>
    </w:p>
    <w:p>
      <w:r>
        <w:t>✓ Suspension Review defined</w:t>
      </w:r>
    </w:p>
    <w:p>
      <w:r>
        <w:t>✓ Removal Criteria defined</w:t>
      </w:r>
    </w:p>
    <w:p>
      <w:r>
        <w:t>✓ Reinstatement Requirements defined</w:t>
      </w:r>
    </w:p>
    <w:p>
      <w:r>
        <w:t>✓ Exceptional Circumstances defined</w:t>
      </w:r>
    </w:p>
    <w:p>
      <w:r>
        <w:t>✓ Verification Requirements established</w:t>
      </w:r>
    </w:p>
    <w:p>
      <w:r>
        <w:t>✓ Constitutional Statement provided</w:t>
      </w:r>
    </w:p>
    <w:p>
      <w:r>
        <w:t>✓ Related Sections referenced</w:t>
      </w:r>
    </w:p>
    <w:p>
      <w:r>
        <w:t>[END OF SECTION 12 — CURRENCY ELIGIBILITY — CONSTITUTIONAL ADMISSION FRAMEWORK]</w:t>
      </w:r>
    </w:p>
    <w:p>
      <w:r>
        <w:t>Section 13: Structural Weight</w:t>
      </w:r>
    </w:p>
    <w:p>
      <w:r>
        <w:t>Constitutional Principle: The Structural Weight represents the long-term constitutional importance of each eligible currency within the reserve basket. It reflects institutional relevance rather than short-term market behavior.</w:t>
      </w:r>
    </w:p>
    <w:p>
      <w:r>
        <w:t>Structural Weights are derived exclusively from objective institutional indicators and are intentionally insulated from temporary market fluctuations.</w:t>
      </w:r>
    </w:p>
    <w:p>
      <w:r>
        <w:t>Formula</w:t>
      </w:r>
    </w:p>
    <w:p>
      <w:r>
        <w:t>text</w:t>
      </w:r>
    </w:p>
    <w:p>
      <w:r>
        <w:t>C_i = α × COFER_i + β × SWIFT_i + γ × BIS_i</w:t>
      </w:r>
    </w:p>
    <w:p>
      <w:r>
        <w:t>Where:</w:t>
      </w:r>
    </w:p>
    <w:p>
      <w:r>
        <w:t>Constitutional Verification:</w:t>
      </w:r>
    </w:p>
    <w:p>
      <w:r>
        <w:t>text</w:t>
      </w:r>
    </w:p>
    <w:p>
      <w:r>
        <w:t>α + β + γ = 1.00</w:t>
      </w:r>
    </w:p>
    <w:p>
      <w:r>
        <w:t>Data Sources</w:t>
      </w:r>
    </w:p>
    <w:p>
      <w:r>
        <w:t>Constitutional Data Hierarchy</w:t>
      </w:r>
    </w:p>
    <w:p>
      <w:r>
        <w:t>Structural Weight calculations shall use only constitutionally approved institutional data sources.</w:t>
      </w:r>
    </w:p>
    <w:p>
      <w:r>
        <w:t>Where multiple official publications exist, the most recently published official dataset shall prevail.</w:t>
      </w:r>
    </w:p>
    <w:p>
      <w:r>
        <w:t>No commercial or unofficial data source may replace constitutional data without Council approval through the Constitutional Amendment Process.</w:t>
      </w:r>
    </w:p>
    <w:p>
      <w:r>
        <w:t>Data Synchronization Rule</w:t>
      </w:r>
    </w:p>
    <w:p>
      <w:r>
        <w:t>Because source publications occur at different frequencies:</w:t>
      </w:r>
    </w:p>
    <w:p>
      <w:r>
        <w:t>COFER values remain effective until the next official IMF publication</w:t>
      </w:r>
    </w:p>
    <w:p>
      <w:r>
        <w:t>BIS values remain effective until the next official BIS publication</w:t>
      </w:r>
    </w:p>
    <w:p>
      <w:r>
        <w:t>SWIFT values update monthly upon publication</w:t>
      </w:r>
    </w:p>
    <w:p>
      <w:r>
        <w:t>Each calculation shall use the most recent officially published value for every component.</w:t>
      </w:r>
    </w:p>
    <w:p>
      <w:r>
        <w:t>Missing Data Rule</w:t>
      </w:r>
    </w:p>
    <w:p>
      <w:r>
        <w:t>If an official source is temporarily unavailable:</w:t>
      </w:r>
    </w:p>
    <w:p>
      <w:r>
        <w:t>The most recently published official value shall remain in force</w:t>
      </w:r>
    </w:p>
    <w:p>
      <w:r>
        <w:t>No interpolation shall be performed</w:t>
      </w:r>
    </w:p>
    <w:p>
      <w:r>
        <w:t>No estimation shall be introduced</w:t>
      </w:r>
    </w:p>
    <w:p>
      <w:r>
        <w:t>All use of carried-forward values shall be disclosed in the daily transparency report</w:t>
      </w:r>
    </w:p>
    <w:p>
      <w:r>
        <w:t>Constitutional Rationale</w:t>
      </w:r>
    </w:p>
    <w:p>
      <w:r>
        <w:t>50% — IMF COFER</w:t>
      </w:r>
    </w:p>
    <w:p>
      <w:r>
        <w:t>Official reserve holdings represent the most stable measure of long-term monetary significance because they reflect sovereign reserve allocation decisions rather than short-term market activity.</w:t>
      </w:r>
    </w:p>
    <w:p>
      <w:r>
        <w:t>40% — SWIFT Settlement Share</w:t>
      </w:r>
    </w:p>
    <w:p>
      <w:r>
        <w:t>International settlement activity directly measures the practical use of currencies in cross-border trade, which aligns with the constitutional purpose of MTQ as a settlement infrastructure.</w:t>
      </w:r>
    </w:p>
    <w:p>
      <w:r>
        <w:t>10% — BIS Liquidity</w:t>
      </w:r>
    </w:p>
    <w:p>
      <w:r>
        <w:t>Foreign-exchange liquidity supports operational execution, market resilience, and efficient reserve management without dominating the constitutional weighting methodology.</w:t>
      </w:r>
    </w:p>
    <w:p>
      <w:r>
        <w:t>Constitutional Properties</w:t>
      </w:r>
    </w:p>
    <w:p>
      <w:r>
        <w:t>The Structural Weight possesses the following constitutional characteristics:</w:t>
      </w:r>
    </w:p>
    <w:p>
      <w:r>
        <w:t>Objective</w:t>
      </w:r>
    </w:p>
    <w:p>
      <w:r>
        <w:t>Transparent</w:t>
      </w:r>
    </w:p>
    <w:p>
      <w:r>
        <w:t>Reproducible</w:t>
      </w:r>
    </w:p>
    <w:p>
      <w:r>
        <w:t>Institutionally sourced</w:t>
      </w:r>
    </w:p>
    <w:p>
      <w:r>
        <w:t>Deterministic</w:t>
      </w:r>
    </w:p>
    <w:p>
      <w:r>
        <w:t>Independently verifiable</w:t>
      </w:r>
    </w:p>
    <w:p>
      <w:r>
        <w:t>Resistant to short-term speculation</w:t>
      </w:r>
    </w:p>
    <w:p>
      <w:r>
        <w:t>Normalization Verification</w:t>
      </w:r>
    </w:p>
    <w:p>
      <w:r>
        <w:t>All institutional datasets shall be normalized before application:</w:t>
      </w:r>
    </w:p>
    <w:p>
      <w:r>
        <w:t>text</w:t>
      </w:r>
    </w:p>
    <w:p>
      <w:r>
        <w:t>Σ COFER_i = 1</w:t>
      </w:r>
    </w:p>
    <w:p>
      <w:r>
        <w:t>Σ SWIFT_i = 1</w:t>
      </w:r>
    </w:p>
    <w:p>
      <w:r>
        <w:t>Σ BIS_i = 1</w:t>
      </w:r>
    </w:p>
    <w:p>
      <w:r>
        <w:t>Therefore:</w:t>
      </w:r>
    </w:p>
    <w:p>
      <w:r>
        <w:t>text</w:t>
      </w:r>
    </w:p>
    <w:p>
      <w:r>
        <w:t>Σ C_i = 1</w:t>
      </w:r>
    </w:p>
    <w:p>
      <w:r>
        <w:t>Before any subsequent monetary adjustments.</w:t>
      </w:r>
    </w:p>
    <w:p>
      <w:r>
        <w:t>Example</w:t>
      </w:r>
    </w:p>
    <w:p>
      <w:r>
        <w:t>text</w:t>
      </w:r>
    </w:p>
    <w:p>
      <w:r>
        <w:t>COFER_USD = 0.585</w:t>
      </w:r>
    </w:p>
    <w:p>
      <w:r>
        <w:t>SWIFT_USD = 0.400</w:t>
      </w:r>
    </w:p>
    <w:p>
      <w:r>
        <w:t>BIS_USD = 0.550</w:t>
      </w:r>
    </w:p>
    <w:p>
      <w:r>
        <w:t>C_USD = 0.50 × 0.585</w:t>
      </w:r>
    </w:p>
    <w:p>
      <w:r>
        <w:t>+ 0.40 × 0.400</w:t>
      </w:r>
    </w:p>
    <w:p>
      <w:r>
        <w:t>+ 0.10 × 0.550</w:t>
      </w:r>
    </w:p>
    <w:p>
      <w:r>
        <w:t>C_USD = 0.2925 + 0.1600 + 0.0550</w:t>
      </w:r>
    </w:p>
    <w:p>
      <w:r>
        <w:t>= 0.5075</w:t>
      </w:r>
    </w:p>
    <w:p>
      <w:r>
        <w:t>Interpretation: The United States Dollar receives an initial constitutional structural weight of 50.75% before application of the Momentum Engine, Mean Reversion Engine, Shock Absorber, Liquidity Overlay, and final normalization.</w:t>
      </w:r>
    </w:p>
    <w:p>
      <w:r>
        <w:t>Independence from Market Dynamics</w:t>
      </w:r>
    </w:p>
    <w:p>
      <w:r>
        <w:t>Structural Weight shall not be affected by:</w:t>
      </w:r>
    </w:p>
    <w:p>
      <w:r>
        <w:t>Exchange-rate movements</w:t>
      </w:r>
    </w:p>
    <w:p>
      <w:r>
        <w:t>Temporary volatility</w:t>
      </w:r>
    </w:p>
    <w:p>
      <w:r>
        <w:t>Speculative trading</w:t>
      </w:r>
    </w:p>
    <w:p>
      <w:r>
        <w:t>Liquidity shocks</w:t>
      </w:r>
    </w:p>
    <w:p>
      <w:r>
        <w:t>Emergency stabilization mechanisms</w:t>
      </w:r>
    </w:p>
    <w:p>
      <w:r>
        <w:t>Those factors are incorporated separately through the Momentum, Mean Reversion, Shock Absorber, and Liquidity Overlay components.</w:t>
      </w:r>
    </w:p>
    <w:p>
      <w:r>
        <w:t>Verification Requirements</w:t>
      </w:r>
    </w:p>
    <w:p>
      <w:r>
        <w:t>Every published Structural Weight calculation shall disclose:</w:t>
      </w:r>
    </w:p>
    <w:p>
      <w:r>
        <w:t>COFER dataset version</w:t>
      </w:r>
    </w:p>
    <w:p>
      <w:r>
        <w:t>SWIFT dataset version</w:t>
      </w:r>
    </w:p>
    <w:p>
      <w:r>
        <w:t>BIS dataset version</w:t>
      </w:r>
    </w:p>
    <w:p>
      <w:r>
        <w:t>Publication dates</w:t>
      </w:r>
    </w:p>
    <w:p>
      <w:r>
        <w:t>Calculation timestamp</w:t>
      </w:r>
    </w:p>
    <w:p>
      <w:r>
        <w:t>Algorithm version</w:t>
      </w:r>
    </w:p>
    <w:p>
      <w:r>
        <w:t>Resulting structural weights</w:t>
      </w:r>
    </w:p>
    <w:p>
      <w:r>
        <w:t>Constitutional Statement</w:t>
      </w:r>
    </w:p>
    <w:p>
      <w:r>
        <w:t>Structural Weight measures enduring institutional monetary significance rather than short-term market behavior. It provides the stable constitutional foundation upon which all subsequent dynamic adjustments are applied.</w:t>
      </w:r>
    </w:p>
    <w:p>
      <w:r>
        <w:t>Related Sections</w:t>
      </w:r>
    </w:p>
    <w:p>
      <w:r>
        <w:t>Section 12 — Currency Eligibility — Constitutional Admission Framework</w:t>
      </w:r>
    </w:p>
    <w:p>
      <w:r>
        <w:t>Section 14 — Momentum Engine</w:t>
      </w:r>
    </w:p>
    <w:p>
      <w:r>
        <w:t>Section 15 — Mean Reversion Engine</w:t>
      </w:r>
    </w:p>
    <w:p>
      <w:r>
        <w:t>Section 16 — Shock Absorber</w:t>
      </w:r>
    </w:p>
    <w:p>
      <w:r>
        <w:t>Section 17 — Liquidity Overlay</w:t>
      </w:r>
    </w:p>
    <w:p>
      <w:r>
        <w:t>Section 42 — Daily Proof of Reserves</w:t>
      </w:r>
    </w:p>
    <w:p>
      <w:r>
        <w:t>Section 43 — Formal Verification</w:t>
      </w:r>
    </w:p>
    <w:p>
      <w:r>
        <w:t>Constitutional Verification</w:t>
      </w:r>
    </w:p>
    <w:p>
      <w:r>
        <w:t>text</w:t>
      </w:r>
    </w:p>
    <w:p>
      <w:r>
        <w:t>✓ Constitutional Principle established</w:t>
      </w:r>
    </w:p>
    <w:p>
      <w:r>
        <w:t>✓ Structural Weight formula defined</w:t>
      </w:r>
    </w:p>
    <w:p>
      <w:r>
        <w:t>✓ Constitutional Verification established</w:t>
      </w:r>
    </w:p>
    <w:p>
      <w:r>
        <w:t>✓ Data Sources defined</w:t>
      </w:r>
    </w:p>
    <w:p>
      <w:r>
        <w:t>✓ Constitutional Data Hierarchy established</w:t>
      </w:r>
    </w:p>
    <w:p>
      <w:r>
        <w:t>✓ Data Synchronization Rule established</w:t>
      </w:r>
    </w:p>
    <w:p>
      <w:r>
        <w:t>✓ Missing Data Rule established</w:t>
      </w:r>
    </w:p>
    <w:p>
      <w:r>
        <w:t>✓ Constitutional Rationale provided</w:t>
      </w:r>
    </w:p>
    <w:p>
      <w:r>
        <w:t>✓ Constitutional Properties listed</w:t>
      </w:r>
    </w:p>
    <w:p>
      <w:r>
        <w:t>✓ Normalization Verification established</w:t>
      </w:r>
    </w:p>
    <w:p>
      <w:r>
        <w:t>✓ Example provided</w:t>
      </w:r>
    </w:p>
    <w:p>
      <w:r>
        <w:t>✓ Independence from Market Dynamics established</w:t>
      </w:r>
    </w:p>
    <w:p>
      <w:r>
        <w:t>✓ Verification Requirements established</w:t>
      </w:r>
    </w:p>
    <w:p>
      <w:r>
        <w:t>✓ Constitutional Statement provided</w:t>
      </w:r>
    </w:p>
    <w:p>
      <w:r>
        <w:t>✓ Related Sections referenced</w:t>
      </w:r>
    </w:p>
    <w:p>
      <w:r>
        <w:t>[END OF SECTION 13 — STRUCTURAL WEIGHT]</w:t>
      </w:r>
    </w:p>
    <w:p>
      <w:r>
        <w:t>Section 14: Gold Anchor</w:t>
      </w:r>
    </w:p>
    <w:p>
      <w:r>
        <w:t>Constitutional Principle: Gold is the constitutional monetary anchor of the Institution. It provides the invariant reference against which the purchasing power of eligible currencies is evaluated.</w:t>
      </w:r>
    </w:p>
    <w:p>
      <w:r>
        <w:t>The reporting numeraire is solely an accounting convention used for valuation, reporting, and redemption invoicing. Changing the reporting numeraire shall never alter reserve composition, currency weights, or constitutional monetary policy.</w:t>
      </w:r>
    </w:p>
    <w:p>
      <w:r>
        <w:t>Formula</w:t>
      </w:r>
    </w:p>
    <w:p>
      <w:r>
        <w:t>text</w:t>
      </w:r>
    </w:p>
    <w:p>
      <w:r>
        <w:t>GoldPrice_i(t) = GoldPrice_n(t) / FX_i,n(t)</w:t>
      </w:r>
    </w:p>
    <w:p>
      <w:r>
        <w:t>Where:</w:t>
      </w:r>
    </w:p>
    <w:p>
      <w:r>
        <w:t>Constitutional Properties</w:t>
      </w:r>
    </w:p>
    <w:p>
      <w:r>
        <w:t>The Gold Anchor shall remain:</w:t>
      </w:r>
    </w:p>
    <w:p>
      <w:r>
        <w:t>Sovereign-neutral</w:t>
      </w:r>
    </w:p>
    <w:p>
      <w:r>
        <w:t>Politically neutral</w:t>
      </w:r>
    </w:p>
    <w:p>
      <w:r>
        <w:t>Independent of any monetary authority</w:t>
      </w:r>
    </w:p>
    <w:p>
      <w:r>
        <w:t>Independent of reserve currency status</w:t>
      </w:r>
    </w:p>
    <w:p>
      <w:r>
        <w:t>Independent of reporting numeraire</w:t>
      </w:r>
    </w:p>
    <w:p>
      <w:r>
        <w:t>Free from discretionary adjustment</w:t>
      </w:r>
    </w:p>
    <w:p>
      <w:r>
        <w:t>Constitutional Statement</w:t>
      </w:r>
    </w:p>
    <w:p>
      <w:r>
        <w:t>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p>
    <w:p>
      <w:r>
        <w:t>Constitutional Rationale</w:t>
      </w:r>
    </w:p>
    <w:p>
      <w:r>
        <w:t>Gold serves as the constitutional anchor because it:</w:t>
      </w:r>
    </w:p>
    <w:p>
      <w:r>
        <w:t>Possesses a long-established monetary history across multiple economic systems</w:t>
      </w:r>
    </w:p>
    <w:p>
      <w:r>
        <w:t>Carries no sovereign credit risk</w:t>
      </w:r>
    </w:p>
    <w:p>
      <w:r>
        <w:t>Has no issuer liability</w:t>
      </w:r>
    </w:p>
    <w:p>
      <w:r>
        <w:t>Is internationally recognized as a reserve asset</w:t>
      </w:r>
    </w:p>
    <w:p>
      <w:r>
        <w:t>Provides diversification from fiat monetary systems</w:t>
      </w:r>
    </w:p>
    <w:p>
      <w:r>
        <w:t>Remains independent of political or monetary policy decisions</w:t>
      </w:r>
    </w:p>
    <w:p>
      <w:r>
        <w:t>Constitutional Independence</w:t>
      </w:r>
    </w:p>
    <w:p>
      <w:r>
        <w:t>The Gold Anchor is independent of:</w:t>
      </w:r>
    </w:p>
    <w:p>
      <w:r>
        <w:t>Reporting currency</w:t>
      </w:r>
    </w:p>
    <w:p>
      <w:r>
        <w:t>Reserve allocation</w:t>
      </w:r>
    </w:p>
    <w:p>
      <w:r>
        <w:t>Settlement currency</w:t>
      </w:r>
    </w:p>
    <w:p>
      <w:r>
        <w:t>Payment infrastructure</w:t>
      </w:r>
    </w:p>
    <w:p>
      <w:r>
        <w:t>Monetary jurisdiction</w:t>
      </w:r>
    </w:p>
    <w:p>
      <w:r>
        <w:t>Central bank policy</w:t>
      </w:r>
    </w:p>
    <w:p>
      <w:r>
        <w:t>Exchange-rate regime</w:t>
      </w:r>
    </w:p>
    <w:p>
      <w:r>
        <w:t>Numeraire Invariance</w:t>
      </w:r>
    </w:p>
    <w:p>
      <w:r>
        <w:t>Changing the reporting numeraire shall affect only numerical representation.</w:t>
      </w:r>
    </w:p>
    <w:p>
      <w:r>
        <w:t>The following constitutional properties remain unchanged:</w:t>
      </w:r>
    </w:p>
    <w:p>
      <w:r>
        <w:t>Reserve composition</w:t>
      </w:r>
    </w:p>
    <w:p>
      <w:r>
        <w:t>Currency eligibility</w:t>
      </w:r>
    </w:p>
    <w:p>
      <w:r>
        <w:t>Structural weights</w:t>
      </w:r>
    </w:p>
    <w:p>
      <w:r>
        <w:t>Momentum calculations</w:t>
      </w:r>
    </w:p>
    <w:p>
      <w:r>
        <w:t>Reserve ratios</w:t>
      </w:r>
    </w:p>
    <w:p>
      <w:r>
        <w:t>Redemption rights</w:t>
      </w:r>
    </w:p>
    <w:p>
      <w:r>
        <w:t>Constitutional governance</w:t>
      </w:r>
    </w:p>
    <w:p>
      <w:r>
        <w:t>Example</w:t>
      </w:r>
    </w:p>
    <w:p>
      <w:r>
        <w:t>text</w:t>
      </w:r>
    </w:p>
    <w:p>
      <w:r>
        <w:t>Reporting Numeraire = USD</w:t>
      </w:r>
    </w:p>
    <w:p>
      <w:r>
        <w:t>GoldPrice_USD = USD 1,850.00/oz</w:t>
      </w:r>
    </w:p>
    <w:p>
      <w:r>
        <w:t>EUR/USD = 1.10</w:t>
      </w:r>
    </w:p>
    <w:p>
      <w:r>
        <w:t>JPY/USD = 0.0092</w:t>
      </w:r>
    </w:p>
    <w:p>
      <w:r>
        <w:t>GBP/USD = 1.30</w:t>
      </w:r>
    </w:p>
    <w:p>
      <w:r>
        <w:t>CNY/USD = 0.1400</w:t>
      </w:r>
    </w:p>
    <w:p>
      <w:r>
        <w:t>GoldPrice_EUR = 1,850 / 1.10 = EUR 1,681.82/oz</w:t>
      </w:r>
    </w:p>
    <w:p>
      <w:r>
        <w:t>GoldPrice_JPY = 1,850 / 0.0092 = JPY 201,087/oz</w:t>
      </w:r>
    </w:p>
    <w:p>
      <w:r>
        <w:t>GoldPrice_GBP = 1,850 / 1.30 = GBP 1,423.08/oz</w:t>
      </w:r>
    </w:p>
    <w:p>
      <w:r>
        <w:t>GoldPrice_CNY = 1,850 / 0.1400 = CNY 13,214.29/oz</w:t>
      </w:r>
    </w:p>
    <w:p>
      <w:r>
        <w:t>Data Requirements</w:t>
      </w:r>
    </w:p>
    <w:p>
      <w:r>
        <w:t>Gold prices shall be obtained exclusively from constitutionally approved institutional market data sources.</w:t>
      </w:r>
    </w:p>
    <w:p>
      <w:r>
        <w:t>Foreign exchange rates shall originate from approved constitutional oracle providers.</w:t>
      </w:r>
    </w:p>
    <w:p>
      <w:r>
        <w:t>All valuation inputs shall satisfy the Constitutional Oracle Freshness Requirements before calculation.</w:t>
      </w:r>
    </w:p>
    <w:p>
      <w:r>
        <w:t>Oracle Failure Rule</w:t>
      </w:r>
    </w:p>
    <w:p>
      <w:r>
        <w:t>If either:</w:t>
      </w:r>
    </w:p>
    <w:p>
      <w:r>
        <w:t>The constitutional gold price</w:t>
      </w:r>
    </w:p>
    <w:p>
      <w:r>
        <w:t>The required foreign exchange rate</w:t>
      </w:r>
    </w:p>
    <w:p>
      <w:r>
        <w:t>Fails oracle validation or exceeds constitutional freshness limits, gold valuation shall be suspended and minting operations shall pause until valid pricing is restored.</w:t>
      </w:r>
    </w:p>
    <w:p>
      <w:r>
        <w:t>Mathematical Verification</w:t>
      </w:r>
    </w:p>
    <w:p>
      <w:r>
        <w:t>For every eligible currency:</w:t>
      </w:r>
    </w:p>
    <w:p>
      <w:r>
        <w:t>text</w:t>
      </w:r>
    </w:p>
    <w:p>
      <w:r>
        <w:t>GoldPrice_i × FX_i,n = GoldPrice_n</w:t>
      </w:r>
    </w:p>
    <w:p>
      <w:r>
        <w:t>Subject only to approved rounding rules.</w:t>
      </w:r>
    </w:p>
    <w:p>
      <w:r>
        <w:t>This identity shall hold for every valuation.</w:t>
      </w:r>
    </w:p>
    <w:p>
      <w:r>
        <w:t>Deterministic Requirement</w:t>
      </w:r>
    </w:p>
    <w:p>
      <w:r>
        <w:t>Every validator using identical:</w:t>
      </w:r>
    </w:p>
    <w:p>
      <w:r>
        <w:t>Gold price</w:t>
      </w:r>
    </w:p>
    <w:p>
      <w:r>
        <w:t>Foreign exchange rates</w:t>
      </w:r>
    </w:p>
    <w:p>
      <w:r>
        <w:t>Constitutional constants</w:t>
      </w:r>
    </w:p>
    <w:p>
      <w:r>
        <w:t>Oracle snapshots</w:t>
      </w:r>
    </w:p>
    <w:p>
      <w:r>
        <w:t>Shall compute identical constitutional gold prices for every eligible currency.</w:t>
      </w:r>
    </w:p>
    <w:p>
      <w:r>
        <w:t>Constitutional Safeguard</w:t>
      </w:r>
    </w:p>
    <w:p>
      <w:r>
        <w:t>The Gold Anchor influences constitutional monetary measurement only.</w:t>
      </w:r>
    </w:p>
    <w:p>
      <w:r>
        <w:t>It does not:</w:t>
      </w:r>
    </w:p>
    <w:p>
      <w:r>
        <w:t>Establish a fixed gold exchange standard</w:t>
      </w:r>
    </w:p>
    <w:p>
      <w:r>
        <w:t>Create a redeemability obligation in gold for every transaction</w:t>
      </w:r>
    </w:p>
    <w:p>
      <w:r>
        <w:t>Peg MTQ to a fixed quantity of gold</w:t>
      </w:r>
    </w:p>
    <w:p>
      <w:r>
        <w:t>Require continuous gold price stabilization</w:t>
      </w:r>
    </w:p>
    <w:p>
      <w:r>
        <w:t>Rather, it provides a neutral constitutional reference for reserve measurement and monetary calibration.</w:t>
      </w:r>
    </w:p>
    <w:p>
      <w:r>
        <w:t>Verification Requirements</w:t>
      </w:r>
    </w:p>
    <w:p>
      <w:r>
        <w:t>Every daily reserve publication shall disclose:</w:t>
      </w:r>
    </w:p>
    <w:p>
      <w:r>
        <w:t>Constitutional gold price</w:t>
      </w:r>
    </w:p>
    <w:p>
      <w:r>
        <w:t>Reporting numeraire</w:t>
      </w:r>
    </w:p>
    <w:p>
      <w:r>
        <w:t>Oracle snapshot identifier</w:t>
      </w:r>
    </w:p>
    <w:p>
      <w:r>
        <w:t>Valuation timestamp</w:t>
      </w:r>
    </w:p>
    <w:p>
      <w:r>
        <w:t>Data source version</w:t>
      </w:r>
    </w:p>
    <w:p>
      <w:r>
        <w:t>Algorithm version</w:t>
      </w:r>
    </w:p>
    <w:p>
      <w:r>
        <w:t>Constitutional Statement</w:t>
      </w:r>
    </w:p>
    <w:p>
      <w:r>
        <w:t>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p>
    <w:p>
      <w:r>
        <w:t>Related Sections</w:t>
      </w:r>
    </w:p>
    <w:p>
      <w:r>
        <w:t>Section 1 — Constitutional Numeraire Independence and Valuation Framework</w:t>
      </w:r>
    </w:p>
    <w:p>
      <w:r>
        <w:t>Section 2 — Constitutional Three-Layer Reserve Valuation Model</w:t>
      </w:r>
    </w:p>
    <w:p>
      <w:r>
        <w:t>Section 6 — Adjusted Reserve Valuation — Fixed Constitutional Haircuts</w:t>
      </w:r>
    </w:p>
    <w:p>
      <w:r>
        <w:t>Section 12 — Currency Eligibility — Constitutional Admission Framework</w:t>
      </w:r>
    </w:p>
    <w:p>
      <w:r>
        <w:t>Section 13 — Structural Weight</w:t>
      </w:r>
    </w:p>
    <w:p>
      <w:r>
        <w:t>Section 42 — Daily Proof of Reserves</w:t>
      </w:r>
    </w:p>
    <w:p>
      <w:r>
        <w:t>Section 43 — Formal Verification</w:t>
      </w:r>
    </w:p>
    <w:p>
      <w:r>
        <w:t>Constitutional Verification</w:t>
      </w:r>
    </w:p>
    <w:p>
      <w:r>
        <w:t>text</w:t>
      </w:r>
    </w:p>
    <w:p>
      <w:r>
        <w:t>✓ Constitutional Principle established</w:t>
      </w:r>
    </w:p>
    <w:p>
      <w:r>
        <w:t>✓ Gold Anchor formula defined</w:t>
      </w:r>
    </w:p>
    <w:p>
      <w:r>
        <w:t>✓ Constitutional Properties established</w:t>
      </w:r>
    </w:p>
    <w:p>
      <w:r>
        <w:t>✓ Constitutional Statement provided</w:t>
      </w:r>
    </w:p>
    <w:p>
      <w:r>
        <w:t>✓ Constitutional Rationale provided</w:t>
      </w:r>
    </w:p>
    <w:p>
      <w:r>
        <w:t>✓ Constitutional Independence established</w:t>
      </w:r>
    </w:p>
    <w:p>
      <w:r>
        <w:t>✓ Numeraire Invariance established</w:t>
      </w:r>
    </w:p>
    <w:p>
      <w:r>
        <w:t>✓ Example provided</w:t>
      </w:r>
    </w:p>
    <w:p>
      <w:r>
        <w:t>✓ Data Requirements established</w:t>
      </w:r>
    </w:p>
    <w:p>
      <w:r>
        <w:t>✓ Oracle Failure Rule established</w:t>
      </w:r>
    </w:p>
    <w:p>
      <w:r>
        <w:t>✓ Mathematical Verification established</w:t>
      </w:r>
    </w:p>
    <w:p>
      <w:r>
        <w:t>✓ Deterministic Requirement established</w:t>
      </w:r>
    </w:p>
    <w:p>
      <w:r>
        <w:t>✓ Constitutional Safeguard established</w:t>
      </w:r>
    </w:p>
    <w:p>
      <w:r>
        <w:t>✓ Verification Requirements established</w:t>
      </w:r>
    </w:p>
    <w:p>
      <w:r>
        <w:t>✓ Constitutional Statement provided</w:t>
      </w:r>
    </w:p>
    <w:p>
      <w:r>
        <w:t>✓ Related Sections referenced</w:t>
      </w:r>
    </w:p>
    <w:p>
      <w:r>
        <w:t>[END OF SECTION 14 — GOLD ANCHOR]</w:t>
      </w:r>
    </w:p>
    <w:p>
      <w:r>
        <w:t>Section 15: Momentum Adjustment</w:t>
      </w:r>
    </w:p>
    <w:p>
      <w:r>
        <w:t>Constitutional Purpose: The Momentum Factor allows the currency basket to adapt gradually to persistent structural changes in relative currency strength while preventing excessive reactions to short-term market movements.</w:t>
      </w:r>
    </w:p>
    <w:p>
      <w:r>
        <w:t>Momentum is measured relative to the constitutional monetary anchor (gold), not relative to any sovereign currency.</w:t>
      </w:r>
    </w:p>
    <w:p>
      <w:r>
        <w:t>15.1 Canonical Formula</w:t>
      </w:r>
    </w:p>
    <w:p>
      <w:r>
        <w:t>text</w:t>
      </w:r>
    </w:p>
    <w:p>
      <w:r>
        <w:t>M_i = P_i(t-12m) / P_i(t)</w:t>
      </w:r>
    </w:p>
    <w:p>
      <w:r>
        <w:t>Where:</w:t>
      </w:r>
    </w:p>
    <w:p>
      <w:r>
        <w:t>15.2 Constitutional Bounds</w:t>
      </w:r>
    </w:p>
    <w:p>
      <w:r>
        <w:t>text</w:t>
      </w:r>
    </w:p>
    <w:p>
      <w:r>
        <w:t>M_i = clamp(M_i, 0.95, 1.05)</w:t>
      </w:r>
    </w:p>
    <w:p>
      <w:r>
        <w:t>Therefore:</w:t>
      </w:r>
    </w:p>
    <w:p>
      <w:r>
        <w:t>text</w:t>
      </w:r>
    </w:p>
    <w:p>
      <w:r>
        <w:t>0.95 ≤ M_i ≤ 1.05</w:t>
      </w:r>
    </w:p>
    <w:p>
      <w:r>
        <w:t>No currency may receive more than a 5% upward or 5% downward momentum adjustment within a single annual evaluation period.</w:t>
      </w:r>
    </w:p>
    <w:p>
      <w:r>
        <w:t>15.3 Constitutional Interpretation</w:t>
      </w:r>
    </w:p>
    <w:p>
      <w:r>
        <w:t>Because gold is the constitutional monetary anchor:</w:t>
      </w:r>
    </w:p>
    <w:p>
      <w:r>
        <w:t>Constitutional Note: Momentum is an adjustment factor only. It does not determine basket eligibility or structural importance. Structural weights remain the primary determinant of basket composition.</w:t>
      </w:r>
    </w:p>
    <w:p>
      <w:r>
        <w:t>15.4 Why the ±5% Constitutional Bound Exists</w:t>
      </w:r>
    </w:p>
    <w:p>
      <w:r>
        <w:t>The constitutional bound serves four objectives:</w:t>
      </w:r>
    </w:p>
    <w:p>
      <w:r>
        <w:t>Prevents excessive reaction to temporary market volatility</w:t>
      </w:r>
    </w:p>
    <w:p>
      <w:r>
        <w:t>Preserves the long-term stability of the basket</w:t>
      </w:r>
    </w:p>
    <w:p>
      <w:r>
        <w:t>Prevents any single currency from gaining or losing excessive influence within one review cycle</w:t>
      </w:r>
    </w:p>
    <w:p>
      <w:r>
        <w:t>Ensures structural reserve usage remains the dominant weighting factor</w:t>
      </w:r>
    </w:p>
    <w:p>
      <w:r>
        <w:t>The ±5% limit reflects institutional prudence rather than an economic prediction.</w:t>
      </w:r>
    </w:p>
    <w:p>
      <w:r>
        <w:t>15.5 Relationship to Structural Weight</w:t>
      </w:r>
    </w:p>
    <w:p>
      <w:r>
        <w:t>Momentum never replaces the constitutional structural weight.</w:t>
      </w:r>
    </w:p>
    <w:p>
      <w:r>
        <w:t>The weighting sequence is always:</w:t>
      </w:r>
    </w:p>
    <w:p>
      <w:r>
        <w:t>text</w:t>
      </w:r>
    </w:p>
    <w:p>
      <w:r>
        <w:t>Structural Weight</w:t>
      </w:r>
    </w:p>
    <w:p>
      <w:r>
        <w:t>↓</w:t>
      </w:r>
    </w:p>
    <w:p>
      <w:r>
        <w:t>Momentum Adjustment</w:t>
      </w:r>
    </w:p>
    <w:p>
      <w:r>
        <w:t>↓</w:t>
      </w:r>
    </w:p>
    <w:p>
      <w:r>
        <w:t>Mean Reversion</w:t>
      </w:r>
    </w:p>
    <w:p>
      <w:r>
        <w:t>↓</w:t>
      </w:r>
    </w:p>
    <w:p>
      <w:r>
        <w:t>Shock Absorber</w:t>
      </w:r>
    </w:p>
    <w:p>
      <w:r>
        <w:t>↓</w:t>
      </w:r>
    </w:p>
    <w:p>
      <w:r>
        <w:t>Liquidity Overlay</w:t>
      </w:r>
    </w:p>
    <w:p>
      <w:r>
        <w:t>↓</w:t>
      </w:r>
    </w:p>
    <w:p>
      <w:r>
        <w:t>Final Normalization</w:t>
      </w:r>
    </w:p>
    <w:p>
      <w:r>
        <w:t>This ordering is mandatory and deterministic.</w:t>
      </w:r>
    </w:p>
    <w:p>
      <w:r>
        <w:t>15.6 Example — Euro (EUR)</w:t>
      </w:r>
    </w:p>
    <w:p>
      <w:r>
        <w:t>Assume:</w:t>
      </w:r>
    </w:p>
    <w:p>
      <w:r>
        <w:t>text</w:t>
      </w:r>
    </w:p>
    <w:p>
      <w:r>
        <w:t>Gold Price (12 months ago):  P_EUR(t-12m) = €1,666.67/oz</w:t>
      </w:r>
    </w:p>
    <w:p>
      <w:r>
        <w:t>Current Gold Price:          P_EUR(t)      = €1,681.82/oz</w:t>
      </w:r>
    </w:p>
    <w:p>
      <w:r>
        <w:t>Then:</w:t>
      </w:r>
    </w:p>
    <w:p>
      <w:r>
        <w:t>text</w:t>
      </w:r>
    </w:p>
    <w:p>
      <w:r>
        <w:t>M_EUR = 1,666.67 / 1,681.82</w:t>
      </w:r>
    </w:p>
    <w:p>
      <w:r>
        <w:t>= 0.9910</w:t>
      </w:r>
    </w:p>
    <w:p>
      <w:r>
        <w:t>Since 0.95 ≤ 0.9910 ≤ 1.05, no clamping is required.</w:t>
      </w:r>
    </w:p>
    <w:p>
      <w:r>
        <w:t>Interpretation: Gold became more expensive in euros. The euro depreciated slightly relative to gold. The momentum adjustment applies a modest downward factor before subsequent stabilization mechanisms.</w:t>
      </w:r>
    </w:p>
    <w:p>
      <w:r>
        <w:t>15.7 Example — Japanese Yen (JPY)</w:t>
      </w:r>
    </w:p>
    <w:p>
      <w:r>
        <w:t>Assume:</w:t>
      </w:r>
    </w:p>
    <w:p>
      <w:r>
        <w:t>text</w:t>
      </w:r>
    </w:p>
    <w:p>
      <w:r>
        <w:t>Gold Price (12 months ago):  P_JPY(t-12m) = ¥190,217/oz</w:t>
      </w:r>
    </w:p>
    <w:p>
      <w:r>
        <w:t>Current Gold Price:          P_JPY(t)      = ¥201,087/oz</w:t>
      </w:r>
    </w:p>
    <w:p>
      <w:r>
        <w:t>Then:</w:t>
      </w:r>
    </w:p>
    <w:p>
      <w:r>
        <w:t>text</w:t>
      </w:r>
    </w:p>
    <w:p>
      <w:r>
        <w:t>M_JPY = 190,217 / 201,087</w:t>
      </w:r>
    </w:p>
    <w:p>
      <w:r>
        <w:t>= 0.9460</w:t>
      </w:r>
    </w:p>
    <w:p>
      <w:r>
        <w:t>Because 0.9460 &lt; 0.95, apply the constitutional limit:</w:t>
      </w:r>
    </w:p>
    <w:p>
      <w:r>
        <w:t>text</w:t>
      </w:r>
    </w:p>
    <w:p>
      <w:r>
        <w:t>M_JPY = 0.95</w:t>
      </w:r>
    </w:p>
    <w:p>
      <w:r>
        <w:t>Interpretation: The yen depreciated materially relative to gold. The constitutional cap prevents an excessive reduction in weight. Further adjustments are subsequently moderated by the Mean Reversion and Shock Absorber mechanisms.</w:t>
      </w:r>
    </w:p>
    <w:p>
      <w:r>
        <w:t>15.8 Example Using the Current Constitutional Basket</w:t>
      </w:r>
    </w:p>
    <w:p>
      <w:r>
        <w:t>Illustrative calculation using the constitutional weighting universe:</w:t>
      </w:r>
    </w:p>
    <w:p>
      <w:r>
        <w:t>*Clamped to the constitutional minimum.</w:t>
      </w:r>
    </w:p>
    <w:p>
      <w:r>
        <w:t>Illustrative Only: These values are hypothetical and are provided solely to demonstrate the operation of the momentum algorithm. Actual structural weights are determined from current COFER, SWIFT, and BIS data during each constitutional review cycle.</w:t>
      </w:r>
    </w:p>
    <w:p>
      <w:r>
        <w:t>15.9 Constitutional Verification</w:t>
      </w:r>
    </w:p>
    <w:p>
      <w:r>
        <w:t>For every eligible currency:</w:t>
      </w:r>
    </w:p>
    <w:p>
      <w:r>
        <w:t>text</w:t>
      </w:r>
    </w:p>
    <w:p>
      <w:r>
        <w:t>0.95 ≤ M_i ≤ 1.05</w:t>
      </w:r>
    </w:p>
    <w:p>
      <w:r>
        <w:t>The Momentum Factor:</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14 — Gold Anchor</w:t>
      </w:r>
    </w:p>
    <w:p>
      <w:r>
        <w:t>Section 16 — Mean Reversion Engine</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Canonical Formula defined</w:t>
      </w:r>
    </w:p>
    <w:p>
      <w:r>
        <w:t>✓ Constitutional Bounds established</w:t>
      </w:r>
    </w:p>
    <w:p>
      <w:r>
        <w:t>✓ Constitutional Interpretation defined</w:t>
      </w:r>
    </w:p>
    <w:p>
      <w:r>
        <w:t>✓ Why the ±5% Constitutional Bound Exists explained</w:t>
      </w:r>
    </w:p>
    <w:p>
      <w:r>
        <w:t>✓ Relationship to Structural Weight established</w:t>
      </w:r>
    </w:p>
    <w:p>
      <w:r>
        <w:t>✓ Example — Euro provided</w:t>
      </w:r>
    </w:p>
    <w:p>
      <w:r>
        <w:t>✓ Example — Japanese Yen provided</w:t>
      </w:r>
    </w:p>
    <w:p>
      <w:r>
        <w:t>✓ Example Using the Current Constitutional Basket provided</w:t>
      </w:r>
    </w:p>
    <w:p>
      <w:r>
        <w:t>✓ Constitutional Verification established</w:t>
      </w:r>
    </w:p>
    <w:p>
      <w:r>
        <w:t>✓ Related Sections referenced</w:t>
      </w:r>
    </w:p>
    <w:p>
      <w:r>
        <w:t>[END OF SECTION 15 — MOMENTUM ADJUSTMENT]</w:t>
      </w:r>
    </w:p>
    <w:p>
      <w:r>
        <w:t>Section 16: Mean Reversion Adjustment</w:t>
      </w:r>
    </w:p>
    <w:p>
      <w:r>
        <w:t>Constitutional Purpose: The Mean Reversion Factor moderates persistent deviations from long-term structural currency importance while preserving gradual adaptation to evolving reserve and settlement patterns.</w:t>
      </w:r>
    </w:p>
    <w:p>
      <w:r>
        <w:t>Mean Reversion is a stabilizing mechanism. It is not a forecasting model and does not attempt to predict future exchange rates.</w:t>
      </w:r>
    </w:p>
    <w:p>
      <w:r>
        <w:t>16.1 Long-Term Structural Average</w:t>
      </w:r>
    </w:p>
    <w:p>
      <w:r>
        <w:t>For every eligible currency:</w:t>
      </w:r>
    </w:p>
    <w:p>
      <w:r>
        <w:t>text</w:t>
      </w:r>
    </w:p>
    <w:p>
      <w:r>
        <w:t>LTA_i = (1/20) × Σ_{q=1}^{20} C_i,q</w:t>
      </w:r>
    </w:p>
    <w:p>
      <w:r>
        <w:t>Where:</w:t>
      </w:r>
    </w:p>
    <w:p>
      <w:r>
        <w:t>Constitutional Note: Only historical Structural Weights are included. Momentum, Shock Absorber, Liquidity Overlay, and other temporary adjustments are not included in the historical average.</w:t>
      </w:r>
    </w:p>
    <w:p>
      <w:r>
        <w:t>16.2 Mean Reversion Formula</w:t>
      </w:r>
    </w:p>
    <w:p>
      <w:r>
        <w:t>text</w:t>
      </w:r>
    </w:p>
    <w:p>
      <w:r>
        <w:t>R_i = 1 + η × (LTA_i − C_i)</w:t>
      </w:r>
    </w:p>
    <w:p>
      <w:r>
        <w:t>Where:</w:t>
      </w:r>
    </w:p>
    <w:p>
      <w:r>
        <w:t>16.3 Constitutional Bounds</w:t>
      </w:r>
    </w:p>
    <w:p>
      <w:r>
        <w:t>After calculation:</w:t>
      </w:r>
    </w:p>
    <w:p>
      <w:r>
        <w:t>text</w:t>
      </w:r>
    </w:p>
    <w:p>
      <w:r>
        <w:t>R_i = clamp(R_i, 0.98, 1.02)</w:t>
      </w:r>
    </w:p>
    <w:p>
      <w:r>
        <w:t>Therefore:</w:t>
      </w:r>
    </w:p>
    <w:p>
      <w:r>
        <w:t>text</w:t>
      </w:r>
    </w:p>
    <w:p>
      <w:r>
        <w:t>0.98 ≤ R_i ≤ 1.02</w:t>
      </w:r>
    </w:p>
    <w:p>
      <w:r>
        <w:t>No quarterly adjustment may exceed ±2%.</w:t>
      </w:r>
    </w:p>
    <w:p>
      <w:r>
        <w:t>16.4 Constitutional Interpretation</w:t>
      </w:r>
    </w:p>
    <w:p>
      <w:r>
        <w:t>The Mean Reversion Factor applies only a gentle stabilizing influence.</w:t>
      </w:r>
    </w:p>
    <w:p>
      <w:r>
        <w:t>Constitutional Note: Mean Reversion never overrides the Structural Weight. It only moderates temporary deviations.</w:t>
      </w:r>
    </w:p>
    <w:p>
      <w:r>
        <w:t>16.5 Why Mean Reversion Exists</w:t>
      </w:r>
    </w:p>
    <w:p>
      <w:r>
        <w:t>The constitutional objectives are:</w:t>
      </w:r>
    </w:p>
    <w:p>
      <w:r>
        <w:t>Prevent long-term drift caused by temporary market conditions</w:t>
      </w:r>
    </w:p>
    <w:p>
      <w:r>
        <w:t>Preserve continuity in the reserve basket</w:t>
      </w:r>
    </w:p>
    <w:p>
      <w:r>
        <w:t>Reduce unnecessary turnover</w:t>
      </w:r>
    </w:p>
    <w:p>
      <w:r>
        <w:t>Maintain institutional stability over multiple economic cycles</w:t>
      </w:r>
    </w:p>
    <w:p>
      <w:r>
        <w:t>Prevent excessive oscillation between quarterly reviews</w:t>
      </w:r>
    </w:p>
    <w:p>
      <w:r>
        <w:t>Mean Reversion provides stability while allowing structural evolution.</w:t>
      </w:r>
    </w:p>
    <w:p>
      <w:r>
        <w:t>16.6 Why η = 0.05</w:t>
      </w:r>
    </w:p>
    <w:p>
      <w:r>
        <w:t>The constitutional reversion speed of 5% per quarterly review represents a conservative adjustment rate.</w:t>
      </w:r>
    </w:p>
    <w:p>
      <w:r>
        <w:t>This value was selected because it:</w:t>
      </w:r>
    </w:p>
    <w:p>
      <w:r>
        <w:t>Avoids abrupt reallocations</w:t>
      </w:r>
    </w:p>
    <w:p>
      <w:r>
        <w:t>Minimizes transaction costs</w:t>
      </w:r>
    </w:p>
    <w:p>
      <w:r>
        <w:t>Preserves market neutrality</w:t>
      </w:r>
    </w:p>
    <w:p>
      <w:r>
        <w:t>Allows structural trends to emerge gradually</w:t>
      </w:r>
    </w:p>
    <w:p>
      <w:r>
        <w:t>Remains compatible with institutional reserve management practices</w:t>
      </w:r>
    </w:p>
    <w:p>
      <w:r>
        <w:t>The parameter is intended to stabilize—not dominate—the weighting engine.</w:t>
      </w:r>
    </w:p>
    <w:p>
      <w:r>
        <w:t>16.7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Mean Reversion is always applied after Momentum and before the Shock Absorber.</w:t>
      </w:r>
    </w:p>
    <w:p>
      <w:r>
        <w:t>16.8 Example</w:t>
      </w:r>
    </w:p>
    <w:p>
      <w:r>
        <w:t>Assume:</w:t>
      </w:r>
    </w:p>
    <w:p>
      <w:r>
        <w:t>text</w:t>
      </w:r>
    </w:p>
    <w:p>
      <w:r>
        <w:t>LTA_EUR = 21.00% = 0.2100</w:t>
      </w:r>
    </w:p>
    <w:p>
      <w:r>
        <w:t>C_EUR = 20.55% = 0.2055</w:t>
      </w:r>
    </w:p>
    <w:p>
      <w:r>
        <w:t>η = 0.05</w:t>
      </w:r>
    </w:p>
    <w:p>
      <w:r>
        <w:t>Then:</w:t>
      </w:r>
    </w:p>
    <w:p>
      <w:r>
        <w:t>text</w:t>
      </w:r>
    </w:p>
    <w:p>
      <w:r>
        <w:t>R_EUR = 1 + 0.05 × (0.2100 − 0.2055)</w:t>
      </w:r>
    </w:p>
    <w:p>
      <w:r>
        <w:t>R_EUR = 1 + 0.000225</w:t>
      </w:r>
    </w:p>
    <w:p>
      <w:r>
        <w:t>R_EUR = 1.000225</w:t>
      </w:r>
    </w:p>
    <w:p>
      <w:r>
        <w:t>Since 0.98 ≤ 1.000225 ≤ 1.02, no clamping is required.</w:t>
      </w:r>
    </w:p>
    <w:p>
      <w:r>
        <w:t>Interpretation: The euro's current Structural Weight is slightly below its five-year average. The Mean Reversion Factor applies a modest upward adjustment of 0.0225%. The adjustment is intentionally small and preserves long-term stability.</w:t>
      </w:r>
    </w:p>
    <w:p>
      <w:r>
        <w:t>16.9 Example Using the Constitutional Basket</w:t>
      </w:r>
    </w:p>
    <w:p>
      <w:r>
        <w:t>Illustrative values:</w:t>
      </w:r>
    </w:p>
    <w:p>
      <w:r>
        <w:t>Illustrative Only: These figures are hypothetical and demonstrate the operation of the Mean Reversion algorithm. Actual values are calculated from historical Structural Weights derived from the constitutional weighting methodology.</w:t>
      </w:r>
    </w:p>
    <w:p>
      <w:r>
        <w:t>16.10 Constitutional Verification</w:t>
      </w:r>
    </w:p>
    <w:p>
      <w:r>
        <w:t>For every eligible currency:</w:t>
      </w:r>
    </w:p>
    <w:p>
      <w:r>
        <w:t>text</w:t>
      </w:r>
    </w:p>
    <w:p>
      <w:r>
        <w:t>0.98 ≤ R_i ≤ 1.02</w:t>
      </w:r>
    </w:p>
    <w:p>
      <w:r>
        <w:t>The Mean Reversion Factor:</w:t>
      </w:r>
    </w:p>
    <w:p>
      <w:r>
        <w:t>Depends solely on published historical structural data</w:t>
      </w:r>
    </w:p>
    <w:p>
      <w:r>
        <w:t>Contains no discretionary judgement</w:t>
      </w:r>
    </w:p>
    <w:p>
      <w:r>
        <w:t>Is deterministic and independently reproducible</w:t>
      </w:r>
    </w:p>
    <w:p>
      <w:r>
        <w:t>Is mathematically bounded</w:t>
      </w:r>
    </w:p>
    <w:p>
      <w:r>
        <w:t>Preserves long-term constitutional stability while allowing gradual structural evolution</w:t>
      </w:r>
    </w:p>
    <w:p>
      <w:r>
        <w:t>Related Sections</w:t>
      </w:r>
    </w:p>
    <w:p>
      <w:r>
        <w:t>Section 13 — Structural Weight</w:t>
      </w:r>
    </w:p>
    <w:p>
      <w:r>
        <w:t>Section 14 — Gold Anchor</w:t>
      </w:r>
    </w:p>
    <w:p>
      <w:r>
        <w:t>Section 15 — Momentum Adjustment</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Long-Term Structural Average defined</w:t>
      </w:r>
    </w:p>
    <w:p>
      <w:r>
        <w:t>✓ Mean Reversion Formula defined</w:t>
      </w:r>
    </w:p>
    <w:p>
      <w:r>
        <w:t>✓ Constitutional Bounds established</w:t>
      </w:r>
    </w:p>
    <w:p>
      <w:r>
        <w:t>✓ Constitutional Interpretation defined</w:t>
      </w:r>
    </w:p>
    <w:p>
      <w:r>
        <w:t>✓ Why Mean Reversion Exists explained</w:t>
      </w:r>
    </w:p>
    <w:p>
      <w:r>
        <w:t>✓ Why η = 0.05 explained</w:t>
      </w:r>
    </w:p>
    <w:p>
      <w:r>
        <w:t>✓ Relationship to the Currency Engine established</w:t>
      </w:r>
    </w:p>
    <w:p>
      <w:r>
        <w:t>✓ Example provided</w:t>
      </w:r>
    </w:p>
    <w:p>
      <w:r>
        <w:t>✓ Example Using the Constitutional Basket provided</w:t>
      </w:r>
    </w:p>
    <w:p>
      <w:r>
        <w:t>✓ Constitutional Verification established</w:t>
      </w:r>
    </w:p>
    <w:p>
      <w:r>
        <w:t>✓ Related Sections referenced</w:t>
      </w:r>
    </w:p>
    <w:p>
      <w:r>
        <w:t>[END OF SECTION 16 — MEAN REVERSION ADJUSTMENT]</w:t>
      </w:r>
    </w:p>
    <w:p>
      <w:r>
        <w:t>Section 17: Volatility Attenuation Engine (Shock Absorber)</w:t>
      </w:r>
    </w:p>
    <w:p>
      <w:r>
        <w:t>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p>
    <w:p>
      <w:r>
        <w:t>17.1 EWMA Variance (RiskMetrics Standard)</w:t>
      </w:r>
    </w:p>
    <w:p>
      <w:r>
        <w:t>General EWMA Variance Equation:</w:t>
      </w:r>
    </w:p>
    <w:p>
      <w:r>
        <w:t>text</w:t>
      </w:r>
    </w:p>
    <w:p>
      <w:r>
        <w:t>σ²_t = λ × σ²_{t-1} + (1 − λ) × r²_t</w:t>
      </w:r>
    </w:p>
    <w:p>
      <w:r>
        <w:t>Where:</w:t>
      </w:r>
    </w:p>
    <w:p>
      <w:r>
        <w:t>Constitutional Volatility:</w:t>
      </w:r>
    </w:p>
    <w:p>
      <w:r>
        <w:t>text</w:t>
      </w:r>
    </w:p>
    <w:p>
      <w:r>
        <w:t>σ_t = √σ²_t</w:t>
      </w:r>
    </w:p>
    <w:p>
      <w:r>
        <w:t>17.2 Daily Return Definition</w:t>
      </w:r>
    </w:p>
    <w:p>
      <w:r>
        <w:t>text</w:t>
      </w:r>
    </w:p>
    <w:p>
      <w:r>
        <w:t>r_i,t = ln(P_i,t / P_i,t-1)</w:t>
      </w:r>
    </w:p>
    <w:p>
      <w:r>
        <w:t>Where:</w:t>
      </w:r>
    </w:p>
    <w:p>
      <w:r>
        <w:t>Constitutional Note: The return is measured relative to the Gold Anchor, ensuring volatility estimation is independent of any sovereign currency. This maintains consistency with the Momentum calculation methodology.</w:t>
      </w:r>
    </w:p>
    <w:p>
      <w:r>
        <w:t>17.3 Constitutional Decay Factor</w:t>
      </w:r>
    </w:p>
    <w:p>
      <w:r>
        <w:t>text</w:t>
      </w:r>
    </w:p>
    <w:p>
      <w:r>
        <w:t>λ = 0.94</w:t>
      </w:r>
    </w:p>
    <w:p>
      <w:r>
        <w:t>Why λ = 0.94:</w:t>
      </w:r>
    </w:p>
    <w:p>
      <w:r>
        <w:t>J.P. Morgan RiskMetrics standard (1994)</w:t>
      </w:r>
    </w:p>
    <w:p>
      <w:r>
        <w:t>Used by central banks and commercial banks globally</w:t>
      </w:r>
    </w:p>
    <w:p>
      <w:r>
        <w:t>Smooths volatility while responding to market changes</w:t>
      </w:r>
    </w:p>
    <w:p>
      <w:r>
        <w:t>No look-ahead bias</w:t>
      </w:r>
    </w:p>
    <w:p>
      <w:r>
        <w:t>Provides a 74-day effective half-life, balancing responsiveness and stability</w:t>
      </w:r>
    </w:p>
    <w:p>
      <w:r>
        <w:t>17.4 Volatility Attenuation Factor</w:t>
      </w:r>
    </w:p>
    <w:p>
      <w:r>
        <w:t>The attenuation factor A_t is the constitutional volatility attenuation factor applied uniformly to all currencies during the evaluation cycle.</w:t>
      </w:r>
    </w:p>
    <w:p>
      <w:r>
        <w:t>text</w:t>
      </w:r>
    </w:p>
    <w:p>
      <w:r>
        <w:t>A_t = 1.00              if σ_t ≤ 0.02 (2%)</w:t>
      </w:r>
    </w:p>
    <w:p>
      <w:r>
        <w:t>A_t = 0.50              if σ_t ≥ 0.05 (5%)</w:t>
      </w:r>
    </w:p>
    <w:p>
      <w:r>
        <w:t>A_t = 1.00 - (σ_t - 0.02) / 0.03    otherwise (linear interpolation)</w:t>
      </w:r>
    </w:p>
    <w:p>
      <w:r>
        <w:t>Constitutional Bounds:</w:t>
      </w:r>
    </w:p>
    <w:p>
      <w:r>
        <w:t>text</w:t>
      </w:r>
    </w:p>
    <w:p>
      <w:r>
        <w:t>0.50 ≤ A_t ≤ 1.00</w:t>
      </w:r>
    </w:p>
    <w:p>
      <w:r>
        <w:t>No attenuation factor may exceed 1.00 or fall below 0.50.</w:t>
      </w:r>
    </w:p>
    <w:p>
      <w:r>
        <w:t>17.5 Why Linear Interpolation</w:t>
      </w:r>
    </w:p>
    <w:p>
      <w:r>
        <w:t>Linear interpolation provides:</w:t>
      </w:r>
    </w:p>
    <w:p>
      <w:r>
        <w:t>Continuous first-order behavior</w:t>
      </w:r>
    </w:p>
    <w:p>
      <w:r>
        <w:t>Avoidance of discontinuities at threshold boundaries</w:t>
      </w:r>
    </w:p>
    <w:p>
      <w:r>
        <w:t>Simplified formal verification</w:t>
      </w:r>
    </w:p>
    <w:p>
      <w:r>
        <w:t>Deterministic execution</w:t>
      </w:r>
    </w:p>
    <w:p>
      <w:r>
        <w:t>Smooth transition between normal and high-volatility regimes</w:t>
      </w:r>
    </w:p>
    <w:p>
      <w:r>
        <w:t>17.6 Why the Volatility Attenuation Exists</w:t>
      </w:r>
    </w:p>
    <w:p>
      <w:r>
        <w:t>The constitutional objectives are:</w:t>
      </w:r>
    </w:p>
    <w:p>
      <w:r>
        <w:t>Reduces momentum during high volatility</w:t>
      </w:r>
    </w:p>
    <w:p>
      <w:r>
        <w:t>Prevents pro-cyclical overreaction</w:t>
      </w:r>
    </w:p>
    <w:p>
      <w:r>
        <w:t>Maintains stability during crises</w:t>
      </w:r>
    </w:p>
    <w:p>
      <w:r>
        <w:t>Automatically dampens the algorithm</w:t>
      </w:r>
    </w:p>
    <w:p>
      <w:r>
        <w:t>Prevents temporary volatility from causing permanent basket drift</w:t>
      </w:r>
    </w:p>
    <w:p>
      <w:r>
        <w:t>17.7 Canonical Implementation</w:t>
      </w:r>
    </w:p>
    <w:p>
      <w:r>
        <w:t>text</w:t>
      </w:r>
    </w:p>
    <w:p>
      <w:r>
        <w:t>K_i = 1 + A_t × (M_i × R_i − 1)</w:t>
      </w:r>
    </w:p>
    <w:p>
      <w:r>
        <w:t>Where:</w:t>
      </w:r>
    </w:p>
    <w:p>
      <w:r>
        <w:t>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p>
    <w:p>
      <w:r>
        <w:t>17.8 Why Both Momentum and Mean Reversion Are Dampened</w:t>
      </w:r>
    </w:p>
    <w:p>
      <w:r>
        <w:t>Mean reversion can also create instability during crises</w:t>
      </w:r>
    </w:p>
    <w:p>
      <w:r>
        <w:t>Dampening both maintains consistency</w:t>
      </w:r>
    </w:p>
    <w:p>
      <w:r>
        <w:t>Prevents one component from dominating during volatility</w:t>
      </w:r>
    </w:p>
    <w:p>
      <w:r>
        <w:t>Preserves the constitutional balance of the weighting engine</w:t>
      </w:r>
    </w:p>
    <w:p>
      <w:r>
        <w:t>17.9 Relationship to the Currency Engine</w:t>
      </w:r>
    </w:p>
    <w:p>
      <w:r>
        <w:t>The mandatory processing sequence is:</w:t>
      </w:r>
    </w:p>
    <w:p>
      <w:r>
        <w:t>text</w:t>
      </w:r>
    </w:p>
    <w:p>
      <w:r>
        <w:t>Structural Weight (C_i)</w:t>
      </w:r>
    </w:p>
    <w:p>
      <w:r>
        <w:t>↓</w:t>
      </w:r>
    </w:p>
    <w:p>
      <w:r>
        <w:t>Momentum (M_i)</w:t>
      </w:r>
    </w:p>
    <w:p>
      <w:r>
        <w:t>↓</w:t>
      </w:r>
    </w:p>
    <w:p>
      <w:r>
        <w:t>Reversion (R_i)</w:t>
      </w:r>
    </w:p>
    <w:p>
      <w:r>
        <w:t>↓</w:t>
      </w:r>
    </w:p>
    <w:p>
      <w:r>
        <w:t>Volatility Attenuation (K_i)</w:t>
      </w:r>
    </w:p>
    <w:p>
      <w:r>
        <w:t>↓</w:t>
      </w:r>
    </w:p>
    <w:p>
      <w:r>
        <w:t>Liquidity Overlay (L_i)</w:t>
      </w:r>
    </w:p>
    <w:p>
      <w:r>
        <w:t>↓</w:t>
      </w:r>
    </w:p>
    <w:p>
      <w:r>
        <w:t>Normalization</w:t>
      </w:r>
    </w:p>
    <w:p>
      <w:r>
        <w:t>Volatility Attenuation is always applied after Mean Reversion and before the Liquidity Overlay.</w:t>
      </w:r>
    </w:p>
    <w:p>
      <w:r>
        <w:t>17.10 Examples</w:t>
      </w:r>
    </w:p>
    <w:p>
      <w:r>
        <w:t>Example 1: Normal Volatility (σ = 1.5%)</w:t>
      </w:r>
    </w:p>
    <w:p>
      <w:r>
        <w:t>text</w:t>
      </w:r>
    </w:p>
    <w:p>
      <w:r>
        <w:t>σ_t = 1.5% = 0.015</w:t>
      </w:r>
    </w:p>
    <w:p>
      <w:r>
        <w:t>σ_t ≤ 0.02 → A_t = 1.00</w:t>
      </w:r>
    </w:p>
    <w:p>
      <w:r>
        <w:t>Interpretation: Full momentum and mean reversion adjustments are applied. No attenuation.</w:t>
      </w:r>
    </w:p>
    <w:p>
      <w:r>
        <w:t>Example 2: Moderate Volatility (σ = 2.8%)</w:t>
      </w:r>
    </w:p>
    <w:p>
      <w:r>
        <w:t>text</w:t>
      </w:r>
    </w:p>
    <w:p>
      <w:r>
        <w:t>σ_t = 2.8% = 0.028</w:t>
      </w:r>
    </w:p>
    <w:p>
      <w:r>
        <w:t>0.02 &lt; σ_t &lt; 0.05</w:t>
      </w:r>
    </w:p>
    <w:p>
      <w:r>
        <w:t>A_t = 1.00 - (0.028 - 0.02) / 0.03</w:t>
      </w:r>
    </w:p>
    <w:p>
      <w:r>
        <w:t>A_t = 1.00 - 0.008 / 0.03</w:t>
      </w:r>
    </w:p>
    <w:p>
      <w:r>
        <w:t>A_t = 1.00 - 0.2667</w:t>
      </w:r>
    </w:p>
    <w:p>
      <w:r>
        <w:t>A_t = 0.7333</w:t>
      </w:r>
    </w:p>
    <w:p>
      <w:r>
        <w:t>Interpretation: Attenuation factor of 0.7333. Adjustments are reduced by approximately 26.7%.</w:t>
      </w:r>
    </w:p>
    <w:p>
      <w:r>
        <w:t>Example 3: High Volatility (σ = 3.5%)</w:t>
      </w:r>
    </w:p>
    <w:p>
      <w:r>
        <w:t>text</w:t>
      </w:r>
    </w:p>
    <w:p>
      <w:r>
        <w:t>σ_t = 3.5% = 0.035</w:t>
      </w:r>
    </w:p>
    <w:p>
      <w:r>
        <w:t>0.02 &lt; σ_t &lt; 0.05</w:t>
      </w:r>
    </w:p>
    <w:p>
      <w:r>
        <w:t>A_t = 1.00 - (0.035 - 0.02) / 0.03</w:t>
      </w:r>
    </w:p>
    <w:p>
      <w:r>
        <w:t>A_t = 1.00 - 0.015 / 0.03</w:t>
      </w:r>
    </w:p>
    <w:p>
      <w:r>
        <w:t>A_t = 1.00 - 0.50</w:t>
      </w:r>
    </w:p>
    <w:p>
      <w:r>
        <w:t>A_t = 0.50</w:t>
      </w:r>
    </w:p>
    <w:p>
      <w:r>
        <w:t>Interpretation: Attenuation factor at constitutional minimum (0.50). Adjustments are reduced by 50%.</w:t>
      </w:r>
    </w:p>
    <w:p>
      <w:r>
        <w:t>Example 4: Extreme Volatility (σ ≥ 5.0%)</w:t>
      </w:r>
    </w:p>
    <w:p>
      <w:r>
        <w:t>text</w:t>
      </w:r>
    </w:p>
    <w:p>
      <w:r>
        <w:t>σ_t ≥ 0.05 → A_t = 0.50</w:t>
      </w:r>
    </w:p>
    <w:p>
      <w:r>
        <w:t>Interpretation: Maximum attenuation applied. Momentum and mean reversion adjustments are halved.</w:t>
      </w:r>
    </w:p>
    <w:p>
      <w:r>
        <w:t>17.11 Constitutional Verification</w:t>
      </w:r>
    </w:p>
    <w:p>
      <w:r>
        <w:t>For every evaluation cycle:</w:t>
      </w:r>
    </w:p>
    <w:p>
      <w:r>
        <w:t>text</w:t>
      </w:r>
    </w:p>
    <w:p>
      <w:r>
        <w:t>0.50 ≤ A_t ≤ 1.00</w:t>
      </w:r>
    </w:p>
    <w:p>
      <w:r>
        <w:t>0.95 ≤ M_i ≤ 1.05</w:t>
      </w:r>
    </w:p>
    <w:p>
      <w:r>
        <w:t>0.98 ≤ R_i ≤ 1.02</w:t>
      </w:r>
    </w:p>
    <w:p>
      <w:r>
        <w:t>K_i &gt; 0</w:t>
      </w:r>
    </w:p>
    <w:p>
      <w:r>
        <w:t>Every validator using identical market data shall produce identical attenuation factors.</w:t>
      </w:r>
    </w:p>
    <w:p>
      <w:r>
        <w:t>17.12 Constitutional Safeguard</w:t>
      </w:r>
    </w:p>
    <w:p>
      <w:r>
        <w:t>The Volatility Attenuation Engine shall never:</w:t>
      </w:r>
    </w:p>
    <w:p>
      <w:r>
        <w:t>Override structural weights</w:t>
      </w:r>
    </w:p>
    <w:p>
      <w:r>
        <w:t>Modify eligibility criteria</w:t>
      </w:r>
    </w:p>
    <w:p>
      <w:r>
        <w:t>Alter the Gold Anchor</w:t>
      </w:r>
    </w:p>
    <w:p>
      <w:r>
        <w:t>Create discontinuities at threshold boundaries</w:t>
      </w:r>
    </w:p>
    <w:p>
      <w:r>
        <w:t>Introduce discretionary judgement</w:t>
      </w:r>
    </w:p>
    <w:p>
      <w:r>
        <w:t>Related Sections</w:t>
      </w:r>
    </w:p>
    <w:p>
      <w:r>
        <w:t>Section 13 — Structural Weight</w:t>
      </w:r>
    </w:p>
    <w:p>
      <w:r>
        <w:t>Section 14 — Gold Anchor</w:t>
      </w:r>
    </w:p>
    <w:p>
      <w:r>
        <w:t>Section 15 — Momentum Adjustment</w:t>
      </w:r>
    </w:p>
    <w:p>
      <w:r>
        <w:t>Section 16 — Mean Reversion Adjustment</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EWMA Variance formula defined</w:t>
      </w:r>
    </w:p>
    <w:p>
      <w:r>
        <w:t>✓ Daily Return Definition provided</w:t>
      </w:r>
    </w:p>
    <w:p>
      <w:r>
        <w:t>✓ Constitutional Decay Factor defined</w:t>
      </w:r>
    </w:p>
    <w:p>
      <w:r>
        <w:t>✓ Volatility Attenuation Factor defined</w:t>
      </w:r>
    </w:p>
    <w:p>
      <w:r>
        <w:t>✓ Why Linear Interpolation explained</w:t>
      </w:r>
    </w:p>
    <w:p>
      <w:r>
        <w:t>✓ Why the Volatility Attenuation Exists explained</w:t>
      </w:r>
    </w:p>
    <w:p>
      <w:r>
        <w:t>✓ Canonical Implementation defined</w:t>
      </w:r>
    </w:p>
    <w:p>
      <w:r>
        <w:t>✓ Why Both Momentum and Mean Reversion Are Dampened explained</w:t>
      </w:r>
    </w:p>
    <w:p>
      <w:r>
        <w:t>✓ Relationship to the Currency Engine established</w:t>
      </w:r>
    </w:p>
    <w:p>
      <w:r>
        <w:t>✓ Examples provided</w:t>
      </w:r>
    </w:p>
    <w:p>
      <w:r>
        <w:t>✓ Constitutional Verification established</w:t>
      </w:r>
    </w:p>
    <w:p>
      <w:r>
        <w:t>✓ Constitutional Safeguard established</w:t>
      </w:r>
    </w:p>
    <w:p>
      <w:r>
        <w:t>✓ Related Sections referenced</w:t>
      </w:r>
    </w:p>
    <w:p>
      <w:r>
        <w:t>[END OF SECTION 17 — VOLATILITY ATTENUATION ENGINE (SHOCK ABSORBER)]</w:t>
      </w:r>
    </w:p>
    <w:p>
      <w:r>
        <w:t>Section 18: Liquidity Overlay</w:t>
      </w:r>
    </w:p>
    <w:p>
      <w:r>
        <w:t>Constitutional Purpose: The Liquidity Overlay adjusts currency weights to reflect short-term market liquidity conditions, improving operational execution and settlement efficiency without compromising long-term structural weighting.</w:t>
      </w:r>
    </w:p>
    <w:p>
      <w:r>
        <w:t>Liquidity is a secondary factor that influences execution efficiency, not constitutional monetary importance.</w:t>
      </w:r>
    </w:p>
    <w:p>
      <w:r>
        <w:t>18.1 Liquidity Measurement</w:t>
      </w:r>
    </w:p>
    <w:p>
      <w:r>
        <w:t>Liquidity shall be measured using objective, quantifiable market indicators including:</w:t>
      </w:r>
    </w:p>
    <w:p>
      <w:r>
        <w:t>Daily trading volume</w:t>
      </w:r>
    </w:p>
    <w:p>
      <w:r>
        <w:t>Bid-ask spread</w:t>
      </w:r>
    </w:p>
    <w:p>
      <w:r>
        <w:t>Market depth</w:t>
      </w:r>
    </w:p>
    <w:p>
      <w:r>
        <w:t>Order book resilience</w:t>
      </w:r>
    </w:p>
    <w:p>
      <w:r>
        <w:t>Settlement efficiency</w:t>
      </w:r>
    </w:p>
    <w:p>
      <w:r>
        <w:t>Transaction cost</w:t>
      </w:r>
    </w:p>
    <w:p>
      <w:r>
        <w:t>18.2 Liquidity Normalization</w:t>
      </w:r>
    </w:p>
    <w:p>
      <w:r>
        <w:t>text</w:t>
      </w:r>
    </w:p>
    <w:p>
      <w:r>
        <w:t>L_i = 1 + η_liq × (RelativeLiquidity_i / MedianLiquidity − 1)</w:t>
      </w:r>
    </w:p>
    <w:p>
      <w:r>
        <w:t>Where:</w:t>
      </w:r>
    </w:p>
    <w:p>
      <w:r>
        <w:t>18.3 Constitutional Bounds</w:t>
      </w:r>
    </w:p>
    <w:p>
      <w:r>
        <w:t>text</w:t>
      </w:r>
    </w:p>
    <w:p>
      <w:r>
        <w:t>L_i = clamp(L_i, 1 − L_max, 1 + L_max)</w:t>
      </w:r>
    </w:p>
    <w:p>
      <w:r>
        <w:t>Where:</w:t>
      </w:r>
    </w:p>
    <w:p>
      <w:r>
        <w:t>text</w:t>
      </w:r>
    </w:p>
    <w:p>
      <w:r>
        <w:t>L_max = 0.05</w:t>
      </w:r>
    </w:p>
    <w:p>
      <w:r>
        <w:t>Therefore:</w:t>
      </w:r>
    </w:p>
    <w:p>
      <w:r>
        <w:t>text</w:t>
      </w:r>
    </w:p>
    <w:p>
      <w:r>
        <w:t>0.95 ≤ L_i ≤ 1.05</w:t>
      </w:r>
    </w:p>
    <w:p>
      <w:r>
        <w:t>No currency may receive more than a 5% liquidity adjustment.</w:t>
      </w:r>
    </w:p>
    <w:p>
      <w:r>
        <w:t>18.4 Constitutional Interpretation</w:t>
      </w:r>
    </w:p>
    <w:p>
      <w:r>
        <w:t>18.5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Liquidity Overlay is always applied after the Shock Absorber and before Normalization.</w:t>
      </w:r>
    </w:p>
    <w:p>
      <w:r>
        <w:t>18.6 Example</w:t>
      </w:r>
    </w:p>
    <w:p>
      <w:r>
        <w:t>Illustrative Liquidity Inputs:</w:t>
      </w:r>
    </w:p>
    <w:p>
      <w:r>
        <w:t>Formula:</w:t>
      </w:r>
    </w:p>
    <w:p>
      <w:r>
        <w:t>text</w:t>
      </w:r>
    </w:p>
    <w:p>
      <w:r>
        <w:t>L_i = 1 + 0.02 × ((RelativeLiquidity - Median) / MAD)</w:t>
      </w:r>
    </w:p>
    <w:p>
      <w:r>
        <w:t>Where:</w:t>
      </w:r>
    </w:p>
    <w:p>
      <w:r>
        <w:t>Median = 0.10</w:t>
      </w:r>
    </w:p>
    <w:p>
      <w:r>
        <w:t>MAD = 0.05</w:t>
      </w:r>
    </w:p>
    <w:p>
      <w:r>
        <w:t>Each factor is clamped to ±5% and proportionally normalized</w:t>
      </w:r>
    </w:p>
    <w:p>
      <w:r>
        <w:t>18.7 Constitutional Safeguard</w:t>
      </w:r>
    </w:p>
    <w:p>
      <w:r>
        <w:t>The Liquidity Overlay shall never:</w:t>
      </w:r>
    </w:p>
    <w:p>
      <w:r>
        <w:t>Override structural weights</w:t>
      </w:r>
    </w:p>
    <w:p>
      <w:r>
        <w:t>Replace momentum or mean reversion</w:t>
      </w:r>
    </w:p>
    <w:p>
      <w:r>
        <w:t>Create excessive volatility</w:t>
      </w:r>
    </w:p>
    <w:p>
      <w:r>
        <w:t>Exceed constitutional bounds</w:t>
      </w:r>
    </w:p>
    <w:p>
      <w:r>
        <w:t>Compensate for failure of eligibility criteria</w:t>
      </w:r>
    </w:p>
    <w:p>
      <w:r>
        <w:t>18.8 Constitutional Verification</w:t>
      </w:r>
    </w:p>
    <w:p>
      <w:r>
        <w:t>For every eligible currency:</w:t>
      </w:r>
    </w:p>
    <w:p>
      <w:r>
        <w:t>text</w:t>
      </w:r>
    </w:p>
    <w:p>
      <w:r>
        <w:t>0.95 ≤ L_i ≤ 1.05</w:t>
      </w:r>
    </w:p>
    <w:p>
      <w:r>
        <w:t>The Liquidity Overlay:</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15 — Momentum Adjustment</w:t>
      </w:r>
    </w:p>
    <w:p>
      <w:r>
        <w:t>Section 16 — Mean Reversion Adjustment</w:t>
      </w:r>
    </w:p>
    <w:p>
      <w:r>
        <w:t>Section 17 — Shock Absorber</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Liquidity Measurement defined</w:t>
      </w:r>
    </w:p>
    <w:p>
      <w:r>
        <w:t>✓ Liquidity Normalization formula defined</w:t>
      </w:r>
    </w:p>
    <w:p>
      <w:r>
        <w:t>✓ Constitutional Bounds established</w:t>
      </w:r>
    </w:p>
    <w:p>
      <w:r>
        <w:t>✓ Constitutional Interpretation defined</w:t>
      </w:r>
    </w:p>
    <w:p>
      <w:r>
        <w:t>✓ Relationship to the Currency Engine established</w:t>
      </w:r>
    </w:p>
    <w:p>
      <w:r>
        <w:t>✓ Example provided</w:t>
      </w:r>
    </w:p>
    <w:p>
      <w:r>
        <w:t>✓ Constitutional Safeguard established</w:t>
      </w:r>
    </w:p>
    <w:p>
      <w:r>
        <w:t>✓ Constitutional Verification established</w:t>
      </w:r>
    </w:p>
    <w:p>
      <w:r>
        <w:t>✓ Related Sections referenced</w:t>
      </w:r>
    </w:p>
    <w:p>
      <w:r>
        <w:t>[END OF SECTION 18 — LIQUIDITY OVERLAY]</w:t>
      </w:r>
    </w:p>
    <w:p>
      <w:r>
        <w:t>Section 19: Raw Constitutional Currency Weight</w:t>
      </w:r>
    </w:p>
    <w:p>
      <w:r>
        <w:t>19.1 Constitutional Formula</w:t>
      </w:r>
    </w:p>
    <w:p>
      <w:r>
        <w:t>The Constitutional Monetary Engine SHALL compute the Raw Constitutional Weight for each eligible currency as follows:</w:t>
      </w:r>
    </w:p>
    <w:p>
      <w:r>
        <w:t>text</w:t>
      </w:r>
    </w:p>
    <w:p>
      <w:r>
        <w:t>W_raw,i = C_i × K_i × L_i</w:t>
      </w:r>
    </w:p>
    <w:p>
      <w:r>
        <w:t>Where:</w:t>
      </w:r>
    </w:p>
    <w:p>
      <w:r>
        <w:t>19.2 Component Definitions</w:t>
      </w:r>
    </w:p>
    <w:p>
      <w:r>
        <w:t>The Raw Constitutional Weight combines three constitutionally independent components:</w:t>
      </w:r>
    </w:p>
    <w:p>
      <w:r>
        <w:t>Each component serves a distinct constitutional function and SHALL operate independently.</w:t>
      </w:r>
    </w:p>
    <w:p>
      <w:r>
        <w:t>The multiplicative formulation preserves proportional influence while preventing any single component from replacing the constitutional structural foundation.</w:t>
      </w:r>
    </w:p>
    <w:p>
      <w:r>
        <w:t>19.3 Constitutional Purpose</w:t>
      </w:r>
    </w:p>
    <w:p>
      <w:r>
        <w:t>The Raw Constitutional Weight represents the unconstrained constitutional allocation before the application of constitutional safeguards.</w:t>
      </w:r>
    </w:p>
    <w:p>
      <w:r>
        <w:t>It serves exclusively as an intermediate computational state within the Constitutional Monetary Engine.</w:t>
      </w:r>
    </w:p>
    <w:p>
      <w:r>
        <w:t>The Raw Constitutional Weight SHALL NOT be:</w:t>
      </w:r>
    </w:p>
    <w:p>
      <w:r>
        <w:t>Published</w:t>
      </w:r>
    </w:p>
    <w:p>
      <w:r>
        <w:t>Used for settlement</w:t>
      </w:r>
    </w:p>
    <w:p>
      <w:r>
        <w:t>Used for redemption</w:t>
      </w:r>
    </w:p>
    <w:p>
      <w:r>
        <w:t>Used for reserve allocation</w:t>
      </w:r>
    </w:p>
    <w:p>
      <w:r>
        <w:t>Interpreted as the final constitutional basket weight</w:t>
      </w:r>
    </w:p>
    <w:p>
      <w:r>
        <w:t>Only the Final Constitutional Weight (Section 22) possesses legal and operational effect.</w:t>
      </w:r>
    </w:p>
    <w:p>
      <w:r>
        <w:t>19.4 Constitutional Computational Sequence</w:t>
      </w:r>
    </w:p>
    <w:p>
      <w:r>
        <w:t>The Constitutional Monetary Engine SHALL execute the following immutable sequence:</w:t>
      </w:r>
    </w:p>
    <w:p>
      <w:r>
        <w:t>text</w:t>
      </w:r>
    </w:p>
    <w:p>
      <w:pPr>
        <w:pStyle w:val="ListNumber"/>
        <w:ind w:left="425"/>
      </w:pPr>
      <w:r>
        <w:t>Determine Eligible Currencies</w:t>
      </w:r>
    </w:p>
    <w:p>
      <w:r>
        <w:t>│</w:t>
      </w:r>
    </w:p>
    <w:p>
      <w:r>
        <w:t>▼</w:t>
      </w:r>
    </w:p>
    <w:p>
      <w:pPr>
        <w:pStyle w:val="ListNumber"/>
        <w:ind w:left="425"/>
      </w:pPr>
      <w:r>
        <w:t>Compute Structural Weight (C_i)</w:t>
      </w:r>
    </w:p>
    <w:p>
      <w:r>
        <w:t>│</w:t>
      </w:r>
    </w:p>
    <w:p>
      <w:r>
        <w:t>▼</w:t>
      </w:r>
    </w:p>
    <w:p>
      <w:pPr>
        <w:pStyle w:val="ListNumber"/>
        <w:ind w:left="425"/>
      </w:pPr>
      <w:r>
        <w:t>Compute Momentum Factor (M_i)</w:t>
      </w:r>
    </w:p>
    <w:p>
      <w:r>
        <w:t>│</w:t>
      </w:r>
    </w:p>
    <w:p>
      <w:r>
        <w:t>▼</w:t>
      </w:r>
    </w:p>
    <w:p>
      <w:pPr>
        <w:pStyle w:val="ListNumber"/>
        <w:ind w:left="425"/>
      </w:pPr>
      <w:r>
        <w:t>Compute Mean Reversion Factor (B_i)</w:t>
      </w:r>
    </w:p>
    <w:p>
      <w:r>
        <w:t>│</w:t>
      </w:r>
    </w:p>
    <w:p>
      <w:r>
        <w:t>▼</w:t>
      </w:r>
    </w:p>
    <w:p>
      <w:pPr>
        <w:pStyle w:val="ListNumber"/>
        <w:ind w:left="425"/>
      </w:pPr>
      <w:r>
        <w:t>Apply Constitutional Shock Absorber</w:t>
      </w:r>
    </w:p>
    <w:p>
      <w:r>
        <w:t>│</w:t>
      </w:r>
    </w:p>
    <w:p>
      <w:r>
        <w:t>▼</w:t>
      </w:r>
    </w:p>
    <w:p>
      <w:pPr>
        <w:pStyle w:val="ListNumber"/>
        <w:ind w:left="425"/>
      </w:pPr>
      <w:r>
        <w:t>Produce Shock-Adjusted Factor (K_i)</w:t>
      </w:r>
    </w:p>
    <w:p>
      <w:r>
        <w:t>│</w:t>
      </w:r>
    </w:p>
    <w:p>
      <w:r>
        <w:t>▼</w:t>
      </w:r>
    </w:p>
    <w:p>
      <w:pPr>
        <w:pStyle w:val="ListNumber"/>
        <w:ind w:left="425"/>
      </w:pPr>
      <w:r>
        <w:t>Compute Liquidity Overlay (L_i)</w:t>
      </w:r>
    </w:p>
    <w:p>
      <w:r>
        <w:t>│</w:t>
      </w:r>
    </w:p>
    <w:p>
      <w:r>
        <w:t>▼</w:t>
      </w:r>
    </w:p>
    <w:p>
      <w:pPr>
        <w:pStyle w:val="ListNumber"/>
        <w:ind w:left="425"/>
      </w:pPr>
      <w:r>
        <w:t>Compute Raw Constitutional Weight</w:t>
      </w:r>
    </w:p>
    <w:p>
      <w:r>
        <w:t>W_raw,i = C_i × K_i × L_i</w:t>
      </w:r>
    </w:p>
    <w:p>
      <w:r>
        <w:t>This computational order is constitutionally fixed.</w:t>
      </w:r>
    </w:p>
    <w:p>
      <w:r>
        <w:t>No implementation SHALL modify, reorder, omit, or substitute any computational step except through the Constitutional Amendment Process.</w:t>
      </w:r>
    </w:p>
    <w:p>
      <w:r>
        <w:t>19.5 Constitutional Mathematical Properties</w:t>
      </w:r>
    </w:p>
    <w:p>
      <w:r>
        <w:t>The Raw Constitutional Weight SHALL satisfy the following properties.</w:t>
      </w:r>
    </w:p>
    <w:p>
      <w:r>
        <w:t>Positive Definiteness</w:t>
      </w:r>
    </w:p>
    <w:p>
      <w:r>
        <w:t>For every eligible currency:</w:t>
      </w:r>
    </w:p>
    <w:p>
      <w:r>
        <w:t>text</w:t>
      </w:r>
    </w:p>
    <w:p>
      <w:r>
        <w:t>W_raw,i &gt; 0</w:t>
      </w:r>
    </w:p>
    <w:p>
      <w:r>
        <w:t>Since:</w:t>
      </w:r>
    </w:p>
    <w:p>
      <w:r>
        <w:t>C_i &gt; 0</w:t>
      </w:r>
    </w:p>
    <w:p>
      <w:r>
        <w:t>K_i &gt; 0</w:t>
      </w:r>
    </w:p>
    <w:p>
      <w:r>
        <w:t>L_i &gt; 0</w:t>
      </w:r>
    </w:p>
    <w:p>
      <w:r>
        <w:t>Therefore:</w:t>
      </w:r>
    </w:p>
    <w:p>
      <w:r>
        <w:t>text</w:t>
      </w:r>
    </w:p>
    <w:p>
      <w:r>
        <w:t>W_raw,i &gt; 0</w:t>
      </w:r>
    </w:p>
    <w:p>
      <w:r>
        <w:t>No eligible currency may obtain a negative constitutional allocation.</w:t>
      </w:r>
    </w:p>
    <w:p>
      <w:r>
        <w:t>Determinism</w:t>
      </w:r>
    </w:p>
    <w:p>
      <w:r>
        <w:t>Given identical constitutional inputs, every validator SHALL compute identical Raw Constitutional Weights.</w:t>
      </w:r>
    </w:p>
    <w:p>
      <w:r>
        <w:t>No implementation-dependent behavior is permitted.</w:t>
      </w:r>
    </w:p>
    <w:p>
      <w:r>
        <w:t>Numeraire Independence</w:t>
      </w:r>
    </w:p>
    <w:p>
      <w:r>
        <w:t>Changing the reporting numeraire SHALL NOT modify the Raw Constitutional Weight.</w:t>
      </w:r>
    </w:p>
    <w:p>
      <w:r>
        <w:t>The Raw Constitutional Weight depends exclusively upon:</w:t>
      </w:r>
    </w:p>
    <w:p>
      <w:r>
        <w:t>Structural currency composition</w:t>
      </w:r>
    </w:p>
    <w:p>
      <w:r>
        <w:t>Constitutional adjustment factors</w:t>
      </w:r>
    </w:p>
    <w:p>
      <w:r>
        <w:t>Relative liquidity</w:t>
      </w:r>
    </w:p>
    <w:p>
      <w:r>
        <w:t>It SHALL never depend upon the accounting currency selected for reporting.</w:t>
      </w:r>
    </w:p>
    <w:p>
      <w:r>
        <w:t>Dimensionless Property</w:t>
      </w:r>
    </w:p>
    <w:p>
      <w:r>
        <w:t>The Raw Constitutional Weight is a proportional allocation coefficient.</w:t>
      </w:r>
    </w:p>
    <w:p>
      <w:r>
        <w:t>It carries no monetary unit.</w:t>
      </w:r>
    </w:p>
    <w:p>
      <w:r>
        <w:t>Its value remains invariant regardless of whether reporting is performed in:</w:t>
      </w:r>
    </w:p>
    <w:p>
      <w:r>
        <w:t>USD</w:t>
      </w:r>
    </w:p>
    <w:p>
      <w:r>
        <w:t>EUR</w:t>
      </w:r>
    </w:p>
    <w:p>
      <w:r>
        <w:t>XDR</w:t>
      </w:r>
    </w:p>
    <w:p>
      <w:r>
        <w:t>SDR</w:t>
      </w:r>
    </w:p>
    <w:p>
      <w:r>
        <w:t>CHF</w:t>
      </w:r>
    </w:p>
    <w:p>
      <w:r>
        <w:t>GBP</w:t>
      </w:r>
    </w:p>
    <w:p>
      <w:r>
        <w:t>CNY</w:t>
      </w:r>
    </w:p>
    <w:p>
      <w:r>
        <w:t>JPY</w:t>
      </w:r>
    </w:p>
    <w:p>
      <w:r>
        <w:t>Or any other approved constitutional numeraire.</w:t>
      </w:r>
    </w:p>
    <w:p>
      <w:r>
        <w:t>19.6 Constitutional Verification</w:t>
      </w:r>
    </w:p>
    <w:p>
      <w:r>
        <w:t>For every eligible currency:</w:t>
      </w:r>
    </w:p>
    <w:p>
      <w:r>
        <w:t>text</w:t>
      </w:r>
    </w:p>
    <w:p>
      <w:r>
        <w:t>If C_i &gt; 0</w:t>
      </w:r>
    </w:p>
    <w:p>
      <w:r>
        <w:t>K_i &gt; 0</w:t>
      </w:r>
    </w:p>
    <w:p>
      <w:r>
        <w:t>L_i &gt; 0</w:t>
      </w:r>
    </w:p>
    <w:p>
      <w:r>
        <w:t>Then W_raw,i &gt; 0</w:t>
      </w:r>
    </w:p>
    <w:p>
      <w:r>
        <w:t>Every implementation SHALL verify this condition before proceeding to normalization.</w:t>
      </w:r>
    </w:p>
    <w:p>
      <w:r>
        <w:t>Failure of any verification SHALL invalidate the computational cycle.</w:t>
      </w:r>
    </w:p>
    <w:p>
      <w:r>
        <w:t>19.7 Constitutional Constraints</w:t>
      </w:r>
    </w:p>
    <w:p>
      <w:r>
        <w:t>The Raw Constitutional Weight SHALL NOT yet incorporate:</w:t>
      </w:r>
    </w:p>
    <w:p>
      <w:r>
        <w:t>Constitutional Concentration Caps</w:t>
      </w:r>
    </w:p>
    <w:p>
      <w:r>
        <w:t>Minimum Currency Floors</w:t>
      </w:r>
    </w:p>
    <w:p>
      <w:r>
        <w:t>Basket Normalization</w:t>
      </w:r>
    </w:p>
    <w:p>
      <w:r>
        <w:t>Shock Distribution Protocol (SDP) overrides</w:t>
      </w:r>
    </w:p>
    <w:p>
      <w:r>
        <w:t>Emergency Constitutional Adjustments</w:t>
      </w:r>
    </w:p>
    <w:p>
      <w:r>
        <w:t>These constitutional controls are applied only during the Final Constitutional Weight calculation (Sections 20–22).</w:t>
      </w:r>
    </w:p>
    <w:p>
      <w:r>
        <w:t>19.8 Constitutional Interpretation</w:t>
      </w:r>
    </w:p>
    <w:p>
      <w:r>
        <w:t>The Raw Constitutional Weight reflects the combined influence of:</w:t>
      </w:r>
    </w:p>
    <w:p>
      <w:r>
        <w:t>Long-term institutional importance</w:t>
      </w:r>
    </w:p>
    <w:p>
      <w:r>
        <w:t>Controlled structural adaptation</w:t>
      </w:r>
    </w:p>
    <w:p>
      <w:r>
        <w:t>Current market liquidity</w:t>
      </w:r>
    </w:p>
    <w:p>
      <w:r>
        <w:t>It is intentionally unconstrained so that subsequent constitutional controls may be applied transparently, deterministically, and independently.</w:t>
      </w:r>
    </w:p>
    <w:p>
      <w:r>
        <w:t>This separation preserves constitutional auditability and ensures that every stage of the weighting process remains independently reproducible.</w:t>
      </w:r>
    </w:p>
    <w:p>
      <w:r>
        <w:t>19.9 Constitutional Principles</w:t>
      </w:r>
    </w:p>
    <w:p>
      <w:r>
        <w:t>The Raw Constitutional Weight SHALL satisfy the following constitutional principles:</w:t>
      </w:r>
    </w:p>
    <w:p>
      <w:r>
        <w:t>Structural Primacy — Structural Weight remains the dominant determinant of allocation.</w:t>
      </w:r>
    </w:p>
    <w:p>
      <w:r>
        <w:t>Controlled Adaptation — Momentum and Mean Reversion adjust gradually within constitutional bounds.</w:t>
      </w:r>
    </w:p>
    <w:p>
      <w:r>
        <w:t>Market Responsiveness — Liquidity influences execution efficiency without overriding structural importance.</w:t>
      </w:r>
    </w:p>
    <w:p>
      <w:r>
        <w:t>Determinism — Every validator produces identical outputs from identical inputs.</w:t>
      </w:r>
    </w:p>
    <w:p>
      <w:r>
        <w:t>Transparency — Every intermediate calculation is independently auditable.</w:t>
      </w:r>
    </w:p>
    <w:p>
      <w:r>
        <w:t>Reproducibility — All results can be verified by any constitutional participant.</w:t>
      </w:r>
    </w:p>
    <w:p>
      <w:r>
        <w:t>Numeraire Neutrality — Reporting currency SHALL never affect constitutional allocations.</w:t>
      </w:r>
    </w:p>
    <w:p>
      <w:r>
        <w:t>19.10 Constitutional Note</w:t>
      </w:r>
    </w:p>
    <w:p>
      <w:r>
        <w:t>The Raw Constitutional Weight is an intermediate computational artifact of the Constitutional Monetary Engine.</w:t>
      </w:r>
    </w:p>
    <w:p>
      <w:r>
        <w:t>Only after the sequential application of:</w:t>
      </w:r>
    </w:p>
    <w:p>
      <w:r>
        <w:t>Constitutional Normalization</w:t>
      </w:r>
    </w:p>
    <w:p>
      <w:r>
        <w:t>Constitutional Concentration Limits</w:t>
      </w:r>
    </w:p>
    <w:p>
      <w:r>
        <w:t>Constitutional Minimum Currency Floors</w:t>
      </w:r>
    </w:p>
    <w:p>
      <w:r>
        <w:t>Shock Distribution Protocol (SDP), when constitutionally triggered</w:t>
      </w:r>
    </w:p>
    <w:p>
      <w:r>
        <w:t>Final Constitutional Verification</w:t>
      </w:r>
    </w:p>
    <w:p>
      <w:r>
        <w:t>Does the system produce the Final Constitutional Weight, which alone governs reserve allocation, settlement, redemption, publication, and all legal and operational effects.</w:t>
      </w:r>
    </w:p>
    <w:p>
      <w:r>
        <w:t>No Raw Constitutional Weight SHALL possess independent constitutional, legal, accounting, or settlement authority.</w:t>
      </w:r>
    </w:p>
    <w:p>
      <w:r>
        <w:t>Related Sections</w:t>
      </w:r>
    </w:p>
    <w:p>
      <w:r>
        <w:t>Section 13 — Structural Weight</w:t>
      </w:r>
    </w:p>
    <w:p>
      <w:r>
        <w:t>Section 15 — Momentum Adjustment</w:t>
      </w:r>
    </w:p>
    <w:p>
      <w:r>
        <w:t>Section 16 — Mean Reversion Adjustment</w:t>
      </w:r>
    </w:p>
    <w:p>
      <w:r>
        <w:t>Section 17 — Volatility Attenuation Engine</w:t>
      </w:r>
    </w:p>
    <w:p>
      <w:r>
        <w:t>Section 18 — Liquidity Overlay</w:t>
      </w:r>
    </w:p>
    <w:p>
      <w:r>
        <w:t>Section 20 — Constitutional Normalization</w:t>
      </w:r>
    </w:p>
    <w:p>
      <w:r>
        <w:t>Section 21 — Constitutional Concentration Limits</w:t>
      </w:r>
    </w:p>
    <w:p>
      <w:r>
        <w:t>Section 22 — Final Constitutional Weight</w:t>
      </w:r>
    </w:p>
    <w:p>
      <w:r>
        <w:t>Section 42 — Daily Proof of Reserves</w:t>
      </w:r>
    </w:p>
    <w:p>
      <w:r>
        <w:t>Section 43 — Formal Verification</w:t>
      </w:r>
    </w:p>
    <w:p>
      <w:r>
        <w:t>Constitutional Verification</w:t>
      </w:r>
    </w:p>
    <w:p>
      <w:r>
        <w:t>text</w:t>
      </w:r>
    </w:p>
    <w:p>
      <w:r>
        <w:t>✓ Constitutional Formula defined</w:t>
      </w:r>
    </w:p>
    <w:p>
      <w:r>
        <w:t>✓ Component Definitions provided</w:t>
      </w:r>
    </w:p>
    <w:p>
      <w:r>
        <w:t>✓ Constitutional Purpose established</w:t>
      </w:r>
    </w:p>
    <w:p>
      <w:r>
        <w:t>✓ Constitutional Computational Sequence defined</w:t>
      </w:r>
    </w:p>
    <w:p>
      <w:r>
        <w:t>✓ Constitutional Mathematical Properties defined</w:t>
      </w:r>
    </w:p>
    <w:p>
      <w:r>
        <w:t>✓ Constitutional Verification established</w:t>
      </w:r>
    </w:p>
    <w:p>
      <w:r>
        <w:t>✓ Constitutional Constraints established</w:t>
      </w:r>
    </w:p>
    <w:p>
      <w:r>
        <w:t>✓ Constitutional Interpretation provided</w:t>
      </w:r>
    </w:p>
    <w:p>
      <w:r>
        <w:t>✓ Constitutional Principles listed</w:t>
      </w:r>
    </w:p>
    <w:p>
      <w:r>
        <w:t>✓ Constitutional Note provided</w:t>
      </w:r>
    </w:p>
    <w:p>
      <w:r>
        <w:t>✓ Related Sections referenced</w:t>
      </w:r>
    </w:p>
    <w:p>
      <w:r>
        <w:t>[END OF SECTION 19 — RAW CONSTITUTIONAL CURRENCY WEIGHT]</w:t>
      </w:r>
    </w:p>
    <w:p>
      <w:r>
        <w:t>Section 20: Constitutional Normalization</w:t>
      </w:r>
    </w:p>
    <w:p>
      <w:r>
        <w:t>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p>
    <w:p>
      <w:r>
        <w:t>20.1 Canonical Formula</w:t>
      </w:r>
    </w:p>
    <w:p>
      <w:r>
        <w:t>Let:</w:t>
      </w:r>
    </w:p>
    <w:p>
      <w:r>
        <w:t>text</w:t>
      </w:r>
    </w:p>
    <w:p>
      <w:r>
        <w:t>T = Σ_j W_raw,j</w:t>
      </w:r>
    </w:p>
    <w:p>
      <w:r>
        <w:t>Then:</w:t>
      </w:r>
    </w:p>
    <w:p>
      <w:r>
        <w:t>text</w:t>
      </w:r>
    </w:p>
    <w:p>
      <w:r>
        <w:t>W_i = W_raw,i / T</w:t>
      </w:r>
    </w:p>
    <w:p>
      <w:r>
        <w:t>Result:</w:t>
      </w:r>
    </w:p>
    <w:p>
      <w:r>
        <w:t>text</w:t>
      </w:r>
    </w:p>
    <w:p>
      <w:r>
        <w:t>Σ_i W_i = 1.000000000000</w:t>
      </w:r>
    </w:p>
    <w:p>
      <w:r>
        <w:t>Within the Constitutional Numerical Tolerance defined in Part X.</w:t>
      </w:r>
    </w:p>
    <w:p>
      <w:r>
        <w:t>20.2 Constitutional Verification</w:t>
      </w:r>
    </w:p>
    <w:p>
      <w:r>
        <w:t>text</w:t>
      </w:r>
    </w:p>
    <w:p>
      <w:r>
        <w:t>Σ_i W_i = 1.000000000000</w:t>
      </w:r>
    </w:p>
    <w:p>
      <w:r>
        <w:t>Within the Constitutional Numerical Tolerance defined in Part X.</w:t>
      </w:r>
    </w:p>
    <w:p>
      <w:r>
        <w:t>Positivity Verification:</w:t>
      </w:r>
    </w:p>
    <w:p>
      <w:r>
        <w:t>text</w:t>
      </w:r>
    </w:p>
    <w:p>
      <w:r>
        <w:t>∀ i: W_i ≥ 0</w:t>
      </w:r>
    </w:p>
    <w:p>
      <w:r>
        <w:t>No normalized weight may become negative.</w:t>
      </w:r>
    </w:p>
    <w:p>
      <w:r>
        <w:t>20.3 Determinism</w:t>
      </w:r>
    </w:p>
    <w:p>
      <w:r>
        <w:t>Every validator SHALL produce identical normalized weights from identical Raw Constitutional Weights.</w:t>
      </w:r>
    </w:p>
    <w:p>
      <w:r>
        <w:t>20.4 Computational Complexity</w:t>
      </w:r>
    </w:p>
    <w:p>
      <w:r>
        <w:t>Where N = number of eligible currencies.</w:t>
      </w:r>
    </w:p>
    <w:p>
      <w:r>
        <w:t>20.5 Constitutional Note</w:t>
      </w:r>
    </w:p>
    <w:p>
      <w:r>
        <w:t>Proportional normalization:</w:t>
      </w:r>
    </w:p>
    <w:p>
      <w:r>
        <w:t>Preserves proportional relationships</w:t>
      </w:r>
    </w:p>
    <w:p>
      <w:r>
        <w:t>Preserves ranking</w:t>
      </w:r>
    </w:p>
    <w:p>
      <w:r>
        <w:t>Introduces no nonlinear distortion</w:t>
      </w:r>
    </w:p>
    <w:p>
      <w:r>
        <w:t>Is mathematically reversible before concentration controls</w:t>
      </w:r>
    </w:p>
    <w:p>
      <w:r>
        <w:t>Related Sections</w:t>
      </w:r>
    </w:p>
    <w:p>
      <w:r>
        <w:t>Section 19 — Raw Constitutional Currency Weight</w:t>
      </w:r>
    </w:p>
    <w:p>
      <w:r>
        <w:t>Section 21 — Constitutional Concentration Cap</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Verification established</w:t>
      </w:r>
    </w:p>
    <w:p>
      <w:r>
        <w:t>✓ Determinism established</w:t>
      </w:r>
    </w:p>
    <w:p>
      <w:r>
        <w:t>✓ Computational Complexity defined</w:t>
      </w:r>
    </w:p>
    <w:p>
      <w:r>
        <w:t>✓ Constitutional Note provided</w:t>
      </w:r>
    </w:p>
    <w:p>
      <w:r>
        <w:t>✓ Related Sections referenced</w:t>
      </w:r>
    </w:p>
    <w:p>
      <w:r>
        <w:t>[END OF SECTION 20 — CONSTITUTIONAL NORMALIZATION]</w:t>
      </w:r>
    </w:p>
    <w:p>
      <w:r>
        <w:t>Section 21: Constitutional Concentration Cap</w:t>
      </w:r>
    </w:p>
    <w:p>
      <w:r>
        <w:t>Constitutional Principle: The concentration cap protects against geopolitical concentration, reserve concentration, sovereign concentration, and monetary dominance. No single currency may dominate the constitutional basket.</w:t>
      </w:r>
    </w:p>
    <w:p>
      <w:r>
        <w:t>21.1 Canonical Formula</w:t>
      </w:r>
    </w:p>
    <w:p>
      <w:r>
        <w:t>text</w:t>
      </w:r>
    </w:p>
    <w:p>
      <w:r>
        <w:t>W_i = min(W_i, W_max)</w:t>
      </w:r>
    </w:p>
    <w:p>
      <w:r>
        <w:t>Where:</w:t>
      </w:r>
    </w:p>
    <w:p>
      <w:r>
        <w:t>text</w:t>
      </w:r>
    </w:p>
    <w:p>
      <w:r>
        <w:t>W_max = 0.60</w:t>
      </w:r>
    </w:p>
    <w:p>
      <w:r>
        <w:t>21.2 Excess Calculation</w:t>
      </w:r>
    </w:p>
    <w:p>
      <w:r>
        <w:t>text</w:t>
      </w:r>
    </w:p>
    <w:p>
      <w:r>
        <w:t>E = Σ (W_i − W_max)</w:t>
      </w:r>
    </w:p>
    <w:p>
      <w:r>
        <w:t>For all capped currencies where W_i &gt; W_max.</w:t>
      </w:r>
    </w:p>
    <w:p>
      <w:r>
        <w:t>21.3 Redistribution Formula</w:t>
      </w:r>
    </w:p>
    <w:p>
      <w:r>
        <w:t>Remaining Weight:</w:t>
      </w:r>
    </w:p>
    <w:p>
      <w:r>
        <w:t>text</w:t>
      </w:r>
    </w:p>
    <w:p>
      <w:r>
        <w:t>R = Σ W_j</w:t>
      </w:r>
    </w:p>
    <w:p>
      <w:r>
        <w:t>For all uncapped currencies.</w:t>
      </w:r>
    </w:p>
    <w:p>
      <w:r>
        <w:t>Redistribution:</w:t>
      </w:r>
    </w:p>
    <w:p>
      <w:r>
        <w:t>text</w:t>
      </w:r>
    </w:p>
    <w:p>
      <w:r>
        <w:t>Δ_j = E × W_j / R</w:t>
      </w:r>
    </w:p>
    <w:p>
      <w:r>
        <w:t>21.4 Algorithm</w:t>
      </w:r>
    </w:p>
    <w:p>
      <w:r>
        <w:t>text</w:t>
      </w:r>
    </w:p>
    <w:p>
      <w:r>
        <w:t>│</w:t>
      </w:r>
    </w:p>
    <w:p>
      <w:r>
        <w:t>▼</w:t>
      </w:r>
    </w:p>
    <w:p>
      <w:r>
        <w:t>Calculate weights</w:t>
      </w:r>
    </w:p>
    <w:p>
      <w:r>
        <w:t>│</w:t>
      </w:r>
    </w:p>
    <w:p>
      <w:r>
        <w:t>▼</w:t>
      </w:r>
    </w:p>
    <w:p>
      <w:r>
        <w:t>If any currency &gt; 0.60:</w:t>
      </w:r>
    </w:p>
    <w:p>
      <w:r>
        <w:t>│</w:t>
      </w:r>
    </w:p>
    <w:p>
      <w:r>
        <w:t>▼</w:t>
      </w:r>
    </w:p>
    <w:p>
      <w:r>
        <w:t>Cap at 0.60</w:t>
      </w:r>
    </w:p>
    <w:p>
      <w:r>
        <w:t>│</w:t>
      </w:r>
    </w:p>
    <w:p>
      <w:r>
        <w:t>▼</w:t>
      </w:r>
    </w:p>
    <w:p>
      <w:r>
        <w:t>Calculate Excess (E)</w:t>
      </w:r>
    </w:p>
    <w:p>
      <w:r>
        <w:t>│</w:t>
      </w:r>
    </w:p>
    <w:p>
      <w:r>
        <w:t>▼</w:t>
      </w:r>
    </w:p>
    <w:p>
      <w:r>
        <w:t>Redistribute proportionally to uncapped currencies</w:t>
      </w:r>
    </w:p>
    <w:p>
      <w:r>
        <w:t>│</w:t>
      </w:r>
    </w:p>
    <w:p>
      <w:r>
        <w:t>▼</w:t>
      </w:r>
    </w:p>
    <w:p>
      <w:r>
        <w:t>Repeat until no currency exceeds 0.60</w:t>
      </w:r>
    </w:p>
    <w:p>
      <w:r>
        <w:t>21.5 Determinism</w:t>
      </w:r>
    </w:p>
    <w:p>
      <w:r>
        <w:t>Redistribution SHALL occur:</w:t>
      </w:r>
    </w:p>
    <w:p>
      <w:r>
        <w:t>Deterministically</w:t>
      </w:r>
    </w:p>
    <w:p>
      <w:r>
        <w:t>Proportionally</w:t>
      </w:r>
    </w:p>
    <w:p>
      <w:r>
        <w:t>Without randomness</w:t>
      </w:r>
    </w:p>
    <w:p>
      <w:r>
        <w:t>In deterministic currency ordering</w:t>
      </w:r>
    </w:p>
    <w:p>
      <w:r>
        <w:t>21.6 Verification</w:t>
      </w:r>
    </w:p>
    <w:p>
      <w:r>
        <w:t>After every redistribution:</w:t>
      </w:r>
    </w:p>
    <w:p>
      <w:r>
        <w:t>text</w:t>
      </w:r>
    </w:p>
    <w:p>
      <w:r>
        <w:t>Σ W_i = 1</w:t>
      </w:r>
    </w:p>
    <w:p>
      <w:r>
        <w:t>And:</w:t>
      </w:r>
    </w:p>
    <w:p>
      <w:r>
        <w:t>text</w:t>
      </w:r>
    </w:p>
    <w:p>
      <w:r>
        <w:t>∀ i: W_i ≤ W_max</w:t>
      </w:r>
    </w:p>
    <w:p>
      <w:r>
        <w:t>21.7 Termination Guarantee</w:t>
      </w:r>
    </w:p>
    <w:p>
      <w:r>
        <w:t>The redistribution algorithm SHALL terminate because at least one uncapped currency receives redistributed weight during each iteration while the capped set never decreases.</w:t>
      </w:r>
    </w:p>
    <w:p>
      <w:r>
        <w:t>21.8 Computational Complexity</w:t>
      </w:r>
    </w:p>
    <w:p>
      <w:r>
        <w:t>21.9 Constitutional Rationale</w:t>
      </w:r>
    </w:p>
    <w:p>
      <w:r>
        <w:t>The 60% cap:</w:t>
      </w:r>
    </w:p>
    <w:p>
      <w:r>
        <w:t>Prevents single-currency dominance (even USD)</w:t>
      </w:r>
    </w:p>
    <w:p>
      <w:r>
        <w:t>Ensures true diversification</w:t>
      </w:r>
    </w:p>
    <w:p>
      <w:r>
        <w:t>Protects against single-point geopolitical failure</w:t>
      </w:r>
    </w:p>
    <w:p>
      <w:r>
        <w:t>Matches institutional diversification mandates</w:t>
      </w:r>
    </w:p>
    <w:p>
      <w:r>
        <w:t>Related Sections</w:t>
      </w:r>
    </w:p>
    <w:p>
      <w:r>
        <w:t>Section 20 — Constitutional Normalization</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Excess Calculation defined</w:t>
      </w:r>
    </w:p>
    <w:p>
      <w:r>
        <w:t>✓ Redistribution Formula defined</w:t>
      </w:r>
    </w:p>
    <w:p>
      <w:r>
        <w:t>✓ Algorithm defined</w:t>
      </w:r>
    </w:p>
    <w:p>
      <w:r>
        <w:t>✓ Determinism established</w:t>
      </w:r>
    </w:p>
    <w:p>
      <w:r>
        <w:t>✓ Verification established</w:t>
      </w:r>
    </w:p>
    <w:p>
      <w:r>
        <w:t>✓ Termination Guarantee established</w:t>
      </w:r>
    </w:p>
    <w:p>
      <w:r>
        <w:t>✓ Computational Complexity defined</w:t>
      </w:r>
    </w:p>
    <w:p>
      <w:r>
        <w:t>✓ Constitutional Rationale provided</w:t>
      </w:r>
    </w:p>
    <w:p>
      <w:r>
        <w:t>✓ Related Sections referenced</w:t>
      </w:r>
    </w:p>
    <w:p>
      <w:r>
        <w:t>[END OF SECTION 21 — CONSTITUTIONAL CONCENTRATION CAP]</w:t>
      </w:r>
    </w:p>
    <w:p>
      <w:r>
        <w:t>Section 22: Constitutional Minimum Floor</w:t>
      </w:r>
    </w:p>
    <w:p>
      <w:r>
        <w:t>Constitutional Principle: The minimum floor prevents fragmentation into micro-currencies, reduces tracking error and operational costs, and ensures only significant currencies remain in the constitutional basket.</w:t>
      </w:r>
    </w:p>
    <w:p>
      <w:r>
        <w:t>22.1 Canonical Formula</w:t>
      </w:r>
    </w:p>
    <w:p>
      <w:r>
        <w:t>text</w:t>
      </w:r>
    </w:p>
    <w:p>
      <w:r>
        <w:t>W_i ≥ W_min</w:t>
      </w:r>
    </w:p>
    <w:p>
      <w:r>
        <w:t>Where:</w:t>
      </w:r>
    </w:p>
    <w:p>
      <w:r>
        <w:t>text</w:t>
      </w:r>
    </w:p>
    <w:p>
      <w:r>
        <w:t>W_min = 0.005</w:t>
      </w:r>
    </w:p>
    <w:p>
      <w:r>
        <w:t>22.2 Constitutional Observation</w:t>
      </w:r>
    </w:p>
    <w:p>
      <w:r>
        <w:t>A currency below W_min is not immediately removed.</w:t>
      </w:r>
    </w:p>
    <w:p>
      <w:r>
        <w:t>It enters:</w:t>
      </w:r>
    </w:p>
    <w:p>
      <w:r>
        <w:t>Constitutional Observation (Quarter 1)</w:t>
      </w:r>
    </w:p>
    <w:p>
      <w:r>
        <w:t>Observation (Quarter 2)</w:t>
      </w:r>
    </w:p>
    <w:p>
      <w:r>
        <w:t>Probation (Quarter 3)</w:t>
      </w:r>
    </w:p>
    <w:p>
      <w:r>
        <w:t>Removal (Quarter 4)</w:t>
      </w:r>
    </w:p>
    <w:p>
      <w:r>
        <w:t>This aligns with the Currency Eligibility Lifecycle (Section 12).</w:t>
      </w:r>
    </w:p>
    <w:p>
      <w:r>
        <w:t>22.3 Removal</w:t>
      </w:r>
    </w:p>
    <w:p>
      <w:r>
        <w:t>text</w:t>
      </w:r>
    </w:p>
    <w:p>
      <w:r>
        <w:t>Below threshold for 4 consecutive quarters</w:t>
      </w:r>
    </w:p>
    <w:p>
      <w:r>
        <w:t>│</w:t>
      </w:r>
    </w:p>
    <w:p>
      <w:r>
        <w:t>▼</w:t>
      </w:r>
    </w:p>
    <w:p>
      <w:r>
        <w:t>Automatic removal</w:t>
      </w:r>
    </w:p>
    <w:p>
      <w:r>
        <w:t>│</w:t>
      </w:r>
    </w:p>
    <w:p>
      <w:r>
        <w:t>▼</w:t>
      </w:r>
    </w:p>
    <w:p>
      <w:r>
        <w:t>Renormalization</w:t>
      </w:r>
    </w:p>
    <w:p>
      <w:r>
        <w:t>22.4 Renormalization</w:t>
      </w:r>
    </w:p>
    <w:p>
      <w:r>
        <w:t>Removal SHALL be followed immediately by proportional normalization using Section 20.</w:t>
      </w:r>
    </w:p>
    <w:p>
      <w:r>
        <w:t>22.5 Verification</w:t>
      </w:r>
    </w:p>
    <w:p>
      <w:r>
        <w:t>After removal:</w:t>
      </w:r>
    </w:p>
    <w:p>
      <w:r>
        <w:t>text</w:t>
      </w:r>
    </w:p>
    <w:p>
      <w:r>
        <w:t>Σ W_i = 1</w:t>
      </w:r>
    </w:p>
    <w:p>
      <w:r>
        <w:t>All remaining currencies satisfy:</w:t>
      </w:r>
    </w:p>
    <w:p>
      <w:r>
        <w:t>text</w:t>
      </w:r>
    </w:p>
    <w:p>
      <w:r>
        <w:t>W_i ≥ W_min</w:t>
      </w:r>
    </w:p>
    <w:p>
      <w:r>
        <w:t>22.6 Reinstatement</w:t>
      </w:r>
    </w:p>
    <w:p>
      <w:r>
        <w:t>A removed currency SHALL only re-enter through the Constitutional Admission Process (Section 12).</w:t>
      </w:r>
    </w:p>
    <w:p>
      <w:r>
        <w:t>Direct reinsertion is prohibited.</w:t>
      </w:r>
    </w:p>
    <w:p>
      <w:r>
        <w:t>22.7 Computational Complexity</w:t>
      </w:r>
    </w:p>
    <w:p>
      <w:r>
        <w:t>22.8 Constitutional Rationale</w:t>
      </w:r>
    </w:p>
    <w:p>
      <w:r>
        <w:t>The 0.5% floor:</w:t>
      </w:r>
    </w:p>
    <w:p>
      <w:r>
        <w:t>Prevents fragmentation into micro-currencies</w:t>
      </w:r>
    </w:p>
    <w:p>
      <w:r>
        <w:t>Reduces tracking error and operational costs</w:t>
      </w:r>
    </w:p>
    <w:p>
      <w:r>
        <w:t>Ensures only significant currencies remain</w:t>
      </w:r>
    </w:p>
    <w:p>
      <w:r>
        <w:t>4-quarter removal prevents churn</w:t>
      </w:r>
    </w:p>
    <w:p>
      <w:r>
        <w:t>Related Sections</w:t>
      </w:r>
    </w:p>
    <w:p>
      <w:r>
        <w:t>Section 12 — Currency Eligibility — Constitutional Admission Framework</w:t>
      </w:r>
    </w:p>
    <w:p>
      <w:r>
        <w:t>Section 20 — Constitutional Normalization</w:t>
      </w:r>
    </w:p>
    <w:p>
      <w:r>
        <w:t>Section 21 — Constitutional Concentration Cap</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Observation defined</w:t>
      </w:r>
    </w:p>
    <w:p>
      <w:r>
        <w:t>✓ Removal defined</w:t>
      </w:r>
    </w:p>
    <w:p>
      <w:r>
        <w:t>✓ Renormalization defined</w:t>
      </w:r>
    </w:p>
    <w:p>
      <w:r>
        <w:t>✓ Verification established</w:t>
      </w:r>
    </w:p>
    <w:p>
      <w:r>
        <w:t>✓ Reinstatement defined</w:t>
      </w:r>
    </w:p>
    <w:p>
      <w:r>
        <w:t>✓ Computational Complexity defined</w:t>
      </w:r>
    </w:p>
    <w:p>
      <w:r>
        <w:t>✓ Constitutional Rationale provided</w:t>
      </w:r>
    </w:p>
    <w:p>
      <w:r>
        <w:t>✓ Related Sections referenced</w:t>
      </w:r>
    </w:p>
    <w:p>
      <w:r>
        <w:t>[END OF SECTION 22 — CONSTITUTIONAL MINIMUM FLOOR]</w:t>
      </w:r>
    </w:p>
    <w:p>
      <w:r>
        <w:t>Section 22A: Final Constitutional Basket Verification</w:t>
      </w:r>
    </w:p>
    <w:p>
      <w:r>
        <w:t>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p>
    <w:p>
      <w:r>
        <w:t>22A.1 Verification Checklist</w:t>
      </w:r>
    </w:p>
    <w:p>
      <w:r>
        <w:t>The Constitutional Monetary Engine SHALL verify:</w:t>
      </w:r>
    </w:p>
    <w:p>
      <w:r>
        <w:t>✓ Σ W_i = 1.000000000000 within Constitutional Numerical Tolerance</w:t>
      </w:r>
    </w:p>
    <w:p>
      <w:r>
        <w:t>✓ W_i ≥ W_min for all currencies</w:t>
      </w:r>
    </w:p>
    <w:p>
      <w:r>
        <w:t>✓ W_i ≤ W_max for all currencies</w:t>
      </w:r>
    </w:p>
    <w:p>
      <w:r>
        <w:t>✓ Every currency satisfies the Eligibility Rules (Section 12)</w:t>
      </w:r>
    </w:p>
    <w:p>
      <w:r>
        <w:t>✓ No suspended currency is included</w:t>
      </w:r>
    </w:p>
    <w:p>
      <w:r>
        <w:t>✓ All oracle data satisfy freshness requirements</w:t>
      </w:r>
    </w:p>
    <w:p>
      <w:r>
        <w:t>✓ All calculations are deterministic</w:t>
      </w:r>
    </w:p>
    <w:p>
      <w:r>
        <w:t>✓ All constitutional numerical tolerances are satisfied</w:t>
      </w:r>
    </w:p>
    <w:p>
      <w:r>
        <w:t>22A.2 Verification Failure</w:t>
      </w:r>
    </w:p>
    <w:p>
      <w:r>
        <w:t>If any verification fails:</w:t>
      </w:r>
    </w:p>
    <w:p>
      <w:r>
        <w:t>The entire basket calculation SHALL be rejected</w:t>
      </w:r>
    </w:p>
    <w:p>
      <w:r>
        <w:t>No settlement shall occur</w:t>
      </w:r>
    </w:p>
    <w:p>
      <w:r>
        <w:t>No minting shall occur</w:t>
      </w:r>
    </w:p>
    <w:p>
      <w:r>
        <w:t>No redemption shall occur</w:t>
      </w:r>
    </w:p>
    <w:p>
      <w:r>
        <w:t>Until the constitutional verification succeeds.</w:t>
      </w:r>
    </w:p>
    <w:p>
      <w:r>
        <w:t>22A.3 Constitutional Gate</w:t>
      </w:r>
    </w:p>
    <w:p>
      <w:r>
        <w:t>The Final Constitutional Basket Verification is the formal "constitutional gate" before the basket is accepted.</w:t>
      </w:r>
    </w:p>
    <w:p>
      <w:r>
        <w:t>It ensures that every constitutional requirement is satisfied before the basket is used for any operational purpose.</w:t>
      </w:r>
    </w:p>
    <w:p>
      <w:r>
        <w:t>22A.4 Verification Responsibility</w:t>
      </w:r>
    </w:p>
    <w:p>
      <w:r>
        <w:t>The independent validators SHALL perform Final Constitutional Basket Verification before any settlement is finalized.</w:t>
      </w:r>
    </w:p>
    <w:p>
      <w:r>
        <w:t>22A.5 Audit Requirement</w:t>
      </w:r>
    </w:p>
    <w:p>
      <w:r>
        <w:t>Every Final Constitutional Basket Verification SHALL be:</w:t>
      </w:r>
    </w:p>
    <w:p>
      <w:r>
        <w:t>Recorded</w:t>
      </w:r>
    </w:p>
    <w:p>
      <w:r>
        <w:t>Timestamped</w:t>
      </w:r>
    </w:p>
    <w:p>
      <w:r>
        <w:t>Published</w:t>
      </w:r>
    </w:p>
    <w:p>
      <w:r>
        <w:t>Retained in the immutable audit trail</w:t>
      </w:r>
    </w:p>
    <w:p>
      <w:r>
        <w:t>22A.6 Related Sections</w:t>
      </w:r>
    </w:p>
    <w:p>
      <w:r>
        <w:t>Section 12 — Currency Eligibility — Constitutional Admission Framework</w:t>
      </w:r>
    </w:p>
    <w:p>
      <w:r>
        <w:t>Section 20 — Constitutional Normalization</w:t>
      </w:r>
    </w:p>
    <w:p>
      <w:r>
        <w:t>Section 21 — Constitutional Concentration Cap</w:t>
      </w:r>
    </w:p>
    <w:p>
      <w:r>
        <w:t>Section 22 — Constitutional Minimum Floor</w:t>
      </w:r>
    </w:p>
    <w:p>
      <w:r>
        <w:t>Section 42 — Daily Proof of Reserves</w:t>
      </w:r>
    </w:p>
    <w:p>
      <w:r>
        <w:t>Section 43 — Formal Verification</w:t>
      </w:r>
    </w:p>
    <w:p>
      <w:r>
        <w:t>Section 47 — Constitutional Change Control</w:t>
      </w:r>
    </w:p>
    <w:p>
      <w:r>
        <w:t>Constitutional Verification</w:t>
      </w:r>
    </w:p>
    <w:p>
      <w:r>
        <w:t>text</w:t>
      </w:r>
    </w:p>
    <w:p>
      <w:r>
        <w:t>✓ Constitutional Purpose established</w:t>
      </w:r>
    </w:p>
    <w:p>
      <w:r>
        <w:t>✓ Verification Checklist defined</w:t>
      </w:r>
    </w:p>
    <w:p>
      <w:r>
        <w:t>✓ Verification Failure defined</w:t>
      </w:r>
    </w:p>
    <w:p>
      <w:r>
        <w:t>✓ Constitutional Gate established</w:t>
      </w:r>
    </w:p>
    <w:p>
      <w:r>
        <w:t>✓ Verification Responsibility established</w:t>
      </w:r>
    </w:p>
    <w:p>
      <w:r>
        <w:t>✓ Audit Requirement established</w:t>
      </w:r>
    </w:p>
    <w:p>
      <w:r>
        <w:t>✓ Related Sections referenced</w:t>
      </w:r>
    </w:p>
    <w:p>
      <w:r>
        <w:t>[END OF SECTION 22A — FINAL CONSTITUTIONAL BASKET VERIFICATION]</w:t>
      </w:r>
    </w:p>
    <w:p>
      <w:r>
        <w:t>[END OF PART II — CURRENCY ENGINE]</w:t>
      </w:r>
    </w:p>
    <w:p>
      <w:r>
        <w:t>PART III — ILLUSTRATIVE CONSTITUTIONAL CURRENCY WEIGHTING EXAMPLE (Non-Normative)</w:t>
      </w:r>
    </w:p>
    <w:p>
      <w:r>
        <w:t>Constitutional Example Notice: The following worked example is provided solely to illustrate the operation of the Constitutional Currency Engine.</w:t>
      </w:r>
    </w:p>
    <w:p>
      <w:r>
        <w:t>The numerical values, exchange rates, reserve shares, liquidity metrics, and allocations are hypothetical examples for explanatory purposes only.</w:t>
      </w:r>
    </w:p>
    <w:p>
      <w:r>
        <w:t>Production calculations SHALL always use the latest verified Constitutional Oracle data, and therefore live outputs will vary over time while the constitutional algorithm remains unchanged.</w:t>
      </w:r>
    </w:p>
    <w:p>
      <w:r>
        <w:t>All published calculations are displayed to four decimal places. Internal engine calculations SHALL use Decimal128 (or equivalent fixed-decimal precision) and SHALL preserve full computational precision until the final reporting stage.</w:t>
      </w:r>
    </w:p>
    <w:p>
      <w:r>
        <w:t>Step 1: Structural Weight Calculation</w:t>
      </w:r>
    </w:p>
    <w:p>
      <w:r>
        <w:t>text</w:t>
      </w:r>
    </w:p>
    <w:p>
      <w:r>
        <w:t>C_i = 0.50 × COFER_i + 0.40 × SWIFT_i + 0.10 × BIS_i</w:t>
      </w:r>
    </w:p>
    <w:p>
      <w:r>
        <w:t>Data Sources</w:t>
      </w:r>
    </w:p>
    <w:p>
      <w:r>
        <w:t>Illustrative Structural Weights</w:t>
      </w:r>
    </w:p>
    <w:p>
      <w:r>
        <w:t>Verification:</w:t>
      </w:r>
    </w:p>
    <w:p>
      <w:r>
        <w:t>text</w:t>
      </w:r>
    </w:p>
    <w:p>
      <w:r>
        <w:t>Σ C_i = 1.0000</w:t>
      </w:r>
    </w:p>
    <w:p>
      <w:r>
        <w:t>All eight currencies satisfy the Constitutional Eligibility Criteria described in Section 12. The Structural Weight reflects relative institutional importance and does not affect eligibility.</w:t>
      </w:r>
    </w:p>
    <w:p>
      <w:r>
        <w:t>Precision Policy:</w:t>
      </w:r>
    </w:p>
    <w:p>
      <w:r>
        <w:t>Structural weights → 4 decimal places</w:t>
      </w:r>
    </w:p>
    <w:p>
      <w:r>
        <w:t>Intermediate calculations → 6 decimal places</w:t>
      </w:r>
    </w:p>
    <w:p>
      <w:r>
        <w:t>Published weights → 4 decimal places</w:t>
      </w:r>
    </w:p>
    <w:p>
      <w:r>
        <w:t>Step 2: Momentum Calculation</w:t>
      </w:r>
    </w:p>
    <w:p>
      <w:r>
        <w:t>Formula</w:t>
      </w:r>
    </w:p>
    <w:p>
      <w:r>
        <w:t>text</w:t>
      </w:r>
    </w:p>
    <w:p>
      <w:r>
        <w:t>M_i = P_i(t-12m) / P_i(t)</w:t>
      </w:r>
    </w:p>
    <w:p>
      <w:r>
        <w:t>Assumptions</w:t>
      </w:r>
    </w:p>
    <w:p>
      <w:r>
        <w:t>text</w:t>
      </w:r>
    </w:p>
    <w:p>
      <w:r>
        <w:t>Gold (USD) = $1,850/oz (illustrative only)</w:t>
      </w:r>
    </w:p>
    <w:p>
      <w:r>
        <w:t>Illustrative Momentum Factors</w:t>
      </w:r>
    </w:p>
    <w:p>
      <w:r>
        <w:t>Verification:</w:t>
      </w:r>
    </w:p>
    <w:p>
      <w:r>
        <w:t>text</w:t>
      </w:r>
    </w:p>
    <w:p>
      <w:r>
        <w:t>0.95 ≤ M_i ≤ 1.05</w:t>
      </w:r>
    </w:p>
    <w:p>
      <w:r>
        <w:t>All values satisfy the constitutional bounds.</w:t>
      </w:r>
    </w:p>
    <w:p>
      <w:r>
        <w:t>Step 3: Mean Reversion Calculation</w:t>
      </w:r>
    </w:p>
    <w:p>
      <w:r>
        <w:t>Formula</w:t>
      </w:r>
    </w:p>
    <w:p>
      <w:r>
        <w:t>text</w:t>
      </w:r>
    </w:p>
    <w:p>
      <w:r>
        <w:t>R_i = 1 + 0.05 × (LTA_i − C_i)</w:t>
      </w:r>
    </w:p>
    <w:p>
      <w:r>
        <w:t>Where:</w:t>
      </w:r>
    </w:p>
    <w:p>
      <w:r>
        <w:t>LTA_i = 20-quarter Long-Term Structural Average for currency i</w:t>
      </w:r>
    </w:p>
    <w:p>
      <w:r>
        <w:t>Illustrative Mean Reversion Factors</w:t>
      </w:r>
    </w:p>
    <w:p>
      <w:r>
        <w:t>Verification:</w:t>
      </w:r>
    </w:p>
    <w:p>
      <w:r>
        <w:t>text</w:t>
      </w:r>
    </w:p>
    <w:p>
      <w:r>
        <w:t>0.98 ≤ R_i ≤ 1.02</w:t>
      </w:r>
    </w:p>
    <w:p>
      <w:r>
        <w:t>All values satisfy the constitutional bounds.</w:t>
      </w:r>
    </w:p>
    <w:p>
      <w:r>
        <w:t>Step 4: Combined Factors</w:t>
      </w:r>
    </w:p>
    <w:p>
      <w:r>
        <w:t>The Structural Weight, Momentum Factor, and Mean Reversion Factor are subsequently combined with the Constitutional Shock Absorber (Section 17) and Liquidity Overlay (Section 18) before normalization and concentration controls are applied.</w:t>
      </w:r>
    </w:p>
    <w:p>
      <w:r>
        <w:t>Illustrative Combined Results</w:t>
      </w:r>
    </w:p>
    <w:p>
      <w:r>
        <w:t>Step 5: Shock Absorber (Volatility Attenuation)</w:t>
      </w:r>
    </w:p>
    <w:p>
      <w:r>
        <w:t>Illustrative Example</w:t>
      </w:r>
    </w:p>
    <w:p>
      <w:r>
        <w:t>Assume:</w:t>
      </w:r>
    </w:p>
    <w:p>
      <w:r>
        <w:t>text</w:t>
      </w:r>
    </w:p>
    <w:p>
      <w:r>
        <w:t>σ_EWMA = 1.6%</w:t>
      </w:r>
    </w:p>
    <w:p>
      <w:r>
        <w:t>Since:</w:t>
      </w:r>
    </w:p>
    <w:p>
      <w:r>
        <w:t>text</w:t>
      </w:r>
    </w:p>
    <w:p>
      <w:r>
        <w:t>σ_EWMA ≤ V_normal (2%)</w:t>
      </w:r>
    </w:p>
    <w:p>
      <w:r>
        <w:t>Therefore:</w:t>
      </w:r>
    </w:p>
    <w:p>
      <w:r>
        <w:t>text</w:t>
      </w:r>
    </w:p>
    <w:p>
      <w:r>
        <w:t>A_t = 1.00</w:t>
      </w:r>
    </w:p>
    <w:p>
      <w:r>
        <w:t>No damping is applied.</w:t>
      </w:r>
    </w:p>
    <w:p>
      <w:r>
        <w:t>Formula</w:t>
      </w:r>
    </w:p>
    <w:p>
      <w:r>
        <w:t>text</w:t>
      </w:r>
    </w:p>
    <w:p>
      <w:r>
        <w:t>K_i = 1 + A_t × (M_i × R_i - 1) = M_i × R_i</w:t>
      </w:r>
    </w:p>
    <w:p>
      <w:r>
        <w:t>Step 6: Liquidity Overlay (90-day EWMA, Median Normalization)</w:t>
      </w:r>
    </w:p>
    <w:p>
      <w:r>
        <w:t>Illustrative Liquidity Inputs:</w:t>
      </w:r>
    </w:p>
    <w:p>
      <w:r>
        <w:t>Median = 0.10</w:t>
      </w:r>
    </w:p>
    <w:p>
      <w:r>
        <w:t>MAD = 0.05</w:t>
      </w:r>
    </w:p>
    <w:p>
      <w:r>
        <w:t>Formula:</w:t>
      </w:r>
    </w:p>
    <w:p>
      <w:r>
        <w:t>text</w:t>
      </w:r>
    </w:p>
    <w:p>
      <w:r>
        <w:t>L_i = 1 + η_liq × ((RelativeLiquidity - Median) / MAD)</w:t>
      </w:r>
    </w:p>
    <w:p>
      <w:r>
        <w:t>Where:</w:t>
      </w:r>
    </w:p>
    <w:p>
      <w:r>
        <w:t>text</w:t>
      </w:r>
    </w:p>
    <w:p>
      <w:r>
        <w:t>η_liq = 0.02</w:t>
      </w:r>
    </w:p>
    <w:p>
      <w:r>
        <w:t>Each factor is then:</w:t>
      </w:r>
    </w:p>
    <w:p>
      <w:r>
        <w:t>Clamped to ±5%</w:t>
      </w:r>
    </w:p>
    <w:p>
      <w:r>
        <w:t>Proportionally normalized to satisfy Σ L_i = N</w:t>
      </w:r>
    </w:p>
    <w:p>
      <w:r>
        <w:t>Normalized Liquidity Factors</w:t>
      </w:r>
    </w:p>
    <w:p>
      <w:r>
        <w:t>Step 7: Constitutional Raw Weight</w:t>
      </w:r>
    </w:p>
    <w:p>
      <w:r>
        <w:t>text</w:t>
      </w:r>
    </w:p>
    <w:p>
      <w:r>
        <w:t>W_raw_i = C_i × K_i × L_i</w:t>
      </w:r>
    </w:p>
    <w:p>
      <w:r>
        <w:t>Step 8: Normalization (Proportional)</w:t>
      </w:r>
    </w:p>
    <w:p>
      <w:r>
        <w:t>text</w:t>
      </w:r>
    </w:p>
    <w:p>
      <w:r>
        <w:t>W_i = W_raw_i / Σ W_raw_j</w:t>
      </w:r>
    </w:p>
    <w:p>
      <w:r>
        <w:t>Sum of Raw Weights: 0.5005 + 0.2162 + 0.1020 + 0.1072 + 0.0833 + 0.0203 + 0.0134 + 0.0116 = 1.0545</w:t>
      </w:r>
    </w:p>
    <w:p>
      <w:r>
        <w:t>Verification:</w:t>
      </w:r>
    </w:p>
    <w:p>
      <w:r>
        <w:t>text</w:t>
      </w:r>
    </w:p>
    <w:p>
      <w:r>
        <w:t>Σ W_i = 1.000000</w:t>
      </w:r>
    </w:p>
    <w:p>
      <w:r>
        <w:t>Within numerical precision.</w:t>
      </w:r>
    </w:p>
    <w:p>
      <w:r>
        <w:t>Step 9: Concentration Cap Check (60%)</w:t>
      </w:r>
    </w:p>
    <w:p>
      <w:r>
        <w:t>Maximum Weight: 47.46%</w:t>
      </w:r>
    </w:p>
    <w:p>
      <w:r>
        <w:t>Constitutional Cap: 60%</w:t>
      </w:r>
    </w:p>
    <w:p>
      <w:r>
        <w:t>Margin Remaining: 12.54%</w:t>
      </w:r>
    </w:p>
    <w:p>
      <w:r>
        <w:t>Result: No currency exceeds 60% cap. No redistribution needed.</w:t>
      </w:r>
    </w:p>
    <w:p>
      <w:r>
        <w:t>Step 10: Minimum Floor Check (0.5%)</w:t>
      </w:r>
    </w:p>
    <w:p>
      <w:r>
        <w:t>Result: All eligible currencies exceed the Constitutional Minimum Weight (0.5%).</w:t>
      </w:r>
    </w:p>
    <w:p>
      <w:r>
        <w:t>No currency enters the four-quarter observation period for removal.</w:t>
      </w:r>
    </w:p>
    <w:p>
      <w:r>
        <w:t>Step 11: Fiat Allocation (75% of Total Reserves)</w:t>
      </w:r>
    </w:p>
    <w:p>
      <w:r>
        <w:t>Illustrative Reserve Example</w:t>
      </w:r>
    </w:p>
    <w:p>
      <w:r>
        <w:t>Assume Total Constitutional Reserves:</w:t>
      </w:r>
    </w:p>
    <w:p>
      <w:r>
        <w:t>text</w:t>
      </w:r>
    </w:p>
    <w:p>
      <w:r>
        <w:t>R = $1,000,000,000</w:t>
      </w:r>
    </w:p>
    <w:p>
      <w:r>
        <w:t>Fiat Allocation:</w:t>
      </w:r>
    </w:p>
    <w:p>
      <w:r>
        <w:t>text</w:t>
      </w:r>
    </w:p>
    <w:p>
      <w:r>
        <w:t>75% = $750,000,000</w:t>
      </w:r>
    </w:p>
    <w:p>
      <w:r>
        <w:t>Step 12: Bullion Allocation (20% of Total Reserves)</w:t>
      </w:r>
    </w:p>
    <w:p>
      <w:r>
        <w:t>Total Bullion Reserves: $200,000,000</w:t>
      </w:r>
    </w:p>
    <w:p>
      <w:r>
        <w:t>Illustrative Policy Target:</w:t>
      </w:r>
    </w:p>
    <w:p>
      <w:r>
        <w:t>Constitutional Note: Actual allocations remain dynamic within Constitutional limits:</w:t>
      </w:r>
    </w:p>
    <w:p>
      <w:r>
        <w:t>Gold: 60–95%</w:t>
      </w:r>
    </w:p>
    <w:p>
      <w:r>
        <w:t>Silver: 5–40%</w:t>
      </w:r>
    </w:p>
    <w:p>
      <w:r>
        <w:t>Step 13: Stablecoin Allocation (5% of Total Reserves)</w:t>
      </w:r>
    </w:p>
    <w:p>
      <w:r>
        <w:t>Total Stablecoin Reserves: $50,000,000</w:t>
      </w:r>
    </w:p>
    <w:p>
      <w:r>
        <w:t>Illustrative Operational Allocation:</w:t>
      </w:r>
    </w:p>
    <w:p>
      <w:r>
        <w:t>Constitutional Note: Subject to continuous eligibility testing and issuer concentration limits.</w:t>
      </w:r>
    </w:p>
    <w:p>
      <w:r>
        <w:t>Step 14: Illustrative Constitutional Reserve Composition</w:t>
      </w:r>
    </w:p>
    <w:p>
      <w:r>
        <w:t>Summary Table</w:t>
      </w:r>
    </w:p>
    <w:p>
      <w:r>
        <w:t>Constitutional Verification</w:t>
      </w:r>
    </w:p>
    <w:p>
      <w:r>
        <w:t>text</w:t>
      </w:r>
    </w:p>
    <w:p>
      <w:r>
        <w:t>✓ Structural Weights = 100%</w:t>
      </w:r>
    </w:p>
    <w:p>
      <w:r>
        <w:t>✓ Final Currency Weights = 100%</w:t>
      </w:r>
    </w:p>
    <w:p>
      <w:r>
        <w:t>✓ Fiat Layer = 75%</w:t>
      </w:r>
    </w:p>
    <w:p>
      <w:r>
        <w:t>✓ Bullion Layer = 20%</w:t>
      </w:r>
    </w:p>
    <w:p>
      <w:r>
        <w:t>✓ Stablecoin Layer = 5%</w:t>
      </w:r>
    </w:p>
    <w:p>
      <w:r>
        <w:t>✓ Total Reserves = 100%</w:t>
      </w:r>
    </w:p>
    <w:p>
      <w:r>
        <w:t>✓ Maximum Currency Weight &lt; 60%</w:t>
      </w:r>
    </w:p>
    <w:p>
      <w:r>
        <w:t>✓ Minimum Currency Weight &gt; 0.5%</w:t>
      </w:r>
    </w:p>
    <w:p>
      <w:r>
        <w:t>✓ Gold remains Constitutional Anchor</w:t>
      </w:r>
    </w:p>
    <w:p>
      <w:r>
        <w:t>✓ Numeraire Independence Preserved</w:t>
      </w:r>
    </w:p>
    <w:p>
      <w:r>
        <w:t>✓ Deterministic Calculation Verified</w:t>
      </w:r>
    </w:p>
    <w:p>
      <w:r>
        <w:t>Constitutional Oracle Verification</w:t>
      </w:r>
    </w:p>
    <w:p>
      <w:r>
        <w:t>All calculations in this example assume:</w:t>
      </w:r>
    </w:p>
    <w:p>
      <w:r>
        <w:t>FX data freshness ≤ 60 seconds</w:t>
      </w:r>
    </w:p>
    <w:p>
      <w:r>
        <w:t>Gold data freshness ≤ 60 seconds</w:t>
      </w:r>
    </w:p>
    <w:p>
      <w:r>
        <w:t>Liquidity data from latest completed observation window</w:t>
      </w:r>
    </w:p>
    <w:p>
      <w:r>
        <w:t>Structural data from latest approved IMF, SWIFT and BIS publications</w:t>
      </w:r>
    </w:p>
    <w:p>
      <w:r>
        <w:t>Otherwise:</w:t>
      </w:r>
    </w:p>
    <w:p>
      <w:r>
        <w:t>text</w:t>
      </w:r>
    </w:p>
    <w:p>
      <w:r>
        <w:t>Calculation SHALL NOT proceed.</w:t>
      </w:r>
    </w:p>
    <w:p>
      <w:r>
        <w:t>Constitutional Interpretation</w:t>
      </w:r>
    </w:p>
    <w:p>
      <w:r>
        <w:t>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p>
    <w:p>
      <w:r>
        <w:t>[END OF PART III — ILLUSTRATIVE CONSTITUTIONAL CURRENCY WEIGHTING EXAMPLE]</w:t>
      </w:r>
    </w:p>
    <w:p>
      <w:r>
        <w:t>PART IV — RESERVE ALLOCATION</w:t>
      </w:r>
    </w:p>
    <w:p>
      <w:r>
        <w:t>Section 23: Constitutional Reserve Allocation Framework</w:t>
      </w:r>
    </w:p>
    <w:p>
      <w:r>
        <w:t>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p>
    <w:p>
      <w:r>
        <w:t>23.1 Constitutional Reserve Allocation Framework</w:t>
      </w:r>
    </w:p>
    <w:p>
      <w:r>
        <w:t>23.2 Constitutional Clarification</w:t>
      </w:r>
    </w:p>
    <w:p>
      <w:r>
        <w:t>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p>
    <w:p>
      <w:r>
        <w:t>23.3 Constitutional Allocation Constraints</w:t>
      </w:r>
    </w:p>
    <w:p>
      <w:r>
        <w:t>text</w:t>
      </w:r>
    </w:p>
    <w:p>
      <w:r>
        <w:t>Fiat Layer:         70% ≤ Fiat ≤ 85%</w:t>
      </w:r>
    </w:p>
    <w:p>
      <w:r>
        <w:t>Bullion Layer:      15% ≤ Bullion ≤ 25%</w:t>
      </w:r>
    </w:p>
    <w:p>
      <w:r>
        <w:t>Operational Digital Liquidity Layer: 0% ≤ Digital Liquidity ≤ 5%</w:t>
      </w:r>
    </w:p>
    <w:p>
      <w:r>
        <w:t>Fiat + Bullion + Stablecoins = 100%</w:t>
      </w:r>
    </w:p>
    <w:p>
      <w:r>
        <w:t>23.4 Constitutional Allocation Hierarchy</w:t>
      </w:r>
    </w:p>
    <w:p>
      <w:r>
        <w:t>23.5 Constitutional Rationale</w:t>
      </w:r>
    </w:p>
    <w:p>
      <w:r>
        <w:t>The constitutional ranges provide controlled operational flexibility while preserving constitutional discipline.</w:t>
      </w:r>
    </w:p>
    <w:p>
      <w:r>
        <w:t>The ranges:</w:t>
      </w:r>
    </w:p>
    <w:p>
      <w:r>
        <w:t>Accommodate changing market conditions</w:t>
      </w:r>
    </w:p>
    <w:p>
      <w:r>
        <w:t>Reduce unnecessary constitutional amendments</w:t>
      </w:r>
    </w:p>
    <w:p>
      <w:r>
        <w:t>Preserve institutional resilience</w:t>
      </w:r>
    </w:p>
    <w:p>
      <w:r>
        <w:t>Support prudent reserve management</w:t>
      </w:r>
    </w:p>
    <w:p>
      <w:r>
        <w:t>Maintain predictable governance</w:t>
      </w:r>
    </w:p>
    <w:p>
      <w:r>
        <w:t>23.6 Constitutional Validation</w:t>
      </w:r>
    </w:p>
    <w:p>
      <w:r>
        <w:t>Every reserve allocation SHALL satisfy:</w:t>
      </w:r>
    </w:p>
    <w:p>
      <w:r>
        <w:t>text</w:t>
      </w:r>
    </w:p>
    <w:p>
      <w:r>
        <w:t>✓ 70% ≤ Fiat ≤ 85%</w:t>
      </w:r>
    </w:p>
    <w:p>
      <w:r>
        <w:t>✓ 15% ≤ Bullion ≤ 25%</w:t>
      </w:r>
    </w:p>
    <w:p>
      <w:r>
        <w:t>✓ 0% ≤ Digital Liquidity ≤ 5%</w:t>
      </w:r>
    </w:p>
    <w:p>
      <w:r>
        <w:t>✓ Total Allocation = 100%</w:t>
      </w:r>
    </w:p>
    <w:p>
      <w:r>
        <w:t>✓ Reserve Ratio ≥ RR_target</w:t>
      </w:r>
    </w:p>
    <w:p>
      <w:r>
        <w:t>✓ Liquidity Coverage Ratio ≥ LCR_target</w:t>
      </w:r>
    </w:p>
    <w:p>
      <w:r>
        <w:t>23.7 Bullion Allocation Link</w:t>
      </w:r>
    </w:p>
    <w:p>
      <w:r>
        <w:t>The Bullion Layer SHALL be allocated dynamically between gold and silver according to Section 24 while remaining within the constitutional bullion allocation range established in this Section.</w:t>
      </w:r>
    </w:p>
    <w:p>
      <w:r>
        <w:t>23.8 Stablecoin Eligibility Link</w:t>
      </w:r>
    </w:p>
    <w:p>
      <w:r>
        <w:t>Assets within the Operational Stablecoin Layer SHALL continuously satisfy the Constitutional Stablecoin Eligibility Framework. Assets failing eligibility SHALL be removed according to the constitutional replacement process.</w:t>
      </w:r>
    </w:p>
    <w:p>
      <w:r>
        <w:t>23.9 Allocation Drift</w:t>
      </w:r>
    </w:p>
    <w:p>
      <w:r>
        <w:t>Reserve allocations SHALL be reviewed continuously.</w:t>
      </w:r>
    </w:p>
    <w:p>
      <w:r>
        <w:t>If any reserve layer exceeds its constitutional range, the Constitutional Rebalancing Framework SHALL restore compliance within the approved operational window, unless emergency provisions are activated.</w:t>
      </w:r>
    </w:p>
    <w:p>
      <w:r>
        <w:t>23.10 Governance</w:t>
      </w:r>
    </w:p>
    <w:p>
      <w:r>
        <w:t>Strategic allocation ranges are constitutional.</w:t>
      </w:r>
    </w:p>
    <w:p>
      <w:r>
        <w:t>Operational allocations within those ranges are determined by the Reserve Management Policy.</w:t>
      </w:r>
    </w:p>
    <w:p>
      <w:r>
        <w:t>No operational decision may exceed constitutional limits without a Constitutional Amendment.</w:t>
      </w:r>
    </w:p>
    <w:p>
      <w:r>
        <w:t>23.11 Illustrative Note</w:t>
      </w:r>
    </w:p>
    <w:p>
      <w:r>
        <w:t>Numerical examples throughout this Constitution use the Constitutional Policy Targets (76.5% Fiat, 20% Bullion, 3.5% Digital Liquidity) solely for illustration. Live reserve allocations SHALL be determined by the Constitutional Reserve Allocation Framework and verified institutional data.</w:t>
      </w:r>
    </w:p>
    <w:p>
      <w:r>
        <w:t>23.12 Constitutional Verification</w:t>
      </w:r>
    </w:p>
    <w:p>
      <w:r>
        <w:t>text</w:t>
      </w:r>
    </w:p>
    <w:p>
      <w:r>
        <w:t>✓ Total Reserve Allocation = 100%</w:t>
      </w:r>
    </w:p>
    <w:p>
      <w:r>
        <w:t>✓ Fiat Allocation within Constitutional Range</w:t>
      </w:r>
    </w:p>
    <w:p>
      <w:r>
        <w:t>✓ Bullion Allocation within Constitutional Range</w:t>
      </w:r>
    </w:p>
    <w:p>
      <w:r>
        <w:t>✓ Stablecoin Allocation within Constitutional Range</w:t>
      </w:r>
    </w:p>
    <w:p>
      <w:r>
        <w:t>✓ Reserve Ratio remains compliant</w:t>
      </w:r>
    </w:p>
    <w:p>
      <w:r>
        <w:t>✓ Liquidity Coverage Ratio remains compliant</w:t>
      </w:r>
    </w:p>
    <w:p>
      <w:r>
        <w:t>✓ Gold remains Constitutional Monetary Anchor</w:t>
      </w:r>
    </w:p>
    <w:p>
      <w:r>
        <w:t>✓ Constitutional Governance Preserved</w:t>
      </w:r>
    </w:p>
    <w:p>
      <w:r>
        <w:t>Related Sections</w:t>
      </w:r>
    </w:p>
    <w:p>
      <w:r>
        <w:t>Section 2 — Constitutional Three-Layer Reserve Valuation Model</w:t>
      </w:r>
    </w:p>
    <w:p>
      <w:r>
        <w:t>Section 6 — Adjusted Reserve Valuation — Fixed Constitutional Haircuts</w:t>
      </w:r>
    </w:p>
    <w:p>
      <w:r>
        <w:t>Section 7 — Counterparty Risk Adjustment — Composite Score</w:t>
      </w:r>
    </w:p>
    <w:p>
      <w:r>
        <w:t>Section 24 — Bullion Allocation</w:t>
      </w:r>
    </w:p>
    <w:p>
      <w:r>
        <w:t>Section 25 — Stablecoin Eligibility Framework</w:t>
      </w:r>
    </w:p>
    <w:p>
      <w:r>
        <w:t>Section 26 — Rebalancing Framework</w:t>
      </w:r>
    </w:p>
    <w:p>
      <w:r>
        <w:t>Section 42 — Daily Proof of Reserves</w:t>
      </w:r>
    </w:p>
    <w:p>
      <w:r>
        <w:t>Section 43 — Formal Verification</w:t>
      </w:r>
    </w:p>
    <w:p>
      <w:r>
        <w:t>Constitutional Verification</w:t>
      </w:r>
    </w:p>
    <w:p>
      <w:r>
        <w:t>text</w:t>
      </w:r>
    </w:p>
    <w:p>
      <w:r>
        <w:t>✓ Constitutional Principle established</w:t>
      </w:r>
    </w:p>
    <w:p>
      <w:r>
        <w:t>✓ Constitutional Reserve Allocation Framework defined</w:t>
      </w:r>
    </w:p>
    <w:p>
      <w:r>
        <w:t>✓ Constitutional Clarification provided</w:t>
      </w:r>
    </w:p>
    <w:p>
      <w:r>
        <w:t>✓ Constitutional Allocation Constraints defined</w:t>
      </w:r>
    </w:p>
    <w:p>
      <w:r>
        <w:t>✓ Constitutional Allocation Hierarchy defined</w:t>
      </w:r>
    </w:p>
    <w:p>
      <w:r>
        <w:t>✓ Constitutional Rationale provided</w:t>
      </w:r>
    </w:p>
    <w:p>
      <w:r>
        <w:t>✓ Constitutional Validation established</w:t>
      </w:r>
    </w:p>
    <w:p>
      <w:r>
        <w:t>✓ Bullion Allocation Link established</w:t>
      </w:r>
    </w:p>
    <w:p>
      <w:r>
        <w:t>✓ Stablecoin Eligibility Link established</w:t>
      </w:r>
    </w:p>
    <w:p>
      <w:r>
        <w:t>✓ Allocation Drift defined</w:t>
      </w:r>
    </w:p>
    <w:p>
      <w:r>
        <w:t>✓ Governance established</w:t>
      </w:r>
    </w:p>
    <w:p>
      <w:r>
        <w:t>✓ Illustrative Note provided</w:t>
      </w:r>
    </w:p>
    <w:p>
      <w:r>
        <w:t>✓ Constitutional Verification established</w:t>
      </w:r>
    </w:p>
    <w:p>
      <w:r>
        <w:t>✓ Related Sections referenced</w:t>
      </w:r>
    </w:p>
    <w:p>
      <w:r>
        <w:t>[END OF SECTION 23 — CONSTITUTIONAL RESERVE ALLOCATION FRAMEWORK]</w:t>
      </w:r>
    </w:p>
    <w:p>
      <w:r>
        <w:t>Section 24: Constitutional Fiat Reserve Layer</w:t>
      </w:r>
    </w:p>
    <w:p>
      <w:r>
        <w:t>Constitutional Principle: The Fiat Reserve Layer provides liquidity, settlement capability, and sovereign diversification while generating modest yield through short-duration sovereign instruments.</w:t>
      </w:r>
    </w:p>
    <w:p>
      <w:r>
        <w:t>24.1 Constitutional Fiat Allocation</w:t>
      </w:r>
    </w:p>
    <w:p>
      <w:r>
        <w:t>text</w:t>
      </w:r>
    </w:p>
    <w:p>
      <w:r>
        <w:t>Fiat_Ratio_t = Approved_Fiat_Allocation</w:t>
      </w:r>
    </w:p>
    <w:p>
      <w:r>
        <w:t>Constitutional Constraint:</w:t>
      </w:r>
    </w:p>
    <w:p>
      <w:r>
        <w:t>text</w:t>
      </w:r>
    </w:p>
    <w:p>
      <w:r>
        <w:t>70% ≤ Fiat_Ratio_t ≤ 85%</w:t>
      </w:r>
    </w:p>
    <w:p>
      <w:r>
        <w:t>Fiat Value:</w:t>
      </w:r>
    </w:p>
    <w:p>
      <w:r>
        <w:t>text</w:t>
      </w:r>
    </w:p>
    <w:p>
      <w:r>
        <w:t>Fiat_Value_t = Fiat_Ratio_t × Total_Reserve_Value_t</w:t>
      </w:r>
    </w:p>
    <w:p>
      <w:r>
        <w:t>Currency Allocation:</w:t>
      </w:r>
    </w:p>
    <w:p>
      <w:r>
        <w:t>text</w:t>
      </w:r>
    </w:p>
    <w:p>
      <w:r>
        <w:t>Currency_Allocation_i,t = Fiat_Value_t × W_i,t</w:t>
      </w:r>
    </w:p>
    <w:p>
      <w:r>
        <w:t>24.2 Constitutional Clarification</w:t>
      </w:r>
    </w:p>
    <w:p>
      <w:r>
        <w:t>The Constitutional Currency Engine determines the proportional allocation of each eligible fiat currency within the Fiat Reserve Layer. The overall size of the Fiat Reserve Layer is determined independently through the Constitutional Reserve Allocation Framework.</w:t>
      </w:r>
    </w:p>
    <w:p>
      <w:r>
        <w:t>24.3 Allocation Verification</w:t>
      </w:r>
    </w:p>
    <w:p>
      <w:r>
        <w:t>text</w:t>
      </w:r>
    </w:p>
    <w:p>
      <w:r>
        <w:t>Σ Currency_Allocation_i,t = Fiat_Value_t</w:t>
      </w:r>
    </w:p>
    <w:p>
      <w:r>
        <w:t>24.4 Constitutional Objectives</w:t>
      </w:r>
    </w:p>
    <w:p>
      <w:r>
        <w:t>The Fiat Reserve Layer serves the following constitutional objectives:</w:t>
      </w:r>
    </w:p>
    <w:p>
      <w:r>
        <w:t>Liquidity: Provides immediate settlement capacity</w:t>
      </w:r>
    </w:p>
    <w:p>
      <w:r>
        <w:t>Sovereign Diversification: Reduces concentration risk</w:t>
      </w:r>
    </w:p>
    <w:p>
      <w:r>
        <w:t>Yield: Generates modest return from short-duration instruments</w:t>
      </w:r>
    </w:p>
    <w:p>
      <w:r>
        <w:t>Stability: Maintains value through high-quality sovereign exposures</w:t>
      </w:r>
    </w:p>
    <w:p>
      <w:r>
        <w:t>24.5 Related Sections</w:t>
      </w:r>
    </w:p>
    <w:p>
      <w:r>
        <w:t>Section 13 — Structural Weight</w:t>
      </w:r>
    </w:p>
    <w:p>
      <w:r>
        <w:t>Section 19 — Raw Constitutional Currency Weight</w:t>
      </w:r>
    </w:p>
    <w:p>
      <w:r>
        <w:t>Section 20 — Constitutional Normalization</w:t>
      </w:r>
    </w:p>
    <w:p>
      <w:r>
        <w:t>Section 23 — Constitutional Reserve Allocation Framework</w:t>
      </w:r>
    </w:p>
    <w:p>
      <w:r>
        <w:t>Section 42 — Daily Proof of Reserves</w:t>
      </w:r>
    </w:p>
    <w:p>
      <w:r>
        <w:t>Section 43 — Formal Verification</w:t>
      </w:r>
    </w:p>
    <w:p>
      <w:r>
        <w:t>Constitutional Verification</w:t>
      </w:r>
    </w:p>
    <w:p>
      <w:r>
        <w:t>text</w:t>
      </w:r>
    </w:p>
    <w:p>
      <w:r>
        <w:t>✓ Constitutional Principle established</w:t>
      </w:r>
    </w:p>
    <w:p>
      <w:r>
        <w:t>✓ Constitutional Fiat Allocation defined</w:t>
      </w:r>
    </w:p>
    <w:p>
      <w:r>
        <w:t>✓ Constitutional Constraint established</w:t>
      </w:r>
    </w:p>
    <w:p>
      <w:r>
        <w:t>✓ Fiat Value defined</w:t>
      </w:r>
    </w:p>
    <w:p>
      <w:r>
        <w:t>✓ Currency Allocation defined</w:t>
      </w:r>
    </w:p>
    <w:p>
      <w:r>
        <w:t>✓ Constitutional Clarification provided</w:t>
      </w:r>
    </w:p>
    <w:p>
      <w:r>
        <w:t>✓ Allocation Verification established</w:t>
      </w:r>
    </w:p>
    <w:p>
      <w:r>
        <w:t>✓ Constitutional Objectives listed</w:t>
      </w:r>
    </w:p>
    <w:p>
      <w:r>
        <w:t>✓ Related Sections referenced</w:t>
      </w:r>
    </w:p>
    <w:p>
      <w:r>
        <w:t>[END OF SECTION 24 — CONSTITUTIONAL FIAT RESERVE LAYER]</w:t>
      </w:r>
    </w:p>
    <w:p>
      <w:r>
        <w:t>Section 25: Constitutional Bullion Reserve Layer</w:t>
      </w:r>
    </w:p>
    <w:p>
      <w:r>
        <w:t>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 Constitutional Bullion Allocation</w:t>
      </w:r>
    </w:p>
    <w:p>
      <w:r>
        <w:t>text</w:t>
      </w:r>
    </w:p>
    <w:p>
      <w:r>
        <w:t>Bullion_Ratio_t = Approved_Bullion_Allocation</w:t>
      </w:r>
    </w:p>
    <w:p>
      <w:r>
        <w:t>Constitutional Constraint:</w:t>
      </w:r>
    </w:p>
    <w:p>
      <w:r>
        <w:t>text</w:t>
      </w:r>
    </w:p>
    <w:p>
      <w:r>
        <w:t>15% ≤ Bullion_Ratio_t ≤ 25%</w:t>
      </w:r>
    </w:p>
    <w:p>
      <w:r>
        <w:t>Bullion Value:</w:t>
      </w:r>
    </w:p>
    <w:p>
      <w:r>
        <w:t>text</w:t>
      </w:r>
    </w:p>
    <w:p>
      <w:r>
        <w:t>Bullion_Value_t = Bullion_Ratio_t × Total_Reserve_Value_t</w:t>
      </w:r>
    </w:p>
    <w:p>
      <w:r>
        <w:t>Gold Value:</w:t>
      </w:r>
    </w:p>
    <w:p>
      <w:r>
        <w:t>text</w:t>
      </w:r>
    </w:p>
    <w:p>
      <w:r>
        <w:t>Gold_Value_t = φ_t × Bullion_Value_t</w:t>
      </w:r>
    </w:p>
    <w:p>
      <w:r>
        <w:t>Silver Value:</w:t>
      </w:r>
    </w:p>
    <w:p>
      <w:r>
        <w:t>text</w:t>
      </w:r>
    </w:p>
    <w:p>
      <w:r>
        <w:t>Silver_Value_t = (1 − φ_t) × Bullion_Value_t</w:t>
      </w:r>
    </w:p>
    <w:p>
      <w:r>
        <w:t>Where:</w:t>
      </w:r>
    </w:p>
    <w:p>
      <w:r>
        <w:t>text</w:t>
      </w:r>
    </w:p>
    <w:p>
      <w:r>
        <w:t>φ_t = Policy-Approved Gold Share within Constitutional Limits</w:t>
      </w:r>
    </w:p>
    <w:p>
      <w:r>
        <w:t>25.2 Constitutional Gold/Silver Split</w:t>
      </w:r>
    </w:p>
    <w:p>
      <w:r>
        <w:t>Constitutional Range:</w:t>
      </w:r>
    </w:p>
    <w:p>
      <w:r>
        <w:t>Constitutional Policy Target:</w:t>
      </w:r>
    </w:p>
    <w:p>
      <w:r>
        <w:t>Operational Rebalancing Band: ±5% around the Constitutional Policy Target.</w:t>
      </w:r>
    </w:p>
    <w:p>
      <w:r>
        <w:t>text</w:t>
      </w:r>
    </w:p>
    <w:p>
      <w:r>
        <w:t>Rebalancing SHALL NOT occur while 75% ≤ Gold Share ≤ 85%</w:t>
      </w:r>
    </w:p>
    <w:p>
      <w:r>
        <w:t>Unless:</w:t>
      </w:r>
    </w:p>
    <w:p>
      <w:r>
        <w:t>Constitutional Risk Index exceeds threshold</w:t>
      </w:r>
    </w:p>
    <w:p>
      <w:r>
        <w:t>Liquidity requirements require intervention</w:t>
      </w:r>
    </w:p>
    <w:p>
      <w:r>
        <w:t>Emergency reserve procedures are activated</w:t>
      </w:r>
    </w:p>
    <w:p>
      <w:r>
        <w:t>25.3 Review Frequency</w:t>
      </w:r>
    </w:p>
    <w:p>
      <w:r>
        <w:t>Quarterly Constitutional Review.</w:t>
      </w:r>
    </w:p>
    <w:p>
      <w:r>
        <w:t>Extraordinary reviews MAY be initiated whenever material market disruptions, custody risks, or operational events materially affect the Bullion Reserve Layer.</w:t>
      </w:r>
    </w:p>
    <w:p>
      <w:r>
        <w:t>25.4 Constitutional Rationale</w:t>
      </w:r>
    </w:p>
    <w:p>
      <w:r>
        <w:t>The bullion allocation is dynamic (not constitutionally fixed) because:</w:t>
      </w:r>
    </w:p>
    <w:p>
      <w:r>
        <w:t>Preserves monetary neutrality</w:t>
      </w:r>
    </w:p>
    <w:p>
      <w:r>
        <w:t>Improves long-term resilience</w:t>
      </w:r>
    </w:p>
    <w:p>
      <w:r>
        <w:t>Adapts to evolving bullion markets</w:t>
      </w:r>
    </w:p>
    <w:p>
      <w:r>
        <w:t>Avoids unnecessary constitutional amendments</w:t>
      </w:r>
    </w:p>
    <w:p>
      <w:r>
        <w:t>Supports prudent reserve management</w:t>
      </w:r>
    </w:p>
    <w:p>
      <w:r>
        <w:t>Maintains operational flexibility within constitutional limits</w:t>
      </w:r>
    </w:p>
    <w:p>
      <w:r>
        <w:t>25.5 Eligible Bullion</w:t>
      </w:r>
    </w:p>
    <w:p>
      <w:r>
        <w:t>Only bullion satisfying all Constitutional Custody Standards may qualify.</w:t>
      </w:r>
    </w:p>
    <w:p>
      <w:r>
        <w:t>Minimum standards include:</w:t>
      </w:r>
    </w:p>
    <w:p>
      <w:r>
        <w:t>LBMA Good Delivery (or constitutional equivalent)</w:t>
      </w:r>
    </w:p>
    <w:p>
      <w:r>
        <w:t>Verified chain of custody</w:t>
      </w:r>
    </w:p>
    <w:p>
      <w:r>
        <w:t>Allocated ownership</w:t>
      </w:r>
    </w:p>
    <w:p>
      <w:r>
        <w:t>Independent audit</w:t>
      </w:r>
    </w:p>
    <w:p>
      <w:r>
        <w:t>Approved constitutional custodian</w:t>
      </w:r>
    </w:p>
    <w:p>
      <w:r>
        <w:t>Otherwise, the asset is constitutionally ineligible.</w:t>
      </w:r>
    </w:p>
    <w:p>
      <w:r>
        <w:t>25.6 Bullion Concentration</w:t>
      </w:r>
    </w:p>
    <w:p>
      <w:r>
        <w:t>No single vault, custodian, or jurisdiction may hold more than the constitutional concentration limit established in the Custody Framework.</w:t>
      </w:r>
    </w:p>
    <w:p>
      <w:r>
        <w:t>25.7 Constitutional Verification</w:t>
      </w:r>
    </w:p>
    <w:p>
      <w:r>
        <w:t>text</w:t>
      </w:r>
    </w:p>
    <w:p>
      <w:r>
        <w:t>✓ Gold Share: 60–95%</w:t>
      </w:r>
    </w:p>
    <w:p>
      <w:r>
        <w:t>✓ Silver Share: 5–40%</w:t>
      </w:r>
    </w:p>
    <w:p>
      <w:r>
        <w:t>✓ Bullion Layer: 15–25%</w:t>
      </w:r>
    </w:p>
    <w:p>
      <w:r>
        <w:t>✓ Gold + Silver = 100% of Bullion Layer</w:t>
      </w:r>
    </w:p>
    <w:p>
      <w:r>
        <w:t>✓ Bullion Layer remains within Reserve Allocation Framework</w:t>
      </w:r>
    </w:p>
    <w:p>
      <w:r>
        <w:t>25.8 Illustrative Note</w:t>
      </w:r>
    </w:p>
    <w:p>
      <w:r>
        <w:t>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p>
    <w:p>
      <w:r>
        <w:t>25.9 Governance</w:t>
      </w:r>
    </w:p>
    <w:p>
      <w:r>
        <w:t>The constitutional bullion ranges are immutable except through Constitutional Amendment.</w:t>
      </w:r>
    </w:p>
    <w:p>
      <w:r>
        <w:t>The operational bullion allocation within those ranges SHALL be determined by approved Reserve Management Policy.</w:t>
      </w:r>
    </w:p>
    <w:p>
      <w:r>
        <w:t>No operational authority may exceed constitutional limits.</w:t>
      </w:r>
    </w:p>
    <w:p>
      <w:r>
        <w:t>25.10 Determinism</w:t>
      </w:r>
    </w:p>
    <w:p>
      <w:r>
        <w:t>Given identical:</w:t>
      </w:r>
    </w:p>
    <w:p>
      <w:r>
        <w:t>Bullion holdings</w:t>
      </w:r>
    </w:p>
    <w:p>
      <w:r>
        <w:t>Market prices</w:t>
      </w:r>
    </w:p>
    <w:p>
      <w:r>
        <w:t>Approved policy parameters</w:t>
      </w:r>
    </w:p>
    <w:p>
      <w:r>
        <w:t>Constitutional constants</w:t>
      </w:r>
    </w:p>
    <w:p>
      <w:r>
        <w:t>Every validator SHALL compute identical bullion allocations.</w:t>
      </w:r>
    </w:p>
    <w:p>
      <w:r>
        <w:t>25.11 Constitutional Statement</w:t>
      </w:r>
    </w:p>
    <w:p>
      <w:r>
        <w:t>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25.12 Related Sections</w:t>
      </w:r>
    </w:p>
    <w:p>
      <w:r>
        <w:t>Section 14 — Gold Anchor</w:t>
      </w:r>
    </w:p>
    <w:p>
      <w:r>
        <w:t>Section 23 — Constitutional Reserve Allocation Framework</w:t>
      </w:r>
    </w:p>
    <w:p>
      <w:r>
        <w:t>Section 26 — Constitutional Stablecoin Reserve Layer</w:t>
      </w:r>
    </w:p>
    <w:p>
      <w:r>
        <w:t>Section 27 — Reserve Rebalancing</w:t>
      </w:r>
    </w:p>
    <w:p>
      <w:r>
        <w:t>Section 42 — Daily Proof of Reserves</w:t>
      </w:r>
    </w:p>
    <w:p>
      <w:r>
        <w:t>Section 43 — Formal Verification</w:t>
      </w:r>
    </w:p>
    <w:p>
      <w:r>
        <w:t>Constitutional Verification</w:t>
      </w:r>
    </w:p>
    <w:p>
      <w:r>
        <w:t>text</w:t>
      </w:r>
    </w:p>
    <w:p>
      <w:r>
        <w:t>✓ Constitutional Principle established</w:t>
      </w:r>
    </w:p>
    <w:p>
      <w:r>
        <w:t>✓ Constitutional Bullion Allocation defined</w:t>
      </w:r>
    </w:p>
    <w:p>
      <w:r>
        <w:t>✓ Constitutional Constraint established</w:t>
      </w:r>
    </w:p>
    <w:p>
      <w:r>
        <w:t>✓ Bullion Value defined</w:t>
      </w:r>
    </w:p>
    <w:p>
      <w:r>
        <w:t>✓ Gold Value defined</w:t>
      </w:r>
    </w:p>
    <w:p>
      <w:r>
        <w:t>✓ Silver Value defined</w:t>
      </w:r>
    </w:p>
    <w:p>
      <w:r>
        <w:t>✓ Constitutional Gold/Silver Split defined</w:t>
      </w:r>
    </w:p>
    <w:p>
      <w:r>
        <w:t>✓ Constitutional Range established</w:t>
      </w:r>
    </w:p>
    <w:p>
      <w:r>
        <w:t>✓ Constitutional Policy Target established</w:t>
      </w:r>
    </w:p>
    <w:p>
      <w:r>
        <w:t>✓ Operational Rebalancing Band established</w:t>
      </w:r>
    </w:p>
    <w:p>
      <w:r>
        <w:t>✓ Review Frequency established</w:t>
      </w:r>
    </w:p>
    <w:p>
      <w:r>
        <w:t>✓ Constitutional Rationale provided</w:t>
      </w:r>
    </w:p>
    <w:p>
      <w:r>
        <w:t>✓ Eligible Bullion defined</w:t>
      </w:r>
    </w:p>
    <w:p>
      <w:r>
        <w:t>✓ Bullion Concentration established</w:t>
      </w:r>
    </w:p>
    <w:p>
      <w:r>
        <w:t>✓ Constitutional Verification established</w:t>
      </w:r>
    </w:p>
    <w:p>
      <w:r>
        <w:t>✓ Illustrative Note provided</w:t>
      </w:r>
    </w:p>
    <w:p>
      <w:r>
        <w:t>✓ Governance established</w:t>
      </w:r>
    </w:p>
    <w:p>
      <w:r>
        <w:t>✓ Determinism established</w:t>
      </w:r>
    </w:p>
    <w:p>
      <w:r>
        <w:t>✓ Constitutional Statement provided</w:t>
      </w:r>
    </w:p>
    <w:p>
      <w:r>
        <w:t>✓ Related Sections referenced</w:t>
      </w:r>
    </w:p>
    <w:p>
      <w:r>
        <w:t>[END OF SECTION 25 — CONSTITUTIONAL BULLION RESERVE LAYER]</w:t>
      </w:r>
    </w:p>
    <w:p>
      <w:r>
        <w:t>Section 26: Constitutional Operational Stablecoin Reserve Layer</w:t>
      </w:r>
    </w:p>
    <w:p>
      <w:r>
        <w:t>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p>
    <w:p>
      <w:r>
        <w:t>26.1 Constitutional Eligibility Requirements</w:t>
      </w:r>
    </w:p>
    <w:p>
      <w:r>
        <w:t>26.2 Continuous Constitutional Eligibility</w:t>
      </w:r>
    </w:p>
    <w:p>
      <w:r>
        <w:t>Eligibility SHALL be assessed continuously.</w:t>
      </w:r>
    </w:p>
    <w:p>
      <w:r>
        <w:t>Failure to satisfy any mandatory requirement immediately initiates the Constitutional Stablecoin Review Process.</w:t>
      </w:r>
    </w:p>
    <w:p>
      <w:r>
        <w:t>26.3 Immediate Constitutional Disqualification</w:t>
      </w:r>
    </w:p>
    <w:p>
      <w:r>
        <w:t>A stablecoin SHALL immediately enter constitutional review upon occurrence of any of the following:</w:t>
      </w:r>
    </w:p>
    <w:p>
      <w:r>
        <w:t>Suspension of redemption</w:t>
      </w:r>
    </w:p>
    <w:p>
      <w:r>
        <w:t>Material reserve impairment</w:t>
      </w:r>
    </w:p>
    <w:p>
      <w:r>
        <w:t>Insolvency proceedings</w:t>
      </w:r>
    </w:p>
    <w:p>
      <w:r>
        <w:t>Regulatory prohibition</w:t>
      </w:r>
    </w:p>
    <w:p>
      <w:r>
        <w:t>Sanctions affecting redemption</w:t>
      </w:r>
    </w:p>
    <w:p>
      <w:r>
        <w:t>Qualified auditor resignation without replacement</w:t>
      </w:r>
    </w:p>
    <w:p>
      <w:r>
        <w:t>Loss of constitutional custody</w:t>
      </w:r>
    </w:p>
    <w:p>
      <w:r>
        <w:t>Sharia non-compliance determination</w:t>
      </w:r>
    </w:p>
    <w:p>
      <w:r>
        <w:t>Verified reserve fraud</w:t>
      </w:r>
    </w:p>
    <w:p>
      <w:r>
        <w:t>Permanent de-peg beyond constitutional tolerance</w:t>
      </w:r>
    </w:p>
    <w:p>
      <w:r>
        <w:t>26.4 Constitutional De-Peg Threshold</w:t>
      </w:r>
    </w:p>
    <w:p>
      <w:r>
        <w:t>26.5 Stablecoin Concentration Limits</w:t>
      </w:r>
    </w:p>
    <w:p>
      <w:r>
        <w:t>No single:</w:t>
      </w:r>
    </w:p>
    <w:p>
      <w:r>
        <w:t>Issuer</w:t>
      </w:r>
    </w:p>
    <w:p>
      <w:r>
        <w:t>Custodian</w:t>
      </w:r>
    </w:p>
    <w:p>
      <w:r>
        <w:t>Banking partner</w:t>
      </w:r>
    </w:p>
    <w:p>
      <w:r>
        <w:t>Blockchain network</w:t>
      </w:r>
    </w:p>
    <w:p>
      <w:r>
        <w:t>May exceed the Constitutional Concentration Limits.</w:t>
      </w:r>
    </w:p>
    <w:p>
      <w:r>
        <w:t>26.6 Network Requirements</w:t>
      </w:r>
    </w:p>
    <w:p>
      <w:r>
        <w:t>Eligible stablecoins SHALL operate on networks satisfying:</w:t>
      </w:r>
    </w:p>
    <w:p>
      <w:r>
        <w:t>Deterministic settlement</w:t>
      </w:r>
    </w:p>
    <w:p>
      <w:r>
        <w:t>Operational resilience</w:t>
      </w:r>
    </w:p>
    <w:p>
      <w:r>
        <w:t>Institutional security</w:t>
      </w:r>
    </w:p>
    <w:p>
      <w:r>
        <w:t>Continuous availability</w:t>
      </w:r>
    </w:p>
    <w:p>
      <w:r>
        <w:t>Approved governance</w:t>
      </w:r>
    </w:p>
    <w:p>
      <w:r>
        <w:t>Constitutional interoperability</w:t>
      </w:r>
    </w:p>
    <w:p>
      <w:r>
        <w:t>26.7 Oracle Verification</w:t>
      </w:r>
    </w:p>
    <w:p>
      <w:r>
        <w:t>Stablecoin valuation SHALL use only Constitutional Oracle prices satisfying the constitutional freshness requirements.</w:t>
      </w:r>
    </w:p>
    <w:p>
      <w:r>
        <w:t>Otherwise, the asset SHALL be temporarily excluded from valuation until valid pricing is restored.</w:t>
      </w:r>
    </w:p>
    <w:p>
      <w:r>
        <w:t>26.8 Governance</w:t>
      </w:r>
    </w:p>
    <w:p>
      <w:r>
        <w:t>Eligibility standards are constitutional</w:t>
      </w:r>
    </w:p>
    <w:p>
      <w:r>
        <w:t>Operational approval is performed by the Technical Committee</w:t>
      </w:r>
    </w:p>
    <w:p>
      <w:r>
        <w:t>Strategic oversight belongs to the Constitutional Council</w:t>
      </w:r>
    </w:p>
    <w:p>
      <w:r>
        <w:t>Sharia compliance remains under the Constitutional Sharia Supervisory Committee</w:t>
      </w:r>
    </w:p>
    <w:p>
      <w:r>
        <w:t>No single authority may approve an ineligible stablecoin.</w:t>
      </w:r>
    </w:p>
    <w:p>
      <w:r>
        <w:t>26.9 Related Sections</w:t>
      </w:r>
    </w:p>
    <w:p>
      <w:r>
        <w:t>Section 7 — Counterparty Risk Adjustment — Composite Score</w:t>
      </w:r>
    </w:p>
    <w:p>
      <w:r>
        <w:t>Section 10 — Counterparty Exposure Limits</w:t>
      </w:r>
    </w:p>
    <w:p>
      <w:r>
        <w:t>Section 23 — Constitutional Reserve Allocation Framework</w:t>
      </w:r>
    </w:p>
    <w:p>
      <w:r>
        <w:t>Section 27 — Constitutional Stablecoin Replacement Framework</w:t>
      </w:r>
    </w:p>
    <w:p>
      <w:r>
        <w:t>Section 42 — Daily Proof of Reserves</w:t>
      </w:r>
    </w:p>
    <w:p>
      <w:r>
        <w:t>Section 43 — Formal Verification</w:t>
      </w:r>
    </w:p>
    <w:p>
      <w:r>
        <w:t>Constitutional Verification</w:t>
      </w:r>
    </w:p>
    <w:p>
      <w:r>
        <w:t>text</w:t>
      </w:r>
    </w:p>
    <w:p>
      <w:r>
        <w:t>✓ Constitutional Principle established</w:t>
      </w:r>
    </w:p>
    <w:p>
      <w:r>
        <w:t>✓ Constitutional Eligibility Requirements defined</w:t>
      </w:r>
    </w:p>
    <w:p>
      <w:r>
        <w:t>✓ Continuous Constitutional Eligibility established</w:t>
      </w:r>
    </w:p>
    <w:p>
      <w:r>
        <w:t>✓ Immediate Constitutional Disqualification defined</w:t>
      </w:r>
    </w:p>
    <w:p>
      <w:r>
        <w:t>✓ Constitutional De-Peg Threshold established</w:t>
      </w:r>
    </w:p>
    <w:p>
      <w:r>
        <w:t>✓ Stablecoin Concentration Limits established</w:t>
      </w:r>
    </w:p>
    <w:p>
      <w:r>
        <w:t>✓ Network Requirements established</w:t>
      </w:r>
    </w:p>
    <w:p>
      <w:r>
        <w:t>✓ Oracle Verification established</w:t>
      </w:r>
    </w:p>
    <w:p>
      <w:r>
        <w:t>✓ Governance established</w:t>
      </w:r>
    </w:p>
    <w:p>
      <w:r>
        <w:t>✓ Related Sections referenced</w:t>
      </w:r>
    </w:p>
    <w:p>
      <w:r>
        <w:t>[END OF SECTION 26 — CONSTITUTIONAL OPERATIONAL STABLECOIN RESERVE LAYER]</w:t>
      </w:r>
    </w:p>
    <w:p>
      <w:r>
        <w:t>Section 27: Constitutional Stablecoin Replacement Framework</w:t>
      </w:r>
    </w:p>
    <w:p>
      <w:r>
        <w:t>Constitutional Principle: The replacement of an operational stablecoin shall be executed with institutional discipline, operational resilience, and constitutional integrity to maintain reserve continuity and redemption certainty.</w:t>
      </w:r>
    </w:p>
    <w:p>
      <w:r>
        <w:t>27.1 Replacement Workflow</w:t>
      </w:r>
    </w:p>
    <w:p>
      <w:r>
        <w:t>text</w:t>
      </w:r>
    </w:p>
    <w:p>
      <w:r>
        <w:t>Eligibility Failure Detected</w:t>
      </w:r>
    </w:p>
    <w:p>
      <w:r>
        <w:t>│</w:t>
      </w:r>
    </w:p>
    <w:p>
      <w:r>
        <w:t>▼</w:t>
      </w:r>
    </w:p>
    <w:p>
      <w:r>
        <w:t>Immediate Constitutional Review</w:t>
      </w:r>
    </w:p>
    <w:p>
      <w:r>
        <w:t>│</w:t>
      </w:r>
    </w:p>
    <w:p>
      <w:r>
        <w:t>▼</w:t>
      </w:r>
    </w:p>
    <w:p>
      <w:r>
        <w:t>Emergency Risk Assessment</w:t>
      </w:r>
    </w:p>
    <w:p>
      <w:r>
        <w:t>│</w:t>
      </w:r>
    </w:p>
    <w:p>
      <w:r>
        <w:t>▼</w:t>
      </w:r>
    </w:p>
    <w:p>
      <w:r>
        <w:t>7-Day Grace Period (if constitutionally permitted)</w:t>
      </w:r>
    </w:p>
    <w:p>
      <w:r>
        <w:t>│</w:t>
      </w:r>
    </w:p>
    <w:p>
      <w:r>
        <w:t>▼</w:t>
      </w:r>
    </w:p>
    <w:p>
      <w:r>
        <w:t>Technical Committee Recommendation</w:t>
      </w:r>
    </w:p>
    <w:p>
      <w:r>
        <w:t>│</w:t>
      </w:r>
    </w:p>
    <w:p>
      <w:r>
        <w:t>▼</w:t>
      </w:r>
    </w:p>
    <w:p>
      <w:r>
        <w:t>Constitutional Council Confirmation (if required)</w:t>
      </w:r>
    </w:p>
    <w:p>
      <w:r>
        <w:t>│</w:t>
      </w:r>
    </w:p>
    <w:p>
      <w:r>
        <w:t>▼</w:t>
      </w:r>
    </w:p>
    <w:p>
      <w:r>
        <w:t>Replacement Stablecoin Selected</w:t>
      </w:r>
    </w:p>
    <w:p>
      <w:r>
        <w:t>│</w:t>
      </w:r>
    </w:p>
    <w:p>
      <w:r>
        <w:t>▼</w:t>
      </w:r>
    </w:p>
    <w:p>
      <w:r>
        <w:t>Reserve Rebalancing Executed</w:t>
      </w:r>
    </w:p>
    <w:p>
      <w:r>
        <w:t>│</w:t>
      </w:r>
    </w:p>
    <w:p>
      <w:r>
        <w:t>▼</w:t>
      </w:r>
    </w:p>
    <w:p>
      <w:r>
        <w:t>Proof of Reserves Regenerated</w:t>
      </w:r>
    </w:p>
    <w:p>
      <w:r>
        <w:t>│</w:t>
      </w:r>
    </w:p>
    <w:p>
      <w:r>
        <w:t>▼</w:t>
      </w:r>
    </w:p>
    <w:p>
      <w:r>
        <w:t>Independent Verification</w:t>
      </w:r>
    </w:p>
    <w:p>
      <w:r>
        <w:t>│</w:t>
      </w:r>
    </w:p>
    <w:p>
      <w:r>
        <w:t>▼</w:t>
      </w:r>
    </w:p>
    <w:p>
      <w:r>
        <w:t>Normal Operations Resume</w:t>
      </w:r>
    </w:p>
    <w:p>
      <w:r>
        <w:t>27.2 If No Eligible Replacement Exists</w:t>
      </w:r>
    </w:p>
    <w:p>
      <w:r>
        <w:t>text</w:t>
      </w:r>
    </w:p>
    <w:p>
      <w:r>
        <w:t>No Eligible Stablecoin</w:t>
      </w:r>
    </w:p>
    <w:p>
      <w:r>
        <w:t>│</w:t>
      </w:r>
    </w:p>
    <w:p>
      <w:r>
        <w:t>▼</w:t>
      </w:r>
    </w:p>
    <w:p>
      <w:r>
        <w:t>Operational Stablecoin Allocation</w:t>
      </w:r>
    </w:p>
    <w:p>
      <w:r>
        <w:t>Temporarily Converted</w:t>
      </w:r>
    </w:p>
    <w:p>
      <w:r>
        <w:t>to</w:t>
      </w:r>
    </w:p>
    <w:p>
      <w:r>
        <w:t>Tier 1 Cash</w:t>
      </w:r>
    </w:p>
    <w:p>
      <w:r>
        <w:t>until an eligible replacement is approved.</w:t>
      </w:r>
    </w:p>
    <w:p>
      <w:r>
        <w:t>27.3 Deterministic Execution</w:t>
      </w:r>
    </w:p>
    <w:p>
      <w:r>
        <w:t>Given identical eligibility data, reserve records, oracle inputs, and constitutional constants, every validator SHALL identify the identical replacement stablecoin and execute identical reserve adjustments.</w:t>
      </w:r>
    </w:p>
    <w:p>
      <w:r>
        <w:t>27.4 Constitutional Audit Requirements</w:t>
      </w:r>
    </w:p>
    <w:p>
      <w:r>
        <w:t>Every replacement SHALL generate:</w:t>
      </w:r>
    </w:p>
    <w:p>
      <w:r>
        <w:t>Immutable governance record</w:t>
      </w:r>
    </w:p>
    <w:p>
      <w:r>
        <w:t>Eligibility determination</w:t>
      </w:r>
    </w:p>
    <w:p>
      <w:r>
        <w:t>Reserve adjustment log</w:t>
      </w:r>
    </w:p>
    <w:p>
      <w:r>
        <w:t>Updated proof of reserves</w:t>
      </w:r>
    </w:p>
    <w:p>
      <w:r>
        <w:t>Updated Constitutional Risk Index</w:t>
      </w:r>
    </w:p>
    <w:p>
      <w:r>
        <w:t>Updated Reserve Ratio</w:t>
      </w:r>
    </w:p>
    <w:p>
      <w:r>
        <w:t>Updated Liquidity Coverage Ratio</w:t>
      </w:r>
    </w:p>
    <w:p>
      <w:r>
        <w:t>27.5 Operational Timing</w:t>
      </w:r>
    </w:p>
    <w:p>
      <w:r>
        <w:t>27.6 Constitutional Verification</w:t>
      </w:r>
    </w:p>
    <w:p>
      <w:r>
        <w:t>text</w:t>
      </w:r>
    </w:p>
    <w:p>
      <w:r>
        <w:t>✓ Stablecoin Allocation within Constitutional Range</w:t>
      </w:r>
    </w:p>
    <w:p>
      <w:r>
        <w:t>✓ All Eligibility Tests Passed</w:t>
      </w:r>
    </w:p>
    <w:p>
      <w:r>
        <w:t>✓ Sharia Compliance Verified</w:t>
      </w:r>
    </w:p>
    <w:p>
      <w:r>
        <w:t>✓ Custody Verified</w:t>
      </w:r>
    </w:p>
    <w:p>
      <w:r>
        <w:t>✓ Reserve Attestations Current</w:t>
      </w:r>
    </w:p>
    <w:p>
      <w:r>
        <w:t>✓ Concentration Limits Satisfied</w:t>
      </w:r>
    </w:p>
    <w:p>
      <w:r>
        <w:t>✓ Replacement Procedure Deterministic</w:t>
      </w:r>
    </w:p>
    <w:p>
      <w:r>
        <w:t>✓ Proof of Reserves Updated</w:t>
      </w:r>
    </w:p>
    <w:p>
      <w:r>
        <w:t>✓ Reserve Ratio Preserved</w:t>
      </w:r>
    </w:p>
    <w:p>
      <w:r>
        <w:t>✓ Liquidity Coverage Ratio Preserved</w:t>
      </w:r>
    </w:p>
    <w:p>
      <w:r>
        <w:t>✓ Constitutional Governance Preserved</w:t>
      </w:r>
    </w:p>
    <w:p>
      <w:r>
        <w:t>27.7 Constitutional Statement</w:t>
      </w:r>
    </w:p>
    <w:p>
      <w:r>
        <w:t>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p>
    <w:p>
      <w:r>
        <w:t>27.8 Related Sections</w:t>
      </w:r>
    </w:p>
    <w:p>
      <w:r>
        <w:t>Section 7 — Counterparty Risk Adjustment — Composite Score</w:t>
      </w:r>
    </w:p>
    <w:p>
      <w:r>
        <w:t>Section 10 — Counterparty Exposure Limits</w:t>
      </w:r>
    </w:p>
    <w:p>
      <w:r>
        <w:t>Section 23 — Constitutional Reserve Allocation Framework</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Replacement Workflow defined</w:t>
      </w:r>
    </w:p>
    <w:p>
      <w:r>
        <w:t>✓ If No Eligible Replacement Exists defined</w:t>
      </w:r>
    </w:p>
    <w:p>
      <w:r>
        <w:t>✓ Deterministic Execution established</w:t>
      </w:r>
    </w:p>
    <w:p>
      <w:r>
        <w:t>✓ Constitutional Audit Requirements established</w:t>
      </w:r>
    </w:p>
    <w:p>
      <w:r>
        <w:t>✓ Operational Timing established</w:t>
      </w:r>
    </w:p>
    <w:p>
      <w:r>
        <w:t>✓ Constitutional Verification established</w:t>
      </w:r>
    </w:p>
    <w:p>
      <w:r>
        <w:t>✓ Constitutional Statement provided</w:t>
      </w:r>
    </w:p>
    <w:p>
      <w:r>
        <w:t>✓ Related Sections referenced</w:t>
      </w:r>
    </w:p>
    <w:p>
      <w:r>
        <w:t>[END OF SECTION 27 — CONSTITUTIONAL STABLECOIN REPLACEMENT FRAMEWORK]</w:t>
      </w:r>
    </w:p>
    <w:p>
      <w:r>
        <w:t>Section 28: Constitutional Gold and Silver Acquisition Framework</w:t>
      </w:r>
    </w:p>
    <w:p>
      <w:r>
        <w:t>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p>
    <w:p>
      <w:r>
        <w:t>28.1 Acquisition Workflow</w:t>
      </w:r>
    </w:p>
    <w:p>
      <w:r>
        <w:t>text</w:t>
      </w:r>
    </w:p>
    <w:p>
      <w:r>
        <w:t>Periodic Allocation Review (Quarterly or upon Constitutional Rebalancing Trigger)</w:t>
      </w:r>
    </w:p>
    <w:p>
      <w:r>
        <w:t>│</w:t>
      </w:r>
    </w:p>
    <w:p>
      <w:r>
        <w:t>▼</w:t>
      </w:r>
    </w:p>
    <w:p>
      <w:r>
        <w:t>Determine Required Bullion Adjustment</w:t>
      </w:r>
    </w:p>
    <w:p>
      <w:r>
        <w:t>(based on reserve growth, redemption activity,</w:t>
      </w:r>
    </w:p>
    <w:p>
      <w:r>
        <w:t>policy allocation, and bullion target φ_t)</w:t>
      </w:r>
    </w:p>
    <w:p>
      <w:r>
        <w:t>│</w:t>
      </w:r>
    </w:p>
    <w:p>
      <w:r>
        <w:t>▼</w:t>
      </w:r>
    </w:p>
    <w:p>
      <w:r>
        <w:t>Verify Bullion Policy Compliance</w:t>
      </w:r>
    </w:p>
    <w:p>
      <w:r>
        <w:t>(Gold/Silver constitutional range,</w:t>
      </w:r>
    </w:p>
    <w:p>
      <w:r>
        <w:t>tolerance band, concentration limits)</w:t>
      </w:r>
    </w:p>
    <w:p>
      <w:r>
        <w:t>│</w:t>
      </w:r>
    </w:p>
    <w:p>
      <w:r>
        <w:t>▼</w:t>
      </w:r>
    </w:p>
    <w:p>
      <w:r>
        <w:t>Request Competitive Quotes</w:t>
      </w:r>
    </w:p>
    <w:p>
      <w:r>
        <w:t>(minimum three qualified bullion dealers</w:t>
      </w:r>
    </w:p>
    <w:p>
      <w:r>
        <w:t>approved under the Institutional Bullion Policy)</w:t>
      </w:r>
    </w:p>
    <w:p>
      <w:r>
        <w:t>│</w:t>
      </w:r>
    </w:p>
    <w:p>
      <w:r>
        <w:t>▼</w:t>
      </w:r>
    </w:p>
    <w:p>
      <w:r>
        <w:t>Evaluate Dealers</w:t>
      </w:r>
    </w:p>
    <w:p>
      <w:r>
        <w:t>(price, execution quality, availability,</w:t>
      </w:r>
    </w:p>
    <w:p>
      <w:r>
        <w:t>settlement capability, jurisdiction,</w:t>
      </w:r>
    </w:p>
    <w:p>
      <w:r>
        <w:t>counterparty score, operational readiness)</w:t>
      </w:r>
    </w:p>
    <w:p>
      <w:r>
        <w:t>│</w:t>
      </w:r>
    </w:p>
    <w:p>
      <w:r>
        <w:t>▼</w:t>
      </w:r>
    </w:p>
    <w:p>
      <w:r>
        <w:t>Select Best Constitutional Execution</w:t>
      </w:r>
    </w:p>
    <w:p>
      <w:r>
        <w:t>(best overall execution,</w:t>
      </w:r>
    </w:p>
    <w:p>
      <w:r>
        <w:t>not automatically lowest quoted price)</w:t>
      </w:r>
    </w:p>
    <w:p>
      <w:r>
        <w:t>│</w:t>
      </w:r>
    </w:p>
    <w:p>
      <w:r>
        <w:t>▼</w:t>
      </w:r>
    </w:p>
    <w:p>
      <w:r>
        <w:t>Execute Purchase</w:t>
      </w:r>
    </w:p>
    <w:p>
      <w:r>
        <w:t>(using approved execution methodology</w:t>
      </w:r>
    </w:p>
    <w:p>
      <w:r>
        <w:t>such as VWAP, TWAP, RFQ, or equivalent,</w:t>
      </w:r>
    </w:p>
    <w:p>
      <w:r>
        <w:t>subject to maximum execution tolerance)</w:t>
      </w:r>
    </w:p>
    <w:p>
      <w:r>
        <w:t>│</w:t>
      </w:r>
    </w:p>
    <w:p>
      <w:r>
        <w:t>▼</w:t>
      </w:r>
    </w:p>
    <w:p>
      <w:r>
        <w:t>Independent Settlement Verification</w:t>
      </w:r>
    </w:p>
    <w:p>
      <w:r>
        <w:t>(payment confirmation,</w:t>
      </w:r>
    </w:p>
    <w:p>
      <w:r>
        <w:t>bullion transfer confirmation,</w:t>
      </w:r>
    </w:p>
    <w:p>
      <w:r>
        <w:t>custodian acknowledgment)</w:t>
      </w:r>
    </w:p>
    <w:p>
      <w:r>
        <w:t>│</w:t>
      </w:r>
    </w:p>
    <w:p>
      <w:r>
        <w:t>▼</w:t>
      </w:r>
    </w:p>
    <w:p>
      <w:r>
        <w:t>Independent Bullion Verification</w:t>
      </w:r>
    </w:p>
    <w:p>
      <w:r>
        <w:t>(weight</w:t>
      </w:r>
    </w:p>
    <w:p>
      <w:r>
        <w:t>purity</w:t>
      </w:r>
    </w:p>
    <w:p>
      <w:r>
        <w:t>assay certification</w:t>
      </w:r>
    </w:p>
    <w:p>
      <w:r>
        <w:t>serial numbers</w:t>
      </w:r>
    </w:p>
    <w:p>
      <w:r>
        <w:t>chain of custody)</w:t>
      </w:r>
    </w:p>
    <w:p>
      <w:r>
        <w:t>│</w:t>
      </w:r>
    </w:p>
    <w:p>
      <w:r>
        <w:t>▼</w:t>
      </w:r>
    </w:p>
    <w:p>
      <w:r>
        <w:t>Independent Dual Verification</w:t>
      </w:r>
    </w:p>
    <w:p>
      <w:r>
        <w:t>(two authorized officers</w:t>
      </w:r>
    </w:p>
    <w:p>
      <w:r>
        <w:t>or independent verifier</w:t>
      </w:r>
    </w:p>
    <w:p>
      <w:r>
        <w:t>must approve reserve admission)</w:t>
      </w:r>
    </w:p>
    <w:p>
      <w:r>
        <w:t>│</w:t>
      </w:r>
    </w:p>
    <w:p>
      <w:r>
        <w:t>▼</w:t>
      </w:r>
    </w:p>
    <w:p>
      <w:r>
        <w:t>Custody Acceptance</w:t>
      </w:r>
    </w:p>
    <w:p>
      <w:r>
        <w:t>(qualified vault acceptance,</w:t>
      </w:r>
    </w:p>
    <w:p>
      <w:r>
        <w:t>inventory reconciliation,</w:t>
      </w:r>
    </w:p>
    <w:p>
      <w:r>
        <w:t>dual authorization)</w:t>
      </w:r>
    </w:p>
    <w:p>
      <w:r>
        <w:t>│</w:t>
      </w:r>
    </w:p>
    <w:p>
      <w:r>
        <w:t>▼</w:t>
      </w:r>
    </w:p>
    <w:p>
      <w:r>
        <w:t>Update Constitutional Reserve Ledger</w:t>
      </w:r>
    </w:p>
    <w:p>
      <w:r>
        <w:t>│</w:t>
      </w:r>
    </w:p>
    <w:p>
      <w:r>
        <w:t>▼</w:t>
      </w:r>
    </w:p>
    <w:p>
      <w:r>
        <w:t>Generate Updated Proof of Reserves</w:t>
      </w:r>
    </w:p>
    <w:p>
      <w:r>
        <w:t>│</w:t>
      </w:r>
    </w:p>
    <w:p>
      <w:r>
        <w:t>▼</w:t>
      </w:r>
    </w:p>
    <w:p>
      <w:r>
        <w:t>Immutable Audit Record</w:t>
      </w:r>
    </w:p>
    <w:p>
      <w:r>
        <w:t>28.2 Constitutional Acquisition Principles</w:t>
      </w:r>
    </w:p>
    <w:p>
      <w:r>
        <w:t>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p>
    <w:p>
      <w:r>
        <w:t>Execution Methodology: Execute acquisition using an approved execution methodology (including VWAP, TWAP, RFQ, negotiated block execution, or equivalent institutional method) while remaining within policy execution tolerances approved by the Constitutional Reserve Committee.</w:t>
      </w:r>
    </w:p>
    <w:p>
      <w:r>
        <w:t>Counterparty Sourcing: Request competitive quotations from at least three qualified bullion counterparties approved under the Institutional Bullion Counterparty Policy.</w:t>
      </w:r>
    </w:p>
    <w:p>
      <w:r>
        <w:t>Secure Transfer: Transfer through an approved secure logistics provider using institutional custody procedures and documented chain-of-custody controls.</w:t>
      </w:r>
    </w:p>
    <w:p>
      <w:r>
        <w:t>Independent Verification: Independently verify bullion purity, weight, assay certification, serial numbers, provenance where available, and chain-of-custody documentation before reserve recognition.</w:t>
      </w:r>
    </w:p>
    <w:p>
      <w:r>
        <w:t>28.3 Counterparty Eligibility</w:t>
      </w:r>
    </w:p>
    <w:p>
      <w:r>
        <w:t>Bullion may only be acquired from counterparties that satisfy the Institutional Counterparty Policy, including minimum credit, operational, jurisdictional, AML, sanctions, and legal eligibility requirements.</w:t>
      </w:r>
    </w:p>
    <w:p>
      <w:r>
        <w:t>28.4 Delivery Standard</w:t>
      </w:r>
    </w:p>
    <w:p>
      <w:r>
        <w:t>Only investment-grade bullion meeting the Institutional Bullion Standard shall be eligible for reserve admission.</w:t>
      </w:r>
    </w:p>
    <w:p>
      <w:r>
        <w:t>Accepted bullion shall satisfy applicable purity, weight, refinery accreditation, and custody requirements.</w:t>
      </w:r>
    </w:p>
    <w:p>
      <w:r>
        <w:t>28.5 Acquisition Audit Trail</w:t>
      </w:r>
    </w:p>
    <w:p>
      <w:r>
        <w:t>Every acquisition shall permanently record:</w:t>
      </w:r>
    </w:p>
    <w:p>
      <w:r>
        <w:t>Quotation requests</w:t>
      </w:r>
    </w:p>
    <w:p>
      <w:r>
        <w:t>Dealer responses</w:t>
      </w:r>
    </w:p>
    <w:p>
      <w:r>
        <w:t>Execution rationale</w:t>
      </w:r>
    </w:p>
    <w:p>
      <w:r>
        <w:t>Execution timestamp</w:t>
      </w:r>
    </w:p>
    <w:p>
      <w:r>
        <w:t>Settlement confirmation</w:t>
      </w:r>
    </w:p>
    <w:p>
      <w:r>
        <w:t>Custodian confirmation</w:t>
      </w:r>
    </w:p>
    <w:p>
      <w:r>
        <w:t>Assay reports</w:t>
      </w:r>
    </w:p>
    <w:p>
      <w:r>
        <w:t>Serial numbers</w:t>
      </w:r>
    </w:p>
    <w:p>
      <w:r>
        <w:t>Chain-of-custody documents</w:t>
      </w:r>
    </w:p>
    <w:p>
      <w:r>
        <w:t>Reserve ledger update</w:t>
      </w:r>
    </w:p>
    <w:p>
      <w:r>
        <w:t>Proof-of-reserves update</w:t>
      </w:r>
    </w:p>
    <w:p>
      <w:r>
        <w:t>28.6 Exceptional Market Conditions</w:t>
      </w:r>
    </w:p>
    <w:p>
      <w:r>
        <w:t>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p>
    <w:p>
      <w:r>
        <w:t>Any deferment shall be documented, time-limited, and reported to the Constitutional Council.</w:t>
      </w:r>
    </w:p>
    <w:p>
      <w:r>
        <w:t>28.7 Segregated Custody Requirement</w:t>
      </w:r>
    </w:p>
    <w:p>
      <w:r>
        <w:t>All constitutional bullion shall be held under allocated, segregated, bankruptcy-remote custody.</w:t>
      </w:r>
    </w:p>
    <w:p>
      <w:r>
        <w:t>Unallocated bullion holdings shall not qualify as Constitutional Reserve Assets.</w:t>
      </w:r>
    </w:p>
    <w:p>
      <w:r>
        <w:t>28.8 Geographic Diversification</w:t>
      </w:r>
    </w:p>
    <w:p>
      <w:r>
        <w:t>Where operationally appropriate, bullion custody should be diversified across multiple qualified jurisdictions and custodians to reduce geographic, legal, and operational concentration risk.</w:t>
      </w:r>
    </w:p>
    <w:p>
      <w:r>
        <w:t>28.9 Constitutional Verification</w:t>
      </w:r>
    </w:p>
    <w:p>
      <w:r>
        <w:t>text</w:t>
      </w:r>
    </w:p>
    <w:p>
      <w:r>
        <w:t>✓ Bullion Acquisition within Constitutional Range</w:t>
      </w:r>
    </w:p>
    <w:p>
      <w:r>
        <w:t>✓ Minimum three qualified counterparties consulted</w:t>
      </w:r>
    </w:p>
    <w:p>
      <w:r>
        <w:t>✓ Best overall execution selected (not lowest price only)</w:t>
      </w:r>
    </w:p>
    <w:p>
      <w:r>
        <w:t>✓ Approved execution methodology used</w:t>
      </w:r>
    </w:p>
    <w:p>
      <w:r>
        <w:t>✓ Independent settlement verification completed</w:t>
      </w:r>
    </w:p>
    <w:p>
      <w:r>
        <w:t>✓ Independent bullion verification completed</w:t>
      </w:r>
    </w:p>
    <w:p>
      <w:r>
        <w:t>✓ Independent dual verification completed</w:t>
      </w:r>
    </w:p>
    <w:p>
      <w:r>
        <w:t>✓ Segregated custody requirement satisfied</w:t>
      </w:r>
    </w:p>
    <w:p>
      <w:r>
        <w:t>✓ Reserve ledger updated</w:t>
      </w:r>
    </w:p>
    <w:p>
      <w:r>
        <w:t>✓ Proof of Reserves updated</w:t>
      </w:r>
    </w:p>
    <w:p>
      <w:r>
        <w:t>✓ Immutable audit record created</w:t>
      </w:r>
    </w:p>
    <w:p>
      <w:r>
        <w:t>28.10 Related Sections</w:t>
      </w:r>
    </w:p>
    <w:p>
      <w:r>
        <w:t>Section 14 — Gold Anchor</w:t>
      </w:r>
    </w:p>
    <w:p>
      <w:r>
        <w:t>Section 25 — Constitutional Bullion Reserve Layer</w:t>
      </w:r>
    </w:p>
    <w:p>
      <w:r>
        <w:t>Section 26 — Constitutional Operational Stablecoin Reserve Layer</w:t>
      </w:r>
    </w:p>
    <w:p>
      <w:r>
        <w:t>Section 27 — Constitutional Stablecoin Replacement Framework</w:t>
      </w:r>
    </w:p>
    <w:p>
      <w:r>
        <w:t>Section 29 — Constitutional Reserve Rebalancing Algorithm</w:t>
      </w:r>
    </w:p>
    <w:p>
      <w:r>
        <w:t>Section 42 — Daily Proof of Reserves</w:t>
      </w:r>
    </w:p>
    <w:p>
      <w:r>
        <w:t>Section 43 — Formal Verification</w:t>
      </w:r>
    </w:p>
    <w:p>
      <w:r>
        <w:t>Constitutional Verification</w:t>
      </w:r>
    </w:p>
    <w:p>
      <w:r>
        <w:t>text</w:t>
      </w:r>
    </w:p>
    <w:p>
      <w:r>
        <w:t>✓ Constitutional Principle established</w:t>
      </w:r>
    </w:p>
    <w:p>
      <w:r>
        <w:t>✓ Acquisition Workflow defined</w:t>
      </w:r>
    </w:p>
    <w:p>
      <w:r>
        <w:t>✓ Constitutional Acquisition Principles established</w:t>
      </w:r>
    </w:p>
    <w:p>
      <w:r>
        <w:t>✓ Counterparty Eligibility established</w:t>
      </w:r>
    </w:p>
    <w:p>
      <w:r>
        <w:t>✓ Delivery Standard established</w:t>
      </w:r>
    </w:p>
    <w:p>
      <w:r>
        <w:t>✓ Acquisition Audit Trail established</w:t>
      </w:r>
    </w:p>
    <w:p>
      <w:r>
        <w:t>✓ Exceptional Market Conditions defined</w:t>
      </w:r>
    </w:p>
    <w:p>
      <w:r>
        <w:t>✓ Segregated Custody Requirement established</w:t>
      </w:r>
    </w:p>
    <w:p>
      <w:r>
        <w:t>✓ Geographic Diversification established</w:t>
      </w:r>
    </w:p>
    <w:p>
      <w:r>
        <w:t>✓ Constitutional Verification established</w:t>
      </w:r>
    </w:p>
    <w:p>
      <w:r>
        <w:t>✓ Related Sections referenced</w:t>
      </w:r>
    </w:p>
    <w:p>
      <w:r>
        <w:t>[END OF SECTION 28 — CONSTITUTIONAL GOLD AND SILVER ACQUISITION FRAMEWORK]</w:t>
      </w:r>
    </w:p>
    <w:p>
      <w:r>
        <w:t>Section 29: Constitutional Reserve Rebalancing Algorithm</w:t>
      </w:r>
    </w:p>
    <w:p>
      <w:r>
        <w:t>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p>
    <w:p>
      <w:r>
        <w:t>29.1 Constitutional Rebalancing Trigger</w:t>
      </w:r>
    </w:p>
    <w:p>
      <w:r>
        <w:t>Rebalancing shall be initiated only when one or more constitutional trigger conditions are satisfied.</w:t>
      </w:r>
    </w:p>
    <w:p>
      <w:r>
        <w:t>A Constitutional Rebalancing Event occurs when ANY of the following conditions is met:</w:t>
      </w:r>
    </w:p>
    <w:p>
      <w:r>
        <w:t>|Current_Weight_i − Target_Weight_i| &gt; Rebalance_threshold</w:t>
      </w:r>
    </w:p>
    <w:p>
      <w:r>
        <w:t>Reserve Allocation Layer breaches its constitutional policy range</w:t>
      </w:r>
    </w:p>
    <w:p>
      <w:r>
        <w:t>Bullion allocation exceeds its tolerance band</w:t>
      </w:r>
    </w:p>
    <w:p>
      <w:r>
        <w:t>Stablecoin eligibility changes</w:t>
      </w:r>
    </w:p>
    <w:p>
      <w:r>
        <w:t>Currency eligibility changes</w:t>
      </w:r>
    </w:p>
    <w:p>
      <w:r>
        <w:t>Constitutional Concentration Cap is breached</w:t>
      </w:r>
    </w:p>
    <w:p>
      <w:r>
        <w:t>Constitutional Minimum Floor is breached</w:t>
      </w:r>
    </w:p>
    <w:p>
      <w:r>
        <w:t>Reserve Ratio policy requires corrective action</w:t>
      </w:r>
    </w:p>
    <w:p>
      <w:r>
        <w:t>Constitutional Council authorizes extraordinary rebalancing</w:t>
      </w:r>
    </w:p>
    <w:p>
      <w:r>
        <w:t>29.2 Rebalancing Decision Flow</w:t>
      </w:r>
    </w:p>
    <w:p>
      <w:r>
        <w:t>text</w:t>
      </w:r>
    </w:p>
    <w:p>
      <w:r>
        <w:t>Continuous Monitoring</w:t>
      </w:r>
    </w:p>
    <w:p>
      <w:r>
        <w:t>│</w:t>
      </w:r>
    </w:p>
    <w:p>
      <w:r>
        <w:t>▼</w:t>
      </w:r>
    </w:p>
    <w:p>
      <w:r>
        <w:t>Trigger Detected</w:t>
      </w:r>
    </w:p>
    <w:p>
      <w:r>
        <w:t>│</w:t>
      </w:r>
    </w:p>
    <w:p>
      <w:r>
        <w:t>▼</w:t>
      </w:r>
    </w:p>
    <w:p>
      <w:r>
        <w:t>Constitutional Validation</w:t>
      </w:r>
    </w:p>
    <w:p>
      <w:r>
        <w:t>│</w:t>
      </w:r>
    </w:p>
    <w:p>
      <w:r>
        <w:t>▼</w:t>
      </w:r>
    </w:p>
    <w:p>
      <w:r>
        <w:t>Determine Required Adjustments</w:t>
      </w:r>
    </w:p>
    <w:p>
      <w:r>
        <w:t>│</w:t>
      </w:r>
    </w:p>
    <w:p>
      <w:r>
        <w:t>▼</w:t>
      </w:r>
    </w:p>
    <w:p>
      <w:r>
        <w:t>Optimize Execution Plan</w:t>
      </w:r>
    </w:p>
    <w:p>
      <w:r>
        <w:t>│</w:t>
      </w:r>
    </w:p>
    <w:p>
      <w:r>
        <w:t>▼</w:t>
      </w:r>
    </w:p>
    <w:p>
      <w:r>
        <w:t>Risk Verification</w:t>
      </w:r>
    </w:p>
    <w:p>
      <w:r>
        <w:t>│</w:t>
      </w:r>
    </w:p>
    <w:p>
      <w:r>
        <w:t>▼</w:t>
      </w:r>
    </w:p>
    <w:p>
      <w:r>
        <w:t>Independent Approval</w:t>
      </w:r>
    </w:p>
    <w:p>
      <w:r>
        <w:t>│</w:t>
      </w:r>
    </w:p>
    <w:p>
      <w:r>
        <w:t>▼</w:t>
      </w:r>
    </w:p>
    <w:p>
      <w:r>
        <w:t>Execute Rebalancing</w:t>
      </w:r>
    </w:p>
    <w:p>
      <w:r>
        <w:t>│</w:t>
      </w:r>
    </w:p>
    <w:p>
      <w:r>
        <w:t>▼</w:t>
      </w:r>
    </w:p>
    <w:p>
      <w:r>
        <w:t>Settlement Confirmation</w:t>
      </w:r>
    </w:p>
    <w:p>
      <w:r>
        <w:t>│</w:t>
      </w:r>
    </w:p>
    <w:p>
      <w:r>
        <w:t>▼</w:t>
      </w:r>
    </w:p>
    <w:p>
      <w:r>
        <w:t>Update Reserve Ledger</w:t>
      </w:r>
    </w:p>
    <w:p>
      <w:r>
        <w:t>│</w:t>
      </w:r>
    </w:p>
    <w:p>
      <w:r>
        <w:t>▼</w:t>
      </w:r>
    </w:p>
    <w:p>
      <w:r>
        <w:t>Generate Updated Proof of Reserves</w:t>
      </w:r>
    </w:p>
    <w:p>
      <w:r>
        <w:t>│</w:t>
      </w:r>
    </w:p>
    <w:p>
      <w:r>
        <w:t>▼</w:t>
      </w:r>
    </w:p>
    <w:p>
      <w:r>
        <w:t>Immutable Audit Record</w:t>
      </w:r>
    </w:p>
    <w:p>
      <w:r>
        <w:t>29.3 Constitutional Execution Principles</w:t>
      </w:r>
    </w:p>
    <w:p>
      <w:r>
        <w:t>Rebalancing shall:</w:t>
      </w:r>
    </w:p>
    <w:p>
      <w:r>
        <w:t>Minimize transaction costs</w:t>
      </w:r>
    </w:p>
    <w:p>
      <w:r>
        <w:t>Minimize market impact</w:t>
      </w:r>
    </w:p>
    <w:p>
      <w:r>
        <w:t>Maintain continuous redemption capability</w:t>
      </w:r>
    </w:p>
    <w:p>
      <w:r>
        <w:t>Preserve reserve ratio compliance</w:t>
      </w:r>
    </w:p>
    <w:p>
      <w:r>
        <w:t>Preserve liquidity coverage</w:t>
      </w:r>
    </w:p>
    <w:p>
      <w:r>
        <w:t>Preserve constitutional concentration limits</w:t>
      </w:r>
    </w:p>
    <w:p>
      <w:r>
        <w:t>Preserve constitutional allocation ranges</w:t>
      </w:r>
    </w:p>
    <w:p>
      <w:r>
        <w:t>Preserve bullion allocation limits</w:t>
      </w:r>
    </w:p>
    <w:p>
      <w:r>
        <w:t>Preserve stablecoin eligibility requirements</w:t>
      </w:r>
    </w:p>
    <w:p>
      <w:r>
        <w:t>29.4 Partial Rebalancing Principle</w:t>
      </w:r>
    </w:p>
    <w:p>
      <w:r>
        <w:t>Only the minimum transactions necessary to restore constitutional compliance shall be executed.</w:t>
      </w:r>
    </w:p>
    <w:p>
      <w:r>
        <w:t>Assets already within constitutional tolerance shall not be traded unnecessarily.</w:t>
      </w:r>
    </w:p>
    <w:p>
      <w:r>
        <w:t>29.5 Execution Methodology</w:t>
      </w:r>
    </w:p>
    <w:p>
      <w:r>
        <w:t>Execution shall utilize approved institutional execution methodologies, including:</w:t>
      </w:r>
    </w:p>
    <w:p>
      <w:r>
        <w:t>VWAP (Volume-Weighted Average Price)</w:t>
      </w:r>
    </w:p>
    <w:p>
      <w:r>
        <w:t>TWAP (Time-Weighted Average Price)</w:t>
      </w:r>
    </w:p>
    <w:p>
      <w:r>
        <w:t>RFQ (Request for Quote)</w:t>
      </w:r>
    </w:p>
    <w:p>
      <w:r>
        <w:t>Negotiated Block Execution</w:t>
      </w:r>
    </w:p>
    <w:p>
      <w:r>
        <w:t>Algorithmic Execution</w:t>
      </w:r>
    </w:p>
    <w:p>
      <w:r>
        <w:t>Or any equivalent methodology approved under the Constitutional Execution Policy.</w:t>
      </w:r>
    </w:p>
    <w:p>
      <w:r>
        <w:t>29.6 Liquidity Protection</w:t>
      </w:r>
    </w:p>
    <w:p>
      <w:r>
        <w:t>No rebalancing shall reduce the Liquidity Coverage Ratio below its constitutional minimum.</w:t>
      </w:r>
    </w:p>
    <w:p>
      <w:r>
        <w:t>If liquidity would be impaired, execution shall occur in phased transactions.</w:t>
      </w:r>
    </w:p>
    <w:p>
      <w:r>
        <w:t>29.7 Reserve Ratio Protection</w:t>
      </w:r>
    </w:p>
    <w:p>
      <w:r>
        <w:t>No rebalancing may reduce the Constitutional Reserve Ratio below RR_target except during declared Constitutional Emergency Procedures.</w:t>
      </w:r>
    </w:p>
    <w:p>
      <w:r>
        <w:t>29.8 Concentration Protection</w:t>
      </w:r>
    </w:p>
    <w:p>
      <w:r>
        <w:t>Every execution step shall maintain compliance with:</w:t>
      </w:r>
    </w:p>
    <w:p>
      <w:r>
        <w:t>Maximum Currency Weight</w:t>
      </w:r>
    </w:p>
    <w:p>
      <w:r>
        <w:t>Minimum Currency Floor</w:t>
      </w:r>
    </w:p>
    <w:p>
      <w:r>
        <w:t>Counterparty Exposure Limits</w:t>
      </w:r>
    </w:p>
    <w:p>
      <w:r>
        <w:t>Custodian Concentration Limits</w:t>
      </w:r>
    </w:p>
    <w:p>
      <w:r>
        <w:t>Bullion Allocation Limits</w:t>
      </w:r>
    </w:p>
    <w:p>
      <w:r>
        <w:t>Stablecoin Allocation Limits</w:t>
      </w:r>
    </w:p>
    <w:p>
      <w:r>
        <w:t>29.9 Constitutional Verification</w:t>
      </w:r>
    </w:p>
    <w:p>
      <w:r>
        <w:t>Immediately following completion of rebalancing, the system shall automatically verify:</w:t>
      </w:r>
    </w:p>
    <w:p>
      <w:r>
        <w:t>Currency Weights</w:t>
      </w:r>
    </w:p>
    <w:p>
      <w:r>
        <w:t>Reserve Allocation</w:t>
      </w:r>
    </w:p>
    <w:p>
      <w:r>
        <w:t>Reserve Ratio</w:t>
      </w:r>
    </w:p>
    <w:p>
      <w:r>
        <w:t>Liquidity Coverage Ratio</w:t>
      </w:r>
    </w:p>
    <w:p>
      <w:r>
        <w:t>Constitutional Risk Index</w:t>
      </w:r>
    </w:p>
    <w:p>
      <w:r>
        <w:t>Counterparty Limits</w:t>
      </w:r>
    </w:p>
    <w:p>
      <w:r>
        <w:t>Bullion Allocation</w:t>
      </w:r>
    </w:p>
    <w:p>
      <w:r>
        <w:t>Stablecoin Eligibility</w:t>
      </w:r>
    </w:p>
    <w:p>
      <w:r>
        <w:t>Mathematical Consistency</w:t>
      </w:r>
    </w:p>
    <w:p>
      <w:r>
        <w:t>Before the new reserve state becomes constitutionally active.</w:t>
      </w:r>
    </w:p>
    <w:p>
      <w:r>
        <w:t>29.10 Proof Generation</w:t>
      </w:r>
    </w:p>
    <w:p>
      <w:r>
        <w:t>Upon successful verification, the system shall automatically generate:</w:t>
      </w:r>
    </w:p>
    <w:p>
      <w:r>
        <w:t>Updated Reserve Ledger</w:t>
      </w:r>
    </w:p>
    <w:p>
      <w:r>
        <w:t>Updated Proof of Reserves</w:t>
      </w:r>
    </w:p>
    <w:p>
      <w:r>
        <w:t>Updated Weight Calculations</w:t>
      </w:r>
    </w:p>
    <w:p>
      <w:r>
        <w:t>Updated Constitutional Metrics</w:t>
      </w:r>
    </w:p>
    <w:p>
      <w:r>
        <w:t>Immutable Audit Record</w:t>
      </w:r>
    </w:p>
    <w:p>
      <w:r>
        <w:t>Cryptographic Verification Hash</w:t>
      </w:r>
    </w:p>
    <w:p>
      <w:r>
        <w:t>29.11 Exceptional Circumstances</w:t>
      </w:r>
    </w:p>
    <w:p>
      <w:r>
        <w:t>If market disruption, force majeure, sanctions, exchange closure, or legal restrictions prevent full rebalancing, the Constitutional Reserve Committee may authorize phased execution.</w:t>
      </w:r>
    </w:p>
    <w:p>
      <w:r>
        <w:t>The reason, duration, and mitigation plan shall be permanently recorded in the Constitutional Audit Ledger.</w:t>
      </w:r>
    </w:p>
    <w:p>
      <w:r>
        <w:t>29.12 Deterministic Requirement</w:t>
      </w:r>
    </w:p>
    <w:p>
      <w:r>
        <w:t>Given identical inputs, every validator shall compute identical rebalancing decisions.</w:t>
      </w:r>
    </w:p>
    <w:p>
      <w:r>
        <w:t>Rebalancing calculations shall use deterministic fixed-precision arithmetic and produce identical constitutional outputs across all validating nodes.</w:t>
      </w:r>
    </w:p>
    <w:p>
      <w:r>
        <w:t>29.13 Constitutional Verification</w:t>
      </w:r>
    </w:p>
    <w:p>
      <w:r>
        <w:t>text</w:t>
      </w:r>
    </w:p>
    <w:p>
      <w:r>
        <w:t>✓ Rebalancing Trigger Validated</w:t>
      </w:r>
    </w:p>
    <w:p>
      <w:r>
        <w:t>✓ Required Adjustments Determined</w:t>
      </w:r>
    </w:p>
    <w:p>
      <w:r>
        <w:t>✓ Execution Plan Optimized</w:t>
      </w:r>
    </w:p>
    <w:p>
      <w:r>
        <w:t>✓ Risk Verification Completed</w:t>
      </w:r>
    </w:p>
    <w:p>
      <w:r>
        <w:t>✓ Independent Approval Obtained</w:t>
      </w:r>
    </w:p>
    <w:p>
      <w:r>
        <w:t>✓ Execution Completed</w:t>
      </w:r>
    </w:p>
    <w:p>
      <w:r>
        <w:t>✓ Settlement Confirmed</w:t>
      </w:r>
    </w:p>
    <w:p>
      <w:r>
        <w:t>✓ Reserve Ledger Updated</w:t>
      </w:r>
    </w:p>
    <w:p>
      <w:r>
        <w:t>✓ Proof of Reserves Generated</w:t>
      </w:r>
    </w:p>
    <w:p>
      <w:r>
        <w:t>✓ All Constitutional Constraints Satisfied</w:t>
      </w:r>
    </w:p>
    <w:p>
      <w:r>
        <w:t>✓ Deterministic Execution Verified</w:t>
      </w:r>
    </w:p>
    <w:p>
      <w:r>
        <w:t>✓ Immutable Audit Record Created</w:t>
      </w:r>
    </w:p>
    <w:p>
      <w:r>
        <w:t>29.14 Related Sections</w:t>
      </w:r>
    </w:p>
    <w:p>
      <w:r>
        <w:t>Section 11 — Monetary Engine Determinism</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28 — Constitutional Gold and Silver Acquisition Framework</w:t>
      </w:r>
    </w:p>
    <w:p>
      <w:r>
        <w:t>Section 42 — Daily Proof of Reserves</w:t>
      </w:r>
    </w:p>
    <w:p>
      <w:r>
        <w:t>Section 43 — Formal Verification</w:t>
      </w:r>
    </w:p>
    <w:p>
      <w:r>
        <w:t>Constitutional Verification</w:t>
      </w:r>
    </w:p>
    <w:p>
      <w:r>
        <w:t>text</w:t>
      </w:r>
    </w:p>
    <w:p>
      <w:r>
        <w:t>✓ Constitutional Principle established</w:t>
      </w:r>
    </w:p>
    <w:p>
      <w:r>
        <w:t>✓ Constitutional Rebalancing Trigger defined</w:t>
      </w:r>
    </w:p>
    <w:p>
      <w:r>
        <w:t>✓ Rebalancing Decision Flow defined</w:t>
      </w:r>
    </w:p>
    <w:p>
      <w:r>
        <w:t>✓ Constitutional Execution Principles established</w:t>
      </w:r>
    </w:p>
    <w:p>
      <w:r>
        <w:t>✓ Partial Rebalancing Principle established</w:t>
      </w:r>
    </w:p>
    <w:p>
      <w:r>
        <w:t>✓ Execution Methodology defined</w:t>
      </w:r>
    </w:p>
    <w:p>
      <w:r>
        <w:t>✓ Liquidity Protection established</w:t>
      </w:r>
    </w:p>
    <w:p>
      <w:r>
        <w:t>✓ Reserve Ratio Protection established</w:t>
      </w:r>
    </w:p>
    <w:p>
      <w:r>
        <w:t>✓ Concentration Protection established</w:t>
      </w:r>
    </w:p>
    <w:p>
      <w:r>
        <w:t>✓ Constitutional Verification established</w:t>
      </w:r>
    </w:p>
    <w:p>
      <w:r>
        <w:t>✓ Proof Generation established</w:t>
      </w:r>
    </w:p>
    <w:p>
      <w:r>
        <w:t>✓ Exceptional Circumstances defined</w:t>
      </w:r>
    </w:p>
    <w:p>
      <w:r>
        <w:t>✓ Deterministic Requirement established</w:t>
      </w:r>
    </w:p>
    <w:p>
      <w:r>
        <w:t>✓ Constitutional Verification established</w:t>
      </w:r>
    </w:p>
    <w:p>
      <w:r>
        <w:t>✓ Related Sections referenced</w:t>
      </w:r>
    </w:p>
    <w:p>
      <w:r>
        <w:t>[END OF SECTION 29 — CONSTITUTIONAL RESERVE REBALANCING ALGORITHM]</w:t>
      </w:r>
    </w:p>
    <w:p>
      <w:r>
        <w:t>[END OF PART IV — RESERVE ALLOCATION]</w:t>
      </w:r>
    </w:p>
    <w:p>
      <w:r>
        <w:t>PART V — ORACLE ENGINE &amp; TECHNICAL OPERATIONS</w:t>
      </w:r>
    </w:p>
    <w:p>
      <w:r>
        <w:t>Section 30: Constitutional Oracle Architecture</w:t>
      </w:r>
    </w:p>
    <w:p>
      <w:r>
        <w:t>30.1 Constitutional Principle</w:t>
      </w:r>
    </w:p>
    <w:p>
      <w:r>
        <w:t>The Constitutional Oracle Engine shall obtain market data from multiple independent, high-quality data sources to ensure accuracy, resilience, determinism, transparency, and resistance to manipulation.</w:t>
      </w:r>
    </w:p>
    <w:p>
      <w:r>
        <w:t>No single oracle provider, institution, jurisdiction, technology, or data source shall constitute a single point of failure.</w:t>
      </w:r>
    </w:p>
    <w:p>
      <w:r>
        <w:t>Constitutional market data shall remain vendor-neutral and technology-neutral.</w:t>
      </w:r>
    </w:p>
    <w:p>
      <w:r>
        <w:t>30.2 Constitutional Oracle Architecture</w:t>
      </w:r>
    </w:p>
    <w:p>
      <w:r>
        <w:t>30.3 Oracle Diversity Requirements</w:t>
      </w:r>
    </w:p>
    <w:p>
      <w:r>
        <w:t>The Constitutional Oracle Engine shall maintain diversity across:</w:t>
      </w:r>
    </w:p>
    <w:p>
      <w:r>
        <w:t>Independent oracle families</w:t>
      </w:r>
    </w:p>
    <w:p>
      <w:r>
        <w:t>Infrastructure providers</w:t>
      </w:r>
    </w:p>
    <w:p>
      <w:r>
        <w:t>Geographic jurisdictions</w:t>
      </w:r>
    </w:p>
    <w:p>
      <w:r>
        <w:t>Market data vendors</w:t>
      </w:r>
    </w:p>
    <w:p>
      <w:r>
        <w:t>Network operators</w:t>
      </w:r>
    </w:p>
    <w:p>
      <w:r>
        <w:t>Communication channels</w:t>
      </w:r>
    </w:p>
    <w:p>
      <w:r>
        <w:t>Validation methodologies</w:t>
      </w:r>
    </w:p>
    <w:p>
      <w:r>
        <w:t>No constitutional operation shall depend upon a single oracle family or data provider.</w:t>
      </w:r>
    </w:p>
    <w:p>
      <w:r>
        <w:t>30.4 Approved Oracle Categories</w:t>
      </w:r>
    </w:p>
    <w:p>
      <w:r>
        <w:t>Approved oracle sources may include, but are not limited to:</w:t>
      </w:r>
    </w:p>
    <w:p>
      <w:r>
        <w:t>Decentralized oracle networks</w:t>
      </w:r>
    </w:p>
    <w:p>
      <w:r>
        <w:t>Institutional market data providers</w:t>
      </w:r>
    </w:p>
    <w:p>
      <w:r>
        <w:t>Regulated financial market infrastructure</w:t>
      </w:r>
    </w:p>
    <w:p>
      <w:r>
        <w:t>Official bullion market reference sources</w:t>
      </w:r>
    </w:p>
    <w:p>
      <w:r>
        <w:t>Central bank reference exchange rates</w:t>
      </w:r>
    </w:p>
    <w:p>
      <w:r>
        <w:t>Official reserve statistics</w:t>
      </w:r>
    </w:p>
    <w:p>
      <w:r>
        <w:t>Regulated exchange reference feeds</w:t>
      </w:r>
    </w:p>
    <w:p>
      <w:r>
        <w:t>Additional oracle providers may be admitted through the Constitutional Oracle Policy without constitutional amendment, provided they satisfy all constitutional eligibility requirements.</w:t>
      </w:r>
    </w:p>
    <w:p>
      <w:r>
        <w:t>30.5 Oracle Independence</w:t>
      </w:r>
    </w:p>
    <w:p>
      <w:r>
        <w:t>All oracle providers shall remain operationally, technologically, financially, and jurisdictionally independent to minimize correlated failure risk.</w:t>
      </w:r>
    </w:p>
    <w:p>
      <w:r>
        <w:t>No oracle provider shall possess constitutional authority over pricing outcomes.</w:t>
      </w:r>
    </w:p>
    <w:p>
      <w:r>
        <w:t>30.5A Common-Mode Failure Independence</w:t>
      </w:r>
    </w:p>
    <w:p>
      <w:r>
        <w:t>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r>
        <w:t>The Institution SHALL maintain a continuously updated dependency graph identifying upstream and common-mode relationships. Oracle consensus SHALL discount or reject correlated sources so that nominal source count cannot conceal common-mode failure.</w:t>
      </w:r>
    </w:p>
    <w:p>
      <w:r>
        <w:t>Production requirements:</w:t>
      </w:r>
    </w:p>
    <w:p>
      <w:pPr>
        <w:pStyle w:val="ListBullet"/>
        <w:ind w:left="425"/>
      </w:pPr>
      <w:r>
        <w:t>critical fiat and bullion feeds SHALL include institutional or official reference sources where legally and technically available;</w:t>
      </w:r>
    </w:p>
    <w:p>
      <w:pPr>
        <w:pStyle w:val="ListBullet"/>
        <w:ind w:left="425"/>
      </w:pPr>
      <w:r>
        <w:t>at least one independent infrastructure path SHALL exist outside the dominant commercial cloud dependency set;</w:t>
      </w:r>
    </w:p>
    <w:p>
      <w:pPr>
        <w:pStyle w:val="ListBullet"/>
        <w:ind w:left="425"/>
      </w:pPr>
      <w:r>
        <w:t>a full common-mode outage of any one cloud provider, data vendor, network operator, or jurisdiction SHALL be included in quarterly adversarial testing;</w:t>
      </w:r>
    </w:p>
    <w:p>
      <w:pPr>
        <w:pStyle w:val="ListBullet"/>
        <w:ind w:left="425"/>
      </w:pPr>
      <w:r>
        <w:t>fallback data SHALL have explicit freshness, confidence, and authority limits;</w:t>
      </w:r>
    </w:p>
    <w:p>
      <w:pPr>
        <w:pStyle w:val="ListBullet"/>
        <w:ind w:left="425"/>
      </w:pPr>
      <w:r>
        <w:t>stale TWAP or fallback values SHALL NOT be treated as equivalent to live market consensus during fast markets without a documented uncertainty penalty and emergency rule.</w:t>
      </w:r>
    </w:p>
    <w:p>
      <w:r>
        <w:t>30.6 Oracle Contribution Limits</w:t>
      </w:r>
    </w:p>
    <w:p>
      <w:r>
        <w:t>No single oracle family shall contribute more than the constitutional maximum contribution defined in the Constitutional Constants Registry.</w:t>
      </w:r>
    </w:p>
    <w:p>
      <w:r>
        <w:t>Oracle contributions shall remain sufficiently diversified to preserve resilience against manipulation, outage, or systemic failure.</w:t>
      </w:r>
    </w:p>
    <w:p>
      <w:r>
        <w:t>30.7 Official Reference Sources</w:t>
      </w:r>
    </w:p>
    <w:p>
      <w:r>
        <w:t>Where available, official reference prices shall be obtained from:</w:t>
      </w:r>
    </w:p>
    <w:p>
      <w:r>
        <w:t>Official bullion market benchmarks</w:t>
      </w:r>
    </w:p>
    <w:p>
      <w:r>
        <w:t>Central bank reference exchange rates</w:t>
      </w:r>
    </w:p>
    <w:p>
      <w:r>
        <w:t>Recognized financial market infrastructure</w:t>
      </w:r>
    </w:p>
    <w:p>
      <w:r>
        <w:t>Official reserve statistics</w:t>
      </w:r>
    </w:p>
    <w:p>
      <w:r>
        <w:t>Official reference sources provide constitutional reference data and do not replace independent oracle consensus.</w:t>
      </w:r>
    </w:p>
    <w:p>
      <w:r>
        <w:t>30.8 Institutional Market Data</w:t>
      </w:r>
    </w:p>
    <w:p>
      <w:r>
        <w:t>Qualified institutional market data providers may be utilized to improve pricing robustness, validation, anomaly detection, and market verification.</w:t>
      </w:r>
    </w:p>
    <w:p>
      <w:r>
        <w:t>Admission, suspension, or replacement of institutional providers shall follow the Constitutional Oracle Policy.</w:t>
      </w:r>
    </w:p>
    <w:p>
      <w:r>
        <w:t>30.9 Oracle Quality Requirements</w:t>
      </w:r>
    </w:p>
    <w:p>
      <w:r>
        <w:t>Every oracle provider shall satisfy minimum constitutional standards for:</w:t>
      </w:r>
    </w:p>
    <w:p>
      <w:r>
        <w:t>Availability</w:t>
      </w:r>
    </w:p>
    <w:p>
      <w:r>
        <w:t>Latency</w:t>
      </w:r>
    </w:p>
    <w:p>
      <w:r>
        <w:t>Accuracy</w:t>
      </w:r>
    </w:p>
    <w:p>
      <w:r>
        <w:t>Consistency</w:t>
      </w:r>
    </w:p>
    <w:p>
      <w:r>
        <w:t>Resilience</w:t>
      </w:r>
    </w:p>
    <w:p>
      <w:r>
        <w:t>Historical reliability</w:t>
      </w:r>
    </w:p>
    <w:p>
      <w:r>
        <w:t>Auditability</w:t>
      </w:r>
    </w:p>
    <w:p>
      <w:r>
        <w:t>Legal accessibility</w:t>
      </w:r>
    </w:p>
    <w:p>
      <w:r>
        <w:t>Operational security</w:t>
      </w:r>
    </w:p>
    <w:p>
      <w:r>
        <w:t>Providers failing constitutional standards may be suspended or removed through the Constitutional Oracle Governance Process.</w:t>
      </w:r>
    </w:p>
    <w:p>
      <w:r>
        <w:t>30.10 Oracle Failure Principle</w:t>
      </w:r>
    </w:p>
    <w:p>
      <w:r>
        <w:t>Failure of any single:</w:t>
      </w:r>
    </w:p>
    <w:p>
      <w:r>
        <w:t>Oracle network</w:t>
      </w:r>
    </w:p>
    <w:p>
      <w:r>
        <w:t>Market data provider</w:t>
      </w:r>
    </w:p>
    <w:p>
      <w:r>
        <w:t>Exchange</w:t>
      </w:r>
    </w:p>
    <w:p>
      <w:r>
        <w:t>Institution</w:t>
      </w:r>
    </w:p>
    <w:p>
      <w:r>
        <w:t>Infrastructure provider</w:t>
      </w:r>
    </w:p>
    <w:p>
      <w:r>
        <w:t>Shall not interrupt constitutional operation.</w:t>
      </w:r>
    </w:p>
    <w:p>
      <w:r>
        <w:t>The Constitutional Oracle Engine shall automatically continue operating using the remaining qualified oracle sources.</w:t>
      </w:r>
    </w:p>
    <w:p>
      <w:r>
        <w:t>30.11 Oracle Governance</w:t>
      </w:r>
    </w:p>
    <w:p>
      <w:r>
        <w:t>Admission, suspension, replacement, and removal of oracle providers shall follow the Constitutional Oracle Governance Framework.</w:t>
      </w:r>
    </w:p>
    <w:p>
      <w:r>
        <w:t>Oracle governance shall be transparent, deterministic, auditable, and independent of any individual provider.</w:t>
      </w:r>
    </w:p>
    <w:p>
      <w:r>
        <w:t>30.12 Oracle Audit Trail</w:t>
      </w:r>
    </w:p>
    <w:p>
      <w:r>
        <w:t>Every oracle observation shall permanently record:</w:t>
      </w:r>
    </w:p>
    <w:p>
      <w:r>
        <w:t>Oracle source</w:t>
      </w:r>
    </w:p>
    <w:p>
      <w:r>
        <w:t>Provider identity</w:t>
      </w:r>
    </w:p>
    <w:p>
      <w:r>
        <w:t>Market identifier</w:t>
      </w:r>
    </w:p>
    <w:p>
      <w:r>
        <w:t>Timestamp</w:t>
      </w:r>
    </w:p>
    <w:p>
      <w:r>
        <w:t>Received value</w:t>
      </w:r>
    </w:p>
    <w:p>
      <w:r>
        <w:t>Validation result</w:t>
      </w:r>
    </w:p>
    <w:p>
      <w:r>
        <w:t>Consensus result</w:t>
      </w:r>
    </w:p>
    <w:p>
      <w:r>
        <w:t>Confidence score</w:t>
      </w:r>
    </w:p>
    <w:p>
      <w:r>
        <w:t>Cryptographic hash</w:t>
      </w:r>
    </w:p>
    <w:p>
      <w:r>
        <w:t>Immutable audit reference</w:t>
      </w:r>
    </w:p>
    <w:p>
      <w:r>
        <w:t>All oracle observations shall be retained in the Constitutional Audit Ledger.</w:t>
      </w:r>
    </w:p>
    <w:p>
      <w:r>
        <w:t>30.13 Oracle Neutrality</w:t>
      </w:r>
    </w:p>
    <w:p>
      <w:r>
        <w:t>The Constitutional Oracle Engine shall remain vendor-neutral and technology-neutral.</w:t>
      </w:r>
    </w:p>
    <w:p>
      <w:r>
        <w:t>No organization, company, protocol, blockchain, or software implementation is constitutionally required.</w:t>
      </w:r>
    </w:p>
    <w:p>
      <w:r>
        <w:t>Equivalent or superior oracle technologies may be adopted through the Constitutional Oracle Policy without constitutional amendment, provided constitutional requirements continue to be satisfied.</w:t>
      </w:r>
    </w:p>
    <w:p>
      <w:r>
        <w:t>30.14 Constitutional Oracle Hierarchy</w:t>
      </w:r>
    </w:p>
    <w:p>
      <w:r>
        <w:t>The Constitutional Oracle Engine shall process market data in the following order:</w:t>
      </w:r>
    </w:p>
    <w:p>
      <w:r>
        <w:t>text</w:t>
      </w:r>
    </w:p>
    <w:p>
      <w:r>
        <w:t>Market Data Sources</w:t>
      </w:r>
    </w:p>
    <w:p>
      <w:r>
        <w:t>│</w:t>
      </w:r>
    </w:p>
    <w:p>
      <w:r>
        <w:t>▼</w:t>
      </w:r>
    </w:p>
    <w:p>
      <w:r>
        <w:t>Oracle Collection Layer</w:t>
      </w:r>
    </w:p>
    <w:p>
      <w:r>
        <w:t>│</w:t>
      </w:r>
    </w:p>
    <w:p>
      <w:r>
        <w:t>▼</w:t>
      </w:r>
    </w:p>
    <w:p>
      <w:r>
        <w:t>Validation Layer</w:t>
      </w:r>
    </w:p>
    <w:p>
      <w:r>
        <w:t>│</w:t>
      </w:r>
    </w:p>
    <w:p>
      <w:r>
        <w:t>▼</w:t>
      </w:r>
    </w:p>
    <w:p>
      <w:r>
        <w:t>Consensus Engine</w:t>
      </w:r>
    </w:p>
    <w:p>
      <w:r>
        <w:t>│</w:t>
      </w:r>
    </w:p>
    <w:p>
      <w:r>
        <w:t>▼</w:t>
      </w:r>
    </w:p>
    <w:p>
      <w:r>
        <w:t>Anomaly Detection</w:t>
      </w:r>
    </w:p>
    <w:p>
      <w:r>
        <w:t>│</w:t>
      </w:r>
    </w:p>
    <w:p>
      <w:r>
        <w:t>▼</w:t>
      </w:r>
    </w:p>
    <w:p>
      <w:r>
        <w:t>Freshness Verification</w:t>
      </w:r>
    </w:p>
    <w:p>
      <w:r>
        <w:t>│</w:t>
      </w:r>
    </w:p>
    <w:p>
      <w:r>
        <w:t>▼</w:t>
      </w:r>
    </w:p>
    <w:p>
      <w:r>
        <w:t>Constitutional Acceptance</w:t>
      </w:r>
    </w:p>
    <w:p>
      <w:r>
        <w:t>│</w:t>
      </w:r>
    </w:p>
    <w:p>
      <w:r>
        <w:t>▼</w:t>
      </w:r>
    </w:p>
    <w:p>
      <w:r>
        <w:t>Immutable Audit Record</w:t>
      </w:r>
    </w:p>
    <w:p>
      <w:r>
        <w:t>│</w:t>
      </w:r>
    </w:p>
    <w:p>
      <w:r>
        <w:t>▼</w:t>
      </w:r>
    </w:p>
    <w:p>
      <w:r>
        <w:t>Pricing Engine</w:t>
      </w:r>
    </w:p>
    <w:p>
      <w:r>
        <w:t>30.15 Deterministic Oracle Requirement</w:t>
      </w:r>
    </w:p>
    <w:p>
      <w:r>
        <w:t>Given identical market observations and identical constitutional inputs, every validator shall produce identical oracle outputs.</w:t>
      </w:r>
    </w:p>
    <w:p>
      <w:r>
        <w:t>Oracle processing shall:</w:t>
      </w:r>
    </w:p>
    <w:p>
      <w:r>
        <w:t>Use deterministic algorithms</w:t>
      </w:r>
    </w:p>
    <w:p>
      <w:r>
        <w:t>Use fixed-precision arithmetic</w:t>
      </w:r>
    </w:p>
    <w:p>
      <w:r>
        <w:t>Prohibit randomness</w:t>
      </w:r>
    </w:p>
    <w:p>
      <w:r>
        <w:t>Prohibit nondeterministic ordering</w:t>
      </w:r>
    </w:p>
    <w:p>
      <w:r>
        <w:t>Produce identical consensus across all validating nodes</w:t>
      </w:r>
    </w:p>
    <w:p>
      <w:r>
        <w:t>Any oracle result that cannot be reproduced deterministically shall be constitutionally invalid.</w:t>
      </w:r>
    </w:p>
    <w:p>
      <w:r>
        <w:t>30.16 Constitutional Verification</w:t>
      </w:r>
    </w:p>
    <w:p>
      <w:r>
        <w:t>text</w:t>
      </w:r>
    </w:p>
    <w:p>
      <w:r>
        <w:t>✓ Constitutional Principle established</w:t>
      </w:r>
    </w:p>
    <w:p>
      <w:r>
        <w:t>✓ Constitutional Oracle Architecture defined</w:t>
      </w:r>
    </w:p>
    <w:p>
      <w:r>
        <w:t>✓ Oracle Diversity Requirements established</w:t>
      </w:r>
    </w:p>
    <w:p>
      <w:r>
        <w:t>✓ Approved Oracle Categories defined</w:t>
      </w:r>
    </w:p>
    <w:p>
      <w:r>
        <w:t>✓ Oracle Independence established</w:t>
      </w:r>
    </w:p>
    <w:p>
      <w:r>
        <w:t>✓ Oracle Contribution Limits established</w:t>
      </w:r>
    </w:p>
    <w:p>
      <w:r>
        <w:t>✓ Official Reference Sources defined</w:t>
      </w:r>
    </w:p>
    <w:p>
      <w:r>
        <w:t>✓ Institutional Market Data defined</w:t>
      </w:r>
    </w:p>
    <w:p>
      <w:r>
        <w:t>✓ Oracle Quality Requirements established</w:t>
      </w:r>
    </w:p>
    <w:p>
      <w:r>
        <w:t>✓ Oracle Failure Principle established</w:t>
      </w:r>
    </w:p>
    <w:p>
      <w:r>
        <w:t>✓ Oracle Governance established</w:t>
      </w:r>
    </w:p>
    <w:p>
      <w:r>
        <w:t>✓ Oracle Audit Trail established</w:t>
      </w:r>
    </w:p>
    <w:p>
      <w:r>
        <w:t>✓ Oracle Neutrality established</w:t>
      </w:r>
    </w:p>
    <w:p>
      <w:r>
        <w:t>✓ Constitutional Oracle Hierarchy defined</w:t>
      </w:r>
    </w:p>
    <w:p>
      <w:r>
        <w:t>✓ Deterministic Oracle Requirement established</w:t>
      </w:r>
    </w:p>
    <w:p>
      <w:r>
        <w:t>30.17 Related Sections</w:t>
      </w:r>
    </w:p>
    <w:p>
      <w:r>
        <w:t>Section 11 — Monetary Engine Determinism</w:t>
      </w:r>
    </w:p>
    <w:p>
      <w:r>
        <w:t>Section 31 — Constitutional Oracle Consensus</w:t>
      </w:r>
    </w:p>
    <w:p>
      <w:r>
        <w:t>Section 32 — Constitutional Oracle Failure Recovery</w:t>
      </w:r>
    </w:p>
    <w:p>
      <w:r>
        <w:t>Section 33 — Severe Deviation Protocol (SDP)</w:t>
      </w:r>
    </w:p>
    <w:p>
      <w:r>
        <w:t>Section 42 — Daily Proof of Reserves</w:t>
      </w:r>
    </w:p>
    <w:p>
      <w:r>
        <w:t>Section 43 — Formal Verification</w:t>
      </w:r>
    </w:p>
    <w:p>
      <w:r>
        <w:t>[END OF SECTION 30 — CONSTITUTIONAL ORACLE ARCHITECTURE]</w:t>
      </w:r>
    </w:p>
    <w:p>
      <w:r>
        <w:t>Section 31: Constitutional Oracle Consensus — Weighted Median Framework</w:t>
      </w:r>
    </w:p>
    <w:p>
      <w:r>
        <w:t>31.1 Constitutional Principle</w:t>
      </w:r>
    </w:p>
    <w:p>
      <w:r>
        <w:t>No single oracle observation, provider, institution, or market participant shall determine a constitutional market price. Constitutional pricing shall emerge only through deterministic consensus among qualified oracle sources.</w:t>
      </w:r>
    </w:p>
    <w:p>
      <w:r>
        <w:t>31.2 Canonical Consensus Algorithm</w:t>
      </w:r>
    </w:p>
    <w:p>
      <w:r>
        <w:t>text</w:t>
      </w:r>
    </w:p>
    <w:p>
      <w:r>
        <w:t>Collect Oracle Observations</w:t>
      </w:r>
    </w:p>
    <w:p>
      <w:r>
        <w:t>│</w:t>
      </w:r>
    </w:p>
    <w:p>
      <w:r>
        <w:t>▼</w:t>
      </w:r>
    </w:p>
    <w:p>
      <w:r>
        <w:t>Freshness Verification</w:t>
      </w:r>
    </w:p>
    <w:p>
      <w:r>
        <w:t>│</w:t>
      </w:r>
    </w:p>
    <w:p>
      <w:r>
        <w:t>▼</w:t>
      </w:r>
    </w:p>
    <w:p>
      <w:r>
        <w:t>Eligibility Verification</w:t>
      </w:r>
    </w:p>
    <w:p>
      <w:r>
        <w:t>│</w:t>
      </w:r>
    </w:p>
    <w:p>
      <w:r>
        <w:t>▼</w:t>
      </w:r>
    </w:p>
    <w:p>
      <w:r>
        <w:t>Outlier Detection</w:t>
      </w:r>
    </w:p>
    <w:p>
      <w:r>
        <w:t>│</w:t>
      </w:r>
    </w:p>
    <w:p>
      <w:r>
        <w:t>▼</w:t>
      </w:r>
    </w:p>
    <w:p>
      <w:r>
        <w:t>Quorum Verification</w:t>
      </w:r>
    </w:p>
    <w:p>
      <w:r>
        <w:t>│</w:t>
      </w:r>
    </w:p>
    <w:p>
      <w:r>
        <w:t>▼</w:t>
      </w:r>
    </w:p>
    <w:p>
      <w:r>
        <w:t>Weighted Median Consensus</w:t>
      </w:r>
    </w:p>
    <w:p>
      <w:r>
        <w:t>│</w:t>
      </w:r>
    </w:p>
    <w:p>
      <w:r>
        <w:t>▼</w:t>
      </w:r>
    </w:p>
    <w:p>
      <w:r>
        <w:t>Confidence Assessment</w:t>
      </w:r>
    </w:p>
    <w:p>
      <w:r>
        <w:t>│</w:t>
      </w:r>
    </w:p>
    <w:p>
      <w:r>
        <w:t>▼</w:t>
      </w:r>
    </w:p>
    <w:p>
      <w:r>
        <w:t>Consensus Validation</w:t>
      </w:r>
    </w:p>
    <w:p>
      <w:r>
        <w:t>│</w:t>
      </w:r>
    </w:p>
    <w:p>
      <w:r>
        <w:t>▼</w:t>
      </w:r>
    </w:p>
    <w:p>
      <w:r>
        <w:t>Fallback Sources (if required)</w:t>
      </w:r>
    </w:p>
    <w:p>
      <w:r>
        <w:t>│</w:t>
      </w:r>
    </w:p>
    <w:p>
      <w:r>
        <w:t>▼</w:t>
      </w:r>
    </w:p>
    <w:p>
      <w:r>
        <w:t>Oracle Exception Procedures (if required)</w:t>
      </w:r>
    </w:p>
    <w:p>
      <w:r>
        <w:t>│</w:t>
      </w:r>
    </w:p>
    <w:p>
      <w:r>
        <w:t>▼</w:t>
      </w:r>
    </w:p>
    <w:p>
      <w:r>
        <w:t>Immutable Audit Record</w:t>
      </w:r>
    </w:p>
    <w:p>
      <w:r>
        <w:t>│</w:t>
      </w:r>
    </w:p>
    <w:p>
      <w:r>
        <w:t>▼</w:t>
      </w:r>
    </w:p>
    <w:p>
      <w:r>
        <w:t>Pricing Engine</w:t>
      </w:r>
    </w:p>
    <w:p>
      <w:r>
        <w:t>31.3 Freshness Verification</w:t>
      </w:r>
    </w:p>
    <w:p>
      <w:r>
        <w:t>Every oracle observation shall satisfy the constitutional freshness limits defined in the Constitutional Constants Registry.</w:t>
      </w:r>
    </w:p>
    <w:p>
      <w:r>
        <w:t>Stale observations shall be rejected automatically.</w:t>
      </w:r>
    </w:p>
    <w:p>
      <w:r>
        <w:t>31.4 Eligibility Verification</w:t>
      </w:r>
    </w:p>
    <w:p>
      <w:r>
        <w:t>Only observations from constitutionally eligible oracle sources shall be included in consensus calculation.</w:t>
      </w:r>
    </w:p>
    <w:p>
      <w:r>
        <w:t>Ineligible or suspended oracle sources shall be excluded automatically.</w:t>
      </w:r>
    </w:p>
    <w:p>
      <w:r>
        <w:t>31.5 Outlier Detection</w:t>
      </w:r>
    </w:p>
    <w:p>
      <w:r>
        <w:t>Outlier observations shall be identified using the Constitutional Outlier Detection Algorithm and excluded before consensus calculation.</w:t>
      </w:r>
    </w:p>
    <w:p>
      <w:r>
        <w:t>31.6 Minimum Oracle Quorum</w:t>
      </w:r>
    </w:p>
    <w:p>
      <w:r>
        <w:t>No constitutional price may be generated unless Oracle_Minimum_Quorum qualified oracle sources remain available.</w:t>
      </w:r>
    </w:p>
    <w:p>
      <w:r>
        <w:t>31.7 Weighted Median Consensus</w:t>
      </w:r>
    </w:p>
    <w:p>
      <w:r>
        <w:t>The consensus price shall be determined using the weighted median of all eligible, fresh, non-outlier oracle observations.</w:t>
      </w:r>
    </w:p>
    <w:p>
      <w:r>
        <w:t>Weighted Median Definition:</w:t>
      </w:r>
    </w:p>
    <w:p>
      <w:r>
        <w:t>For a set of ordered observations with associated weights, the weighted median is the smallest value such that the cumulative weight of observations less than or equal to that value is at least half of the total weight.</w:t>
      </w:r>
    </w:p>
    <w:p>
      <w:r>
        <w:t>31.8 Oracle Confidence Score</w:t>
      </w:r>
    </w:p>
    <w:p>
      <w:r>
        <w:t>Confidence shall be calculated using the constitutional weighting methodology defined in the Constitutional Constants Registry.</w:t>
      </w:r>
    </w:p>
    <w:p>
      <w:r>
        <w:t>Institutional Confidence Components:</w:t>
      </w:r>
    </w:p>
    <w:p>
      <w:r>
        <w:t>Oracle agreement (consensus among sources)</w:t>
      </w:r>
    </w:p>
    <w:p>
      <w:r>
        <w:t>Data freshness (age of observations)</w:t>
      </w:r>
    </w:p>
    <w:p>
      <w:r>
        <w:t>Historical reliability (provider track record)</w:t>
      </w:r>
    </w:p>
    <w:p>
      <w:r>
        <w:t>Availability (uptime and responsiveness)</w:t>
      </w:r>
    </w:p>
    <w:p>
      <w:r>
        <w:t>Latency (timeliness of data delivery)</w:t>
      </w:r>
    </w:p>
    <w:p>
      <w:r>
        <w:t>Data completeness (breadth of coverage)</w:t>
      </w:r>
    </w:p>
    <w:p>
      <w:r>
        <w:t>Cross-validation against institutional reference sources</w:t>
      </w:r>
    </w:p>
    <w:p>
      <w:r>
        <w:t>31.9 Constitutional Confidence Levels</w:t>
      </w:r>
    </w:p>
    <w:p>
      <w:r>
        <w:t>31.10 Graceful Degradation Sequence</w:t>
      </w:r>
    </w:p>
    <w:p>
      <w:r>
        <w:t>text</w:t>
      </w:r>
    </w:p>
    <w:p>
      <w:r>
        <w:t>Normal Operation</w:t>
      </w:r>
    </w:p>
    <w:p>
      <w:r>
        <w:t>│</w:t>
      </w:r>
    </w:p>
    <w:p>
      <w:r>
        <w:t>▼</w:t>
      </w:r>
    </w:p>
    <w:p>
      <w:r>
        <w:t>Enhanced Monitoring</w:t>
      </w:r>
    </w:p>
    <w:p>
      <w:r>
        <w:t>│</w:t>
      </w:r>
    </w:p>
    <w:p>
      <w:r>
        <w:t>▼</w:t>
      </w:r>
    </w:p>
    <w:p>
      <w:r>
        <w:t>Oracle Exception Mode</w:t>
      </w:r>
    </w:p>
    <w:p>
      <w:r>
        <w:t>│</w:t>
      </w:r>
    </w:p>
    <w:p>
      <w:r>
        <w:t>▼</w:t>
      </w:r>
    </w:p>
    <w:p>
      <w:r>
        <w:t>Fallback Sources</w:t>
      </w:r>
    </w:p>
    <w:p>
      <w:r>
        <w:t>│</w:t>
      </w:r>
    </w:p>
    <w:p>
      <w:r>
        <w:t>▼</w:t>
      </w:r>
    </w:p>
    <w:p>
      <w:r>
        <w:t>Council Notification</w:t>
      </w:r>
    </w:p>
    <w:p>
      <w:r>
        <w:t>│</w:t>
      </w:r>
    </w:p>
    <w:p>
      <w:r>
        <w:t>▼</w:t>
      </w:r>
    </w:p>
    <w:p>
      <w:r>
        <w:t>Emergency Suspension (if necessary)</w:t>
      </w:r>
    </w:p>
    <w:p>
      <w:r>
        <w:t>31.11 Fallback Consensus</w:t>
      </w:r>
    </w:p>
    <w:p>
      <w:r>
        <w:t>If the primary oracle consensus cannot be established, the Constitutional Oracle Engine shall automatically utilize qualified fallback oracle sources before entering Oracle Exception Procedures.</w:t>
      </w:r>
    </w:p>
    <w:p>
      <w:r>
        <w:t>31.12 Constitutional Oracle Exception Process</w:t>
      </w:r>
    </w:p>
    <w:p>
      <w:r>
        <w:t>If constitutional confidence requirements are not satisfied, the Oracle Engine shall enter Constitutional Oracle Exception Procedures.</w:t>
      </w:r>
    </w:p>
    <w:p>
      <w:r>
        <w:t>The exception process shall be:</w:t>
      </w:r>
    </w:p>
    <w:p>
      <w:r>
        <w:t>Deterministic</w:t>
      </w:r>
    </w:p>
    <w:p>
      <w:r>
        <w:t>Governed by constitutional rules</w:t>
      </w:r>
    </w:p>
    <w:p>
      <w:r>
        <w:t>Time-limited</w:t>
      </w:r>
    </w:p>
    <w:p>
      <w:r>
        <w:t>Fully auditable</w:t>
      </w:r>
    </w:p>
    <w:p>
      <w:r>
        <w:t>Reported to the Constitutional Council</w:t>
      </w:r>
    </w:p>
    <w:p>
      <w:r>
        <w:t>31.13 Deterministic Consensus Requirement</w:t>
      </w:r>
    </w:p>
    <w:p>
      <w:r>
        <w:t>Oracle observations shall be processed using deterministic ordering rules.</w:t>
      </w:r>
    </w:p>
    <w:p>
      <w:r>
        <w:t>Given identical observations, all validators shall produce identical consensus values.</w:t>
      </w:r>
    </w:p>
    <w:p>
      <w:r>
        <w:t>31.14 Oracle Audit Trail</w:t>
      </w:r>
    </w:p>
    <w:p>
      <w:r>
        <w:t>Every consensus calculation shall permanently record:</w:t>
      </w:r>
    </w:p>
    <w:p>
      <w:r>
        <w:t>Participating oracle sources</w:t>
      </w:r>
    </w:p>
    <w:p>
      <w:r>
        <w:t>Excluded observations</w:t>
      </w:r>
    </w:p>
    <w:p>
      <w:r>
        <w:t>Consensus value</w:t>
      </w:r>
    </w:p>
    <w:p>
      <w:r>
        <w:t>Confidence score</w:t>
      </w:r>
    </w:p>
    <w:p>
      <w:r>
        <w:t>Quorum</w:t>
      </w:r>
    </w:p>
    <w:p>
      <w:r>
        <w:t>Timestamp</w:t>
      </w:r>
    </w:p>
    <w:p>
      <w:r>
        <w:t>Validator hash</w:t>
      </w:r>
    </w:p>
    <w:p>
      <w:r>
        <w:t>Immutable audit reference</w:t>
      </w:r>
    </w:p>
    <w:p>
      <w:r>
        <w:t>31.15 Constitutional Verification</w:t>
      </w:r>
    </w:p>
    <w:p>
      <w:r>
        <w:t>text</w:t>
      </w:r>
    </w:p>
    <w:p>
      <w:r>
        <w:t>✓ Oracle observations collected</w:t>
      </w:r>
    </w:p>
    <w:p>
      <w:r>
        <w:t>✓ Freshness verification passed</w:t>
      </w:r>
    </w:p>
    <w:p>
      <w:r>
        <w:t>✓ Eligibility verification passed</w:t>
      </w:r>
    </w:p>
    <w:p>
      <w:r>
        <w:t>✓ Outlier detection completed</w:t>
      </w:r>
    </w:p>
    <w:p>
      <w:r>
        <w:t>✓ Quorum verification satisfied</w:t>
      </w:r>
    </w:p>
    <w:p>
      <w:r>
        <w:t>✓ Weighted median consensus calculated</w:t>
      </w:r>
    </w:p>
    <w:p>
      <w:r>
        <w:t>✓ Confidence assessment completed</w:t>
      </w:r>
    </w:p>
    <w:p>
      <w:r>
        <w:t>✓ Consensus validation passed</w:t>
      </w:r>
    </w:p>
    <w:p>
      <w:r>
        <w:t>✓ Fallback sources (if required) activated</w:t>
      </w:r>
    </w:p>
    <w:p>
      <w:r>
        <w:t>✓ Oracle exception procedures (if required) initiated</w:t>
      </w:r>
    </w:p>
    <w:p>
      <w:r>
        <w:t>✓ Immutable audit record created</w:t>
      </w:r>
    </w:p>
    <w:p>
      <w:r>
        <w:t>✓ Pricing engine updated</w:t>
      </w:r>
    </w:p>
    <w:p>
      <w:r>
        <w:t>31.16 Related Sections</w:t>
      </w:r>
    </w:p>
    <w:p>
      <w:r>
        <w:t>Section 11 — Monetary Engine Determinism</w:t>
      </w:r>
    </w:p>
    <w:p>
      <w:r>
        <w:t>Section 30 — Constitutional Oracle Architecture</w:t>
      </w:r>
    </w:p>
    <w:p>
      <w:r>
        <w:t>Section 32 — Constitutional Oracle Fallback</w:t>
      </w:r>
    </w:p>
    <w:p>
      <w:r>
        <w:t>Section 33 — Constitutional Oracle Exception Procedures</w:t>
      </w:r>
    </w:p>
    <w:p>
      <w:r>
        <w:t>Section 42 — Daily Proof of Reserves</w:t>
      </w:r>
    </w:p>
    <w:p>
      <w:r>
        <w:t>Section 43 — Formal Verification</w:t>
      </w:r>
    </w:p>
    <w:p>
      <w:r>
        <w:t>Constitutional Verification</w:t>
      </w:r>
    </w:p>
    <w:p>
      <w:r>
        <w:t>text</w:t>
      </w:r>
    </w:p>
    <w:p>
      <w:r>
        <w:t>✓ Constitutional Principle established</w:t>
      </w:r>
    </w:p>
    <w:p>
      <w:r>
        <w:t>✓ Canonical Consensus Algorithm defined</w:t>
      </w:r>
    </w:p>
    <w:p>
      <w:r>
        <w:t>✓ Freshness Verification established</w:t>
      </w:r>
    </w:p>
    <w:p>
      <w:r>
        <w:t>✓ Eligibility Verification established</w:t>
      </w:r>
    </w:p>
    <w:p>
      <w:r>
        <w:t>✓ Outlier Detection established</w:t>
      </w:r>
    </w:p>
    <w:p>
      <w:r>
        <w:t>✓ Minimum Oracle Quorum established</w:t>
      </w:r>
    </w:p>
    <w:p>
      <w:r>
        <w:t>✓ Weighted Median Consensus defined</w:t>
      </w:r>
    </w:p>
    <w:p>
      <w:r>
        <w:t>✓ Oracle Confidence Score defined</w:t>
      </w:r>
    </w:p>
    <w:p>
      <w:r>
        <w:t>✓ Constitutional Confidence Levels defined</w:t>
      </w:r>
    </w:p>
    <w:p>
      <w:r>
        <w:t>✓ Graceful Degradation Sequence defined</w:t>
      </w:r>
    </w:p>
    <w:p>
      <w:r>
        <w:t>✓ Fallback Consensus established</w:t>
      </w:r>
    </w:p>
    <w:p>
      <w:r>
        <w:t>✓ Constitutional Oracle Exception Process defined</w:t>
      </w:r>
    </w:p>
    <w:p>
      <w:r>
        <w:t>✓ Deterministic Consensus Requirement established</w:t>
      </w:r>
    </w:p>
    <w:p>
      <w:r>
        <w:t>✓ Oracle Audit Trail established</w:t>
      </w:r>
    </w:p>
    <w:p>
      <w:r>
        <w:t>✓ Constitutional Verification established</w:t>
      </w:r>
    </w:p>
    <w:p>
      <w:r>
        <w:t>✓ Related Sections referenced</w:t>
      </w:r>
    </w:p>
    <w:p>
      <w:r>
        <w:t>[END OF SECTION 31 — CONSTITUTIONAL ORACLE CONSENSUS — WEIGHTED MEDIAN FRAMEWORK]</w:t>
      </w:r>
    </w:p>
    <w:p>
      <w:r>
        <w:t>Section 32: Constitutional Oracle Failure Recovery</w:t>
      </w:r>
    </w:p>
    <w:p>
      <w:r>
        <w:t>32.1 Constitutional Principle</w:t>
      </w:r>
    </w:p>
    <w:p>
      <w:r>
        <w:t>The Constitutional Oracle Engine shall remain operational despite the failure of individual oracle providers, market data sources, communication networks, or infrastructure components.</w:t>
      </w:r>
    </w:p>
    <w:p>
      <w:r>
        <w:t>No single failure shall interrupt constitutional operation.</w:t>
      </w:r>
    </w:p>
    <w:p>
      <w:r>
        <w:t>32.2 Constitutional Recovery Levels</w:t>
      </w:r>
    </w:p>
    <w:p>
      <w:r>
        <w:t>32.3 Recovery Decision Flow</w:t>
      </w:r>
    </w:p>
    <w:p>
      <w:r>
        <w:t>text</w:t>
      </w:r>
    </w:p>
    <w:p>
      <w:r>
        <w:t>Continuous Oracle Monitoring</w:t>
      </w:r>
    </w:p>
    <w:p>
      <w:r>
        <w:t>│</w:t>
      </w:r>
    </w:p>
    <w:p>
      <w:r>
        <w:t>▼</w:t>
      </w:r>
    </w:p>
    <w:p>
      <w:r>
        <w:t>Failure Detected</w:t>
      </w:r>
    </w:p>
    <w:p>
      <w:r>
        <w:t>│</w:t>
      </w:r>
    </w:p>
    <w:p>
      <w:r>
        <w:t>▼</w:t>
      </w:r>
    </w:p>
    <w:p>
      <w:r>
        <w:t>Failure Classification</w:t>
      </w:r>
    </w:p>
    <w:p>
      <w:r>
        <w:t>│</w:t>
      </w:r>
    </w:p>
    <w:p>
      <w:r>
        <w:t>▼</w:t>
      </w:r>
    </w:p>
    <w:p>
      <w:r>
        <w:t>Determine Recovery Level</w:t>
      </w:r>
    </w:p>
    <w:p>
      <w:r>
        <w:t>│</w:t>
      </w:r>
    </w:p>
    <w:p>
      <w:r>
        <w:t>▼</w:t>
      </w:r>
    </w:p>
    <w:p>
      <w:r>
        <w:t>Activate Appropriate Recovery Procedure</w:t>
      </w:r>
    </w:p>
    <w:p>
      <w:r>
        <w:t>│</w:t>
      </w:r>
    </w:p>
    <w:p>
      <w:r>
        <w:t>▼</w:t>
      </w:r>
    </w:p>
    <w:p>
      <w:r>
        <w:t>Consensus Verification</w:t>
      </w:r>
    </w:p>
    <w:p>
      <w:r>
        <w:t>│</w:t>
      </w:r>
    </w:p>
    <w:p>
      <w:r>
        <w:t>▼</w:t>
      </w:r>
    </w:p>
    <w:p>
      <w:r>
        <w:t>Confidence Assessment</w:t>
      </w:r>
    </w:p>
    <w:p>
      <w:r>
        <w:t>│</w:t>
      </w:r>
    </w:p>
    <w:p>
      <w:r>
        <w:t>▼</w:t>
      </w:r>
    </w:p>
    <w:p>
      <w:r>
        <w:t>Recovery Validation</w:t>
      </w:r>
    </w:p>
    <w:p>
      <w:r>
        <w:t>│</w:t>
      </w:r>
    </w:p>
    <w:p>
      <w:r>
        <w:t>▼</w:t>
      </w:r>
    </w:p>
    <w:p>
      <w:r>
        <w:t>Resume Constitutional Operation</w:t>
      </w:r>
    </w:p>
    <w:p>
      <w:r>
        <w:t>│</w:t>
      </w:r>
    </w:p>
    <w:p>
      <w:r>
        <w:t>▼</w:t>
      </w:r>
    </w:p>
    <w:p>
      <w:r>
        <w:t>Immutable Audit Record</w:t>
      </w:r>
    </w:p>
    <w:p>
      <w:r>
        <w:t>32.4 Oracle Source Exclusion</w:t>
      </w:r>
    </w:p>
    <w:p>
      <w:r>
        <w:t>Oracle observations shall be automatically excluded when they fail constitutional requirements for:</w:t>
      </w:r>
    </w:p>
    <w:p>
      <w:r>
        <w:t>Freshness</w:t>
      </w:r>
    </w:p>
    <w:p>
      <w:r>
        <w:t>Availability</w:t>
      </w:r>
    </w:p>
    <w:p>
      <w:r>
        <w:t>Consistency</w:t>
      </w:r>
    </w:p>
    <w:p>
      <w:r>
        <w:t>Integrity</w:t>
      </w:r>
    </w:p>
    <w:p>
      <w:r>
        <w:t>Validation</w:t>
      </w:r>
    </w:p>
    <w:p>
      <w:r>
        <w:t>Deterministic processing</w:t>
      </w:r>
    </w:p>
    <w:p>
      <w:r>
        <w:t>Excluded sources shall not participate in consensus until constitutional eligibility is restored.</w:t>
      </w:r>
    </w:p>
    <w:p>
      <w:r>
        <w:t>32.5 Secondary Oracle Activation</w:t>
      </w:r>
    </w:p>
    <w:p>
      <w:r>
        <w:t>If primary oracle capacity falls below the constitutional quorum, qualified secondary oracle sources shall automatically participate in consensus generation.</w:t>
      </w:r>
    </w:p>
    <w:p>
      <w:r>
        <w:t>Secondary sources shall satisfy all constitutional oracle eligibility requirements.</w:t>
      </w:r>
    </w:p>
    <w:p>
      <w:r>
        <w:t>32.6 Institutional Reference Activation</w:t>
      </w:r>
    </w:p>
    <w:p>
      <w:r>
        <w:t>If constitutional consensus cannot be established through decentralized oracle sources, qualified institutional reference sources may be activated for validation and continuity.</w:t>
      </w:r>
    </w:p>
    <w:p>
      <w:r>
        <w:t>Institutional reference sources supplement constitutional consensus but shall not independently determine constitutional prices.</w:t>
      </w:r>
    </w:p>
    <w:p>
      <w:r>
        <w:t>32.7 Constitutional Oracle Exception Procedures</w:t>
      </w:r>
    </w:p>
    <w:p>
      <w:r>
        <w:t>If constitutional consensus remains unavailable after all qualified oracle sources have been exhausted, the Oracle Engine shall enter Constitutional Oracle Exception Procedures.</w:t>
      </w:r>
    </w:p>
    <w:p>
      <w:r>
        <w:t>During Exception Procedures:</w:t>
      </w:r>
    </w:p>
    <w:p>
      <w:r>
        <w:t>New oracle observations may be temporarily suspended</w:t>
      </w:r>
    </w:p>
    <w:p>
      <w:r>
        <w:t>Reserve valuation remains deterministic</w:t>
      </w:r>
    </w:p>
    <w:p>
      <w:r>
        <w:t>Redemption rules continue according to constitutional policy</w:t>
      </w:r>
    </w:p>
    <w:p>
      <w:r>
        <w:t>Minting and other affected operations shall follow Constitutional Emergency Procedures where required</w:t>
      </w:r>
    </w:p>
    <w:p>
      <w:r>
        <w:t>32.8 Constitutional Fallback Pricing</w:t>
      </w:r>
    </w:p>
    <w:p>
      <w:r>
        <w:t>When constitutional consensus cannot be established, pricing shall utilize the Constitutional Fallback Methodology defined in the Constitutional Oracle Policy.</w:t>
      </w:r>
    </w:p>
    <w:p>
      <w:r>
        <w:t>Fallback pricing shall satisfy:</w:t>
      </w:r>
    </w:p>
    <w:p>
      <w:r>
        <w:t>Deterministic computation</w:t>
      </w:r>
    </w:p>
    <w:p>
      <w:r>
        <w:t>Reproducibility</w:t>
      </w:r>
    </w:p>
    <w:p>
      <w:r>
        <w:t>Auditability</w:t>
      </w:r>
    </w:p>
    <w:p>
      <w:r>
        <w:t>Transparency</w:t>
      </w:r>
    </w:p>
    <w:p>
      <w:r>
        <w:t>Constitutional validation</w:t>
      </w:r>
    </w:p>
    <w:p>
      <w:r>
        <w:t>The specific fallback methodology may evolve through policy without constitutional amendment.</w:t>
      </w:r>
    </w:p>
    <w:p>
      <w:r>
        <w:t>32.9 Recovery Validation</w:t>
      </w:r>
    </w:p>
    <w:p>
      <w:r>
        <w:t>Before normal operation resumes, the Oracle Engine shall verify:</w:t>
      </w:r>
    </w:p>
    <w:p>
      <w:r>
        <w:t>Oracle quorum restored</w:t>
      </w:r>
    </w:p>
    <w:p>
      <w:r>
        <w:t>Confidence threshold satisfied</w:t>
      </w:r>
    </w:p>
    <w:p>
      <w:r>
        <w:t>Pricing consistency restored</w:t>
      </w:r>
    </w:p>
    <w:p>
      <w:r>
        <w:t>Deterministic consensus verified</w:t>
      </w:r>
    </w:p>
    <w:p>
      <w:r>
        <w:t>Audit records complete</w:t>
      </w:r>
    </w:p>
    <w:p>
      <w:r>
        <w:t>Only after successful validation shall constitutional operation resume.</w:t>
      </w:r>
    </w:p>
    <w:p>
      <w:r>
        <w:t>32.10 Recovery Audit Trail</w:t>
      </w:r>
    </w:p>
    <w:p>
      <w:r>
        <w:t>Every recovery event shall permanently record:</w:t>
      </w:r>
    </w:p>
    <w:p>
      <w:r>
        <w:t>Failure type</w:t>
      </w:r>
    </w:p>
    <w:p>
      <w:r>
        <w:t>Affected oracle sources</w:t>
      </w:r>
    </w:p>
    <w:p>
      <w:r>
        <w:t>Recovery level</w:t>
      </w:r>
    </w:p>
    <w:p>
      <w:r>
        <w:t>Recovery actions</w:t>
      </w:r>
    </w:p>
    <w:p>
      <w:r>
        <w:t>Participating validators</w:t>
      </w:r>
    </w:p>
    <w:p>
      <w:r>
        <w:t>Consensus result</w:t>
      </w:r>
    </w:p>
    <w:p>
      <w:r>
        <w:t>Timestamps</w:t>
      </w:r>
    </w:p>
    <w:p>
      <w:r>
        <w:t>Cryptographic verification hash</w:t>
      </w:r>
    </w:p>
    <w:p>
      <w:r>
        <w:t>All recovery events shall be retained within the Constitutional Audit Ledger.</w:t>
      </w:r>
    </w:p>
    <w:p>
      <w:r>
        <w:t>32.11 Constitutional Verification</w:t>
      </w:r>
    </w:p>
    <w:p>
      <w:r>
        <w:t>text</w:t>
      </w:r>
    </w:p>
    <w:p>
      <w:r>
        <w:t>✓ Oracle monitoring active</w:t>
      </w:r>
    </w:p>
    <w:p>
      <w:r>
        <w:t>✓ Failure detected and classified</w:t>
      </w:r>
    </w:p>
    <w:p>
      <w:r>
        <w:t>✓ Recovery level determined</w:t>
      </w:r>
    </w:p>
    <w:p>
      <w:r>
        <w:t>✓ Appropriate recovery procedure activated</w:t>
      </w:r>
    </w:p>
    <w:p>
      <w:r>
        <w:t>✓ Consensus verification completed</w:t>
      </w:r>
    </w:p>
    <w:p>
      <w:r>
        <w:t>✓ Confidence assessment completed</w:t>
      </w:r>
    </w:p>
    <w:p>
      <w:r>
        <w:t>✓ Recovery validation passed</w:t>
      </w:r>
    </w:p>
    <w:p>
      <w:r>
        <w:t>✓ Constitutional operation resumed</w:t>
      </w:r>
    </w:p>
    <w:p>
      <w:r>
        <w:t>✓ Immutable audit record created</w:t>
      </w:r>
    </w:p>
    <w:p>
      <w:r>
        <w:t>32.12 Related Sections</w:t>
      </w:r>
    </w:p>
    <w:p>
      <w:r>
        <w:t>Section 30 — Constitutional Oracle Architecture</w:t>
      </w:r>
    </w:p>
    <w:p>
      <w:r>
        <w:t>Section 31 — Constitutional Oracle Consensus</w:t>
      </w:r>
    </w:p>
    <w:p>
      <w:r>
        <w:t>Section 33 — Severe Deviation Protocol (SDP)</w:t>
      </w:r>
    </w:p>
    <w:p>
      <w:r>
        <w:t>Section 42 — Daily Proof of Reserves</w:t>
      </w:r>
    </w:p>
    <w:p>
      <w:r>
        <w:t>Section 43 — Formal Verification</w:t>
      </w:r>
    </w:p>
    <w:p>
      <w:r>
        <w:t>Constitutional Verification</w:t>
      </w:r>
    </w:p>
    <w:p>
      <w:r>
        <w:t>text</w:t>
      </w:r>
    </w:p>
    <w:p>
      <w:r>
        <w:t>✓ Constitutional Principle established</w:t>
      </w:r>
    </w:p>
    <w:p>
      <w:r>
        <w:t>✓ Constitutional Recovery Levels defined</w:t>
      </w:r>
    </w:p>
    <w:p>
      <w:r>
        <w:t>✓ Recovery Decision Flow defined</w:t>
      </w:r>
    </w:p>
    <w:p>
      <w:r>
        <w:t>✓ Oracle Source Exclusion established</w:t>
      </w:r>
    </w:p>
    <w:p>
      <w:r>
        <w:t>✓ Secondary Oracle Activation established</w:t>
      </w:r>
    </w:p>
    <w:p>
      <w:r>
        <w:t>✓ Institutional Reference Activation established</w:t>
      </w:r>
    </w:p>
    <w:p>
      <w:r>
        <w:t>✓ Constitutional Oracle Exception Procedures defined</w:t>
      </w:r>
    </w:p>
    <w:p>
      <w:r>
        <w:t>✓ Constitutional Fallback Pricing established</w:t>
      </w:r>
    </w:p>
    <w:p>
      <w:r>
        <w:t>✓ Recovery Validation established</w:t>
      </w:r>
    </w:p>
    <w:p>
      <w:r>
        <w:t>✓ Recovery Audit Trail established</w:t>
      </w:r>
    </w:p>
    <w:p>
      <w:r>
        <w:t>✓ Constitutional Verification established</w:t>
      </w:r>
    </w:p>
    <w:p>
      <w:r>
        <w:t>✓ Related Sections referenced</w:t>
      </w:r>
    </w:p>
    <w:p>
      <w:r>
        <w:t>[END OF SECTION 32 — CONSTITUTIONAL ORACLE FAILURE RECOVERY]</w:t>
      </w:r>
    </w:p>
    <w:p>
      <w:r>
        <w:t>Section 33: Severe Deviation Protocol (SDP)</w:t>
      </w:r>
    </w:p>
    <w:p>
      <w:r>
        <w:t>33.1 Constitutional Principle</w:t>
      </w:r>
    </w:p>
    <w:p>
      <w:r>
        <w:t>The Severe Deviation Protocol (SDP) protects the Constitutional Currency Engine from temporary market dislocations, abnormal volatility, flash crashes, and short-term pricing anomalies.</w:t>
      </w:r>
    </w:p>
    <w:p>
      <w:r>
        <w:t>The SDP shall dampen temporary disturbances while preserving long-term constitutional weighting.</w:t>
      </w:r>
    </w:p>
    <w:p>
      <w:r>
        <w:t>33.2 Constitutional SDP Trigger</w:t>
      </w:r>
    </w:p>
    <w:p>
      <w:r>
        <w:t>A Severe Deviation Event shall occur whenever constitutional deviation exceeds the threshold defined in the Constitutional Constants Registry.</w:t>
      </w:r>
    </w:p>
    <w:p>
      <w:r>
        <w:t>text</w:t>
      </w:r>
    </w:p>
    <w:p>
      <w:r>
        <w:t>If Deviation_t &gt; SDP_trigger → SDP Activated</w:t>
      </w:r>
    </w:p>
    <w:p>
      <w:r>
        <w:t>Where SDP_trigger is defined in the Constitutional Constants Registry.</w:t>
      </w:r>
    </w:p>
    <w:p>
      <w:r>
        <w:t>33.3 SDP Decision Flow</w:t>
      </w:r>
    </w:p>
    <w:p>
      <w:r>
        <w:t>text</w:t>
      </w:r>
    </w:p>
    <w:p>
      <w:r>
        <w:t>Continuous Monitoring</w:t>
      </w:r>
    </w:p>
    <w:p>
      <w:r>
        <w:t>│</w:t>
      </w:r>
    </w:p>
    <w:p>
      <w:r>
        <w:t>▼</w:t>
      </w:r>
    </w:p>
    <w:p>
      <w:r>
        <w:t>Deviation Detected</w:t>
      </w:r>
    </w:p>
    <w:p>
      <w:r>
        <w:t>│</w:t>
      </w:r>
    </w:p>
    <w:p>
      <w:r>
        <w:t>▼</w:t>
      </w:r>
    </w:p>
    <w:p>
      <w:r>
        <w:t>Threshold Verification</w:t>
      </w:r>
    </w:p>
    <w:p>
      <w:r>
        <w:t>│</w:t>
      </w:r>
    </w:p>
    <w:p>
      <w:r>
        <w:t>▼</w:t>
      </w:r>
    </w:p>
    <w:p>
      <w:r>
        <w:t>Activate SDP</w:t>
      </w:r>
    </w:p>
    <w:p>
      <w:r>
        <w:t>│</w:t>
      </w:r>
    </w:p>
    <w:p>
      <w:r>
        <w:t>▼</w:t>
      </w:r>
    </w:p>
    <w:p>
      <w:r>
        <w:t>Compute Emergency Adjustment</w:t>
      </w:r>
    </w:p>
    <w:p>
      <w:r>
        <w:t>│</w:t>
      </w:r>
    </w:p>
    <w:p>
      <w:r>
        <w:t>▼</w:t>
      </w:r>
    </w:p>
    <w:p>
      <w:r>
        <w:t>Apply Constitutional Anti-Shock Limits</w:t>
      </w:r>
    </w:p>
    <w:p>
      <w:r>
        <w:t>│</w:t>
      </w:r>
    </w:p>
    <w:p>
      <w:r>
        <w:t>▼</w:t>
      </w:r>
    </w:p>
    <w:p>
      <w:r>
        <w:t>Freeze Dynamic Weight Updates (if required)</w:t>
      </w:r>
    </w:p>
    <w:p>
      <w:r>
        <w:t>│</w:t>
      </w:r>
    </w:p>
    <w:p>
      <w:r>
        <w:t>▼</w:t>
      </w:r>
    </w:p>
    <w:p>
      <w:r>
        <w:t>Gradual Recovery Ramp</w:t>
      </w:r>
    </w:p>
    <w:p>
      <w:r>
        <w:t>│</w:t>
      </w:r>
    </w:p>
    <w:p>
      <w:r>
        <w:t>▼</w:t>
      </w:r>
    </w:p>
    <w:p>
      <w:r>
        <w:t>Validation</w:t>
      </w:r>
    </w:p>
    <w:p>
      <w:r>
        <w:t>│</w:t>
      </w:r>
    </w:p>
    <w:p>
      <w:r>
        <w:t>▼</w:t>
      </w:r>
    </w:p>
    <w:p>
      <w:r>
        <w:t>Resume Normal Operation</w:t>
      </w:r>
    </w:p>
    <w:p>
      <w:r>
        <w:t>│</w:t>
      </w:r>
    </w:p>
    <w:p>
      <w:r>
        <w:t>▼</w:t>
      </w:r>
    </w:p>
    <w:p>
      <w:r>
        <w:t>Immutable Audit Record</w:t>
      </w:r>
    </w:p>
    <w:p>
      <w:r>
        <w:t>33.4 Emergency Adjustment Factor</w:t>
      </w:r>
    </w:p>
    <w:p>
      <w:r>
        <w:t>text</w:t>
      </w:r>
    </w:p>
    <w:p>
      <w:r>
        <w:t>K_SDP = Reference_Price / Current_Price</w:t>
      </w:r>
    </w:p>
    <w:p>
      <w:r>
        <w:t>The reference price shall be determined according to the Constitutional Oracle Policy.</w:t>
      </w:r>
    </w:p>
    <w:p>
      <w:r>
        <w:t>33.5 Emergency Weight</w:t>
      </w:r>
    </w:p>
    <w:p>
      <w:r>
        <w:t>text</w:t>
      </w:r>
    </w:p>
    <w:p>
      <w:r>
        <w:t>W_emergency,raw = C_i × K_SDP</w:t>
      </w:r>
    </w:p>
    <w:p>
      <w:r>
        <w:t>Where:</w:t>
      </w:r>
    </w:p>
    <w:p>
      <w:r>
        <w:t>C_i = Structural weight</w:t>
      </w:r>
    </w:p>
    <w:p>
      <w:r>
        <w:t>K_SDP = Emergency adjustment factor</w:t>
      </w:r>
    </w:p>
    <w:p>
      <w:r>
        <w:t>33.6 Constitutional Anti-Shock Protection</w:t>
      </w:r>
    </w:p>
    <w:p>
      <w:r>
        <w:t>Emergency weights shall be limited by the constitutional anti-shock limits defined in the Constitutional Constants Registry.</w:t>
      </w:r>
    </w:p>
    <w:p>
      <w:r>
        <w:t>text</w:t>
      </w:r>
    </w:p>
    <w:p>
      <w:r>
        <w:t>W_new = max(W_emergency, W_current × SDP_cap)</w:t>
      </w:r>
    </w:p>
    <w:p>
      <w:r>
        <w:t>Where SDP_cap is defined in the Constitutional Constants Registry.</w:t>
      </w:r>
    </w:p>
    <w:p>
      <w:r>
        <w:t>33.7 Oracle Stabilization</w:t>
      </w:r>
    </w:p>
    <w:p>
      <w:r>
        <w:t>During an active Severe Deviation Event, the Constitutional Oracle Engine may temporarily suspend dynamic pricing updates while continuing constitutional monitoring and validation.</w:t>
      </w:r>
    </w:p>
    <w:p>
      <w:r>
        <w:t>This prevents cascading instability without interrupting constitutional governance.</w:t>
      </w:r>
    </w:p>
    <w:p>
      <w:r>
        <w:t>33.8 Recovery Ramp</w:t>
      </w:r>
    </w:p>
    <w:p>
      <w:r>
        <w:t>Following stabilization, emergency adjustments shall be gradually removed using the constitutional recovery methodology over the recovery period defined in the Constitutional Constants Registry.</w:t>
      </w:r>
    </w:p>
    <w:p>
      <w:r>
        <w:t>The recovery process shall be:</w:t>
      </w:r>
    </w:p>
    <w:p>
      <w:r>
        <w:t>Deterministic</w:t>
      </w:r>
    </w:p>
    <w:p>
      <w:r>
        <w:t>Linear or constitutionally approved</w:t>
      </w:r>
    </w:p>
    <w:p>
      <w:r>
        <w:t>Fully auditable</w:t>
      </w:r>
    </w:p>
    <w:p>
      <w:r>
        <w:t>Reproducible</w:t>
      </w:r>
    </w:p>
    <w:p>
      <w:r>
        <w:t>33.9 Recovery Validation</w:t>
      </w:r>
    </w:p>
    <w:p>
      <w:r>
        <w:t>Before exiting SDP, the system shall verify:</w:t>
      </w:r>
    </w:p>
    <w:p>
      <w:r>
        <w:t>Deviation below constitutional threshold</w:t>
      </w:r>
    </w:p>
    <w:p>
      <w:r>
        <w:t>Oracle consensus restored</w:t>
      </w:r>
    </w:p>
    <w:p>
      <w:r>
        <w:t>Confidence requirements satisfied</w:t>
      </w:r>
    </w:p>
    <w:p>
      <w:r>
        <w:t>Currency weights validated</w:t>
      </w:r>
    </w:p>
    <w:p>
      <w:r>
        <w:t>Reserve consistency maintained</w:t>
      </w:r>
    </w:p>
    <w:p>
      <w:r>
        <w:t>Deterministic calculations verified</w:t>
      </w:r>
    </w:p>
    <w:p>
      <w:r>
        <w:t>33.10 SDP Audit Trail</w:t>
      </w:r>
    </w:p>
    <w:p>
      <w:r>
        <w:t>Every SDP activation shall permanently record:</w:t>
      </w:r>
    </w:p>
    <w:p>
      <w:r>
        <w:t>Trigger condition</w:t>
      </w:r>
    </w:p>
    <w:p>
      <w:r>
        <w:t>Deviation value</w:t>
      </w:r>
    </w:p>
    <w:p>
      <w:r>
        <w:t>Participating oracle sources</w:t>
      </w:r>
    </w:p>
    <w:p>
      <w:r>
        <w:t>Emergency adjustment factor</w:t>
      </w:r>
    </w:p>
    <w:p>
      <w:r>
        <w:t>Emergency weights</w:t>
      </w:r>
    </w:p>
    <w:p>
      <w:r>
        <w:t>Stabilization actions</w:t>
      </w:r>
    </w:p>
    <w:p>
      <w:r>
        <w:t>Recovery timeline</w:t>
      </w:r>
    </w:p>
    <w:p>
      <w:r>
        <w:t>Validation results</w:t>
      </w:r>
    </w:p>
    <w:p>
      <w:r>
        <w:t>Cryptographic verification hash</w:t>
      </w:r>
    </w:p>
    <w:p>
      <w:r>
        <w:t>All SDP events shall be permanently retained in the Constitutional Audit Ledger.</w:t>
      </w:r>
    </w:p>
    <w:p>
      <w:r>
        <w:t>33.11 Constitutional Objectives</w:t>
      </w:r>
    </w:p>
    <w:p>
      <w:r>
        <w:t>The Severe Deviation Protocol exists to:</w:t>
      </w:r>
    </w:p>
    <w:p>
      <w:r>
        <w:t>Protect the Constitutional Currency Engine from abnormal market disturbances</w:t>
      </w:r>
    </w:p>
    <w:p>
      <w:r>
        <w:t>Prevent temporary shocks from permanently altering structural weights</w:t>
      </w:r>
    </w:p>
    <w:p>
      <w:r>
        <w:t>Preserve long-term monetary neutrality</w:t>
      </w:r>
    </w:p>
    <w:p>
      <w:r>
        <w:t>Reduce pro-cyclical behavior</w:t>
      </w:r>
    </w:p>
    <w:p>
      <w:r>
        <w:t>Maintain orderly constitutional operation</w:t>
      </w:r>
    </w:p>
    <w:p>
      <w:r>
        <w:t>Ensure deterministic recovery</w:t>
      </w:r>
    </w:p>
    <w:p>
      <w:r>
        <w:t>Preserve institutional confidence</w:t>
      </w:r>
    </w:p>
    <w:p>
      <w:r>
        <w:t>33.12 Constitutional Verification</w:t>
      </w:r>
    </w:p>
    <w:p>
      <w:r>
        <w:t>text</w:t>
      </w:r>
    </w:p>
    <w:p>
      <w:r>
        <w:t>✓ Deviation threshold verified</w:t>
      </w:r>
    </w:p>
    <w:p>
      <w:r>
        <w:t>✓ SDP activated</w:t>
      </w:r>
    </w:p>
    <w:p>
      <w:r>
        <w:t>✓ Emergency adjustment computed</w:t>
      </w:r>
    </w:p>
    <w:p>
      <w:r>
        <w:t>✓ Anti-shock limits applied</w:t>
      </w:r>
    </w:p>
    <w:p>
      <w:r>
        <w:t>✓ Dynamic weight updates frozen (if required)</w:t>
      </w:r>
    </w:p>
    <w:p>
      <w:r>
        <w:t>✓ Recovery ramp initiated</w:t>
      </w:r>
    </w:p>
    <w:p>
      <w:r>
        <w:t>✓ Validation completed</w:t>
      </w:r>
    </w:p>
    <w:p>
      <w:r>
        <w:t>✓ Normal operation resumed</w:t>
      </w:r>
    </w:p>
    <w:p>
      <w:r>
        <w:t>✓ Immutable audit record created</w:t>
      </w:r>
    </w:p>
    <w:p>
      <w:r>
        <w:t>33.13 Related Sections</w:t>
      </w:r>
    </w:p>
    <w:p>
      <w:r>
        <w:t>Section 11 — Monetary Engine Determinism</w:t>
      </w:r>
    </w:p>
    <w:p>
      <w:r>
        <w:t>Section 30 — Constitutional Oracle Architecture</w:t>
      </w:r>
    </w:p>
    <w:p>
      <w:r>
        <w:t>Section 31 — Constitutional Oracle Consensus</w:t>
      </w:r>
    </w:p>
    <w:p>
      <w:r>
        <w:t>Section 32 — Constitutional Oracle Failure Recovery</w:t>
      </w:r>
    </w:p>
    <w:p>
      <w:r>
        <w:t>Section 42 — Daily Proof of Reserves</w:t>
      </w:r>
    </w:p>
    <w:p>
      <w:r>
        <w:t>Section 43 — Formal Verification</w:t>
      </w:r>
    </w:p>
    <w:p>
      <w:r>
        <w:t>Constitutional Verification</w:t>
      </w:r>
    </w:p>
    <w:p>
      <w:r>
        <w:t>text</w:t>
      </w:r>
    </w:p>
    <w:p>
      <w:r>
        <w:t>✓ Constitutional Principle established</w:t>
      </w:r>
    </w:p>
    <w:p>
      <w:r>
        <w:t>✓ Constitutional SDP Trigger established</w:t>
      </w:r>
    </w:p>
    <w:p>
      <w:r>
        <w:t>✓ SDP Decision Flow defined</w:t>
      </w:r>
    </w:p>
    <w:p>
      <w:r>
        <w:t>✓ Emergency Adjustment Factor defined</w:t>
      </w:r>
    </w:p>
    <w:p>
      <w:r>
        <w:t>✓ Emergency Weight defined</w:t>
      </w:r>
    </w:p>
    <w:p>
      <w:r>
        <w:t>✓ Constitutional Anti-Shock Protection established</w:t>
      </w:r>
    </w:p>
    <w:p>
      <w:r>
        <w:t>✓ Oracle Stabilization established</w:t>
      </w:r>
    </w:p>
    <w:p>
      <w:r>
        <w:t>✓ Recovery Ramp defined</w:t>
      </w:r>
    </w:p>
    <w:p>
      <w:r>
        <w:t>✓ Recovery Validation established</w:t>
      </w:r>
    </w:p>
    <w:p>
      <w:r>
        <w:t>✓ SDP Audit Trail established</w:t>
      </w:r>
    </w:p>
    <w:p>
      <w:r>
        <w:t>✓ Constitutional Objectives listed</w:t>
      </w:r>
    </w:p>
    <w:p>
      <w:r>
        <w:t>✓ Constitutional Verification established</w:t>
      </w:r>
    </w:p>
    <w:p>
      <w:r>
        <w:t>✓ Related Sections referenced</w:t>
      </w:r>
    </w:p>
    <w:p>
      <w:r>
        <w:t>[END OF SECTION 33 — SEVERE DEVIATION PROTOCOL (SDP)]</w:t>
      </w:r>
    </w:p>
    <w:p>
      <w:r>
        <w:t>Section 34: Constitutional Redemption Sequencing</w:t>
      </w:r>
    </w:p>
    <w:p>
      <w:r>
        <w:t>34.1 Constitutional Redemption Hierarchy</w:t>
      </w:r>
    </w:p>
    <w:p>
      <w:r>
        <w:t>Constitutional Principle: Redemptions shall be satisfied using the most liquid reserve assets first, preserving long-term reserve stability and protecting the constitutional monetary anchor. Gold shall never be liquidated while sufficient eligible assets remain available.</w:t>
      </w:r>
    </w:p>
    <w:p>
      <w:r>
        <w:t>Constitutional Redemption Order:</w:t>
      </w:r>
    </w:p>
    <w:p>
      <w:r>
        <w:t>text</w:t>
      </w:r>
    </w:p>
    <w:p>
      <w:r>
        <w:t>Tier 4 — Operational Stablecoin Liquidity</w:t>
      </w:r>
    </w:p>
    <w:p>
      <w:r>
        <w:t>│</w:t>
      </w:r>
    </w:p>
    <w:p>
      <w:r>
        <w:t>▼</w:t>
      </w:r>
    </w:p>
    <w:p>
      <w:r>
        <w:t>Tier 1 — Central-Bank Cash &amp; Central-Bank Deposits</w:t>
      </w:r>
    </w:p>
    <w:p>
      <w:r>
        <w:t>│</w:t>
      </w:r>
    </w:p>
    <w:p>
      <w:r>
        <w:t>▼</w:t>
      </w:r>
    </w:p>
    <w:p>
      <w:r>
        <w:t>Tier 2 — Short-Term Sovereign Securities (≤1 year)</w:t>
      </w:r>
    </w:p>
    <w:p>
      <w:r>
        <w:t>and Eligible Sukuk (≤1 year)</w:t>
      </w:r>
    </w:p>
    <w:p>
      <w:r>
        <w:t>│</w:t>
      </w:r>
    </w:p>
    <w:p>
      <w:r>
        <w:t>▼</w:t>
      </w:r>
    </w:p>
    <w:p>
      <w:r>
        <w:t>Tier 3 — Silver Bullion</w:t>
      </w:r>
    </w:p>
    <w:p>
      <w:r>
        <w:t>│</w:t>
      </w:r>
    </w:p>
    <w:p>
      <w:r>
        <w:t>▼</w:t>
      </w:r>
    </w:p>
    <w:p>
      <w:r>
        <w:t>Tier 3 — Gold Bullion</w:t>
      </w:r>
    </w:p>
    <w:p>
      <w:r>
        <w:t>│</w:t>
      </w:r>
    </w:p>
    <w:p>
      <w:r>
        <w:t>▼</w:t>
      </w:r>
    </w:p>
    <w:p>
      <w:r>
        <w:t>Emergency Resolution Procedures (if required)</w:t>
      </w:r>
    </w:p>
    <w:p>
      <w:r>
        <w:t>34.2 Constitutional Preservation Rule</w:t>
      </w:r>
    </w:p>
    <w:p>
      <w:r>
        <w:t>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p>
    <w:p>
      <w:r>
        <w:t>34.3 Proportional Liquidation Rule</w:t>
      </w:r>
    </w:p>
    <w:p>
      <w:r>
        <w:t>Constitutional Principle: Whenever multiple assets exist within the same redemption tier, liquidation shall occur proportionally unless operational necessity requires otherwise.</w:t>
      </w:r>
    </w:p>
    <w:p>
      <w:r>
        <w:t>Formula:</w:t>
      </w:r>
    </w:p>
    <w:p>
      <w:r>
        <w:t>text</w:t>
      </w:r>
    </w:p>
    <w:p>
      <w:r>
        <w:t>Liquidation_i = Required_Redemption × Eligible_Asset_i / Σ Eligible_Assets</w:t>
      </w:r>
    </w:p>
    <w:p>
      <w:r>
        <w:t>Benefits:</w:t>
      </w:r>
    </w:p>
    <w:p>
      <w:r>
        <w:t>Avoids concentration</w:t>
      </w:r>
    </w:p>
    <w:p>
      <w:r>
        <w:t>Avoids cherry-picking assets</w:t>
      </w:r>
    </w:p>
    <w:p>
      <w:r>
        <w:t>Preserves diversification</w:t>
      </w:r>
    </w:p>
    <w:p>
      <w:r>
        <w:t>Deterministic</w:t>
      </w:r>
    </w:p>
    <w:p>
      <w:r>
        <w:t>Easier to audit</w:t>
      </w:r>
    </w:p>
    <w:p>
      <w:r>
        <w:t>34.4 Liquidity Optimization Rule</w:t>
      </w:r>
    </w:p>
    <w:p>
      <w:r>
        <w:t>Before liquidation, the Reserve Management Engine shall optimize asset selection using:</w:t>
      </w:r>
    </w:p>
    <w:p>
      <w:r>
        <w:t>Transaction cost</w:t>
      </w:r>
    </w:p>
    <w:p>
      <w:r>
        <w:t>Settlement latency</w:t>
      </w:r>
    </w:p>
    <w:p>
      <w:r>
        <w:t>Bid-ask spread</w:t>
      </w:r>
    </w:p>
    <w:p>
      <w:r>
        <w:t>Expected market impact</w:t>
      </w:r>
    </w:p>
    <w:p>
      <w:r>
        <w:t>Tax or regulatory constraints (where applicable)</w:t>
      </w:r>
    </w:p>
    <w:p>
      <w:r>
        <w:t>Provided the constitutional redemption hierarchy is never violated.</w:t>
      </w:r>
    </w:p>
    <w:p>
      <w:r>
        <w:t>34.5 Bullion Protection Rule</w:t>
      </w:r>
    </w:p>
    <w:p>
      <w:r>
        <w:t>Gold liquidation shall never reduce bullion holdings below the constitutional minimum reserve allocation unless:</w:t>
      </w:r>
    </w:p>
    <w:p>
      <w:r>
        <w:t>The Institution has entered a Constitutional Emergency, or</w:t>
      </w:r>
    </w:p>
    <w:p>
      <w:r>
        <w:t>The Constitutional Council has authorized temporary emergency measures under Part V.</w:t>
      </w:r>
    </w:p>
    <w:p>
      <w:r>
        <w:t>34.6 Large Redemption Handling</w:t>
      </w:r>
    </w:p>
    <w:p>
      <w:r>
        <w:t>If a redemption exceeds 5% of total circulating MTQ within any rolling five-business-day period:</w:t>
      </w:r>
    </w:p>
    <w:p>
      <w:r>
        <w:t>Technical Committee notification</w:t>
      </w:r>
    </w:p>
    <w:p>
      <w:r>
        <w:t>Liquidity review</w:t>
      </w:r>
    </w:p>
    <w:p>
      <w:r>
        <w:t>Reserve impact assessment</w:t>
      </w:r>
    </w:p>
    <w:p>
      <w:r>
        <w:t>Council notification</w:t>
      </w:r>
    </w:p>
    <w:p>
      <w:r>
        <w:t>Public reserve disclosure update</w:t>
      </w:r>
    </w:p>
    <w:p>
      <w:r>
        <w:t>No suspension unless constitutional thresholds are breached</w:t>
      </w:r>
    </w:p>
    <w:p>
      <w:r>
        <w:t>34.7 Order Execution Standards</w:t>
      </w:r>
    </w:p>
    <w:p>
      <w:r>
        <w:t>All reserve liquidations shall seek:</w:t>
      </w:r>
    </w:p>
    <w:p>
      <w:r>
        <w:t>Best execution</w:t>
      </w:r>
    </w:p>
    <w:p>
      <w:r>
        <w:t>Competitive pricing</w:t>
      </w:r>
    </w:p>
    <w:p>
      <w:r>
        <w:t>Minimal market impact</w:t>
      </w:r>
    </w:p>
    <w:p>
      <w:r>
        <w:t>Documented execution records</w:t>
      </w:r>
    </w:p>
    <w:p>
      <w:r>
        <w:t>Independent post-trade verification</w:t>
      </w:r>
    </w:p>
    <w:p>
      <w:r>
        <w:t>34.8 Redemption Audit Trail</w:t>
      </w:r>
    </w:p>
    <w:p>
      <w:r>
        <w:t>Every redemption shall generate an immutable constitutional record including:</w:t>
      </w:r>
    </w:p>
    <w:p>
      <w:r>
        <w:t>Timestamp</w:t>
      </w:r>
    </w:p>
    <w:p>
      <w:r>
        <w:t>Redemption identifier</w:t>
      </w:r>
    </w:p>
    <w:p>
      <w:r>
        <w:t>Assets liquidated</w:t>
      </w:r>
    </w:p>
    <w:p>
      <w:r>
        <w:t>Quantities</w:t>
      </w:r>
    </w:p>
    <w:p>
      <w:r>
        <w:t>Execution prices</w:t>
      </w:r>
    </w:p>
    <w:p>
      <w:r>
        <w:t>Oracle references</w:t>
      </w:r>
    </w:p>
    <w:p>
      <w:r>
        <w:t>Settlement confirmation</w:t>
      </w:r>
    </w:p>
    <w:p>
      <w:r>
        <w:t>Reserve balances after redemption</w:t>
      </w:r>
    </w:p>
    <w:p>
      <w:r>
        <w:t>Cryptographic audit hash</w:t>
      </w:r>
    </w:p>
    <w:p>
      <w:r>
        <w:t>34.9 Constitutional Exception Rule</w:t>
      </w:r>
    </w:p>
    <w:p>
      <w:r>
        <w:t>The constitutional redemption hierarchy may only be temporarily modified under the Constitutional Emergency Procedures defined in Part V.</w:t>
      </w:r>
    </w:p>
    <w:p>
      <w:r>
        <w:t>Any temporary modification shall:</w:t>
      </w:r>
    </w:p>
    <w:p>
      <w:r>
        <w:t>Be publicly disclosed</w:t>
      </w:r>
    </w:p>
    <w:p>
      <w:r>
        <w:t>State the constitutional basis</w:t>
      </w:r>
    </w:p>
    <w:p>
      <w:r>
        <w:t>Specify the duration</w:t>
      </w:r>
    </w:p>
    <w:p>
      <w:r>
        <w:t>Automatically expire unless renewed through constitutional procedures</w:t>
      </w:r>
    </w:p>
    <w:p>
      <w:r>
        <w:t>34.10 Constitutional Verification</w:t>
      </w:r>
    </w:p>
    <w:p>
      <w:r>
        <w:t>text</w:t>
      </w:r>
    </w:p>
    <w:p>
      <w:r>
        <w:t>✓ Redemption hierarchy respected</w:t>
      </w:r>
    </w:p>
    <w:p>
      <w:r>
        <w:t>✓ Constitutional Preservation Rule satisfied</w:t>
      </w:r>
    </w:p>
    <w:p>
      <w:r>
        <w:t>✓ Proportional liquidation applied (where applicable)</w:t>
      </w:r>
    </w:p>
    <w:p>
      <w:r>
        <w:t>✓ Liquidity optimization executed</w:t>
      </w:r>
    </w:p>
    <w:p>
      <w:r>
        <w:t>✓ Bullion Protection Rule satisfied</w:t>
      </w:r>
    </w:p>
    <w:p>
      <w:r>
        <w:t>✓ Large redemption handling (if applicable) completed</w:t>
      </w:r>
    </w:p>
    <w:p>
      <w:r>
        <w:t>✓ Order execution standards satisfied</w:t>
      </w:r>
    </w:p>
    <w:p>
      <w:r>
        <w:t>✓ Redemption audit trail created</w:t>
      </w:r>
    </w:p>
    <w:p>
      <w:r>
        <w:t>✓ Constitutional Exception Rule (if applicable) documented</w:t>
      </w:r>
    </w:p>
    <w:p>
      <w:r>
        <w:t>34.11 Related Sections</w:t>
      </w:r>
    </w:p>
    <w:p>
      <w:r>
        <w:t>Section 2 — Constitutional Three-Layer Reserve Valuation Model</w:t>
      </w:r>
    </w:p>
    <w:p>
      <w:r>
        <w:t>Section 6 — Adjusted Reserve Valuation — Fixed Constitutional Haircuts</w:t>
      </w:r>
    </w:p>
    <w:p>
      <w:r>
        <w:t>Section 14 — Gold Anchor</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Constitutional Redemption Order defined</w:t>
      </w:r>
    </w:p>
    <w:p>
      <w:r>
        <w:t>✓ Constitutional Preservation Rule established</w:t>
      </w:r>
    </w:p>
    <w:p>
      <w:r>
        <w:t>✓ Proportional Liquidation Rule established</w:t>
      </w:r>
    </w:p>
    <w:p>
      <w:r>
        <w:t>✓ Liquidity Optimization Rule established</w:t>
      </w:r>
    </w:p>
    <w:p>
      <w:r>
        <w:t>✓ Bullion Protection Rule established</w:t>
      </w:r>
    </w:p>
    <w:p>
      <w:r>
        <w:t>✓ Large Redemption Handling established</w:t>
      </w:r>
    </w:p>
    <w:p>
      <w:r>
        <w:t>✓ Order Execution Standards established</w:t>
      </w:r>
    </w:p>
    <w:p>
      <w:r>
        <w:t>✓ Redemption Audit Trail established</w:t>
      </w:r>
    </w:p>
    <w:p>
      <w:r>
        <w:t>✓ Constitutional Exception Rule established</w:t>
      </w:r>
    </w:p>
    <w:p>
      <w:r>
        <w:t>✓ Constitutional Verification established</w:t>
      </w:r>
    </w:p>
    <w:p>
      <w:r>
        <w:t>✓ Related Sections referenced</w:t>
      </w:r>
    </w:p>
    <w:p>
      <w:r>
        <w:t>[END OF SECTION 34 — CONSTITUTIONAL REDEMPTION SEQUENCING]</w:t>
      </w:r>
    </w:p>
    <w:p>
      <w:r>
        <w:t>Section 35: Constitutional Settlement Finality</w:t>
      </w:r>
    </w:p>
    <w:p>
      <w:r>
        <w:t>35.1 Constitutional Settlement Principle</w:t>
      </w:r>
    </w:p>
    <w:p>
      <w:r>
        <w:t>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p>
    <w:p>
      <w:r>
        <w:t>Settlement finality is deterministic, auditable, reproducible, and independently verifiable.</w:t>
      </w:r>
    </w:p>
    <w:p>
      <w:r>
        <w:t>35.2 Constitutional Settlement Pipeline</w:t>
      </w:r>
    </w:p>
    <w:p>
      <w:r>
        <w:t>text</w:t>
      </w:r>
    </w:p>
    <w:p>
      <w:r>
        <w:t>Transaction Submitted</w:t>
      </w:r>
    </w:p>
    <w:p>
      <w:r>
        <w:t>│</w:t>
      </w:r>
    </w:p>
    <w:p>
      <w:r>
        <w:t>▼</w:t>
      </w:r>
    </w:p>
    <w:p>
      <w:pPr>
        <w:pStyle w:val="ListNumber"/>
        <w:ind w:left="425"/>
      </w:pPr>
      <w:r>
        <w:t>Constitutional Validation</w:t>
      </w:r>
    </w:p>
    <w:p>
      <w:pPr>
        <w:pStyle w:val="ListBullet"/>
        <w:ind w:left="425"/>
      </w:pPr>
      <w:r>
        <w:t>Asset eligibility verified</w:t>
      </w:r>
    </w:p>
    <w:p>
      <w:pPr>
        <w:pStyle w:val="ListBullet"/>
        <w:ind w:left="425"/>
      </w:pPr>
      <w:r>
        <w:t>Oracle consensus verified</w:t>
      </w:r>
    </w:p>
    <w:p>
      <w:pPr>
        <w:pStyle w:val="ListBullet"/>
        <w:ind w:left="425"/>
      </w:pPr>
      <w:r>
        <w:t>Reserve Ratio verified</w:t>
      </w:r>
    </w:p>
    <w:p>
      <w:pPr>
        <w:pStyle w:val="ListBullet"/>
        <w:ind w:left="425"/>
      </w:pPr>
      <w:r>
        <w:t>Liquidity requirements verified</w:t>
      </w:r>
    </w:p>
    <w:p>
      <w:pPr>
        <w:pStyle w:val="ListBullet"/>
        <w:ind w:left="425"/>
      </w:pPr>
      <w:r>
        <w:t>Compliance requirements verified</w:t>
      </w:r>
    </w:p>
    <w:p>
      <w:r>
        <w:t>│</w:t>
      </w:r>
    </w:p>
    <w:p>
      <w:r>
        <w:t>▼</w:t>
      </w:r>
    </w:p>
    <w:p>
      <w:pPr>
        <w:pStyle w:val="ListNumber"/>
        <w:ind w:left="425"/>
      </w:pPr>
      <w:r>
        <w:t>Reserve State Update</w:t>
      </w:r>
    </w:p>
    <w:p>
      <w:pPr>
        <w:pStyle w:val="ListBullet"/>
        <w:ind w:left="425"/>
      </w:pPr>
      <w:r>
        <w:t>Reserve balances updated</w:t>
      </w:r>
    </w:p>
    <w:p>
      <w:pPr>
        <w:pStyle w:val="ListBullet"/>
        <w:ind w:left="425"/>
      </w:pPr>
      <w:r>
        <w:t>Reserve allocation recalculated</w:t>
      </w:r>
    </w:p>
    <w:p>
      <w:pPr>
        <w:pStyle w:val="ListBullet"/>
        <w:ind w:left="425"/>
      </w:pPr>
      <w:r>
        <w:t>Reserve version incremented</w:t>
      </w:r>
    </w:p>
    <w:p>
      <w:r>
        <w:t>│</w:t>
      </w:r>
    </w:p>
    <w:p>
      <w:r>
        <w:t>▼</w:t>
      </w:r>
    </w:p>
    <w:p>
      <w:pPr>
        <w:pStyle w:val="ListNumber"/>
        <w:ind w:left="425"/>
      </w:pPr>
      <w:r>
        <w:t>NAV Calculation</w:t>
      </w:r>
    </w:p>
    <w:p>
      <w:pPr>
        <w:pStyle w:val="ListBullet"/>
        <w:ind w:left="425"/>
      </w:pPr>
      <w:r>
        <w:t>Current Market NAV</w:t>
      </w:r>
    </w:p>
    <w:p>
      <w:pPr>
        <w:pStyle w:val="ListBullet"/>
        <w:ind w:left="425"/>
      </w:pPr>
      <w:r>
        <w:t>Current Solvency NAV</w:t>
      </w:r>
    </w:p>
    <w:p>
      <w:pPr>
        <w:pStyle w:val="ListBullet"/>
        <w:ind w:left="425"/>
      </w:pPr>
      <w:r>
        <w:t>Current Stress NAV</w:t>
      </w:r>
    </w:p>
    <w:p>
      <w:r>
        <w:t>│</w:t>
      </w:r>
    </w:p>
    <w:p>
      <w:r>
        <w:t>▼</w:t>
      </w:r>
    </w:p>
    <w:p>
      <w:pPr>
        <w:pStyle w:val="ListNumber"/>
        <w:ind w:left="425"/>
      </w:pPr>
      <w:r>
        <w:t>Proof Generation</w:t>
      </w:r>
    </w:p>
    <w:p>
      <w:pPr>
        <w:pStyle w:val="ListBullet"/>
        <w:ind w:left="425"/>
      </w:pPr>
      <w:r>
        <w:t>Proof of Reserves</w:t>
      </w:r>
    </w:p>
    <w:p>
      <w:pPr>
        <w:pStyle w:val="ListBullet"/>
        <w:ind w:left="425"/>
      </w:pPr>
      <w:r>
        <w:t>Proof of Solvency</w:t>
      </w:r>
    </w:p>
    <w:p>
      <w:pPr>
        <w:pStyle w:val="ListBullet"/>
        <w:ind w:left="425"/>
      </w:pPr>
      <w:r>
        <w:t>Proof hash generated</w:t>
      </w:r>
    </w:p>
    <w:p>
      <w:r>
        <w:t>│</w:t>
      </w:r>
    </w:p>
    <w:p>
      <w:r>
        <w:t>▼</w:t>
      </w:r>
    </w:p>
    <w:p>
      <w:pPr>
        <w:pStyle w:val="ListNumber"/>
        <w:ind w:left="425"/>
      </w:pPr>
      <w:r>
        <w:t>Immutable Ledger Commitment</w:t>
      </w:r>
    </w:p>
    <w:p>
      <w:pPr>
        <w:pStyle w:val="ListBullet"/>
        <w:ind w:left="425"/>
      </w:pPr>
      <w:r>
        <w:t>Transaction committed</w:t>
      </w:r>
    </w:p>
    <w:p>
      <w:pPr>
        <w:pStyle w:val="ListBullet"/>
        <w:ind w:left="425"/>
      </w:pPr>
      <w:r>
        <w:t>Merkle Root updated</w:t>
      </w:r>
    </w:p>
    <w:p>
      <w:pPr>
        <w:pStyle w:val="ListBullet"/>
        <w:ind w:left="425"/>
      </w:pPr>
      <w:r>
        <w:t>Ledger version incremented</w:t>
      </w:r>
    </w:p>
    <w:p>
      <w:r>
        <w:t>│</w:t>
      </w:r>
    </w:p>
    <w:p>
      <w:r>
        <w:t>▼</w:t>
      </w:r>
    </w:p>
    <w:p>
      <w:pPr>
        <w:pStyle w:val="ListNumber"/>
        <w:ind w:left="425"/>
      </w:pPr>
      <w:r>
        <w:t>Constitutional Validation</w:t>
      </w:r>
    </w:p>
    <w:p>
      <w:pPr>
        <w:pStyle w:val="ListBullet"/>
        <w:ind w:left="425"/>
      </w:pPr>
      <w:r>
        <w:t>Signature verification</w:t>
      </w:r>
    </w:p>
    <w:p>
      <w:pPr>
        <w:pStyle w:val="ListBullet"/>
        <w:ind w:left="425"/>
      </w:pPr>
      <w:r>
        <w:t>Hash verification</w:t>
      </w:r>
    </w:p>
    <w:p>
      <w:pPr>
        <w:pStyle w:val="ListBullet"/>
        <w:ind w:left="425"/>
      </w:pPr>
      <w:r>
        <w:t>Consensus verification</w:t>
      </w:r>
    </w:p>
    <w:p>
      <w:r>
        <w:t>│</w:t>
      </w:r>
    </w:p>
    <w:p>
      <w:r>
        <w:t>▼</w:t>
      </w:r>
    </w:p>
    <w:p>
      <w:r>
        <w:t>Settlement Constitutionally Final</w:t>
      </w:r>
    </w:p>
    <w:p>
      <w:r>
        <w:t>35.3 Settlement Finality Levels</w:t>
      </w:r>
    </w:p>
    <w:p>
      <w:r>
        <w:t>35.4 Constitutional Finality Requirements</w:t>
      </w:r>
    </w:p>
    <w:p>
      <w:r>
        <w:t>Settlement SHALL NOT be considered final unless all of the following conditions are satisfied:</w:t>
      </w:r>
    </w:p>
    <w:p>
      <w:r>
        <w:t>Constitutional validation completed</w:t>
      </w:r>
    </w:p>
    <w:p>
      <w:r>
        <w:t>Oracle consensus validated</w:t>
      </w:r>
    </w:p>
    <w:p>
      <w:r>
        <w:t>Reserve records updated</w:t>
      </w:r>
    </w:p>
    <w:p>
      <w:r>
        <w:t>Reserve Ratio recalculated</w:t>
      </w:r>
    </w:p>
    <w:p>
      <w:r>
        <w:t>NAV recalculated</w:t>
      </w:r>
    </w:p>
    <w:p>
      <w:r>
        <w:t>Proof of Reserves generated</w:t>
      </w:r>
    </w:p>
    <w:p>
      <w:r>
        <w:t>Proof of Solvency generated</w:t>
      </w:r>
    </w:p>
    <w:p>
      <w:r>
        <w:t>Immutable ledger commitment completed</w:t>
      </w:r>
    </w:p>
    <w:p>
      <w:r>
        <w:t>Cryptographic signatures verified</w:t>
      </w:r>
    </w:p>
    <w:p>
      <w:r>
        <w:t>Consensus verification completed</w:t>
      </w:r>
    </w:p>
    <w:p>
      <w:r>
        <w:t>35.5 Settlement Failure Recovery</w:t>
      </w:r>
    </w:p>
    <w:p>
      <w:r>
        <w:t>If any settlement stage fails:</w:t>
      </w:r>
    </w:p>
    <w:p>
      <w:r>
        <w:t>Abort transaction</w:t>
      </w:r>
    </w:p>
    <w:p>
      <w:r>
        <w:t>Roll back all provisional state changes</w:t>
      </w:r>
    </w:p>
    <w:p>
      <w:r>
        <w:t>Preserve immutable audit log</w:t>
      </w:r>
    </w:p>
    <w:p>
      <w:r>
        <w:t>Notify Technical Committee</w:t>
      </w:r>
    </w:p>
    <w:p>
      <w:r>
        <w:t>Retry only after successful validation</w:t>
      </w:r>
    </w:p>
    <w:p>
      <w:r>
        <w:t>No partial settlement is permitted</w:t>
      </w:r>
    </w:p>
    <w:p>
      <w:r>
        <w:t>35.6 Constitutional Atomicity</w:t>
      </w:r>
    </w:p>
    <w:p>
      <w:r>
        <w:t>All settlement operations are constitutionally atomic.</w:t>
      </w:r>
    </w:p>
    <w:p>
      <w:r>
        <w:t>Either:</w:t>
      </w:r>
    </w:p>
    <w:p>
      <w:r>
        <w:t>Every constitutional state transition completes successfully,</w:t>
      </w:r>
    </w:p>
    <w:p>
      <w:r>
        <w:t>Or no constitutional state transition shall be committed.</w:t>
      </w:r>
    </w:p>
    <w:p>
      <w:r>
        <w:t>Partial settlement is constitutionally prohibited.</w:t>
      </w:r>
    </w:p>
    <w:p>
      <w:r>
        <w:t>35.7 Constitutional Event Generation</w:t>
      </w:r>
    </w:p>
    <w:p>
      <w:r>
        <w:t>Every settlement shall generate an immutable constitutional event containing:</w:t>
      </w:r>
    </w:p>
    <w:p>
      <w:r>
        <w:t>Transaction ID</w:t>
      </w:r>
    </w:p>
    <w:p>
      <w:r>
        <w:t>UTC Timestamp</w:t>
      </w:r>
    </w:p>
    <w:p>
      <w:r>
        <w:t>Reserve Version</w:t>
      </w:r>
    </w:p>
    <w:p>
      <w:r>
        <w:t>Supply Version</w:t>
      </w:r>
    </w:p>
    <w:p>
      <w:r>
        <w:t>Oracle Snapshot ID</w:t>
      </w:r>
    </w:p>
    <w:p>
      <w:r>
        <w:t>NAV Version</w:t>
      </w:r>
    </w:p>
    <w:p>
      <w:r>
        <w:t>Proof Hash</w:t>
      </w:r>
    </w:p>
    <w:p>
      <w:r>
        <w:t>Ledger Hash</w:t>
      </w:r>
    </w:p>
    <w:p>
      <w:r>
        <w:t>Validator Signatures</w:t>
      </w:r>
    </w:p>
    <w:p>
      <w:r>
        <w:t>Settlement Status</w:t>
      </w:r>
    </w:p>
    <w:p>
      <w:r>
        <w:t>35.8 Constitutional Verification</w:t>
      </w:r>
    </w:p>
    <w:p>
      <w:r>
        <w:t>text</w:t>
      </w:r>
    </w:p>
    <w:p>
      <w:r>
        <w:t>✓ Constitutional validation completed</w:t>
      </w:r>
    </w:p>
    <w:p>
      <w:r>
        <w:t>✓ Reserve state updated</w:t>
      </w:r>
    </w:p>
    <w:p>
      <w:r>
        <w:t>✓ NAV calculated</w:t>
      </w:r>
    </w:p>
    <w:p>
      <w:r>
        <w:t>✓ Proof of Reserves generated</w:t>
      </w:r>
    </w:p>
    <w:p>
      <w:r>
        <w:t>✓ Proof of Solvency generated</w:t>
      </w:r>
    </w:p>
    <w:p>
      <w:r>
        <w:t>✓ Immutable ledger commitment completed</w:t>
      </w:r>
    </w:p>
    <w:p>
      <w:r>
        <w:t>✓ Constitutional validation completed</w:t>
      </w:r>
    </w:p>
    <w:p>
      <w:r>
        <w:t>✓ Settlement constitutionally final</w:t>
      </w:r>
    </w:p>
    <w:p>
      <w:r>
        <w:t>✓ Immutable audit record created</w:t>
      </w:r>
    </w:p>
    <w:p>
      <w:r>
        <w:t>35.9 Related Sections</w:t>
      </w:r>
    </w:p>
    <w:p>
      <w:r>
        <w:t>Section 11 — Monetary Engine Determinism</w:t>
      </w:r>
    </w:p>
    <w:p>
      <w:r>
        <w:t>Section 34 — Constitutional Redemption Sequencing</w:t>
      </w:r>
    </w:p>
    <w:p>
      <w:r>
        <w:t>Section 36 — Constitutional Supply Lifecycle</w:t>
      </w:r>
    </w:p>
    <w:p>
      <w:r>
        <w:t>Section 42 — Daily Proof of Reserves</w:t>
      </w:r>
    </w:p>
    <w:p>
      <w:r>
        <w:t>Section 43 — Formal Verification</w:t>
      </w:r>
    </w:p>
    <w:p>
      <w:r>
        <w:t>Constitutional Verification</w:t>
      </w:r>
    </w:p>
    <w:p>
      <w:r>
        <w:t>text</w:t>
      </w:r>
    </w:p>
    <w:p>
      <w:r>
        <w:t>✓ Constitutional Settlement Principle established</w:t>
      </w:r>
    </w:p>
    <w:p>
      <w:r>
        <w:t>✓ Constitutional Settlement Pipeline defined</w:t>
      </w:r>
    </w:p>
    <w:p>
      <w:r>
        <w:t>✓ Settlement Finality Levels defined</w:t>
      </w:r>
    </w:p>
    <w:p>
      <w:r>
        <w:t>✓ Constitutional Finality Requirements established</w:t>
      </w:r>
    </w:p>
    <w:p>
      <w:r>
        <w:t>✓ Settlement Failure Recovery established</w:t>
      </w:r>
    </w:p>
    <w:p>
      <w:r>
        <w:t>✓ Constitutional Atomicity established</w:t>
      </w:r>
    </w:p>
    <w:p>
      <w:r>
        <w:t>✓ Constitutional Event Generation established</w:t>
      </w:r>
    </w:p>
    <w:p>
      <w:r>
        <w:t>✓ Constitutional Verification established</w:t>
      </w:r>
    </w:p>
    <w:p>
      <w:r>
        <w:t>✓ Related Sections referenced</w:t>
      </w:r>
    </w:p>
    <w:p>
      <w:r>
        <w:t>[END OF SECTION 35 — CONSTITUTIONAL SETTLEMENT FINALITY]</w:t>
      </w:r>
    </w:p>
    <w:p>
      <w:r>
        <w:t>Section 36: Constitutional Supply Lifecycle</w:t>
      </w:r>
    </w:p>
    <w:p>
      <w:r>
        <w:t>36.1 Constitutional Supply Principle</w:t>
      </w:r>
    </w:p>
    <w:p>
      <w:r>
        <w:t>The MTQ monetary supply shall change only through constitutionally authorized Minting or Redemption procedures.</w:t>
      </w:r>
    </w:p>
    <w:p>
      <w:r>
        <w:t>Every newly issued MTQ shall be fully backed by eligible reserves before issuance.</w:t>
      </w:r>
    </w:p>
    <w:p>
      <w:r>
        <w:t>Every redeemed MTQ shall be permanently removed from circulation following successful redemption settlement.</w:t>
      </w:r>
    </w:p>
    <w:p>
      <w:r>
        <w:t>36.2 Constitutional Minting Lifecycle</w:t>
      </w:r>
    </w:p>
    <w:p>
      <w:r>
        <w:t>text</w:t>
      </w:r>
    </w:p>
    <w:p>
      <w:r>
        <w:t>Mint Request Received</w:t>
      </w:r>
    </w:p>
    <w:p>
      <w:r>
        <w:t>│</w:t>
      </w:r>
    </w:p>
    <w:p>
      <w:r>
        <w:t>▼</w:t>
      </w:r>
    </w:p>
    <w:p>
      <w:pPr>
        <w:pStyle w:val="ListNumber"/>
        <w:ind w:left="425"/>
      </w:pPr>
      <w:r>
        <w:t>Constitutional Validation</w:t>
      </w:r>
    </w:p>
    <w:p>
      <w:pPr>
        <w:pStyle w:val="ListBullet"/>
        <w:ind w:left="425"/>
      </w:pPr>
      <w:r>
        <w:t>Eligible reserve assets</w:t>
      </w:r>
    </w:p>
    <w:p>
      <w:pPr>
        <w:pStyle w:val="ListBullet"/>
        <w:ind w:left="425"/>
      </w:pPr>
      <w:r>
        <w:t>KYC / AML verification</w:t>
      </w:r>
    </w:p>
    <w:p>
      <w:pPr>
        <w:pStyle w:val="ListBullet"/>
        <w:ind w:left="425"/>
      </w:pPr>
      <w:r>
        <w:t>Compliance verification</w:t>
      </w:r>
    </w:p>
    <w:p>
      <w:r>
        <w:t>│</w:t>
      </w:r>
    </w:p>
    <w:p>
      <w:r>
        <w:t>▼</w:t>
      </w:r>
    </w:p>
    <w:p>
      <w:pPr>
        <w:pStyle w:val="ListNumber"/>
        <w:ind w:left="425"/>
      </w:pPr>
      <w:r>
        <w:t>Asset Settlement Confirmed</w:t>
      </w:r>
    </w:p>
    <w:p>
      <w:r>
        <w:t>│</w:t>
      </w:r>
    </w:p>
    <w:p>
      <w:r>
        <w:t>▼</w:t>
      </w:r>
    </w:p>
    <w:p>
      <w:pPr>
        <w:pStyle w:val="ListNumber"/>
        <w:ind w:left="425"/>
      </w:pPr>
      <w:r>
        <w:t>Reserve Records Updated</w:t>
      </w:r>
    </w:p>
    <w:p>
      <w:r>
        <w:t>│</w:t>
      </w:r>
    </w:p>
    <w:p>
      <w:r>
        <w:t>▼</w:t>
      </w:r>
    </w:p>
    <w:p>
      <w:pPr>
        <w:pStyle w:val="ListNumber"/>
        <w:ind w:left="425"/>
      </w:pPr>
      <w:r>
        <w:t>Reserve Ratio Recalculated</w:t>
      </w:r>
    </w:p>
    <w:p>
      <w:r>
        <w:t>│</w:t>
      </w:r>
    </w:p>
    <w:p>
      <w:r>
        <w:t>▼</w:t>
      </w:r>
    </w:p>
    <w:p>
      <w:pPr>
        <w:pStyle w:val="ListNumber"/>
        <w:ind w:left="425"/>
      </w:pPr>
      <w:r>
        <w:t>NAV Calculation</w:t>
      </w:r>
    </w:p>
    <w:p>
      <w:r>
        <w:t>│</w:t>
      </w:r>
    </w:p>
    <w:p>
      <w:r>
        <w:t>▼</w:t>
      </w:r>
    </w:p>
    <w:p>
      <w:pPr>
        <w:pStyle w:val="ListNumber"/>
        <w:ind w:left="425"/>
      </w:pPr>
      <w:r>
        <w:t>Mint Amount Determined</w:t>
      </w:r>
    </w:p>
    <w:p>
      <w:r>
        <w:t>Minted MTQ = Deposit Value / Current NAV</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Mint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36.3 Constitutional Redemption Lifecycle</w:t>
      </w:r>
    </w:p>
    <w:p>
      <w:r>
        <w:t>text</w:t>
      </w:r>
    </w:p>
    <w:p>
      <w:r>
        <w:t>Redemption Request Received</w:t>
      </w:r>
    </w:p>
    <w:p>
      <w:r>
        <w:t>│</w:t>
      </w:r>
    </w:p>
    <w:p>
      <w:r>
        <w:t>▼</w:t>
      </w:r>
    </w:p>
    <w:p>
      <w:pPr>
        <w:pStyle w:val="ListNumber"/>
        <w:ind w:left="425"/>
      </w:pPr>
      <w:r>
        <w:t>Constitutional Validation</w:t>
      </w:r>
    </w:p>
    <w:p>
      <w:pPr>
        <w:pStyle w:val="ListBullet"/>
        <w:ind w:left="425"/>
      </w:pPr>
      <w:r>
        <w:t>Ownership verified</w:t>
      </w:r>
    </w:p>
    <w:p>
      <w:pPr>
        <w:pStyle w:val="ListBullet"/>
        <w:ind w:left="425"/>
      </w:pPr>
      <w:r>
        <w:t>MTQ balance verified</w:t>
      </w:r>
    </w:p>
    <w:p>
      <w:pPr>
        <w:pStyle w:val="ListBullet"/>
        <w:ind w:left="425"/>
      </w:pPr>
      <w:r>
        <w:t>Compliance verified</w:t>
      </w:r>
    </w:p>
    <w:p>
      <w:r>
        <w:t>│</w:t>
      </w:r>
    </w:p>
    <w:p>
      <w:r>
        <w:t>▼</w:t>
      </w:r>
    </w:p>
    <w:p>
      <w:pPr>
        <w:pStyle w:val="ListNumber"/>
        <w:ind w:left="425"/>
      </w:pPr>
      <w:r>
        <w:t>Redemption Authorized</w:t>
      </w:r>
    </w:p>
    <w:p>
      <w:r>
        <w:t>│</w:t>
      </w:r>
    </w:p>
    <w:p>
      <w:r>
        <w:t>▼</w:t>
      </w:r>
    </w:p>
    <w:p>
      <w:pPr>
        <w:pStyle w:val="ListNumber"/>
        <w:ind w:left="425"/>
      </w:pPr>
      <w:r>
        <w:t>NAV Calculation</w:t>
      </w:r>
    </w:p>
    <w:p>
      <w:r>
        <w:t>│</w:t>
      </w:r>
    </w:p>
    <w:p>
      <w:r>
        <w:t>▼</w:t>
      </w:r>
    </w:p>
    <w:p>
      <w:pPr>
        <w:pStyle w:val="ListNumber"/>
        <w:ind w:left="425"/>
      </w:pPr>
      <w:r>
        <w:t>Redemption Amount Determined</w:t>
      </w:r>
    </w:p>
    <w:p>
      <w:r>
        <w:t>Redemption Value = Burned MTQ × Current NAV</w:t>
      </w:r>
    </w:p>
    <w:p>
      <w:r>
        <w:t>│</w:t>
      </w:r>
    </w:p>
    <w:p>
      <w:r>
        <w:t>▼</w:t>
      </w:r>
    </w:p>
    <w:p>
      <w:pPr>
        <w:pStyle w:val="ListNumber"/>
        <w:ind w:left="425"/>
      </w:pPr>
      <w:r>
        <w:t>Reserve Ratio Recalculated</w:t>
      </w:r>
    </w:p>
    <w:p>
      <w:r>
        <w:t>│</w:t>
      </w:r>
    </w:p>
    <w:p>
      <w:r>
        <w:t>▼</w:t>
      </w:r>
    </w:p>
    <w:p>
      <w:pPr>
        <w:pStyle w:val="ListNumber"/>
        <w:ind w:left="425"/>
      </w:pPr>
      <w:r>
        <w:t>Asset Release</w:t>
      </w:r>
    </w:p>
    <w:p>
      <w:r>
        <w:t>(Section 34 Constitutional Redemption Hierarchy)</w:t>
      </w:r>
    </w:p>
    <w:p>
      <w:r>
        <w:t>│</w:t>
      </w:r>
    </w:p>
    <w:p>
      <w:r>
        <w:t>▼</w:t>
      </w:r>
    </w:p>
    <w:p>
      <w:pPr>
        <w:pStyle w:val="ListNumber"/>
        <w:ind w:left="425"/>
      </w:pPr>
      <w:r>
        <w:t>Reserve Records Updated</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Burn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36.4 Constitutional Supply Invariants</w:t>
      </w:r>
    </w:p>
    <w:p>
      <w:r>
        <w:t>The following constitutional invariants shall hold at all times:</w:t>
      </w:r>
    </w:p>
    <w:p>
      <w:r>
        <w:t>Total Supply ≥ 0</w:t>
      </w:r>
    </w:p>
    <w:p>
      <w:r>
        <w:t>Reserve Ratio ≥ RR_min</w:t>
      </w:r>
    </w:p>
    <w:p>
      <w:r>
        <w:t>Every MTQ in circulation is backed by eligible constitutional reserves</w:t>
      </w:r>
    </w:p>
    <w:p>
      <w:r>
        <w:t>Every redeemed MTQ permanently reduces total supply</w:t>
      </w:r>
    </w:p>
    <w:p>
      <w:r>
        <w:t>No MTQ shall exist without corresponding reserve backing</w:t>
      </w:r>
    </w:p>
    <w:p>
      <w:r>
        <w:t>Reserve accounting shall remain internally consistent across all constitutional reserve layers</w:t>
      </w:r>
    </w:p>
    <w:p>
      <w:r>
        <w:t>36.5 Constitutional Atomicity</w:t>
      </w:r>
    </w:p>
    <w:p>
      <w:r>
        <w:t>Minting and Redemption operations shall be constitutionally atomic.</w:t>
      </w:r>
    </w:p>
    <w:p>
      <w:r>
        <w:t>Either:</w:t>
      </w:r>
    </w:p>
    <w:p>
      <w:r>
        <w:t>Every required constitutional operation succeeds,</w:t>
      </w:r>
    </w:p>
    <w:p>
      <w:r>
        <w:t>Or no constitutional state transition shall occur.</w:t>
      </w:r>
    </w:p>
    <w:p>
      <w:r>
        <w:t>No partial minting. No partial redemption. No partial reserve updates.</w:t>
      </w:r>
    </w:p>
    <w:p>
      <w:r>
        <w:t>36.6 Idempotency Requirement</w:t>
      </w:r>
    </w:p>
    <w:p>
      <w:r>
        <w:t>Every minting and redemption request shall include a unique Constitutional Transaction Identifier (CTID).</w:t>
      </w:r>
    </w:p>
    <w:p>
      <w:r>
        <w:t>Repeated processing of the same CTID shall produce exactly one constitutional state transition.</w:t>
      </w:r>
    </w:p>
    <w:p>
      <w:r>
        <w:t>Duplicate execution is constitutionally prohibited.</w:t>
      </w:r>
    </w:p>
    <w:p>
      <w:r>
        <w:t>36.7 Immutable Constitutional Event Log</w:t>
      </w:r>
    </w:p>
    <w:p>
      <w:r>
        <w:t>Each minting and redemption operation shall generate an immutable constitutional event containing:</w:t>
      </w:r>
    </w:p>
    <w:p>
      <w:r>
        <w:t>Constitutional Transaction ID (CTID)</w:t>
      </w:r>
    </w:p>
    <w:p>
      <w:r>
        <w:t>UTC Timestamp</w:t>
      </w:r>
    </w:p>
    <w:p>
      <w:r>
        <w:t>Participant Identifier</w:t>
      </w:r>
    </w:p>
    <w:p>
      <w:r>
        <w:t>Reserve Version</w:t>
      </w:r>
    </w:p>
    <w:p>
      <w:r>
        <w:t>Supply Version</w:t>
      </w:r>
    </w:p>
    <w:p>
      <w:r>
        <w:t>NAV Version</w:t>
      </w:r>
    </w:p>
    <w:p>
      <w:r>
        <w:t>Reserve Ratio</w:t>
      </w:r>
    </w:p>
    <w:p>
      <w:r>
        <w:t>Oracle Snapshot Reference</w:t>
      </w:r>
    </w:p>
    <w:p>
      <w:r>
        <w:t>Proof of Reserves Hash</w:t>
      </w:r>
    </w:p>
    <w:p>
      <w:r>
        <w:t>Proof of Solvency Hash</w:t>
      </w:r>
    </w:p>
    <w:p>
      <w:r>
        <w:t>Ledger Hash</w:t>
      </w:r>
    </w:p>
    <w:p>
      <w:r>
        <w:t>Validator Signatures</w:t>
      </w:r>
    </w:p>
    <w:p>
      <w:r>
        <w:t>Settlement Status</w:t>
      </w:r>
    </w:p>
    <w:p>
      <w:r>
        <w:t>36.8 Constitutional State Machines</w:t>
      </w:r>
    </w:p>
    <w:p>
      <w:r>
        <w:t>Minting:</w:t>
      </w:r>
    </w:p>
    <w:p>
      <w:r>
        <w:t>text</w:t>
      </w:r>
    </w:p>
    <w:p>
      <w:r>
        <w:t>Requested</w:t>
      </w:r>
    </w:p>
    <w:p>
      <w:r>
        <w:t>│</w:t>
      </w:r>
    </w:p>
    <w:p>
      <w:r>
        <w:t>▼</w:t>
      </w:r>
    </w:p>
    <w:p>
      <w:r>
        <w:t>Validated</w:t>
      </w:r>
    </w:p>
    <w:p>
      <w:r>
        <w:t>│</w:t>
      </w:r>
    </w:p>
    <w:p>
      <w:r>
        <w:t>▼</w:t>
      </w:r>
    </w:p>
    <w:p>
      <w:r>
        <w:t>Assets Settled</w:t>
      </w:r>
    </w:p>
    <w:p>
      <w:r>
        <w:t>│</w:t>
      </w:r>
    </w:p>
    <w:p>
      <w:r>
        <w:t>▼</w:t>
      </w:r>
    </w:p>
    <w:p>
      <w:r>
        <w:t>Reserve Updated</w:t>
      </w:r>
    </w:p>
    <w:p>
      <w:r>
        <w:t>│</w:t>
      </w:r>
    </w:p>
    <w:p>
      <w:r>
        <w:t>▼</w:t>
      </w:r>
    </w:p>
    <w:p>
      <w:r>
        <w:t>NAV Calculated</w:t>
      </w:r>
    </w:p>
    <w:p>
      <w:r>
        <w:t>│</w:t>
      </w:r>
    </w:p>
    <w:p>
      <w:r>
        <w:t>▼</w:t>
      </w:r>
    </w:p>
    <w:p>
      <w:r>
        <w:t>Proof Generated</w:t>
      </w:r>
    </w:p>
    <w:p>
      <w:r>
        <w:t>│</w:t>
      </w:r>
    </w:p>
    <w:p>
      <w:r>
        <w:t>▼</w:t>
      </w:r>
    </w:p>
    <w:p>
      <w:r>
        <w:t>Mint Executed</w:t>
      </w:r>
    </w:p>
    <w:p>
      <w:r>
        <w:t>│</w:t>
      </w:r>
    </w:p>
    <w:p>
      <w:r>
        <w:t>▼</w:t>
      </w:r>
    </w:p>
    <w:p>
      <w:r>
        <w:t>Ledger Committed</w:t>
      </w:r>
    </w:p>
    <w:p>
      <w:r>
        <w:t>│</w:t>
      </w:r>
    </w:p>
    <w:p>
      <w:r>
        <w:t>▼</w:t>
      </w:r>
    </w:p>
    <w:p>
      <w:r>
        <w:t>Finalized</w:t>
      </w:r>
    </w:p>
    <w:p>
      <w:r>
        <w:t>Redemption:</w:t>
      </w:r>
    </w:p>
    <w:p>
      <w:r>
        <w:t>text</w:t>
      </w:r>
    </w:p>
    <w:p>
      <w:r>
        <w:t>Requested</w:t>
      </w:r>
    </w:p>
    <w:p>
      <w:r>
        <w:t>│</w:t>
      </w:r>
    </w:p>
    <w:p>
      <w:r>
        <w:t>▼</w:t>
      </w:r>
    </w:p>
    <w:p>
      <w:r>
        <w:t>Validated</w:t>
      </w:r>
    </w:p>
    <w:p>
      <w:r>
        <w:t>│</w:t>
      </w:r>
    </w:p>
    <w:p>
      <w:r>
        <w:t>▼</w:t>
      </w:r>
    </w:p>
    <w:p>
      <w:r>
        <w:t>Authorized</w:t>
      </w:r>
    </w:p>
    <w:p>
      <w:r>
        <w:t>│</w:t>
      </w:r>
    </w:p>
    <w:p>
      <w:r>
        <w:t>▼</w:t>
      </w:r>
    </w:p>
    <w:p>
      <w:r>
        <w:t>Assets Released</w:t>
      </w:r>
    </w:p>
    <w:p>
      <w:r>
        <w:t>│</w:t>
      </w:r>
    </w:p>
    <w:p>
      <w:r>
        <w:t>▼</w:t>
      </w:r>
    </w:p>
    <w:p>
      <w:r>
        <w:t>Reserve Updated</w:t>
      </w:r>
    </w:p>
    <w:p>
      <w:r>
        <w:t>│</w:t>
      </w:r>
    </w:p>
    <w:p>
      <w:r>
        <w:t>▼</w:t>
      </w:r>
    </w:p>
    <w:p>
      <w:r>
        <w:t>Proof Generated</w:t>
      </w:r>
    </w:p>
    <w:p>
      <w:r>
        <w:t>│</w:t>
      </w:r>
    </w:p>
    <w:p>
      <w:r>
        <w:t>▼</w:t>
      </w:r>
    </w:p>
    <w:p>
      <w:r>
        <w:t>Burn Executed</w:t>
      </w:r>
    </w:p>
    <w:p>
      <w:r>
        <w:t>│</w:t>
      </w:r>
    </w:p>
    <w:p>
      <w:r>
        <w:t>▼</w:t>
      </w:r>
    </w:p>
    <w:p>
      <w:r>
        <w:t>Ledger Committed</w:t>
      </w:r>
    </w:p>
    <w:p>
      <w:r>
        <w:t>│</w:t>
      </w:r>
    </w:p>
    <w:p>
      <w:r>
        <w:t>▼</w:t>
      </w:r>
    </w:p>
    <w:p>
      <w:r>
        <w:t>Finalized</w:t>
      </w:r>
    </w:p>
    <w:p>
      <w:r>
        <w:t>36.9 Failure Recovery Procedures</w:t>
      </w:r>
    </w:p>
    <w:p>
      <w:r>
        <w:t>If any minting or redemption operation fails before Constitutional Finality:</w:t>
      </w:r>
    </w:p>
    <w:p>
      <w:r>
        <w:t>Abort the transaction</w:t>
      </w:r>
    </w:p>
    <w:p>
      <w:r>
        <w:t>Roll back all provisional state changes</w:t>
      </w:r>
    </w:p>
    <w:p>
      <w:r>
        <w:t>Preserve immutable audit records</w:t>
      </w:r>
    </w:p>
    <w:p>
      <w:r>
        <w:t>Record the failure reason</w:t>
      </w:r>
    </w:p>
    <w:p>
      <w:r>
        <w:t>Notify the Technical Committee where required</w:t>
      </w:r>
    </w:p>
    <w:p>
      <w:r>
        <w:t>Permit retry only after successful constitutional validation</w:t>
      </w:r>
    </w:p>
    <w:p>
      <w:r>
        <w:t>36.10 Supply Integrity Verification</w:t>
      </w:r>
    </w:p>
    <w:p>
      <w:r>
        <w:t>Following every successful minting or redemption event, the Monetary Engine SHALL automatically verify:</w:t>
      </w:r>
    </w:p>
    <w:p>
      <w:r>
        <w:t>Reserve Ratio remains above RR_min</w:t>
      </w:r>
    </w:p>
    <w:p>
      <w:r>
        <w:t>Supply reconciliation completed</w:t>
      </w:r>
    </w:p>
    <w:p>
      <w:r>
        <w:t>Proof of Reserves verified</w:t>
      </w:r>
    </w:p>
    <w:p>
      <w:r>
        <w:t>Proof of Solvency verified</w:t>
      </w:r>
    </w:p>
    <w:p>
      <w:r>
        <w:t>Ledger integrity verified</w:t>
      </w:r>
    </w:p>
    <w:p>
      <w:r>
        <w:t>Oracle snapshot consistency verified</w:t>
      </w:r>
    </w:p>
    <w:p>
      <w:r>
        <w:t>Cryptographic hashes verified</w:t>
      </w:r>
    </w:p>
    <w:p>
      <w:r>
        <w:t>Constitutional invariants satisfied</w:t>
      </w:r>
    </w:p>
    <w:p>
      <w:r>
        <w:t>If any verification fails:</w:t>
      </w:r>
    </w:p>
    <w:p>
      <w:r>
        <w:t>The operation shall not achieve Constitutional Finality</w:t>
      </w:r>
    </w:p>
    <w:p>
      <w:r>
        <w:t>The transaction shall enter Failure Recovery</w:t>
      </w:r>
    </w:p>
    <w:p>
      <w:r>
        <w:t>The incident shall be recorded in the immutable Constitutional Audit Ledger</w:t>
      </w:r>
    </w:p>
    <w:p>
      <w:r>
        <w:t>36.11 Constitutional Verification</w:t>
      </w:r>
    </w:p>
    <w:p>
      <w:r>
        <w:t>text</w:t>
      </w:r>
    </w:p>
    <w:p>
      <w:r>
        <w:t>✓ Constitutional validation completed</w:t>
      </w:r>
    </w:p>
    <w:p>
      <w:r>
        <w:t>✓ Asset settlement confirmed (minting) / Redemption authorized (redemption)</w:t>
      </w:r>
    </w:p>
    <w:p>
      <w:r>
        <w:t>✓ Reserve records updated</w:t>
      </w:r>
    </w:p>
    <w:p>
      <w:r>
        <w:t>✓ Reserve Ratio recalculated</w:t>
      </w:r>
    </w:p>
    <w:p>
      <w:r>
        <w:t>✓ NAV calculated</w:t>
      </w:r>
    </w:p>
    <w:p>
      <w:r>
        <w:t>✓ Mint/Redemption amount determined</w:t>
      </w:r>
    </w:p>
    <w:p>
      <w:r>
        <w:t>✓ Proof of Reserves generated</w:t>
      </w:r>
    </w:p>
    <w:p>
      <w:r>
        <w:t>✓ Proof of Solvency generated</w:t>
      </w:r>
    </w:p>
    <w:p>
      <w:r>
        <w:t>✓ MTQ mint/burn executed</w:t>
      </w:r>
    </w:p>
    <w:p>
      <w:r>
        <w:t>✓ Total Supply updated</w:t>
      </w:r>
    </w:p>
    <w:p>
      <w:r>
        <w:t>✓ Ledger commitment completed</w:t>
      </w:r>
    </w:p>
    <w:p>
      <w:r>
        <w:t>✓ Constitutional Finality achieved</w:t>
      </w:r>
    </w:p>
    <w:p>
      <w:r>
        <w:t>✓ Immutable audit record created</w:t>
      </w:r>
    </w:p>
    <w:p>
      <w:r>
        <w:t>✓ Constitutional invariants verified</w:t>
      </w:r>
    </w:p>
    <w:p>
      <w:r>
        <w:t>36.12 Related Sections</w:t>
      </w:r>
    </w:p>
    <w:p>
      <w:r>
        <w:t>Section 11 — Monetary Engine Determinism</w:t>
      </w:r>
    </w:p>
    <w:p>
      <w:r>
        <w:t>Section 34 — Constitutional Redemption Sequencing</w:t>
      </w:r>
    </w:p>
    <w:p>
      <w:r>
        <w:t>Section 35 — Constitutional Settlement Finality</w:t>
      </w:r>
    </w:p>
    <w:p>
      <w:r>
        <w:t>Section 42 — Daily Proof of Reserves</w:t>
      </w:r>
    </w:p>
    <w:p>
      <w:r>
        <w:t>Section 43 — Formal Verification</w:t>
      </w:r>
    </w:p>
    <w:p>
      <w:r>
        <w:t>Constitutional Verification</w:t>
      </w:r>
    </w:p>
    <w:p>
      <w:r>
        <w:t>text</w:t>
      </w:r>
    </w:p>
    <w:p>
      <w:r>
        <w:t>✓ Constitutional Supply Principle established</w:t>
      </w:r>
    </w:p>
    <w:p>
      <w:r>
        <w:t>✓ Constitutional Minting Lifecycle defined</w:t>
      </w:r>
    </w:p>
    <w:p>
      <w:r>
        <w:t>✓ Constitutional Redemption Lifecycle defined</w:t>
      </w:r>
    </w:p>
    <w:p>
      <w:r>
        <w:t>✓ Constitutional Supply Invariants established</w:t>
      </w:r>
    </w:p>
    <w:p>
      <w:r>
        <w:t>✓ Constitutional Atomicity established</w:t>
      </w:r>
    </w:p>
    <w:p>
      <w:r>
        <w:t>✓ Idempotency Requirement established</w:t>
      </w:r>
    </w:p>
    <w:p>
      <w:r>
        <w:t>✓ Immutable Constitutional Event Log established</w:t>
      </w:r>
    </w:p>
    <w:p>
      <w:r>
        <w:t>✓ Constitutional State Machines defined</w:t>
      </w:r>
    </w:p>
    <w:p>
      <w:r>
        <w:t>✓ Failure Recovery Procedures established</w:t>
      </w:r>
    </w:p>
    <w:p>
      <w:r>
        <w:t>✓ Supply Integrity Verification established</w:t>
      </w:r>
    </w:p>
    <w:p>
      <w:r>
        <w:t>✓ Constitutional Verification established</w:t>
      </w:r>
    </w:p>
    <w:p>
      <w:r>
        <w:t>✓ Related Sections referenced</w:t>
      </w:r>
    </w:p>
    <w:p>
      <w:r>
        <w:t>[END OF SECTION 36 — CONSTITUTIONAL SUPPLY LIFECYCLE]</w:t>
      </w:r>
    </w:p>
    <w:p>
      <w:r>
        <w:t>Section 37: Constitutional Proof of Reserves, Solvency &amp; Transparency</w:t>
      </w:r>
    </w:p>
    <w:p>
      <w:r>
        <w:t>37.1 Constitutional Principle</w:t>
      </w:r>
    </w:p>
    <w:p>
      <w:r>
        <w:t>The Institution shall maintain continuously verifiable cryptographic evidence demonstrating that every circulating MTQ is fully supported by eligible constitutional reserves and that the Institution remains solvent, liquid, and constitutionally compliant.</w:t>
      </w:r>
    </w:p>
    <w:p>
      <w:r>
        <w:t>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p>
    <w:p>
      <w:r>
        <w:t>Every Constitutional Proof shall be deterministic, reproducible, independently verifiable, cryptographically authenticated, and permanently auditable.</w:t>
      </w:r>
    </w:p>
    <w:p>
      <w:r>
        <w:t>37.2 Constitutional Assurance Framework</w:t>
      </w:r>
    </w:p>
    <w:p>
      <w:r>
        <w:t>The Constitutional Assurance Framework consists of the following independent but coordinated proofs:</w:t>
      </w:r>
    </w:p>
    <w:p>
      <w:r>
        <w:t>Any material reserve event SHALL immediately trigger a new Constitutional Proof irrespective of the normal publication schedule.</w:t>
      </w:r>
    </w:p>
    <w:p>
      <w:r>
        <w:t>37.3 Constitutional Proof Contents</w:t>
      </w:r>
    </w:p>
    <w:p>
      <w:r>
        <w:t>Every Constitutional Proof SHALL include the following components:</w:t>
      </w:r>
    </w:p>
    <w:p>
      <w:r>
        <w:t>37.4 Constitutional Constraints Verified</w:t>
      </w:r>
    </w:p>
    <w:p>
      <w:r>
        <w:t>Every Constitutional Proof SHALL verify the following constitutional conditions:</w:t>
      </w:r>
    </w:p>
    <w:p>
      <w:r>
        <w:t>Adjusted Reserve (Rₐ) ≥ Redemption Liability (L)</w:t>
      </w:r>
    </w:p>
    <w:p>
      <w:r>
        <w:t>Reserve Ratio (RR) ≥ RR_min</w:t>
      </w:r>
    </w:p>
    <w:p>
      <w:r>
        <w:t>Liquidity Coverage Ratio (LCR) ≥ 1.00</w:t>
      </w:r>
    </w:p>
    <w:p>
      <w:r>
        <w:t>Constitutional Risk Index (CRI) remains within constitutional operating limits</w:t>
      </w:r>
    </w:p>
    <w:p>
      <w:r>
        <w:t>Reserve Allocation remains within constitutional allocation ranges</w:t>
      </w:r>
    </w:p>
    <w:p>
      <w:r>
        <w:t>Bullion Allocation remains within constitutional allocation ranges</w:t>
      </w:r>
    </w:p>
    <w:p>
      <w:r>
        <w:t>Currency Weight Engine satisfies all constitutional weighting rules</w:t>
      </w:r>
    </w:p>
    <w:p>
      <w:r>
        <w:t>Concentration Cap satisfied</w:t>
      </w:r>
    </w:p>
    <w:p>
      <w:r>
        <w:t>Minimum Currency Floor satisfied</w:t>
      </w:r>
    </w:p>
    <w:p>
      <w:r>
        <w:t>All Constitutional Invariants remain true</w:t>
      </w:r>
    </w:p>
    <w:p>
      <w:r>
        <w:t>Failure of any constitutional constraint SHALL invalidate the Constitutional Proof and automatically invoke the appropriate Constitutional Recovery Procedures.</w:t>
      </w:r>
    </w:p>
    <w:p>
      <w:r>
        <w:t>37.5 Zero-Knowledge Verification</w:t>
      </w:r>
    </w:p>
    <w:p>
      <w:r>
        <w:t>The Zero-Knowledge Proof System SHALL verify, without disclosing confidential reserve information:</w:t>
      </w:r>
    </w:p>
    <w:p>
      <w:r>
        <w:t>Ownership of reserve assets</w:t>
      </w:r>
    </w:p>
    <w:p>
      <w:r>
        <w:t>Existence of reserve assets</w:t>
      </w:r>
    </w:p>
    <w:p>
      <w:r>
        <w:t>Reserve sufficiency</w:t>
      </w:r>
    </w:p>
    <w:p>
      <w:r>
        <w:t>Reserve allocation</w:t>
      </w:r>
    </w:p>
    <w:p>
      <w:r>
        <w:t>Constitutional reserve ratios</w:t>
      </w:r>
    </w:p>
    <w:p>
      <w:r>
        <w:t>Constitutional haircuts</w:t>
      </w:r>
    </w:p>
    <w:p>
      <w:r>
        <w:t>NAV calculations</w:t>
      </w:r>
    </w:p>
    <w:p>
      <w:r>
        <w:t>Reserve Ratio calculations</w:t>
      </w:r>
    </w:p>
    <w:p>
      <w:r>
        <w:t>Liquidity Coverage calculations</w:t>
      </w:r>
    </w:p>
    <w:p>
      <w:r>
        <w:t>Constitutional Risk calculations</w:t>
      </w:r>
    </w:p>
    <w:p>
      <w:r>
        <w:t>Currency Weight calculations</w:t>
      </w:r>
    </w:p>
    <w:p>
      <w:r>
        <w:t>Bullion Allocation calculations</w:t>
      </w:r>
    </w:p>
    <w:p>
      <w:r>
        <w:t>Oracle integrity</w:t>
      </w:r>
    </w:p>
    <w:p>
      <w:r>
        <w:t>Mathematical correctness</w:t>
      </w:r>
    </w:p>
    <w:p>
      <w:r>
        <w:t>Constitutional compliance</w:t>
      </w:r>
    </w:p>
    <w:p>
      <w:r>
        <w:t>Only constitutionally authorized public information shall be disclosed.</w:t>
      </w:r>
    </w:p>
    <w:p>
      <w:r>
        <w:t>37.6 Constitutional Proof Generation Pipeline</w:t>
      </w:r>
    </w:p>
    <w:p>
      <w:r>
        <w:t>text</w:t>
      </w:r>
    </w:p>
    <w:p>
      <w:r>
        <w:t>Reserve Snapshot Locked</w:t>
      </w:r>
    </w:p>
    <w:p>
      <w:r>
        <w:t>│</w:t>
      </w:r>
    </w:p>
    <w:p>
      <w:r>
        <w:t>▼</w:t>
      </w:r>
    </w:p>
    <w:p>
      <w:r>
        <w:t>Oracle Snapshot Locked</w:t>
      </w:r>
    </w:p>
    <w:p>
      <w:r>
        <w:t>│</w:t>
      </w:r>
    </w:p>
    <w:p>
      <w:r>
        <w:t>▼</w:t>
      </w:r>
    </w:p>
    <w:p>
      <w:r>
        <w:t>Reserve Valuation</w:t>
      </w:r>
    </w:p>
    <w:p>
      <w:r>
        <w:t>│</w:t>
      </w:r>
    </w:p>
    <w:p>
      <w:r>
        <w:t>▼</w:t>
      </w:r>
    </w:p>
    <w:p>
      <w:r>
        <w:t>Reserve Layer Calculations</w:t>
      </w:r>
    </w:p>
    <w:p>
      <w:r>
        <w:t>(Rₘ, Rₐ, Rₗ)</w:t>
      </w:r>
    </w:p>
    <w:p>
      <w:r>
        <w:t>│</w:t>
      </w:r>
    </w:p>
    <w:p>
      <w:r>
        <w:t>▼</w:t>
      </w:r>
    </w:p>
    <w:p>
      <w:r>
        <w:t>NAV Calculations</w:t>
      </w:r>
    </w:p>
    <w:p>
      <w:r>
        <w:t>(NAVₘ, NAVₗ, NAVstress)</w:t>
      </w:r>
    </w:p>
    <w:p>
      <w:r>
        <w:t>│</w:t>
      </w:r>
    </w:p>
    <w:p>
      <w:r>
        <w:t>▼</w:t>
      </w:r>
    </w:p>
    <w:p>
      <w:r>
        <w:t>Reserve Ratio Calculation</w:t>
      </w:r>
    </w:p>
    <w:p>
      <w:r>
        <w:t>│</w:t>
      </w:r>
    </w:p>
    <w:p>
      <w:r>
        <w:t>▼</w:t>
      </w:r>
    </w:p>
    <w:p>
      <w:r>
        <w:t>Liquidity Coverage Calculation</w:t>
      </w:r>
    </w:p>
    <w:p>
      <w:r>
        <w:t>│</w:t>
      </w:r>
    </w:p>
    <w:p>
      <w:r>
        <w:t>▼</w:t>
      </w:r>
    </w:p>
    <w:p>
      <w:r>
        <w:t>Constitutional Risk Calculation</w:t>
      </w:r>
    </w:p>
    <w:p>
      <w:r>
        <w:t>│</w:t>
      </w:r>
    </w:p>
    <w:p>
      <w:r>
        <w:t>▼</w:t>
      </w:r>
    </w:p>
    <w:p>
      <w:r>
        <w:t>Currency Weight Verification</w:t>
      </w:r>
    </w:p>
    <w:p>
      <w:r>
        <w:t>│</w:t>
      </w:r>
    </w:p>
    <w:p>
      <w:r>
        <w:t>▼</w:t>
      </w:r>
    </w:p>
    <w:p>
      <w:r>
        <w:t>Reserve Allocation Verification</w:t>
      </w:r>
    </w:p>
    <w:p>
      <w:r>
        <w:t>│</w:t>
      </w:r>
    </w:p>
    <w:p>
      <w:r>
        <w:t>▼</w:t>
      </w:r>
    </w:p>
    <w:p>
      <w:r>
        <w:t>Bullion Allocation Verification</w:t>
      </w:r>
    </w:p>
    <w:p>
      <w:r>
        <w:t>│</w:t>
      </w:r>
    </w:p>
    <w:p>
      <w:r>
        <w:t>▼</w:t>
      </w:r>
    </w:p>
    <w:p>
      <w:r>
        <w:t>Constitutional Constraint Verification</w:t>
      </w:r>
    </w:p>
    <w:p>
      <w:r>
        <w:t>│</w:t>
      </w:r>
    </w:p>
    <w:p>
      <w:r>
        <w:t>▼</w:t>
      </w:r>
    </w:p>
    <w:p>
      <w:r>
        <w:t>Zero-Knowledge Circuit Execution</w:t>
      </w:r>
    </w:p>
    <w:p>
      <w:r>
        <w:t>│</w:t>
      </w:r>
    </w:p>
    <w:p>
      <w:r>
        <w:t>▼</w:t>
      </w:r>
    </w:p>
    <w:p>
      <w:r>
        <w:t>Proof Generated</w:t>
      </w:r>
    </w:p>
    <w:p>
      <w:r>
        <w:t>│</w:t>
      </w:r>
    </w:p>
    <w:p>
      <w:r>
        <w:t>▼</w:t>
      </w:r>
    </w:p>
    <w:p>
      <w:r>
        <w:t>Digital Signature</w:t>
      </w:r>
    </w:p>
    <w:p>
      <w:r>
        <w:t>│</w:t>
      </w:r>
    </w:p>
    <w:p>
      <w:r>
        <w:t>▼</w:t>
      </w:r>
    </w:p>
    <w:p>
      <w:r>
        <w:t>Immutable Ledger Commitment</w:t>
      </w:r>
    </w:p>
    <w:p>
      <w:r>
        <w:t>│</w:t>
      </w:r>
    </w:p>
    <w:p>
      <w:r>
        <w:t>▼</w:t>
      </w:r>
    </w:p>
    <w:p>
      <w:r>
        <w:t>Public Publication</w:t>
      </w:r>
    </w:p>
    <w:p>
      <w:r>
        <w:t>37.7 Daily Constitutional Transparency Report</w:t>
      </w:r>
    </w:p>
    <w:p>
      <w:r>
        <w:t>The Institution shall publish a Daily Constitutional Transparency Report containing, at minimum:</w:t>
      </w:r>
    </w:p>
    <w:p>
      <w:r>
        <w:t>37.8 Independent Verification</w:t>
      </w:r>
    </w:p>
    <w:p>
      <w:r>
        <w:t>Every Constitutional Proof shall be independently verifiable by any participant using publicly available verification software.</w:t>
      </w:r>
    </w:p>
    <w:p>
      <w:r>
        <w:t>Verification SHALL confirm:</w:t>
      </w:r>
    </w:p>
    <w:p>
      <w:r>
        <w:t>Cryptographic validity</w:t>
      </w:r>
    </w:p>
    <w:p>
      <w:r>
        <w:t>Proof authenticity</w:t>
      </w:r>
    </w:p>
    <w:p>
      <w:r>
        <w:t>Reserve sufficiency</w:t>
      </w:r>
    </w:p>
    <w:p>
      <w:r>
        <w:t>Solvency</w:t>
      </w:r>
    </w:p>
    <w:p>
      <w:r>
        <w:t>Mathematical correctness</w:t>
      </w:r>
    </w:p>
    <w:p>
      <w:r>
        <w:t>Oracle integrity</w:t>
      </w:r>
    </w:p>
    <w:p>
      <w:r>
        <w:t>Circuit integrity</w:t>
      </w:r>
    </w:p>
    <w:p>
      <w:r>
        <w:t>Constitutional compliance</w:t>
      </w:r>
    </w:p>
    <w:p>
      <w:r>
        <w:t>Digital signature authenticity</w:t>
      </w:r>
    </w:p>
    <w:p>
      <w:r>
        <w:t>Verification shall require no trusted intermediary.</w:t>
      </w:r>
    </w:p>
    <w:p>
      <w:r>
        <w:t>37.9 Constitutional Event Triggers</w:t>
      </w:r>
    </w:p>
    <w:p>
      <w:r>
        <w:t>A new Constitutional Proof SHALL be generated immediately following any of the following events:</w:t>
      </w:r>
    </w:p>
    <w:p>
      <w:r>
        <w:t>MTQ Minting</w:t>
      </w:r>
    </w:p>
    <w:p>
      <w:r>
        <w:t>MTQ Redemption</w:t>
      </w:r>
    </w:p>
    <w:p>
      <w:r>
        <w:t>Reserve Acquisition</w:t>
      </w:r>
    </w:p>
    <w:p>
      <w:r>
        <w:t>Reserve Disposal</w:t>
      </w:r>
    </w:p>
    <w:p>
      <w:r>
        <w:t>Reserve Rebalancing</w:t>
      </w:r>
    </w:p>
    <w:p>
      <w:r>
        <w:t>Currency Basket Rebalancing</w:t>
      </w:r>
    </w:p>
    <w:p>
      <w:r>
        <w:t>Bullion Allocation Change</w:t>
      </w:r>
    </w:p>
    <w:p>
      <w:r>
        <w:t>Stablecoin Replacement</w:t>
      </w:r>
    </w:p>
    <w:p>
      <w:r>
        <w:t>Oracle Replacement</w:t>
      </w:r>
    </w:p>
    <w:p>
      <w:r>
        <w:t>Oracle Consensus Failure</w:t>
      </w:r>
    </w:p>
    <w:p>
      <w:r>
        <w:t>Constitutional Amendment affecting reserves</w:t>
      </w:r>
    </w:p>
    <w:p>
      <w:r>
        <w:t>Severe Deviation Protocol (SDP)</w:t>
      </w:r>
    </w:p>
    <w:p>
      <w:r>
        <w:t>Emergency Liquidity Operations</w:t>
      </w:r>
    </w:p>
    <w:p>
      <w:r>
        <w:t>Constitutional Emergency Declaration</w:t>
      </w:r>
    </w:p>
    <w:p>
      <w:r>
        <w:t>Any material reserve event determined by the Constitutional Council</w:t>
      </w:r>
    </w:p>
    <w:p>
      <w:r>
        <w:t>37.10 Cryptographic Standards</w:t>
      </w:r>
    </w:p>
    <w:p>
      <w:r>
        <w:t>All Constitutional Proofs SHALL employ constitutionally approved cryptographic standards.</w:t>
      </w:r>
    </w:p>
    <w:p>
      <w:r>
        <w:t>Minimum requirements include:</w:t>
      </w:r>
    </w:p>
    <w:p>
      <w:r>
        <w:t>Collision-resistant hashing</w:t>
      </w:r>
    </w:p>
    <w:p>
      <w:r>
        <w:t>Approved digital signature algorithms</w:t>
      </w:r>
    </w:p>
    <w:p>
      <w:r>
        <w:t>Merkle Tree commitments</w:t>
      </w:r>
    </w:p>
    <w:p>
      <w:r>
        <w:t>Zero-Knowledge proof system approved by the Technical Committee</w:t>
      </w:r>
    </w:p>
    <w:p>
      <w:r>
        <w:t>Deterministic circuit execution</w:t>
      </w:r>
    </w:p>
    <w:p>
      <w:r>
        <w:t>Version-controlled proving circuits</w:t>
      </w:r>
    </w:p>
    <w:p>
      <w:r>
        <w:t>Cryptographically authenticated reserve snapshots</w:t>
      </w:r>
    </w:p>
    <w:p>
      <w:r>
        <w:t>Backward verification compatibility</w:t>
      </w:r>
    </w:p>
    <w:p>
      <w:r>
        <w:t>Migration to successor cryptographic standards shall require Constitutional Governance approval while preserving perpetual verification of historical proofs.</w:t>
      </w:r>
    </w:p>
    <w:p>
      <w:r>
        <w:t>37.11 Constitutional Proof Integrity Requirements</w:t>
      </w:r>
    </w:p>
    <w:p>
      <w:r>
        <w:t>Every Constitutional Proof SHALL satisfy the following properties:</w:t>
      </w:r>
    </w:p>
    <w:p>
      <w:r>
        <w:t>Deterministic</w:t>
      </w:r>
    </w:p>
    <w:p>
      <w:r>
        <w:t>Reproducible</w:t>
      </w:r>
    </w:p>
    <w:p>
      <w:r>
        <w:t>Complete</w:t>
      </w:r>
    </w:p>
    <w:p>
      <w:r>
        <w:t>Auditable</w:t>
      </w:r>
    </w:p>
    <w:p>
      <w:r>
        <w:t>Tamper-evident</w:t>
      </w:r>
    </w:p>
    <w:p>
      <w:r>
        <w:t>Cryptographically authenticated</w:t>
      </w:r>
    </w:p>
    <w:p>
      <w:r>
        <w:t>Version controlled</w:t>
      </w:r>
    </w:p>
    <w:p>
      <w:r>
        <w:t>Independently verifiable</w:t>
      </w:r>
    </w:p>
    <w:p>
      <w:r>
        <w:t>Time-stamped</w:t>
      </w:r>
    </w:p>
    <w:p>
      <w:r>
        <w:t>Immutable after publication</w:t>
      </w:r>
    </w:p>
    <w:p>
      <w:r>
        <w:t>37.12 Constitutional Proof Archival</w:t>
      </w:r>
    </w:p>
    <w:p>
      <w:r>
        <w:t>Every Constitutional Proof shall be permanently archived within the Constitutional Ledger.</w:t>
      </w:r>
    </w:p>
    <w:p>
      <w:r>
        <w:t>Each archived proof SHALL include:</w:t>
      </w:r>
    </w:p>
    <w:p>
      <w:r>
        <w:t>Proof Identifier</w:t>
      </w:r>
    </w:p>
    <w:p>
      <w:r>
        <w:t>Reserve Snapshot Identifier</w:t>
      </w:r>
    </w:p>
    <w:p>
      <w:r>
        <w:t>Oracle Snapshot Identifier</w:t>
      </w:r>
    </w:p>
    <w:p>
      <w:r>
        <w:t>Circuit Version</w:t>
      </w:r>
    </w:p>
    <w:p>
      <w:r>
        <w:t>Witness Version</w:t>
      </w:r>
    </w:p>
    <w:p>
      <w:r>
        <w:t>Trusted Setup Version</w:t>
      </w:r>
    </w:p>
    <w:p>
      <w:r>
        <w:t>Ledger Version</w:t>
      </w:r>
    </w:p>
    <w:p>
      <w:r>
        <w:t>Proof Hash</w:t>
      </w:r>
    </w:p>
    <w:p>
      <w:r>
        <w:t>Merkle Root</w:t>
      </w:r>
    </w:p>
    <w:p>
      <w:r>
        <w:t>Digital Signature</w:t>
      </w:r>
    </w:p>
    <w:p>
      <w:r>
        <w:t>Verification Status</w:t>
      </w:r>
    </w:p>
    <w:p>
      <w:r>
        <w:t>Publication Timestamp</w:t>
      </w:r>
    </w:p>
    <w:p>
      <w:r>
        <w:t>Cryptographic Audit Hash</w:t>
      </w:r>
    </w:p>
    <w:p>
      <w:r>
        <w:t>Historical Constitutional Proofs shall remain publicly verifiable indefinitely.</w:t>
      </w:r>
    </w:p>
    <w:p>
      <w:r>
        <w:t>37.13 Constitutional Failure Recovery</w:t>
      </w:r>
    </w:p>
    <w:p>
      <w:r>
        <w:t>If a Constitutional Proof cannot be successfully generated or verified:</w:t>
      </w:r>
    </w:p>
    <w:p>
      <w:r>
        <w:t>text</w:t>
      </w:r>
    </w:p>
    <w:p>
      <w:r>
        <w:t>Proof Failure Detected</w:t>
      </w:r>
    </w:p>
    <w:p>
      <w:r>
        <w:t>│</w:t>
      </w:r>
    </w:p>
    <w:p>
      <w:r>
        <w:t>▼</w:t>
      </w:r>
    </w:p>
    <w:p>
      <w:r>
        <w:t>Suspend Proof Publication</w:t>
      </w:r>
    </w:p>
    <w:p>
      <w:r>
        <w:t>│</w:t>
      </w:r>
    </w:p>
    <w:p>
      <w:r>
        <w:t>▼</w:t>
      </w:r>
    </w:p>
    <w:p>
      <w:r>
        <w:t>Preserve Immutable Audit Record</w:t>
      </w:r>
    </w:p>
    <w:p>
      <w:r>
        <w:t>│</w:t>
      </w:r>
    </w:p>
    <w:p>
      <w:r>
        <w:t>▼</w:t>
      </w:r>
    </w:p>
    <w:p>
      <w:r>
        <w:t>Notify Technical Committee</w:t>
      </w:r>
    </w:p>
    <w:p>
      <w:r>
        <w:t>│</w:t>
      </w:r>
    </w:p>
    <w:p>
      <w:r>
        <w:t>▼</w:t>
      </w:r>
    </w:p>
    <w:p>
      <w:r>
        <w:t>Investigate Root Cause</w:t>
      </w:r>
    </w:p>
    <w:p>
      <w:r>
        <w:t>│</w:t>
      </w:r>
    </w:p>
    <w:p>
      <w:r>
        <w:t>▼</w:t>
      </w:r>
    </w:p>
    <w:p>
      <w:r>
        <w:t>Regenerate Constitutional Proof</w:t>
      </w:r>
    </w:p>
    <w:p>
      <w:r>
        <w:t>│</w:t>
      </w:r>
    </w:p>
    <w:p>
      <w:r>
        <w:t>▼</w:t>
      </w:r>
    </w:p>
    <w:p>
      <w:r>
        <w:t>Independent Verification</w:t>
      </w:r>
    </w:p>
    <w:p>
      <w:r>
        <w:t>│</w:t>
      </w:r>
    </w:p>
    <w:p>
      <w:r>
        <w:t>▼</w:t>
      </w:r>
    </w:p>
    <w:p>
      <w:r>
        <w:t>Resume Normal Publication</w:t>
      </w:r>
    </w:p>
    <w:p>
      <w:r>
        <w:t>If proof generation failure results from reserve insufficiency, oracle failure, or constitutional invariant violation, the appropriate Constitutional Emergency Procedures shall automatically apply.</w:t>
      </w:r>
    </w:p>
    <w:p>
      <w:r>
        <w:t>37.14 Constitutional Assurance Statement</w:t>
      </w:r>
    </w:p>
    <w:p>
      <w:r>
        <w:t>The Constitutional Proof System provides continuous cryptographic assurance that:</w:t>
      </w:r>
    </w:p>
    <w:p>
      <w:r>
        <w:t>Every MTQ is supported by eligible constitutional reserves</w:t>
      </w:r>
    </w:p>
    <w:p>
      <w:r>
        <w:t>Reserve assets satisfy constitutional eligibility requirements</w:t>
      </w:r>
    </w:p>
    <w:p>
      <w:r>
        <w:t>Reserve allocation complies with constitutional limits</w:t>
      </w:r>
    </w:p>
    <w:p>
      <w:r>
        <w:t>Solvency and liquidity remain within constitutional thresholds</w:t>
      </w:r>
    </w:p>
    <w:p>
      <w:r>
        <w:t>Currency weighting is calculated deterministically</w:t>
      </w:r>
    </w:p>
    <w:p>
      <w:r>
        <w:t>Oracle data satisfies constitutional integrity requirements</w:t>
      </w:r>
    </w:p>
    <w:p>
      <w:r>
        <w:t>All constitutional mathematical invariants remain valid</w:t>
      </w:r>
    </w:p>
    <w:p>
      <w:r>
        <w:t>Historical reserve states remain permanently auditable</w:t>
      </w:r>
    </w:p>
    <w:p>
      <w:r>
        <w:t>Every proof is independently reproducible and cryptographically verifiable</w:t>
      </w:r>
    </w:p>
    <w:p>
      <w:r>
        <w:t>This Constitutional Assurance Framework constitutes the authoritative mechanism for demonstrating reserve integrity, solvency, transparency, and constitutional compliance throughout the operation of the MITHQAL Constitutional Monetary Infrastructure.</w:t>
      </w:r>
    </w:p>
    <w:p>
      <w:r>
        <w:t>37.15 Constitutional Verification</w:t>
      </w:r>
    </w:p>
    <w:p>
      <w:r>
        <w:t>text</w:t>
      </w:r>
    </w:p>
    <w:p>
      <w:r>
        <w:t>✓ Constitutional Proof generated</w:t>
      </w:r>
    </w:p>
    <w:p>
      <w:r>
        <w:t>✓ All reserve components included</w:t>
      </w:r>
    </w:p>
    <w:p>
      <w:r>
        <w:t>✓ All constitutional constraints verified</w:t>
      </w:r>
    </w:p>
    <w:p>
      <w:r>
        <w:t>✓ Zero-Knowledge circuit executed</w:t>
      </w:r>
    </w:p>
    <w:p>
      <w:r>
        <w:t>✓ Proof generated and signed</w:t>
      </w:r>
    </w:p>
    <w:p>
      <w:r>
        <w:t>✓ Immutable ledger commitment completed</w:t>
      </w:r>
    </w:p>
    <w:p>
      <w:r>
        <w:t>✓ Public publication completed</w:t>
      </w:r>
    </w:p>
    <w:p>
      <w:r>
        <w:t>✓ Independent verification possible</w:t>
      </w:r>
    </w:p>
    <w:p>
      <w:r>
        <w:t>✓ Constitutional event triggers (if applicable) processed</w:t>
      </w:r>
    </w:p>
    <w:p>
      <w:r>
        <w:t>✓ Cryptographic standards satisfied</w:t>
      </w:r>
    </w:p>
    <w:p>
      <w:r>
        <w:t>✓ Proof integrity requirements satisfied</w:t>
      </w:r>
    </w:p>
    <w:p>
      <w:r>
        <w:t>✓ Proof archived permanently</w:t>
      </w:r>
    </w:p>
    <w:p>
      <w:r>
        <w:t>✓ Failure recovery (if applicable) completed</w:t>
      </w:r>
    </w:p>
    <w:p>
      <w:r>
        <w:t>✓ Constitutional Assurance Statement satisfied</w:t>
      </w:r>
    </w:p>
    <w:p>
      <w:r>
        <w:t>37.16 Related Sections</w:t>
      </w:r>
    </w:p>
    <w:p>
      <w:r>
        <w:t>Section 2 — Constitutional Three-Layer Reserve Valuation Model</w:t>
      </w:r>
    </w:p>
    <w:p>
      <w:r>
        <w:t>Section 4 — Constitutional Reserve Ratio</w:t>
      </w:r>
    </w:p>
    <w:p>
      <w:r>
        <w:t>Section 6 — Adjusted Reserve Valuation — Fixed Constitutional Haircuts</w:t>
      </w:r>
    </w:p>
    <w:p>
      <w:r>
        <w:t>Section 7 — Counterparty Risk Adjustment — Composite Score</w:t>
      </w:r>
    </w:p>
    <w:p>
      <w:r>
        <w:t>Section 9 — Constitutional Risk Index (CRI)</w:t>
      </w:r>
    </w:p>
    <w:p>
      <w:r>
        <w:t>Section 11 — Monetary Engine Determinism</w:t>
      </w:r>
    </w:p>
    <w:p>
      <w:r>
        <w:t>Section 30 — Constitutional Oracle Architecture</w:t>
      </w:r>
    </w:p>
    <w:p>
      <w:r>
        <w:t>Section 31 — Constitutional Oracle Consensus</w:t>
      </w:r>
    </w:p>
    <w:p>
      <w:r>
        <w:t>Section 34 — Constitutional Redemption Sequencing</w:t>
      </w:r>
    </w:p>
    <w:p>
      <w:r>
        <w:t>Section 35 — Constitutional Settlement Finality</w:t>
      </w:r>
    </w:p>
    <w:p>
      <w:r>
        <w:t>Section 36 — Constitutional Supply Lifecycle</w:t>
      </w:r>
    </w:p>
    <w:p>
      <w:r>
        <w:t>Section 43 — Formal Verification</w:t>
      </w:r>
    </w:p>
    <w:p>
      <w:r>
        <w:t>Constitutional Verification</w:t>
      </w:r>
    </w:p>
    <w:p>
      <w:r>
        <w:t>text</w:t>
      </w:r>
    </w:p>
    <w:p>
      <w:r>
        <w:t>✓ Constitutional Principle established</w:t>
      </w:r>
    </w:p>
    <w:p>
      <w:r>
        <w:t>✓ Constitutional Assurance Framework defined</w:t>
      </w:r>
    </w:p>
    <w:p>
      <w:r>
        <w:t>✓ Constitutional Proof Contents defined</w:t>
      </w:r>
    </w:p>
    <w:p>
      <w:r>
        <w:t>✓ Constitutional Constraints Verified defined</w:t>
      </w:r>
    </w:p>
    <w:p>
      <w:r>
        <w:t>✓ Zero-Knowledge Verification established</w:t>
      </w:r>
    </w:p>
    <w:p>
      <w:r>
        <w:t>✓ Constitutional Proof Generation Pipeline defined</w:t>
      </w:r>
    </w:p>
    <w:p>
      <w:r>
        <w:t>✓ Daily Constitutional Transparency Report defined</w:t>
      </w:r>
    </w:p>
    <w:p>
      <w:r>
        <w:t>✓ Independent Verification established</w:t>
      </w:r>
    </w:p>
    <w:p>
      <w:r>
        <w:t>✓ Constitutional Event Triggers defined</w:t>
      </w:r>
    </w:p>
    <w:p>
      <w:r>
        <w:t>✓ Cryptographic Standards established</w:t>
      </w:r>
    </w:p>
    <w:p>
      <w:r>
        <w:t>✓ Constitutional Proof Integrity Requirements established</w:t>
      </w:r>
    </w:p>
    <w:p>
      <w:r>
        <w:t>✓ Constitutional Proof Archival established</w:t>
      </w:r>
    </w:p>
    <w:p>
      <w:r>
        <w:t>✓ Constitutional Failure Recovery established</w:t>
      </w:r>
    </w:p>
    <w:p>
      <w:r>
        <w:t>✓ Constitutional Assurance Statement provided</w:t>
      </w:r>
    </w:p>
    <w:p>
      <w:r>
        <w:t>✓ Constitutional Verification established</w:t>
      </w:r>
    </w:p>
    <w:p>
      <w:r>
        <w:t>✓ Related Sections referenced</w:t>
      </w:r>
    </w:p>
    <w:p>
      <w:r>
        <w:t>[END OF SECTION 37 — CONSTITUTIONAL PROOF OF RESERVES, SOLVENCY &amp; TRANSPARENCY]</w:t>
      </w:r>
    </w:p>
    <w:p>
      <w:r>
        <w:t>Section 38: Constitutional Formal Verification</w:t>
      </w:r>
    </w:p>
    <w:p>
      <w:r>
        <w:t>38.1 Constitutional Verification Principle</w:t>
      </w:r>
    </w:p>
    <w:p>
      <w:r>
        <w:t>Constitutional Principle: Every constitutional algorithm, monetary calculation, reserve operation, oracle process, supply transition, and cryptographic proof SHALL be mathematically verifiable, formally specified, and independently reproducible.</w:t>
      </w:r>
    </w:p>
    <w:p>
      <w:r>
        <w:t>Correctness SHALL be demonstrated through formal verification rather than empirical testing alone.</w:t>
      </w:r>
    </w:p>
    <w:p>
      <w:r>
        <w:t>Every implementation SHALL preserve the Constitutional Monetary Framework under all valid execution paths.</w:t>
      </w:r>
    </w:p>
    <w:p>
      <w:r>
        <w:t>Formal verification SHALL ensure that:</w:t>
      </w:r>
    </w:p>
    <w:p>
      <w:r>
        <w:t>Constitutional invariants are never violated</w:t>
      </w:r>
    </w:p>
    <w:p>
      <w:r>
        <w:t>All monetary calculations remain deterministic</w:t>
      </w:r>
    </w:p>
    <w:p>
      <w:r>
        <w:t>Every validator produces identical outputs from identical inputs</w:t>
      </w:r>
    </w:p>
    <w:p>
      <w:r>
        <w:t>No implementation may alter constitutional behavior</w:t>
      </w:r>
    </w:p>
    <w:p>
      <w:r>
        <w:t>38.2 Constitutional Invariants</w:t>
      </w:r>
    </w:p>
    <w:p>
      <w:r>
        <w:t>The following constitutional invariants SHALL hold continuously:</w:t>
      </w:r>
    </w:p>
    <w:p>
      <w:r>
        <w:t>Violation of any constitutional invariant SHALL automatically suspend affected constitutional operations until constitutional compliance is restored.</w:t>
      </w:r>
    </w:p>
    <w:p>
      <w:r>
        <w:t>38.3 Functional Verification Matrix</w:t>
      </w:r>
    </w:p>
    <w:p>
      <w:r>
        <w:t>Every constitutional function SHALL be formally verified against its mathematical specification.</w:t>
      </w:r>
    </w:p>
    <w:p>
      <w:r>
        <w:t>Constitutional Note: The Constitution specifies verification objectives rather than mandating any particular commercial verification platform. Approved verification tools SHALL be designated within the Technical Standards.</w:t>
      </w:r>
    </w:p>
    <w:p>
      <w:r>
        <w:t>38.4 Arithmetic Verification</w:t>
      </w:r>
    </w:p>
    <w:p>
      <w:r>
        <w:t>Every constitutional calculation SHALL satisfy the following mathematical properties:</w:t>
      </w:r>
    </w:p>
    <w:p>
      <w:r>
        <w:t>38.5 State Transition Verification</w:t>
      </w:r>
    </w:p>
    <w:p>
      <w:r>
        <w:t>Every constitutional state transition SHALL preserve constitutional validity.</w:t>
      </w:r>
    </w:p>
    <w:p>
      <w:r>
        <w:t>The following transitions SHALL be formally verified:</w:t>
      </w:r>
    </w:p>
    <w:p>
      <w:r>
        <w:t>Mint</w:t>
      </w:r>
    </w:p>
    <w:p>
      <w:r>
        <w:t>Burn</w:t>
      </w:r>
    </w:p>
    <w:p>
      <w:r>
        <w:t>Reserve Update</w:t>
      </w:r>
    </w:p>
    <w:p>
      <w:r>
        <w:t>Currency Rebalancing</w:t>
      </w:r>
    </w:p>
    <w:p>
      <w:r>
        <w:t>Oracle Update</w:t>
      </w:r>
    </w:p>
    <w:p>
      <w:r>
        <w:t>Oracle Failover</w:t>
      </w:r>
    </w:p>
    <w:p>
      <w:r>
        <w:t>Proof Publication</w:t>
      </w:r>
    </w:p>
    <w:p>
      <w:r>
        <w:t>SDP Activation</w:t>
      </w:r>
    </w:p>
    <w:p>
      <w:r>
        <w:t>SDP Recovery</w:t>
      </w:r>
    </w:p>
    <w:p>
      <w:r>
        <w:t>Governance Approval</w:t>
      </w:r>
    </w:p>
    <w:p>
      <w:r>
        <w:t>Constitutional Amendment Execution</w:t>
      </w:r>
    </w:p>
    <w:p>
      <w:r>
        <w:t>Each transition SHALL verify:</w:t>
      </w:r>
    </w:p>
    <w:p>
      <w:r>
        <w:t>Preconditions</w:t>
      </w:r>
    </w:p>
    <w:p>
      <w:r>
        <w:t>Authorization</w:t>
      </w:r>
    </w:p>
    <w:p>
      <w:r>
        <w:t>Mathematical correctness</w:t>
      </w:r>
    </w:p>
    <w:p>
      <w:r>
        <w:t>Constitutional invariant preservation</w:t>
      </w:r>
    </w:p>
    <w:p>
      <w:r>
        <w:t>Postconditions</w:t>
      </w:r>
    </w:p>
    <w:p>
      <w:r>
        <w:t>Immutable audit record generation</w:t>
      </w:r>
    </w:p>
    <w:p>
      <w:r>
        <w:t>No state transition SHALL partially execute. Execution SHALL be atomic.</w:t>
      </w:r>
    </w:p>
    <w:p>
      <w:r>
        <w:t>38.6 Property-Based Verification</w:t>
      </w:r>
    </w:p>
    <w:p>
      <w:r>
        <w:t>In addition to formal proofs, the Monetary Engine SHALL undergo continuous property-based verification across randomly generated constitutional states.</w:t>
      </w:r>
    </w:p>
    <w:p>
      <w:r>
        <w:t>Verified properties SHALL include:</w:t>
      </w:r>
    </w:p>
    <w:p>
      <w:r>
        <w:t>Weight normalization always equals 100%</w:t>
      </w:r>
    </w:p>
    <w:p>
      <w:r>
        <w:t>Reserve Ratio never becomes negative</w:t>
      </w:r>
    </w:p>
    <w:p>
      <w:r>
        <w:t>Liquidity Coverage Ratio never becomes negative</w:t>
      </w:r>
    </w:p>
    <w:p>
      <w:r>
        <w:t>Supply never becomes negative</w:t>
      </w:r>
    </w:p>
    <w:p>
      <w:r>
        <w:t>NAV calculations remain deterministic</w:t>
      </w:r>
    </w:p>
    <w:p>
      <w:r>
        <w:t>Haircuts remain within constitutional limits</w:t>
      </w:r>
    </w:p>
    <w:p>
      <w:r>
        <w:t>Concentration caps are never violated</w:t>
      </w:r>
    </w:p>
    <w:p>
      <w:r>
        <w:t>Currency floors remain preserved</w:t>
      </w:r>
    </w:p>
    <w:p>
      <w:r>
        <w:t>Oracle consensus remains deterministic</w:t>
      </w:r>
    </w:p>
    <w:p>
      <w:r>
        <w:t>SDP preserves constitutional constraints</w:t>
      </w:r>
    </w:p>
    <w:p>
      <w:r>
        <w:t>Reserve allocations remain within constitutional ranges</w:t>
      </w:r>
    </w:p>
    <w:p>
      <w:r>
        <w:t>Redemption sequencing preserves constitutional hierarchy</w:t>
      </w:r>
    </w:p>
    <w:p>
      <w:r>
        <w:t>Testing SHALL include:</w:t>
      </w:r>
    </w:p>
    <w:p>
      <w:r>
        <w:t>Boundary conditions</w:t>
      </w:r>
    </w:p>
    <w:p>
      <w:r>
        <w:t>Stress scenarios</w:t>
      </w:r>
    </w:p>
    <w:p>
      <w:r>
        <w:t>Adversarial inputs</w:t>
      </w:r>
    </w:p>
    <w:p>
      <w:r>
        <w:t>Extreme volatility</w:t>
      </w:r>
    </w:p>
    <w:p>
      <w:r>
        <w:t>Oracle failures</w:t>
      </w:r>
    </w:p>
    <w:p>
      <w:r>
        <w:t>Liquidity crises</w:t>
      </w:r>
    </w:p>
    <w:p>
      <w:r>
        <w:t>Simultaneous multi-event failures</w:t>
      </w:r>
    </w:p>
    <w:p>
      <w:r>
        <w:t>38.7 Model Verification</w:t>
      </w:r>
    </w:p>
    <w:p>
      <w:r>
        <w:t>The constitutional mathematical model SHALL undergo independent verification to ensure that:</w:t>
      </w:r>
    </w:p>
    <w:p>
      <w:r>
        <w:t>Every equation is internally consistent</w:t>
      </w:r>
    </w:p>
    <w:p>
      <w:r>
        <w:t>Every constitutional constant is correctly referenced</w:t>
      </w:r>
    </w:p>
    <w:p>
      <w:r>
        <w:t>No circular dependencies exist</w:t>
      </w:r>
    </w:p>
    <w:p>
      <w:r>
        <w:t>Every algorithm terminates deterministically</w:t>
      </w:r>
    </w:p>
    <w:p>
      <w:r>
        <w:t>Every bounded function respects constitutional limits</w:t>
      </w:r>
    </w:p>
    <w:p>
      <w:r>
        <w:t>Every normalization preserves conservation of weights</w:t>
      </w:r>
    </w:p>
    <w:p>
      <w:r>
        <w:t>Every reserve calculation preserves solvency</w:t>
      </w:r>
    </w:p>
    <w:p>
      <w:r>
        <w:t>Every policy parameter remains within constitutional bounds</w:t>
      </w:r>
    </w:p>
    <w:p>
      <w:r>
        <w:t>38.8 Zero-Knowledge Verification</w:t>
      </w:r>
    </w:p>
    <w:p>
      <w:r>
        <w:t>The Zero-Knowledge Proof system SHALL verify, at minimum:</w:t>
      </w:r>
    </w:p>
    <w:p>
      <w:r>
        <w:t>Reserve Solvency</w:t>
      </w:r>
    </w:p>
    <w:p>
      <w:r>
        <w:t>Reserve Ratio</w:t>
      </w:r>
    </w:p>
    <w:p>
      <w:r>
        <w:t>Eligible Reserve Assets</w:t>
      </w:r>
    </w:p>
    <w:p>
      <w:r>
        <w:t>Haircut Application</w:t>
      </w:r>
    </w:p>
    <w:p>
      <w:r>
        <w:t>Redemption Liability</w:t>
      </w:r>
    </w:p>
    <w:p>
      <w:r>
        <w:t>NAV Consistency</w:t>
      </w:r>
    </w:p>
    <w:p>
      <w:r>
        <w:t>Reserve Composition</w:t>
      </w:r>
    </w:p>
    <w:p>
      <w:r>
        <w:t>Oracle Snapshot Integrity</w:t>
      </w:r>
    </w:p>
    <w:p>
      <w:r>
        <w:t>Merkle Commitment Integrity</w:t>
      </w:r>
    </w:p>
    <w:p>
      <w:r>
        <w:t>Circuit Integrity</w:t>
      </w:r>
    </w:p>
    <w:p>
      <w:r>
        <w:t>Without revealing confidential reserve information.</w:t>
      </w:r>
    </w:p>
    <w:p>
      <w:r>
        <w:t>Each proof SHALL include:</w:t>
      </w:r>
    </w:p>
    <w:p>
      <w:r>
        <w:t>Circuit Version</w:t>
      </w:r>
    </w:p>
    <w:p>
      <w:r>
        <w:t>Trusted Setup Version</w:t>
      </w:r>
    </w:p>
    <w:p>
      <w:r>
        <w:t>Witness Version</w:t>
      </w:r>
    </w:p>
    <w:p>
      <w:r>
        <w:t>Oracle Snapshot Identifier</w:t>
      </w:r>
    </w:p>
    <w:p>
      <w:r>
        <w:t>Circuit Commitment Hash</w:t>
      </w:r>
    </w:p>
    <w:p>
      <w:r>
        <w:t>Proof Hash</w:t>
      </w:r>
    </w:p>
    <w:p>
      <w:r>
        <w:t>Timestamp</w:t>
      </w:r>
    </w:p>
    <w:p>
      <w:r>
        <w:t>Digital Signature</w:t>
      </w:r>
    </w:p>
    <w:p>
      <w:r>
        <w:t>38.9 Independent Constitutional Verification</w:t>
      </w:r>
    </w:p>
    <w:p>
      <w:r>
        <w:t>Prior to every Constitutional Release, an independent verification process SHALL confirm:</w:t>
      </w:r>
    </w:p>
    <w:p>
      <w:r>
        <w:t>Constitutional invariants remain satisfied</w:t>
      </w:r>
    </w:p>
    <w:p>
      <w:r>
        <w:t>Mathematical equations match constitutional definitions</w:t>
      </w:r>
    </w:p>
    <w:p>
      <w:r>
        <w:t>Monetary algorithms conform to the constitutional specification</w:t>
      </w:r>
    </w:p>
    <w:p>
      <w:r>
        <w:t>Smart contract implementations faithfully implement constitutional rules</w:t>
      </w:r>
    </w:p>
    <w:p>
      <w:r>
        <w:t>Oracle implementations follow canonical consensus</w:t>
      </w:r>
    </w:p>
    <w:p>
      <w:r>
        <w:t>ZK circuits implement constitutional reserve equations</w:t>
      </w:r>
    </w:p>
    <w:p>
      <w:r>
        <w:t>Deterministic execution is preserved</w:t>
      </w:r>
    </w:p>
    <w:p>
      <w:r>
        <w:t>No implementation introduces undefined behavior</w:t>
      </w:r>
    </w:p>
    <w:p>
      <w:r>
        <w:t>Verification SHALL be performed independently from the implementation team.</w:t>
      </w:r>
    </w:p>
    <w:p>
      <w:r>
        <w:t>38.10 Verification Artifacts</w:t>
      </w:r>
    </w:p>
    <w:p>
      <w:r>
        <w:t>Each Constitutional Release SHALL publish a complete verification package containing:</w:t>
      </w:r>
    </w:p>
    <w:p>
      <w:r>
        <w:t>Constitutional Mathematical Specification Version</w:t>
      </w:r>
    </w:p>
    <w:p>
      <w:r>
        <w:t>Constitutional Constants Registry Version</w:t>
      </w:r>
    </w:p>
    <w:p>
      <w:r>
        <w:t>Monetary Engine Version</w:t>
      </w:r>
    </w:p>
    <w:p>
      <w:r>
        <w:t>Oracle Engine Version</w:t>
      </w:r>
    </w:p>
    <w:p>
      <w:r>
        <w:t>Reserve Engine Version</w:t>
      </w:r>
    </w:p>
    <w:p>
      <w:r>
        <w:t>ZK Circuit Version</w:t>
      </w:r>
    </w:p>
    <w:p>
      <w:r>
        <w:t>Arithmetic Engine Version</w:t>
      </w:r>
    </w:p>
    <w:p>
      <w:r>
        <w:t>Verification Report</w:t>
      </w:r>
    </w:p>
    <w:p>
      <w:r>
        <w:t>Formal Proof Summary</w:t>
      </w:r>
    </w:p>
    <w:p>
      <w:r>
        <w:t>Property-Based Testing Summary</w:t>
      </w:r>
    </w:p>
    <w:p>
      <w:r>
        <w:t>Determinism Certification</w:t>
      </w:r>
    </w:p>
    <w:p>
      <w:r>
        <w:t>Independent Audit Reference</w:t>
      </w:r>
    </w:p>
    <w:p>
      <w:r>
        <w:t>Constitutional Release Hash</w:t>
      </w:r>
    </w:p>
    <w:p>
      <w:r>
        <w:t>These artifacts SHALL become part of the permanent constitutional audit record and SHALL remain publicly verifiable.</w:t>
      </w:r>
    </w:p>
    <w:p>
      <w:r>
        <w:t>38.11 Continuous Verification</w:t>
      </w:r>
    </w:p>
    <w:p>
      <w:r>
        <w:t>Formal verification SHALL not be limited to software releases.</w:t>
      </w:r>
    </w:p>
    <w:p>
      <w:r>
        <w:t>Continuous verification SHALL occur whenever any of the following changes occur:</w:t>
      </w:r>
    </w:p>
    <w:p>
      <w:r>
        <w:t>Constitutional Amendment</w:t>
      </w:r>
    </w:p>
    <w:p>
      <w:r>
        <w:t>Technical Standards Update</w:t>
      </w:r>
    </w:p>
    <w:p>
      <w:r>
        <w:t>Oracle Provider Modification</w:t>
      </w:r>
    </w:p>
    <w:p>
      <w:r>
        <w:t>Reserve Asset Eligibility Change</w:t>
      </w:r>
    </w:p>
    <w:p>
      <w:r>
        <w:t>Mathematical Model Revision</w:t>
      </w:r>
    </w:p>
    <w:p>
      <w:r>
        <w:t>ZK Circuit Upgrade</w:t>
      </w:r>
    </w:p>
    <w:p>
      <w:r>
        <w:t>Cryptographic Primitive Replacement</w:t>
      </w:r>
    </w:p>
    <w:p>
      <w:r>
        <w:t>Monetary Engine Upgrade</w:t>
      </w:r>
    </w:p>
    <w:p>
      <w:r>
        <w:t>No modified component SHALL enter production until constitutional verification is successfully completed.</w:t>
      </w:r>
    </w:p>
    <w:p>
      <w:r>
        <w:t>38.12 Constitutional Compliance Requirement</w:t>
      </w:r>
    </w:p>
    <w:p>
      <w:r>
        <w:t>Every implementation of the Constitutional Monetary Infrastructure SHALL be considered constitutionally valid only if:</w:t>
      </w:r>
    </w:p>
    <w:p>
      <w:r>
        <w:t>All constitutional invariants are preserved</w:t>
      </w:r>
    </w:p>
    <w:p>
      <w:r>
        <w:t>All formal verification requirements are satisfied</w:t>
      </w:r>
    </w:p>
    <w:p>
      <w:r>
        <w:t>All arithmetic remains deterministic</w:t>
      </w:r>
    </w:p>
    <w:p>
      <w:r>
        <w:t>All state transitions are verified</w:t>
      </w:r>
    </w:p>
    <w:p>
      <w:r>
        <w:t>All proofs of reserves are valid</w:t>
      </w:r>
    </w:p>
    <w:p>
      <w:r>
        <w:t>All constitutional constants remain unchanged except through the Constitutional Amendment Process</w:t>
      </w:r>
    </w:p>
    <w:p>
      <w:r>
        <w:t>Independent verification has been successfully completed</w:t>
      </w:r>
    </w:p>
    <w:p>
      <w:r>
        <w:t>Failure to satisfy any requirement SHALL render the implementation constitutionally non-compliant and ineligible for production deployment until compliance is restored.</w:t>
      </w:r>
    </w:p>
    <w:p>
      <w:r>
        <w:t>38.13 Constitutional Verification</w:t>
      </w:r>
    </w:p>
    <w:p>
      <w:r>
        <w:t>text</w:t>
      </w:r>
    </w:p>
    <w:p>
      <w:r>
        <w:t>✓ Constitutional invariants verified</w:t>
      </w:r>
    </w:p>
    <w:p>
      <w:r>
        <w:t>✓ Functional verification matrix completed</w:t>
      </w:r>
    </w:p>
    <w:p>
      <w:r>
        <w:t>✓ Arithmetic verification completed</w:t>
      </w:r>
    </w:p>
    <w:p>
      <w:r>
        <w:t>✓ State transition verification completed</w:t>
      </w:r>
    </w:p>
    <w:p>
      <w:r>
        <w:t>✓ Property-based verification completed</w:t>
      </w:r>
    </w:p>
    <w:p>
      <w:r>
        <w:t>✓ Model verification completed</w:t>
      </w:r>
    </w:p>
    <w:p>
      <w:r>
        <w:t>✓ Zero-Knowledge verification completed</w:t>
      </w:r>
    </w:p>
    <w:p>
      <w:r>
        <w:t>✓ Independent constitutional verification completed</w:t>
      </w:r>
    </w:p>
    <w:p>
      <w:r>
        <w:t>✓ Verification artifacts published</w:t>
      </w:r>
    </w:p>
    <w:p>
      <w:r>
        <w:t>✓ Continuous verification process established</w:t>
      </w:r>
    </w:p>
    <w:p>
      <w:r>
        <w:t>✓ Constitutional compliance requirements satisfied</w:t>
      </w:r>
    </w:p>
    <w:p>
      <w:r>
        <w:t>38.14 Related Sections</w:t>
      </w:r>
    </w:p>
    <w:p>
      <w:r>
        <w:t>Section 11 — Monetary Engine Determinism</w:t>
      </w:r>
    </w:p>
    <w:p>
      <w:r>
        <w:t>Section 37 — Constitutional Proof of Reserves, Solvency &amp; Transparency</w:t>
      </w:r>
    </w:p>
    <w:p>
      <w:r>
        <w:t>Section 39 — Constitutional Audit Framework</w:t>
      </w:r>
    </w:p>
    <w:p>
      <w:r>
        <w:t>Section 40 — Constitutional Change Control</w:t>
      </w:r>
    </w:p>
    <w:p>
      <w:r>
        <w:t>Section 41 — Constitutional Technical Architecture</w:t>
      </w:r>
    </w:p>
    <w:p>
      <w:r>
        <w:t>Section 42 — Constitutional Reserve Engine</w:t>
      </w:r>
    </w:p>
    <w:p>
      <w:r>
        <w:t>Section 43 — Constitutional Cryptographic Standards</w:t>
      </w:r>
    </w:p>
    <w:p>
      <w:r>
        <w:t>Constitutional Verification</w:t>
      </w:r>
    </w:p>
    <w:p>
      <w:r>
        <w:t>text</w:t>
      </w:r>
    </w:p>
    <w:p>
      <w:r>
        <w:t>✓ Constitutional Verification Principle established</w:t>
      </w:r>
    </w:p>
    <w:p>
      <w:r>
        <w:t>✓ Constitutional Invariants listed</w:t>
      </w:r>
    </w:p>
    <w:p>
      <w:r>
        <w:t>✓ Functional Verification Matrix defined</w:t>
      </w:r>
    </w:p>
    <w:p>
      <w:r>
        <w:t>✓ Arithmetic Verification established</w:t>
      </w:r>
    </w:p>
    <w:p>
      <w:r>
        <w:t>✓ State Transition Verification established</w:t>
      </w:r>
    </w:p>
    <w:p>
      <w:r>
        <w:t>✓ Property-Based Verification established</w:t>
      </w:r>
    </w:p>
    <w:p>
      <w:r>
        <w:t>✓ Model Verification established</w:t>
      </w:r>
    </w:p>
    <w:p>
      <w:r>
        <w:t>✓ Zero-Knowledge Verification established</w:t>
      </w:r>
    </w:p>
    <w:p>
      <w:r>
        <w:t>✓ Independent Constitutional Verification established</w:t>
      </w:r>
    </w:p>
    <w:p>
      <w:r>
        <w:t>✓ Verification Artifacts defined</w:t>
      </w:r>
    </w:p>
    <w:p>
      <w:r>
        <w:t>✓ Continuous Verification established</w:t>
      </w:r>
    </w:p>
    <w:p>
      <w:r>
        <w:t>✓ Constitutional Compliance Requirement established</w:t>
      </w:r>
    </w:p>
    <w:p>
      <w:r>
        <w:t>✓ Constitutional Verification established</w:t>
      </w:r>
    </w:p>
    <w:p>
      <w:r>
        <w:t>✓ Related Sections referenced</w:t>
      </w:r>
    </w:p>
    <w:p>
      <w:r>
        <w:t>[END OF SECTION 38 — CONSTITUTIONAL FORMAL VERIFICATION]</w:t>
      </w:r>
    </w:p>
    <w:p>
      <w:pPr>
        <w:pStyle w:val="Heading1"/>
      </w:pPr>
      <w:r>
        <w:t>SECTION 39 — CONSTITUTIONAL CRYPTOGRAPHIC GOVERNANCE &amp; AGILITY FRAMEWORK (REGENERATED — FINAL VERSION)</w:t>
      </w:r>
    </w:p>
    <w:p>
      <w:pPr>
        <w:pStyle w:val="Heading2"/>
      </w:pPr>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pPr>
        <w:pStyle w:val="Heading2"/>
      </w:pPr>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pPr>
        <w:pStyle w:val="Heading2"/>
      </w:pPr>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pPr>
        <w:pStyle w:val="Heading2"/>
      </w:pPr>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pPr>
        <w:pStyle w:val="Heading2"/>
      </w:pPr>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pPr>
        <w:pStyle w:val="Heading2"/>
      </w:pPr>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pPr>
        <w:pStyle w:val="Heading2"/>
      </w:pPr>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pPr>
        <w:pStyle w:val="Heading2"/>
      </w:pPr>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pPr>
        <w:pStyle w:val="Heading2"/>
      </w:pPr>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pPr>
        <w:pStyle w:val="Heading2"/>
      </w:pPr>
      <w:r>
        <w:t>39.10 Cryptographic Validation</w:t>
      </w:r>
    </w:p>
    <w:p>
      <w:r>
        <w:t>Constitutional Principle:</w:t>
      </w:r>
    </w:p>
    <w:p>
      <w:r>
        <w:t>Every cryptographic change shall undergo independent validation before deployment.</w:t>
      </w:r>
    </w:p>
    <w:p>
      <w:r>
        <w:t>Validation Requirements:</w:t>
      </w:r>
    </w:p>
    <w:p>
      <w:r>
        <w:t>Validation Documentation:</w:t>
      </w:r>
    </w:p>
    <w:p>
      <w:pPr>
        <w:pStyle w:val="Heading2"/>
      </w:pPr>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pPr>
        <w:pStyle w:val="Heading2"/>
      </w:pPr>
      <w:r>
        <w:t>39.12 Cryptographic Monitoring</w:t>
      </w:r>
    </w:p>
    <w:p>
      <w:r>
        <w:t>Constitutional Principle:</w:t>
      </w:r>
    </w:p>
    <w:p>
      <w:r>
        <w:t>Cryptographic systems shall be continuously monitored for health, integrity, and emerging threats.</w:t>
      </w:r>
    </w:p>
    <w:p>
      <w:r>
        <w:t>Monitoring Requirements:</w:t>
      </w:r>
    </w:p>
    <w:p>
      <w:r>
        <w:t>Monitoring Frequency:</w:t>
      </w:r>
    </w:p>
    <w:p>
      <w:pPr>
        <w:pStyle w:val="Heading2"/>
      </w:pPr>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pPr>
        <w:pStyle w:val="Heading2"/>
      </w:pPr>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pPr>
        <w:pStyle w:val="Heading2"/>
      </w:pPr>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pPr>
        <w:pStyle w:val="Heading2"/>
      </w:pPr>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pPr>
        <w:pStyle w:val="Heading2"/>
      </w:pPr>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pPr>
        <w:pStyle w:val="Heading2"/>
      </w:pPr>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pPr>
        <w:pStyle w:val="Heading2"/>
      </w:pPr>
      <w:r>
        <w:t>39.19 Related Sections</w:t>
      </w:r>
    </w:p>
    <w:p>
      <w:pPr>
        <w:pStyle w:val="Heading2"/>
      </w:pPr>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pPr>
        <w:pStyle w:val="Heading2"/>
      </w:pPr>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39 — CONSTITUTIONAL CRYPTOGRAPHIC GOVERNANCE &amp; AGILITY FRAMEWORK (REGENERATED — FINAL VERSION)</w:t>
      </w:r>
    </w:p>
    <w:p>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r>
        <w:t>39.10 Cryptographic Validation</w:t>
      </w:r>
    </w:p>
    <w:p>
      <w:r>
        <w:t>Constitutional Principle:</w:t>
      </w:r>
    </w:p>
    <w:p>
      <w:r>
        <w:t>Every cryptographic change shall undergo independent validation before deployment.</w:t>
      </w:r>
    </w:p>
    <w:p>
      <w:r>
        <w:t>Validation Requirements:</w:t>
      </w:r>
    </w:p>
    <w:p>
      <w:r>
        <w:t>Validation Documentation:</w:t>
      </w:r>
    </w:p>
    <w:p>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r>
        <w:t>39.12 Cryptographic Monitoring</w:t>
      </w:r>
    </w:p>
    <w:p>
      <w:r>
        <w:t>Constitutional Principle:</w:t>
      </w:r>
    </w:p>
    <w:p>
      <w:r>
        <w:t>Cryptographic systems shall be continuously monitored for health, integrity, and emerging threats.</w:t>
      </w:r>
    </w:p>
    <w:p>
      <w:r>
        <w:t>Monitoring Requirements:</w:t>
      </w:r>
    </w:p>
    <w:p>
      <w:r>
        <w:t>Monitoring Frequency:</w:t>
      </w:r>
    </w:p>
    <w:p>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r>
        <w:t>39.19 Related Sections</w:t>
      </w:r>
    </w:p>
    <w:p>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40: Constitutional Stress Testing</w:t>
      </w:r>
    </w:p>
    <w:p>
      <w:r>
        <w:t>40.1 Constitutional Principle</w:t>
      </w:r>
    </w:p>
    <w:p>
      <w:r>
        <w:t>The Constitutional Monetary Infrastructure SHALL undergo continuous quantitative stress testing to demonstrate that constitutional solvency, liquidity, settlement continuity, reserve integrity, and monetary stability remain preserved under adverse market conditions.</w:t>
      </w:r>
    </w:p>
    <w:p>
      <w:r>
        <w:t>Stress testing SHALL support constitutional prudence rather than market prediction.</w:t>
      </w:r>
    </w:p>
    <w:p>
      <w:r>
        <w:t>40.2 Constitutional Objectives</w:t>
      </w:r>
    </w:p>
    <w:p>
      <w:r>
        <w:t>Stress testing SHALL evaluate:</w:t>
      </w:r>
    </w:p>
    <w:p>
      <w:r>
        <w:t>Reserve Solvency</w:t>
      </w:r>
    </w:p>
    <w:p>
      <w:r>
        <w:t>Liquidity</w:t>
      </w:r>
    </w:p>
    <w:p>
      <w:r>
        <w:t>Redemption Capacity</w:t>
      </w:r>
    </w:p>
    <w:p>
      <w:r>
        <w:t>Settlement Continuity</w:t>
      </w:r>
    </w:p>
    <w:p>
      <w:r>
        <w:t>Currency Weight Stability</w:t>
      </w:r>
    </w:p>
    <w:p>
      <w:r>
        <w:t>Bullion Allocation Stability</w:t>
      </w:r>
    </w:p>
    <w:p>
      <w:r>
        <w:t>Stablecoin Layer Stability</w:t>
      </w:r>
    </w:p>
    <w:p>
      <w:r>
        <w:t>Oracle Resilience</w:t>
      </w:r>
    </w:p>
    <w:p>
      <w:r>
        <w:t>Counterparty Concentration</w:t>
      </w:r>
    </w:p>
    <w:p>
      <w:r>
        <w:t>Operational Continuity</w:t>
      </w:r>
    </w:p>
    <w:p>
      <w:r>
        <w:t>Constitutional Risk Index</w:t>
      </w:r>
    </w:p>
    <w:p>
      <w:r>
        <w:t>Severe Deviation Protocol effectiveness</w:t>
      </w:r>
    </w:p>
    <w:p>
      <w:r>
        <w:t>40.3 Scenario Categories</w:t>
      </w:r>
    </w:p>
    <w:p>
      <w:r>
        <w:t>The stress-testing framework SHALL include multiple scenario families:</w:t>
      </w:r>
    </w:p>
    <w:p>
      <w:r>
        <w:t>40.4 Historical Replay</w:t>
      </w:r>
    </w:p>
    <w:p>
      <w:r>
        <w:t>The Technical Standards SHALL maintain a library of historically significant stress events.</w:t>
      </w:r>
    </w:p>
    <w:p>
      <w:r>
        <w:t>Illustrative scenarios include:</w:t>
      </w:r>
    </w:p>
    <w:p>
      <w:r>
        <w:t>The historical scenario library SHALL be reviewed periodically.</w:t>
      </w:r>
    </w:p>
    <w:p>
      <w:r>
        <w:t>40.5 Monte Carlo Simulation</w:t>
      </w:r>
    </w:p>
    <w:p>
      <w:r>
        <w:t>Illustrative minimum simulation parameters:</w:t>
      </w:r>
    </w:p>
    <w:p>
      <w:r>
        <w:t>The Constitution specifies minimum simulation requirements rather than prescribing a single mathematical model.</w:t>
      </w:r>
    </w:p>
    <w:p>
      <w:r>
        <w:t>40.6 Reverse Stress Testing</w:t>
      </w:r>
    </w:p>
    <w:p>
      <w:r>
        <w:t>Reverse stress testing SHALL identify the minimum combination of adverse events capable of violating constitutional limits.</w:t>
      </w:r>
    </w:p>
    <w:p>
      <w:r>
        <w:t>Outputs SHALL identify:</w:t>
      </w:r>
    </w:p>
    <w:p>
      <w:r>
        <w:t>Triggering conditions</w:t>
      </w:r>
    </w:p>
    <w:p>
      <w:r>
        <w:t>Primary risk drivers</w:t>
      </w:r>
    </w:p>
    <w:p>
      <w:r>
        <w:t>Probability estimates (where appropriate)</w:t>
      </w:r>
    </w:p>
    <w:p>
      <w:r>
        <w:t>Recovery pathways</w:t>
      </w:r>
    </w:p>
    <w:p>
      <w:r>
        <w:t>Recommended mitigation measures</w:t>
      </w:r>
    </w:p>
    <w:p>
      <w:r>
        <w:t>40.7 Sensitivity Analysis</w:t>
      </w:r>
    </w:p>
    <w:p>
      <w:r>
        <w:t>Sensitivity analysis SHALL evaluate the effect of isolated changes in:</w:t>
      </w:r>
    </w:p>
    <w:p>
      <w:r>
        <w:t>FX Rates</w:t>
      </w:r>
    </w:p>
    <w:p>
      <w:r>
        <w:t>Gold Price</w:t>
      </w:r>
    </w:p>
    <w:p>
      <w:r>
        <w:t>Silver Price</w:t>
      </w:r>
    </w:p>
    <w:p>
      <w:r>
        <w:t>Interest Rates</w:t>
      </w:r>
    </w:p>
    <w:p>
      <w:r>
        <w:t>Reserve Composition</w:t>
      </w:r>
    </w:p>
    <w:p>
      <w:r>
        <w:t>Stablecoin De-Peg Events</w:t>
      </w:r>
    </w:p>
    <w:p>
      <w:r>
        <w:t>Oracle Latency</w:t>
      </w:r>
    </w:p>
    <w:p>
      <w:r>
        <w:t>Oracle Failure</w:t>
      </w:r>
    </w:p>
    <w:p>
      <w:r>
        <w:t>Counterparty Downgrades</w:t>
      </w:r>
    </w:p>
    <w:p>
      <w:r>
        <w:t>Liquidity Reduction</w:t>
      </w:r>
    </w:p>
    <w:p>
      <w:r>
        <w:t>40.8 Required Outputs</w:t>
      </w:r>
    </w:p>
    <w:p>
      <w:r>
        <w:t>Every stress-testing cycle SHALL produce:</w:t>
      </w:r>
    </w:p>
    <w:p>
      <w:r>
        <w:t>40.9 Constitutional Pass Criteria</w:t>
      </w:r>
    </w:p>
    <w:p>
      <w:r>
        <w:t>Stress testing SHALL demonstrate that:</w:t>
      </w:r>
    </w:p>
    <w:p>
      <w:r>
        <w:t>RR ≥ RR_min</w:t>
      </w:r>
    </w:p>
    <w:p>
      <w:r>
        <w:t>LCR ≥ LCR_min</w:t>
      </w:r>
    </w:p>
    <w:p>
      <w:r>
        <w:t>Settlement continuity is preserved</w:t>
      </w:r>
    </w:p>
    <w:p>
      <w:r>
        <w:t>Currency concentration limits remain satisfied</w:t>
      </w:r>
    </w:p>
    <w:p>
      <w:r>
        <w:t>Currency minimum floors remain preserved</w:t>
      </w:r>
    </w:p>
    <w:p>
      <w:r>
        <w:t>Reserve allocations remain within constitutional ranges</w:t>
      </w:r>
    </w:p>
    <w:p>
      <w:r>
        <w:t>Bullion allocation remains within constitutional limits</w:t>
      </w:r>
    </w:p>
    <w:p>
      <w:r>
        <w:t>Stablecoin allocation remains within constitutional limits</w:t>
      </w:r>
    </w:p>
    <w:p>
      <w:r>
        <w:t>SDP performs according to constitutional specifications</w:t>
      </w:r>
    </w:p>
    <w:p>
      <w:r>
        <w:t>Oracle consensus remains operational</w:t>
      </w:r>
    </w:p>
    <w:p>
      <w:r>
        <w:t>Constitutional invariants remain preserved</w:t>
      </w:r>
    </w:p>
    <w:p>
      <w:r>
        <w:t>Failure of any constitutional invariant SHALL initiate mandatory constitutional review and corrective action.</w:t>
      </w:r>
    </w:p>
    <w:p>
      <w:r>
        <w:t>40.10 Stress Testing Frequency</w:t>
      </w:r>
    </w:p>
    <w:p>
      <w:r>
        <w:t>Stress testing SHALL be performed:</w:t>
      </w:r>
    </w:p>
    <w:p>
      <w:r>
        <w:t>Prior to every Constitutional Release</w:t>
      </w:r>
    </w:p>
    <w:p>
      <w:r>
        <w:t>Quarterly during normal operations</w:t>
      </w:r>
    </w:p>
    <w:p>
      <w:r>
        <w:t>Following significant reserve composition changes</w:t>
      </w:r>
    </w:p>
    <w:p>
      <w:r>
        <w:t>Following oracle modifications</w:t>
      </w:r>
    </w:p>
    <w:p>
      <w:r>
        <w:t>Following major market disruptions</w:t>
      </w:r>
    </w:p>
    <w:p>
      <w:r>
        <w:t>Following constitutional amendments affecting monetary operations</w:t>
      </w:r>
    </w:p>
    <w:p>
      <w:r>
        <w:t>Following material cryptographic or technical upgrades</w:t>
      </w:r>
    </w:p>
    <w:p>
      <w:r>
        <w:t>Emergency stress testing MAY be initiated at any time by the Technical Committee.</w:t>
      </w:r>
    </w:p>
    <w:p>
      <w:r>
        <w:t>40.11 Independent Validation</w:t>
      </w:r>
    </w:p>
    <w:p>
      <w:r>
        <w:t>Stress-testing methodology SHALL undergo periodic independent validation to confirm:</w:t>
      </w:r>
    </w:p>
    <w:p>
      <w:r>
        <w:t>Mathematical correctness</w:t>
      </w:r>
    </w:p>
    <w:p>
      <w:r>
        <w:t>Statistical soundness</w:t>
      </w:r>
    </w:p>
    <w:p>
      <w:r>
        <w:t>Scenario relevance</w:t>
      </w:r>
    </w:p>
    <w:p>
      <w:r>
        <w:t>Model calibration</w:t>
      </w:r>
    </w:p>
    <w:p>
      <w:r>
        <w:t>Computational determinism</w:t>
      </w:r>
    </w:p>
    <w:p>
      <w:r>
        <w:t>Reproducibility</w:t>
      </w:r>
    </w:p>
    <w:p>
      <w:r>
        <w:t>Compliance with constitutional requirements</w:t>
      </w:r>
    </w:p>
    <w:p>
      <w:r>
        <w:t>Independent validation SHALL become part of the permanent constitutional audit record.</w:t>
      </w:r>
    </w:p>
    <w:p>
      <w:r>
        <w:t>40.12 Continuous Constitutional Resilience</w:t>
      </w:r>
    </w:p>
    <w:p>
      <w:r>
        <w:t>Stress testing SHALL form part of a continuous constitutional resilience program.</w:t>
      </w:r>
    </w:p>
    <w:p>
      <w:r>
        <w:t>The program SHALL ensure:</w:t>
      </w:r>
    </w:p>
    <w:p>
      <w:r>
        <w:t>Continuous reserve resilience</w:t>
      </w:r>
    </w:p>
    <w:p>
      <w:r>
        <w:t>Continuous liquidity resilience</w:t>
      </w:r>
    </w:p>
    <w:p>
      <w:r>
        <w:t>Continuous settlement resilience</w:t>
      </w:r>
    </w:p>
    <w:p>
      <w:r>
        <w:t>Continuous oracle resilience</w:t>
      </w:r>
    </w:p>
    <w:p>
      <w:r>
        <w:t>Continuous operational resilience</w:t>
      </w:r>
    </w:p>
    <w:p>
      <w:r>
        <w:t>Continuous governance resilience</w:t>
      </w:r>
    </w:p>
    <w:p>
      <w:r>
        <w:t>Results SHALL inform operational improvements while preserving the Constitutional Monetary Framework.</w:t>
      </w:r>
    </w:p>
    <w:p>
      <w:r>
        <w:t>40.13 Constitutional Verification</w:t>
      </w:r>
    </w:p>
    <w:p>
      <w:r>
        <w:t>text</w:t>
      </w:r>
    </w:p>
    <w:p>
      <w:r>
        <w:t>✓ Stress testing framework established</w:t>
      </w:r>
    </w:p>
    <w:p>
      <w:r>
        <w:t>✓ Constitutional objectives identified</w:t>
      </w:r>
    </w:p>
    <w:p>
      <w:r>
        <w:t>✓ Scenario categories defined</w:t>
      </w:r>
    </w:p>
    <w:p>
      <w:r>
        <w:t>✓ Historical replay scenarios maintained</w:t>
      </w:r>
    </w:p>
    <w:p>
      <w:r>
        <w:t>✓ Monte Carlo simulation parameters specified</w:t>
      </w:r>
    </w:p>
    <w:p>
      <w:r>
        <w:t>✓ Reverse stress testing implemented</w:t>
      </w:r>
    </w:p>
    <w:p>
      <w:r>
        <w:t>✓ Sensitivity analysis implemented</w:t>
      </w:r>
    </w:p>
    <w:p>
      <w:r>
        <w:t>✓ Required outputs generated</w:t>
      </w:r>
    </w:p>
    <w:p>
      <w:r>
        <w:t>✓ Pass criteria verified</w:t>
      </w:r>
    </w:p>
    <w:p>
      <w:r>
        <w:t>✓ Stress testing frequency established</w:t>
      </w:r>
    </w:p>
    <w:p>
      <w:r>
        <w:t>✓ Independent validation completed</w:t>
      </w:r>
    </w:p>
    <w:p>
      <w:r>
        <w:t>✓ Continuous constitutional resilience program established</w:t>
      </w:r>
    </w:p>
    <w:p>
      <w:r>
        <w:t>40.14 Related Sections</w:t>
      </w:r>
    </w:p>
    <w:p>
      <w:r>
        <w:t>Section 2 — Constitutional Three-Layer Reserve Valuation Model</w:t>
      </w:r>
    </w:p>
    <w:p>
      <w:r>
        <w:t>Section 4 — Constitutional Reserve Ratio</w:t>
      </w:r>
    </w:p>
    <w:p>
      <w:r>
        <w:t>Section 5 — Liquidity Coverage Ratio (LCR)</w:t>
      </w:r>
    </w:p>
    <w:p>
      <w:r>
        <w:t>Section 9 — Constitutional Risk Index (CRI)</w:t>
      </w:r>
    </w:p>
    <w:p>
      <w:r>
        <w:t>Section 11 — Monetary Engine Determinism</w:t>
      </w:r>
    </w:p>
    <w:p>
      <w:r>
        <w:t>Section 38 — Constitutional Formal Verification</w:t>
      </w:r>
    </w:p>
    <w:p>
      <w:r>
        <w:t>Section 42 — Constitutional Reserve Engine</w:t>
      </w:r>
    </w:p>
    <w:p>
      <w:r>
        <w:t>Constitutional Verification</w:t>
      </w:r>
    </w:p>
    <w:p>
      <w:r>
        <w:t>text</w:t>
      </w:r>
    </w:p>
    <w:p>
      <w:r>
        <w:t>✓ Constitutional Principle established</w:t>
      </w:r>
    </w:p>
    <w:p>
      <w:r>
        <w:t>✓ Constitutional Objectives listed</w:t>
      </w:r>
    </w:p>
    <w:p>
      <w:r>
        <w:t>✓ Scenario Categories defined</w:t>
      </w:r>
    </w:p>
    <w:p>
      <w:r>
        <w:t>✓ Historical Replay established</w:t>
      </w:r>
    </w:p>
    <w:p>
      <w:r>
        <w:t>✓ Monte Carlo Simulation parameters defined</w:t>
      </w:r>
    </w:p>
    <w:p>
      <w:r>
        <w:t>✓ Reverse Stress Testing established</w:t>
      </w:r>
    </w:p>
    <w:p>
      <w:r>
        <w:t>✓ Sensitivity Analysis established</w:t>
      </w:r>
    </w:p>
    <w:p>
      <w:r>
        <w:t>✓ Required Outputs defined</w:t>
      </w:r>
    </w:p>
    <w:p>
      <w:r>
        <w:t>✓ Constitutional Pass Criteria established</w:t>
      </w:r>
    </w:p>
    <w:p>
      <w:r>
        <w:t>✓ Stress Testing Frequency established</w:t>
      </w:r>
    </w:p>
    <w:p>
      <w:r>
        <w:t>✓ Independent Validation established</w:t>
      </w:r>
    </w:p>
    <w:p>
      <w:r>
        <w:t>✓ Continuous Constitutional Resilience established</w:t>
      </w:r>
    </w:p>
    <w:p>
      <w:r>
        <w:t>✓ Constitutional Verification established</w:t>
      </w:r>
    </w:p>
    <w:p>
      <w:r>
        <w:t>✓ Related Sections referenced</w:t>
      </w:r>
    </w:p>
    <w:p>
      <w:r>
        <w:t>40.15 Constitutional Scenario Library</w:t>
      </w:r>
    </w:p>
    <w:p>
      <w:r>
        <w:t>The Institution shall maintain a permanent library of standardized stress scenarios for constitutional stress testing.</w:t>
      </w:r>
    </w:p>
    <w:p>
      <w:r>
        <w:t>Scenario Library Contents:</w:t>
      </w:r>
    </w:p>
    <w:p>
      <w:r>
        <w:t>Scenario Governance:</w:t>
      </w:r>
    </w:p>
    <w:p>
      <w:r>
        <w:t>Library shall be reviewed annually</w:t>
      </w:r>
    </w:p>
    <w:p>
      <w:r>
        <w:t>Scenarios shall be updated as conditions evolve</w:t>
      </w:r>
    </w:p>
    <w:p>
      <w:r>
        <w:t>New scenarios shall be added as needed</w:t>
      </w:r>
    </w:p>
    <w:p>
      <w:r>
        <w:t>All scenarios shall be documented and archived</w:t>
      </w:r>
    </w:p>
    <w:p>
      <w:r>
        <w:t>[END OF SECTION 40 — CONSTITUTIONAL STRESS TESTING]</w:t>
      </w:r>
    </w:p>
    <w:p>
      <w:r>
        <w:t>Section 41: Constitutional Operational Capital Buffer</w:t>
      </w:r>
    </w:p>
    <w:p>
      <w:r>
        <w:t>41.1 Constitutional Principle</w:t>
      </w:r>
    </w:p>
    <w:p>
      <w:r>
        <w:t>Operational Capital exists solely to ensure uninterrupted institutional operations.</w:t>
      </w:r>
    </w:p>
    <w:p>
      <w:r>
        <w:t>Operational Capital SHALL remain constitutionally segregated from Constitutional Reserve Assets at all times.</w:t>
      </w:r>
    </w:p>
    <w:p>
      <w:r>
        <w:t>Operational Capital SHALL NOT be included in:</w:t>
      </w:r>
    </w:p>
    <w:p>
      <w:r>
        <w:t>Reserve Ratio calculations</w:t>
      </w:r>
    </w:p>
    <w:p>
      <w:r>
        <w:t>Net Asset Value (NAV)</w:t>
      </w:r>
    </w:p>
    <w:p>
      <w:r>
        <w:t>Redemption Liability calculations</w:t>
      </w:r>
    </w:p>
    <w:p>
      <w:r>
        <w:t>Proof of Reserve backing</w:t>
      </w:r>
    </w:p>
    <w:p>
      <w:r>
        <w:t>Constitutional Reserve Assets</w:t>
      </w:r>
    </w:p>
    <w:p>
      <w:r>
        <w:t>Reserve Assets protect MTQ holders.</w:t>
      </w:r>
    </w:p>
    <w:p>
      <w:r>
        <w:t>Operational Capital protects institutional continuity.</w:t>
      </w:r>
    </w:p>
    <w:p>
      <w:r>
        <w:t>These two functions shall remain permanently independent.</w:t>
      </w:r>
    </w:p>
    <w:p>
      <w:r>
        <w:t>41.2 Operational Capital Requirement</w:t>
      </w:r>
    </w:p>
    <w:p>
      <w:r>
        <w:t>The Institution shall continuously maintain Operational Capital sufficient to fund normal institutional operations for a minimum forward-looking period of twelve (12) months.</w:t>
      </w:r>
    </w:p>
    <w:p>
      <w:r>
        <w:t>text</w:t>
      </w:r>
    </w:p>
    <w:p>
      <w:r>
        <w:t>Operational_Capital ≥ 12 Months of Forward-Looking Operating Expenses</w:t>
      </w:r>
    </w:p>
    <w:p>
      <w:r>
        <w:t>Forward-Looking Operating Expenses include:</w:t>
      </w:r>
    </w:p>
    <w:p>
      <w:r>
        <w:t>Personnel</w:t>
      </w:r>
    </w:p>
    <w:p>
      <w:r>
        <w:t>Technology Infrastructure</w:t>
      </w:r>
    </w:p>
    <w:p>
      <w:r>
        <w:t>Cybersecurity</w:t>
      </w:r>
    </w:p>
    <w:p>
      <w:r>
        <w:t>Custody Operations</w:t>
      </w:r>
    </w:p>
    <w:p>
      <w:r>
        <w:t>Insurance</w:t>
      </w:r>
    </w:p>
    <w:p>
      <w:r>
        <w:t>Regulatory Compliance</w:t>
      </w:r>
    </w:p>
    <w:p>
      <w:r>
        <w:t>Independent Audits</w:t>
      </w:r>
    </w:p>
    <w:p>
      <w:r>
        <w:t>Legal Services</w:t>
      </w:r>
    </w:p>
    <w:p>
      <w:r>
        <w:t>Governance Operations</w:t>
      </w:r>
    </w:p>
    <w:p>
      <w:r>
        <w:t>Business Continuity</w:t>
      </w:r>
    </w:p>
    <w:p>
      <w:r>
        <w:t>Disaster Recovery</w:t>
      </w:r>
    </w:p>
    <w:p>
      <w:r>
        <w:t>The calculation shall be reviewed quarterly using the approved institutional budgeting methodology.</w:t>
      </w:r>
    </w:p>
    <w:p>
      <w:r>
        <w:t>41.3 Funding Sources</w:t>
      </w:r>
    </w:p>
    <w:p>
      <w:r>
        <w:t>Operational Capital may only be funded from institutional operating revenue, including:</w:t>
      </w:r>
    </w:p>
    <w:p>
      <w:r>
        <w:t>Transaction Fees</w:t>
      </w:r>
    </w:p>
    <w:p>
      <w:r>
        <w:t>Settlement Fees</w:t>
      </w:r>
    </w:p>
    <w:p>
      <w:r>
        <w:t>Licensing Revenue</w:t>
      </w:r>
    </w:p>
    <w:p>
      <w:r>
        <w:t>Technology Services</w:t>
      </w:r>
    </w:p>
    <w:p>
      <w:r>
        <w:t>Infrastructure Services</w:t>
      </w:r>
    </w:p>
    <w:p>
      <w:r>
        <w:t>Other Council-approved Institutional Revenue</w:t>
      </w:r>
    </w:p>
    <w:p>
      <w:r>
        <w:t>Operational Capital SHALL NEVER be funded from:</w:t>
      </w:r>
    </w:p>
    <w:p>
      <w:r>
        <w:t>Constitutional Reserve Assets</w:t>
      </w:r>
    </w:p>
    <w:p>
      <w:r>
        <w:t>Gold Holdings</w:t>
      </w:r>
    </w:p>
    <w:p>
      <w:r>
        <w:t>Silver Holdings</w:t>
      </w:r>
    </w:p>
    <w:p>
      <w:r>
        <w:t>Fiat Reserve Assets</w:t>
      </w:r>
    </w:p>
    <w:p>
      <w:r>
        <w:t>Stablecoin Reserve Assets</w:t>
      </w:r>
    </w:p>
    <w:p>
      <w:r>
        <w:t>Participant Deposits</w:t>
      </w:r>
    </w:p>
    <w:p>
      <w:r>
        <w:t>Minting Proceeds</w:t>
      </w:r>
    </w:p>
    <w:p>
      <w:r>
        <w:t>Redemption Assets</w:t>
      </w:r>
    </w:p>
    <w:p>
      <w:r>
        <w:t>This restriction is constitutionally immutable.</w:t>
      </w:r>
    </w:p>
    <w:p>
      <w:r>
        <w:t>41.4 Custody Requirements</w:t>
      </w:r>
    </w:p>
    <w:p>
      <w:r>
        <w:t>Operational Capital shall be maintained only in highly liquid Tier 1 assets.</w:t>
      </w:r>
    </w:p>
    <w:p>
      <w:r>
        <w:t>Permitted holdings include:</w:t>
      </w:r>
    </w:p>
    <w:p>
      <w:r>
        <w:t>Central-Bank Cash</w:t>
      </w:r>
    </w:p>
    <w:p>
      <w:r>
        <w:t>Central-Bank Reserve Accounts</w:t>
      </w:r>
    </w:p>
    <w:p>
      <w:r>
        <w:t>Overnight Sovereign Cash Facilities (where available)</w:t>
      </w:r>
    </w:p>
    <w:p>
      <w:r>
        <w:t>Operational Capital SHALL NOT be:</w:t>
      </w:r>
    </w:p>
    <w:p>
      <w:r>
        <w:t>Invested</w:t>
      </w:r>
    </w:p>
    <w:p>
      <w:r>
        <w:t>Lent</w:t>
      </w:r>
    </w:p>
    <w:p>
      <w:r>
        <w:t>Staked</w:t>
      </w:r>
    </w:p>
    <w:p>
      <w:r>
        <w:t>Pledged</w:t>
      </w:r>
    </w:p>
    <w:p>
      <w:r>
        <w:t>Encumbered</w:t>
      </w:r>
    </w:p>
    <w:p>
      <w:r>
        <w:t>Used as collateral</w:t>
      </w:r>
    </w:p>
    <w:p>
      <w:r>
        <w:t>Included in any reserve investment strategy</w:t>
      </w:r>
    </w:p>
    <w:p>
      <w:r>
        <w:t>41.5 Target Operational Allocation</w:t>
      </w:r>
    </w:p>
    <w:p>
      <w:r>
        <w:t>41.6 Monitoring and Governance</w:t>
      </w:r>
    </w:p>
    <w:p>
      <w:r>
        <w:t>Operational Capital shall be reviewed:</w:t>
      </w:r>
    </w:p>
    <w:p>
      <w:r>
        <w:t>Quarterly</w:t>
      </w:r>
    </w:p>
    <w:p>
      <w:r>
        <w:t>Following every approved annual budget</w:t>
      </w:r>
    </w:p>
    <w:p>
      <w:r>
        <w:t>After any declared institutional emergency</w:t>
      </w:r>
    </w:p>
    <w:p>
      <w:r>
        <w:t>Following any material increase in operating expenses</w:t>
      </w:r>
    </w:p>
    <w:p>
      <w:r>
        <w:t>If Operational Capital falls below the constitutional minimum:</w:t>
      </w:r>
    </w:p>
    <w:p>
      <w:r>
        <w:t>No discretionary expenditures may be approved</w:t>
      </w:r>
    </w:p>
    <w:p>
      <w:r>
        <w:t>The Council shall approve a replenishment plan</w:t>
      </w:r>
    </w:p>
    <w:p>
      <w:r>
        <w:t>The deficiency shall be disclosed in the next institutional transparency report</w:t>
      </w:r>
    </w:p>
    <w:p>
      <w:r>
        <w:t>The deficiency shall not affect Reserve Ratio calculations</w:t>
      </w:r>
    </w:p>
    <w:p>
      <w:r>
        <w:t>Operational Capital and Constitutional Reserve Assets remain permanently segregated</w:t>
      </w:r>
    </w:p>
    <w:p>
      <w:r>
        <w:t>41.7 Stress Recovery</w:t>
      </w:r>
    </w:p>
    <w:p>
      <w:r>
        <w:t>If Operational Capital falls below six (6) months of operating expenses:</w:t>
      </w:r>
    </w:p>
    <w:p>
      <w:r>
        <w:t>Non-essential expenditures shall be suspended</w:t>
      </w:r>
    </w:p>
    <w:p>
      <w:r>
        <w:t>New strategic projects may be deferred</w:t>
      </w:r>
    </w:p>
    <w:p>
      <w:r>
        <w:t>The Council shall adopt a capital restoration plan within thirty (30) calendar days</w:t>
      </w:r>
    </w:p>
    <w:p>
      <w:r>
        <w:t>Progress shall be reviewed quarterly until the constitutional requirement is restored</w:t>
      </w:r>
    </w:p>
    <w:p>
      <w:r>
        <w:t>41.8 Constitutional Verification</w:t>
      </w:r>
    </w:p>
    <w:p>
      <w:r>
        <w:t>text</w:t>
      </w:r>
    </w:p>
    <w:p>
      <w:r>
        <w:t>✓ Operational Capital segregation established</w:t>
      </w:r>
    </w:p>
    <w:p>
      <w:r>
        <w:t>✓ 12-month forward-looking requirement satisfied</w:t>
      </w:r>
    </w:p>
    <w:p>
      <w:r>
        <w:t>✓ Funding source restrictions satisfied (fee revenue only)</w:t>
      </w:r>
    </w:p>
    <w:p>
      <w:r>
        <w:t>✓ Custody requirements satisfied (Tier 1 cash only)</w:t>
      </w:r>
    </w:p>
    <w:p>
      <w:r>
        <w:t>✓ Target operational allocation defined</w:t>
      </w:r>
    </w:p>
    <w:p>
      <w:r>
        <w:t>✓ Monitoring and governance established</w:t>
      </w:r>
    </w:p>
    <w:p>
      <w:r>
        <w:t>✓ Stress recovery procedures defined</w:t>
      </w:r>
    </w:p>
    <w:p>
      <w:r>
        <w:t>✓ Operational Capital and Reserve Assets remain permanently segregated</w:t>
      </w:r>
    </w:p>
    <w:p>
      <w:r>
        <w:t>41.9 Related Sections</w:t>
      </w:r>
    </w:p>
    <w:p>
      <w:r>
        <w:t>Section 2 — Constitutional Three-Layer Reserve Valuation Model</w:t>
      </w:r>
    </w:p>
    <w:p>
      <w:r>
        <w:t>Section 23 — Constitutional Reserve Allocation Framework</w:t>
      </w:r>
    </w:p>
    <w:p>
      <w:r>
        <w:t>Section 24 — Constitutional Fiat Reserve Layer</w:t>
      </w:r>
    </w:p>
    <w:p>
      <w:r>
        <w:t>Section 37 — Constitutional Proof of Reserves, Solvency &amp; Transparency</w:t>
      </w:r>
    </w:p>
    <w:p>
      <w:r>
        <w:t>Section 42 — Constitutional Proof of Reserves Metadata</w:t>
      </w:r>
    </w:p>
    <w:p>
      <w:r>
        <w:t>Constitutional Verification</w:t>
      </w:r>
    </w:p>
    <w:p>
      <w:r>
        <w:t>text</w:t>
      </w:r>
    </w:p>
    <w:p>
      <w:r>
        <w:t>✓ Constitutional Principle established</w:t>
      </w:r>
    </w:p>
    <w:p>
      <w:r>
        <w:t>✓ Operational Capital Requirement defined</w:t>
      </w:r>
    </w:p>
    <w:p>
      <w:r>
        <w:t>✓ Funding Sources defined</w:t>
      </w:r>
    </w:p>
    <w:p>
      <w:r>
        <w:t>✓ Custody Requirements established</w:t>
      </w:r>
    </w:p>
    <w:p>
      <w:r>
        <w:t>✓ Target Operational Allocation defined</w:t>
      </w:r>
    </w:p>
    <w:p>
      <w:r>
        <w:t>✓ Monitoring and Governance established</w:t>
      </w:r>
    </w:p>
    <w:p>
      <w:r>
        <w:t>✓ Stress Recovery defined</w:t>
      </w:r>
    </w:p>
    <w:p>
      <w:r>
        <w:t>✓ Constitutional Verification established</w:t>
      </w:r>
    </w:p>
    <w:p>
      <w:r>
        <w:t>✓ Related Sections referenced</w:t>
      </w:r>
    </w:p>
    <w:p>
      <w:r>
        <w:t>[END OF SECTION 41 — CONSTITUTIONAL OPERATIONAL CAPITAL BUFFER]</w:t>
      </w:r>
    </w:p>
    <w:p>
      <w:r>
        <w:t>Section 42: Constitutional Proof of Reserves Metadata</w:t>
      </w:r>
    </w:p>
    <w:p>
      <w:r>
        <w:t>42.1 Constitutional Principle</w:t>
      </w:r>
    </w:p>
    <w:p>
      <w:r>
        <w:t>Every published Proof of Reserves shall contain sufficient metadata to permit complete independent verification and deterministic reproduction.</w:t>
      </w:r>
    </w:p>
    <w:p>
      <w:r>
        <w:t>Every proof shall permanently identify:</w:t>
      </w:r>
    </w:p>
    <w:p>
      <w:r>
        <w:t>The governing Constitution</w:t>
      </w:r>
    </w:p>
    <w:p>
      <w:r>
        <w:t>The governing Constants Registry</w:t>
      </w:r>
    </w:p>
    <w:p>
      <w:r>
        <w:t>The Oracle Snapshot</w:t>
      </w:r>
    </w:p>
    <w:p>
      <w:r>
        <w:t>The software implementation</w:t>
      </w:r>
    </w:p>
    <w:p>
      <w:r>
        <w:t>The cryptographic commitments used to generate the proof</w:t>
      </w:r>
    </w:p>
    <w:p>
      <w:r>
        <w:t>42.2 Mandatory Metadata</w:t>
      </w:r>
    </w:p>
    <w:p>
      <w:r>
        <w:t>Every published Proof of Reserves SHALL include at minimum:</w:t>
      </w:r>
    </w:p>
    <w:p>
      <w:r>
        <w:t>42.3 Canonical Metadata Example</w:t>
      </w:r>
    </w:p>
    <w:p>
      <w:r>
        <w:t>text</w:t>
      </w:r>
    </w:p>
    <w:p>
      <w:r>
        <w:t>Proof_Version = "1.0"</w:t>
      </w:r>
    </w:p>
    <w:p>
      <w:r>
        <w:t>Constitution_Version = "1.0"</w:t>
      </w:r>
    </w:p>
    <w:p>
      <w:r>
        <w:t>Constitutional_Amendment = "0"</w:t>
      </w:r>
    </w:p>
    <w:p>
      <w:r>
        <w:t>Constants_Registry_Version = "1.0"</w:t>
      </w:r>
    </w:p>
    <w:p>
      <w:r>
        <w:t>Software_Release_Version = "v2.3.4"</w:t>
      </w:r>
    </w:p>
    <w:p>
      <w:r>
        <w:t>Weight_Engine_Version = "WE-1.0"</w:t>
      </w:r>
    </w:p>
    <w:p>
      <w:r>
        <w:t>Liquidity_Model_Version = "LM-1.0"</w:t>
      </w:r>
    </w:p>
    <w:p>
      <w:r>
        <w:t>Risk_Model_Version = "RM-1.0"</w:t>
      </w:r>
    </w:p>
    <w:p>
      <w:r>
        <w:t>Oracle_Version = "1.0"</w:t>
      </w:r>
    </w:p>
    <w:p>
      <w:r>
        <w:t>Oracle_Consensus_Version = "WeightedMedian-v1"</w:t>
      </w:r>
    </w:p>
    <w:p>
      <w:r>
        <w:t>Oracle_Config_Hash = "0x..."</w:t>
      </w:r>
    </w:p>
    <w:p>
      <w:r>
        <w:t>Oracle_Snapshot_ID = "snapshot_2026-07-22T14:30:00Z"</w:t>
      </w:r>
    </w:p>
    <w:p>
      <w:r>
        <w:t>Reserve_Valuation_Timestamp = "2026-07-22T14:30:00Z"</w:t>
      </w:r>
    </w:p>
    <w:p>
      <w:r>
        <w:t>Proof_Generation_Timestamp = "2026-07-22T14:31:12Z"</w:t>
      </w:r>
    </w:p>
    <w:p>
      <w:r>
        <w:t>Block_Height = 12845118</w:t>
      </w:r>
    </w:p>
    <w:p>
      <w:r>
        <w:t>Chain_ID = "MTQ-Mainnet"</w:t>
      </w:r>
    </w:p>
    <w:p>
      <w:r>
        <w:t>Ledger_Commitment_Hash = "0x..."</w:t>
      </w:r>
    </w:p>
    <w:p>
      <w:r>
        <w:t>Circuit_Version = "1.0"</w:t>
      </w:r>
    </w:p>
    <w:p>
      <w:r>
        <w:t>Circuit_Source_Hash = "0x..."</w:t>
      </w:r>
    </w:p>
    <w:p>
      <w:r>
        <w:t>Circuit_Commitment_Hash = "0x..."</w:t>
      </w:r>
    </w:p>
    <w:p>
      <w:r>
        <w:t>ZK_Circuit_Hash = "0x..."</w:t>
      </w:r>
    </w:p>
    <w:p>
      <w:r>
        <w:t>Trusted_Setup_Version = "1.0"</w:t>
      </w:r>
    </w:p>
    <w:p>
      <w:r>
        <w:t>Witness_Version = "1.0"</w:t>
      </w:r>
    </w:p>
    <w:p>
      <w:r>
        <w:t>Merkle_Root = "0x..."</w:t>
      </w:r>
    </w:p>
    <w:p>
      <w:r>
        <w:t>Merkle_Root_Version = "1.0"</w:t>
      </w:r>
    </w:p>
    <w:p>
      <w:r>
        <w:t>Hash_Algorithm = "SHA-384"</w:t>
      </w:r>
    </w:p>
    <w:p>
      <w:r>
        <w:t>Signature_Algorithm = "Ed25519"</w:t>
      </w:r>
    </w:p>
    <w:p>
      <w:r>
        <w:t>Validator_Public_Key = "0x..."</w:t>
      </w:r>
    </w:p>
    <w:p>
      <w:r>
        <w:t>Digital_Signature = "0x..."</w:t>
      </w:r>
    </w:p>
    <w:p>
      <w:r>
        <w:t>Publication_Timestamp = "2026-07-22T14:32:08Z"</w:t>
      </w:r>
    </w:p>
    <w:p>
      <w:r>
        <w:t>42.4 Independent Verification</w:t>
      </w:r>
    </w:p>
    <w:p>
      <w:r>
        <w:t>Every published Proof of Reserves shall be independently verifiable.</w:t>
      </w:r>
    </w:p>
    <w:p>
      <w:r>
        <w:t>Verification shall require only:</w:t>
      </w:r>
    </w:p>
    <w:p>
      <w:r>
        <w:t>Public Constitution</w:t>
      </w:r>
    </w:p>
    <w:p>
      <w:r>
        <w:t>Public Constants Registry</w:t>
      </w:r>
    </w:p>
    <w:p>
      <w:r>
        <w:t>Public Verification Key</w:t>
      </w:r>
    </w:p>
    <w:p>
      <w:r>
        <w:t>Public Oracle Snapshot</w:t>
      </w:r>
    </w:p>
    <w:p>
      <w:r>
        <w:t>Public Circuit Commitment</w:t>
      </w:r>
    </w:p>
    <w:p>
      <w:r>
        <w:t>Public Metadata</w:t>
      </w:r>
    </w:p>
    <w:p>
      <w:r>
        <w:t>Public Software Release</w:t>
      </w:r>
    </w:p>
    <w:p>
      <w:r>
        <w:t>No proprietary software shall be required for verification.</w:t>
      </w:r>
    </w:p>
    <w:p>
      <w:r>
        <w:t>Any independent verifier using identical inputs shall produce identical outputs.</w:t>
      </w:r>
    </w:p>
    <w:p>
      <w:r>
        <w:t>42.5 Constitutional Reproducibility</w:t>
      </w:r>
    </w:p>
    <w:p>
      <w:r>
        <w:t>Every Proof of Reserves shall be fully reproducible from:</w:t>
      </w:r>
    </w:p>
    <w:p>
      <w:r>
        <w:t>Reserve Holdings</w:t>
      </w:r>
    </w:p>
    <w:p>
      <w:r>
        <w:t>Oracle Snapshot</w:t>
      </w:r>
    </w:p>
    <w:p>
      <w:r>
        <w:t>Oracle Configuration</w:t>
      </w:r>
    </w:p>
    <w:p>
      <w:r>
        <w:t>Constants Registry</w:t>
      </w:r>
    </w:p>
    <w:p>
      <w:r>
        <w:t>Constitution Version</w:t>
      </w:r>
    </w:p>
    <w:p>
      <w:r>
        <w:t>Deterministic Software Release</w:t>
      </w:r>
    </w:p>
    <w:p>
      <w:r>
        <w:t>Circuit Commitment</w:t>
      </w:r>
    </w:p>
    <w:p>
      <w:r>
        <w:t>Public Verification Key</w:t>
      </w:r>
    </w:p>
    <w:p>
      <w:r>
        <w:t>Bit-for-bit reproducibility is a constitutional requirement.</w:t>
      </w:r>
    </w:p>
    <w:p>
      <w:r>
        <w:t>42.6 Version Governance</w:t>
      </w:r>
    </w:p>
    <w:p>
      <w:r>
        <w:t>Every Proof shall permanently identify:</w:t>
      </w:r>
    </w:p>
    <w:p>
      <w:r>
        <w:t>Constitution Version</w:t>
      </w:r>
    </w:p>
    <w:p>
      <w:r>
        <w:t>Amendment Number</w:t>
      </w:r>
    </w:p>
    <w:p>
      <w:r>
        <w:t>Constants Registry Version</w:t>
      </w:r>
    </w:p>
    <w:p>
      <w:r>
        <w:t>Oracle Version</w:t>
      </w:r>
    </w:p>
    <w:p>
      <w:r>
        <w:t>Oracle Consensus Version</w:t>
      </w:r>
    </w:p>
    <w:p>
      <w:r>
        <w:t>Weight Engine Version</w:t>
      </w:r>
    </w:p>
    <w:p>
      <w:r>
        <w:t>Liquidity Engine Version</w:t>
      </w:r>
    </w:p>
    <w:p>
      <w:r>
        <w:t>Risk Engine Version</w:t>
      </w:r>
    </w:p>
    <w:p>
      <w:r>
        <w:t>Software Release Version</w:t>
      </w:r>
    </w:p>
    <w:p>
      <w:r>
        <w:t>Circuit Version</w:t>
      </w:r>
    </w:p>
    <w:p>
      <w:r>
        <w:t>Historical Proofs shall remain permanently reproducible under their original versions.</w:t>
      </w:r>
    </w:p>
    <w:p>
      <w:r>
        <w:t>Future software upgrades SHALL NOT invalidate historical proofs.</w:t>
      </w:r>
    </w:p>
    <w:p>
      <w:r>
        <w:t>42.7 Cryptographic Agility</w:t>
      </w:r>
    </w:p>
    <w:p>
      <w:r>
        <w:t>Cryptographic primitives may evolve through the Constitutional Amendment Process.</w:t>
      </w:r>
    </w:p>
    <w:p>
      <w:r>
        <w:t>Migration to new cryptographic algorithms shall preserve:</w:t>
      </w:r>
    </w:p>
    <w:p>
      <w:r>
        <w:t>Historical proof validity</w:t>
      </w:r>
    </w:p>
    <w:p>
      <w:r>
        <w:t>Backward verification compatibility</w:t>
      </w:r>
    </w:p>
    <w:p>
      <w:r>
        <w:t>Independent reproducibility</w:t>
      </w:r>
    </w:p>
    <w:p>
      <w:r>
        <w:t>Constitutional auditability</w:t>
      </w:r>
    </w:p>
    <w:p>
      <w:r>
        <w:t>Multiple signature algorithms may coexist during approved migration periods.</w:t>
      </w:r>
    </w:p>
    <w:p>
      <w:r>
        <w:t>Historical proofs shall remain permanently verifiable using the cryptographic standards applicable at the time of publication.</w:t>
      </w:r>
    </w:p>
    <w:p>
      <w:r>
        <w:t>42.8 Public Transparency</w:t>
      </w:r>
    </w:p>
    <w:p>
      <w:r>
        <w:t>Each published Proof of Reserves shall reference the corresponding daily transparency report, including:</w:t>
      </w:r>
    </w:p>
    <w:p>
      <w:r>
        <w:t>Reserve Composition</w:t>
      </w:r>
    </w:p>
    <w:p>
      <w:r>
        <w:t>Constitutional Haircuts</w:t>
      </w:r>
    </w:p>
    <w:p>
      <w:r>
        <w:t>Market NAV</w:t>
      </w:r>
    </w:p>
    <w:p>
      <w:r>
        <w:t>Liquidation NAV</w:t>
      </w:r>
    </w:p>
    <w:p>
      <w:r>
        <w:t>Reserve Ratio</w:t>
      </w:r>
    </w:p>
    <w:p>
      <w:r>
        <w:t>Liquidity Coverage Ratio (LCR)</w:t>
      </w:r>
    </w:p>
    <w:p>
      <w:r>
        <w:t>Constitutional Risk Index (CRI)</w:t>
      </w:r>
    </w:p>
    <w:p>
      <w:r>
        <w:t>Fiat Allocation</w:t>
      </w:r>
    </w:p>
    <w:p>
      <w:r>
        <w:t>Bullion Allocation</w:t>
      </w:r>
    </w:p>
    <w:p>
      <w:r>
        <w:t>Gold/Silver Split</w:t>
      </w:r>
    </w:p>
    <w:p>
      <w:r>
        <w:t>Stablecoin Allocation</w:t>
      </w:r>
    </w:p>
    <w:p>
      <w:r>
        <w:t>Oracle Health Status</w:t>
      </w:r>
    </w:p>
    <w:p>
      <w:r>
        <w:t>Oracle Snapshot Identifier</w:t>
      </w:r>
    </w:p>
    <w:p>
      <w:r>
        <w:t>Proof Hash</w:t>
      </w:r>
    </w:p>
    <w:p>
      <w:r>
        <w:t>Publication Timestamp</w:t>
      </w:r>
    </w:p>
    <w:p>
      <w:r>
        <w:t>42.9 Constitutional Verification</w:t>
      </w:r>
    </w:p>
    <w:p>
      <w:r>
        <w:t>text</w:t>
      </w:r>
    </w:p>
    <w:p>
      <w:r>
        <w:t>✓ Proof of Reserves metadata complete</w:t>
      </w:r>
    </w:p>
    <w:p>
      <w:r>
        <w:t>✓ Mandatory metadata fields included</w:t>
      </w:r>
    </w:p>
    <w:p>
      <w:r>
        <w:t>✓ Canonical metadata example provided</w:t>
      </w:r>
    </w:p>
    <w:p>
      <w:r>
        <w:t>✓ Independent verification requirements satisfied</w:t>
      </w:r>
    </w:p>
    <w:p>
      <w:r>
        <w:t>✓ Constitutional reproducibility established</w:t>
      </w:r>
    </w:p>
    <w:p>
      <w:r>
        <w:t>✓ Version governance defined</w:t>
      </w:r>
    </w:p>
    <w:p>
      <w:r>
        <w:t>✓ Cryptographic agility preserved</w:t>
      </w:r>
    </w:p>
    <w:p>
      <w:r>
        <w:t>✓ Public transparency requirements satisfied</w:t>
      </w:r>
    </w:p>
    <w:p>
      <w:r>
        <w:t>✓ Historical proof validity preserved</w:t>
      </w:r>
    </w:p>
    <w:p>
      <w:r>
        <w:t>42.10 Related Sections</w:t>
      </w:r>
    </w:p>
    <w:p>
      <w:r>
        <w:t>Section 37 — Constitutional Proof of Reserves, Solvency &amp; Transparency</w:t>
      </w:r>
    </w:p>
    <w:p>
      <w:r>
        <w:t>Section 38 — Constitutional Formal Verification</w:t>
      </w:r>
    </w:p>
    <w:p>
      <w:r>
        <w:t>Section 39 — Constitutional Cryptographic Framework</w:t>
      </w:r>
    </w:p>
    <w:p>
      <w:r>
        <w:t>Section 40 — Constitutional Stress Testing</w:t>
      </w:r>
    </w:p>
    <w:p>
      <w:r>
        <w:t>Section 41 — Constitutional Operational Capital Buffer</w:t>
      </w:r>
    </w:p>
    <w:p>
      <w:r>
        <w:t>Constitutional Verification</w:t>
      </w:r>
    </w:p>
    <w:p>
      <w:r>
        <w:t>text</w:t>
      </w:r>
    </w:p>
    <w:p>
      <w:r>
        <w:t>✓ Constitutional Principle established</w:t>
      </w:r>
    </w:p>
    <w:p>
      <w:r>
        <w:t>✓ Mandatory Metadata defined</w:t>
      </w:r>
    </w:p>
    <w:p>
      <w:r>
        <w:t>✓ Canonical Metadata Example provided</w:t>
      </w:r>
    </w:p>
    <w:p>
      <w:r>
        <w:t>✓ Independent Verification established</w:t>
      </w:r>
    </w:p>
    <w:p>
      <w:r>
        <w:t>✓ Constitutional Reproducibility established</w:t>
      </w:r>
    </w:p>
    <w:p>
      <w:r>
        <w:t>✓ Version Governance defined</w:t>
      </w:r>
    </w:p>
    <w:p>
      <w:r>
        <w:t>✓ Cryptographic Agility established</w:t>
      </w:r>
    </w:p>
    <w:p>
      <w:r>
        <w:t>✓ Public Transparency requirements established</w:t>
      </w:r>
    </w:p>
    <w:p>
      <w:r>
        <w:t>✓ Constitutional Verification established</w:t>
      </w:r>
    </w:p>
    <w:p>
      <w:r>
        <w:t>✓ Related Sections referenced</w:t>
      </w:r>
    </w:p>
    <w:p>
      <w:r>
        <w:t>[END OF SECTION 42 — CONSTITUTIONAL PROOF OF RESERVES METADATA]</w:t>
      </w:r>
    </w:p>
    <w:p>
      <w:r>
        <w:t>[END OF PART V — ORACLE ENGINE &amp; TECHNICAL OPERATIONS]</w:t>
      </w:r>
    </w:p>
    <w:p>
      <w:r>
        <w:t>PART VI — GOVERNANCE &amp; CONSTITUTIONAL FRAMEWORK</w:t>
      </w:r>
    </w:p>
    <w:p>
      <w:r>
        <w:t>Section 43: Constitutional Amendment &amp; Governance Framework</w:t>
      </w:r>
    </w:p>
    <w:p>
      <w:r>
        <w:t>43.1 Constitutional Principles</w:t>
      </w:r>
    </w:p>
    <w:p>
      <w:r>
        <w:t>The Constitution is the supreme governing instrument of the Institution.</w:t>
      </w:r>
    </w:p>
    <w:p>
      <w:r>
        <w:t>Its primary purpose is to preserve long-term institutional stability while permitting carefully governed evolution.</w:t>
      </w:r>
    </w:p>
    <w:p>
      <w:r>
        <w:t>Constitutional amendments shall be exceptional rather than routine.</w:t>
      </w:r>
    </w:p>
    <w:p>
      <w:r>
        <w:t>Every amendment shall preserve:</w:t>
      </w:r>
    </w:p>
    <w:p>
      <w:r>
        <w:t>Institutional Neutrality</w:t>
      </w:r>
    </w:p>
    <w:p>
      <w:r>
        <w:t>Monetary Stability</w:t>
      </w:r>
    </w:p>
    <w:p>
      <w:r>
        <w:t>Deterministic Operation</w:t>
      </w:r>
    </w:p>
    <w:p>
      <w:r>
        <w:t>Transparency</w:t>
      </w:r>
    </w:p>
    <w:p>
      <w:r>
        <w:t>Auditability</w:t>
      </w:r>
    </w:p>
    <w:p>
      <w:r>
        <w:t>Legal Integrity</w:t>
      </w:r>
    </w:p>
    <w:p>
      <w:r>
        <w:t>Sharia Compliance</w:t>
      </w:r>
    </w:p>
    <w:p>
      <w:r>
        <w:t>Long-Term Sustainability</w:t>
      </w:r>
    </w:p>
    <w:p>
      <w:r>
        <w:t>Constitutional Consistency</w:t>
      </w:r>
    </w:p>
    <w:p>
      <w:r>
        <w:t>No amendment may contradict the Constitutional Principles established in Part I.</w:t>
      </w:r>
    </w:p>
    <w:p>
      <w:r>
        <w:t>43.2 Constitutional Hierarchy</w:t>
      </w:r>
    </w:p>
    <w:p>
      <w:r>
        <w:t>In the event of conflict, governance shall follow the following hierarchy:</w:t>
      </w:r>
    </w:p>
    <w:p>
      <w:r>
        <w:t>Lower-level documents SHALL NOT contradict higher-level constitutional authority.</w:t>
      </w:r>
    </w:p>
    <w:p>
      <w:r>
        <w:t>43.3 Constitutional Amendment Categories</w:t>
      </w:r>
    </w:p>
    <w:p>
      <w:r>
        <w:t>Amendments shall be classified according to their constitutional significance.</w:t>
      </w:r>
    </w:p>
    <w:p>
      <w:r>
        <w:t>Category A — Editorial Amendments</w:t>
      </w:r>
    </w:p>
    <w:p>
      <w:r>
        <w:t>Examples:</w:t>
      </w:r>
    </w:p>
    <w:p>
      <w:r>
        <w:t>Typographical corrections</w:t>
      </w:r>
    </w:p>
    <w:p>
      <w:r>
        <w:t>Grammar</w:t>
      </w:r>
    </w:p>
    <w:p>
      <w:r>
        <w:t>Formatting</w:t>
      </w:r>
    </w:p>
    <w:p>
      <w:r>
        <w:t>Cross-reference updates</w:t>
      </w:r>
    </w:p>
    <w:p>
      <w:r>
        <w:t>No constitutional effect.</w:t>
      </w:r>
    </w:p>
    <w:p>
      <w:r>
        <w:t>Category B — Operational Amendments</w:t>
      </w:r>
    </w:p>
    <w:p>
      <w:r>
        <w:t>Examples:</w:t>
      </w:r>
    </w:p>
    <w:p>
      <w:r>
        <w:t>Oracle additions</w:t>
      </w:r>
    </w:p>
    <w:p>
      <w:r>
        <w:t>Reporting improvements</w:t>
      </w:r>
    </w:p>
    <w:p>
      <w:r>
        <w:t>Monitoring enhancements</w:t>
      </w:r>
    </w:p>
    <w:p>
      <w:r>
        <w:t>Technical documentation</w:t>
      </w:r>
    </w:p>
    <w:p>
      <w:r>
        <w:t>Must not modify constitutional mathematics or governance.</w:t>
      </w:r>
    </w:p>
    <w:p>
      <w:r>
        <w:t>Category C — Economic Amendments</w:t>
      </w:r>
    </w:p>
    <w:p>
      <w:r>
        <w:t>Examples:</w:t>
      </w:r>
    </w:p>
    <w:p>
      <w:r>
        <w:t>Reserve methodology</w:t>
      </w:r>
    </w:p>
    <w:p>
      <w:r>
        <w:t>Haircut schedules</w:t>
      </w:r>
    </w:p>
    <w:p>
      <w:r>
        <w:t>Weighting methodology</w:t>
      </w:r>
    </w:p>
    <w:p>
      <w:r>
        <w:t>Liquidity framework</w:t>
      </w:r>
    </w:p>
    <w:p>
      <w:r>
        <w:t>Risk methodology</w:t>
      </w:r>
    </w:p>
    <w:p>
      <w:r>
        <w:t>Require full constitutional review.</w:t>
      </w:r>
    </w:p>
    <w:p>
      <w:r>
        <w:t>Category D — Constitutional Amendments</w:t>
      </w:r>
    </w:p>
    <w:p>
      <w:r>
        <w:t>Examples:</w:t>
      </w:r>
    </w:p>
    <w:p>
      <w:r>
        <w:t>Governance structure</w:t>
      </w:r>
    </w:p>
    <w:p>
      <w:r>
        <w:t>Monetary principles</w:t>
      </w:r>
    </w:p>
    <w:p>
      <w:r>
        <w:t>Constitutional constants</w:t>
      </w:r>
    </w:p>
    <w:p>
      <w:r>
        <w:t>Reserve architecture</w:t>
      </w:r>
    </w:p>
    <w:p>
      <w:r>
        <w:t>Institutional authority</w:t>
      </w:r>
    </w:p>
    <w:p>
      <w:r>
        <w:t>Amendment procedures</w:t>
      </w:r>
    </w:p>
    <w:p>
      <w:r>
        <w:t>Require the complete Constitutional Amendment Process.</w:t>
      </w:r>
    </w:p>
    <w:p>
      <w:r>
        <w:t>43.4 Constitutional Amendment Process</w:t>
      </w:r>
    </w:p>
    <w:p>
      <w:r>
        <w:t>Every Category C and Category D amendment shall complete the following process.</w:t>
      </w:r>
    </w:p>
    <w:p>
      <w:r>
        <w:t>text</w:t>
      </w:r>
    </w:p>
    <w:p>
      <w:r>
        <w:t>Stage 1: Constitutional Proposal</w:t>
      </w:r>
    </w:p>
    <w:p>
      <w:r>
        <w:t>│</w:t>
      </w:r>
    </w:p>
    <w:p>
      <w:r>
        <w:t>▼</w:t>
      </w:r>
    </w:p>
    <w:p>
      <w:r>
        <w:t>Stage 2: Technical Review</w:t>
      </w:r>
    </w:p>
    <w:p>
      <w:r>
        <w:t>│</w:t>
      </w:r>
    </w:p>
    <w:p>
      <w:r>
        <w:t>▼</w:t>
      </w:r>
    </w:p>
    <w:p>
      <w:r>
        <w:t>Stage 3: Economic Review</w:t>
      </w:r>
    </w:p>
    <w:p>
      <w:r>
        <w:t>│</w:t>
      </w:r>
    </w:p>
    <w:p>
      <w:r>
        <w:t>▼</w:t>
      </w:r>
    </w:p>
    <w:p>
      <w:r>
        <w:t>Stage 4: Legal &amp; Regulatory Review</w:t>
      </w:r>
    </w:p>
    <w:p>
      <w:r>
        <w:t>│</w:t>
      </w:r>
    </w:p>
    <w:p>
      <w:r>
        <w:t>▼</w:t>
      </w:r>
    </w:p>
    <w:p>
      <w:r>
        <w:t>Stage 5: Sharia Review</w:t>
      </w:r>
    </w:p>
    <w:p>
      <w:r>
        <w:t>│</w:t>
      </w:r>
    </w:p>
    <w:p>
      <w:r>
        <w:t>▼</w:t>
      </w:r>
    </w:p>
    <w:p>
      <w:r>
        <w:t>Stage 6: Simulation &amp; Stress Testing</w:t>
      </w:r>
    </w:p>
    <w:p>
      <w:r>
        <w:t>│</w:t>
      </w:r>
    </w:p>
    <w:p>
      <w:r>
        <w:t>▼</w:t>
      </w:r>
    </w:p>
    <w:p>
      <w:r>
        <w:t>Stage 7: Council Vote</w:t>
      </w:r>
    </w:p>
    <w:p>
      <w:r>
        <w:t>│</w:t>
      </w:r>
    </w:p>
    <w:p>
      <w:r>
        <w:t>▼</w:t>
      </w:r>
    </w:p>
    <w:p>
      <w:r>
        <w:t>Stage 8: Implementation Delay</w:t>
      </w:r>
    </w:p>
    <w:p>
      <w:r>
        <w:t>│</w:t>
      </w:r>
    </w:p>
    <w:p>
      <w:r>
        <w:t>▼</w:t>
      </w:r>
    </w:p>
    <w:p>
      <w:r>
        <w:t>Stage 9: Independent External Audit</w:t>
      </w:r>
    </w:p>
    <w:p>
      <w:r>
        <w:t>│</w:t>
      </w:r>
    </w:p>
    <w:p>
      <w:r>
        <w:t>▼</w:t>
      </w:r>
    </w:p>
    <w:p>
      <w:r>
        <w:t>Stage 10: Public Disclosure</w:t>
      </w:r>
    </w:p>
    <w:p>
      <w:r>
        <w:t>│</w:t>
      </w:r>
    </w:p>
    <w:p>
      <w:r>
        <w:t>▼</w:t>
      </w:r>
    </w:p>
    <w:p>
      <w:r>
        <w:t>Stage 11: Activation</w:t>
      </w:r>
    </w:p>
    <w:p>
      <w:r>
        <w:t>43.5 Stage 1 — Constitutional Proposal</w:t>
      </w:r>
    </w:p>
    <w:p>
      <w:r>
        <w:t>Every amendment proposal shall include:</w:t>
      </w:r>
    </w:p>
    <w:p>
      <w:r>
        <w:t>Amendment Title</w:t>
      </w:r>
    </w:p>
    <w:p>
      <w:r>
        <w:t>Amendment Category</w:t>
      </w:r>
    </w:p>
    <w:p>
      <w:r>
        <w:t>Constitutional Objective</w:t>
      </w:r>
    </w:p>
    <w:p>
      <w:r>
        <w:t>Constitutional Rationale</w:t>
      </w:r>
    </w:p>
    <w:p>
      <w:r>
        <w:t>Technical Specification</w:t>
      </w:r>
    </w:p>
    <w:p>
      <w:r>
        <w:t>Economic Impact Assessment</w:t>
      </w:r>
    </w:p>
    <w:p>
      <w:r>
        <w:t>Legal Analysis</w:t>
      </w:r>
    </w:p>
    <w:p>
      <w:r>
        <w:t>Regulatory Analysis</w:t>
      </w:r>
    </w:p>
    <w:p>
      <w:r>
        <w:t>Sharia Analysis</w:t>
      </w:r>
    </w:p>
    <w:p>
      <w:r>
        <w:t>Risk Assessment</w:t>
      </w:r>
    </w:p>
    <w:p>
      <w:r>
        <w:t>Backward Compatibility Assessment</w:t>
      </w:r>
    </w:p>
    <w:p>
      <w:r>
        <w:t>Migration Plan</w:t>
      </w:r>
    </w:p>
    <w:p>
      <w:r>
        <w:t>Rollback Procedure</w:t>
      </w:r>
    </w:p>
    <w:p>
      <w:r>
        <w:t>Proposed Effective Date</w:t>
      </w:r>
    </w:p>
    <w:p>
      <w:r>
        <w:t>Constitution Version</w:t>
      </w:r>
    </w:p>
    <w:p>
      <w:r>
        <w:t>Amendment Number</w:t>
      </w:r>
    </w:p>
    <w:p>
      <w:r>
        <w:t>43.6 Stage 2 — Technical Review</w:t>
      </w:r>
    </w:p>
    <w:p>
      <w:r>
        <w:t>Technical Review shall evaluate:</w:t>
      </w:r>
    </w:p>
    <w:p>
      <w:r>
        <w:t>Deterministic execution</w:t>
      </w:r>
    </w:p>
    <w:p>
      <w:r>
        <w:t>Mathematical correctness</w:t>
      </w:r>
    </w:p>
    <w:p>
      <w:r>
        <w:t>Software architecture</w:t>
      </w:r>
    </w:p>
    <w:p>
      <w:r>
        <w:t>Oracle compatibility</w:t>
      </w:r>
    </w:p>
    <w:p>
      <w:r>
        <w:t>Security implications</w:t>
      </w:r>
    </w:p>
    <w:p>
      <w:r>
        <w:t>Performance impact</w:t>
      </w:r>
    </w:p>
    <w:p>
      <w:r>
        <w:t>Formal verification impact</w:t>
      </w:r>
    </w:p>
    <w:p>
      <w:r>
        <w:t>Operational feasibility</w:t>
      </w:r>
    </w:p>
    <w:p>
      <w:r>
        <w:t>Backward compatibility</w:t>
      </w:r>
    </w:p>
    <w:p>
      <w:r>
        <w:t>Technical findings shall be documented and archived.</w:t>
      </w:r>
    </w:p>
    <w:p>
      <w:r>
        <w:t>43.7 Stage 3 — Economic Review</w:t>
      </w:r>
    </w:p>
    <w:p>
      <w:r>
        <w:t>Economic Review shall evaluate:</w:t>
      </w:r>
    </w:p>
    <w:p>
      <w:r>
        <w:t>Monetary neutrality</w:t>
      </w:r>
    </w:p>
    <w:p>
      <w:r>
        <w:t>Reserve stability</w:t>
      </w:r>
    </w:p>
    <w:p>
      <w:r>
        <w:t>Reserve Ratio impact</w:t>
      </w:r>
    </w:p>
    <w:p>
      <w:r>
        <w:t>Liquidity Coverage Ratio (LCR)</w:t>
      </w:r>
    </w:p>
    <w:p>
      <w:r>
        <w:t>Constitutional Risk Index (CRI)</w:t>
      </w:r>
    </w:p>
    <w:p>
      <w:r>
        <w:t>Currency weighting effects</w:t>
      </w:r>
    </w:p>
    <w:p>
      <w:r>
        <w:t>Redemption stability</w:t>
      </w:r>
    </w:p>
    <w:p>
      <w:r>
        <w:t>Inflation implications</w:t>
      </w:r>
    </w:p>
    <w:p>
      <w:r>
        <w:t>Long-term sustainability</w:t>
      </w:r>
    </w:p>
    <w:p>
      <w:r>
        <w:t>Institutional neutrality</w:t>
      </w:r>
    </w:p>
    <w:p>
      <w:r>
        <w:t>Economic conclusions shall be documented.</w:t>
      </w:r>
    </w:p>
    <w:p>
      <w:r>
        <w:t>43.8 Stage 4 — Legal &amp; Regulatory Review</w:t>
      </w:r>
    </w:p>
    <w:p>
      <w:r>
        <w:t>Legal Review shall confirm:</w:t>
      </w:r>
    </w:p>
    <w:p>
      <w:r>
        <w:t>Constitutional consistency</w:t>
      </w:r>
    </w:p>
    <w:p>
      <w:r>
        <w:t>Regulatory compatibility</w:t>
      </w:r>
    </w:p>
    <w:p>
      <w:r>
        <w:t>Cross-jurisdictional compliance</w:t>
      </w:r>
    </w:p>
    <w:p>
      <w:r>
        <w:t>Custody legality</w:t>
      </w:r>
    </w:p>
    <w:p>
      <w:r>
        <w:t>Settlement legality</w:t>
      </w:r>
    </w:p>
    <w:p>
      <w:r>
        <w:t>Documentation completeness</w:t>
      </w:r>
    </w:p>
    <w:p>
      <w:r>
        <w:t>International sanctions compliance</w:t>
      </w:r>
    </w:p>
    <w:p>
      <w:r>
        <w:t>Legal enforceability</w:t>
      </w:r>
    </w:p>
    <w:p>
      <w:r>
        <w:t>43.9 Stage 5 — Sharia Review</w:t>
      </w:r>
    </w:p>
    <w:p>
      <w:r>
        <w:t>The Sharia Committee shall verify continued compliance with:</w:t>
      </w:r>
    </w:p>
    <w:p>
      <w:r>
        <w:t>AAOIFI Standards</w:t>
      </w:r>
    </w:p>
    <w:p>
      <w:r>
        <w:t>No Riba</w:t>
      </w:r>
    </w:p>
    <w:p>
      <w:r>
        <w:t>No Gharar</w:t>
      </w:r>
    </w:p>
    <w:p>
      <w:r>
        <w:t>No Maisir</w:t>
      </w:r>
    </w:p>
    <w:p>
      <w:r>
        <w:t>Asset eligibility</w:t>
      </w:r>
    </w:p>
    <w:p>
      <w:r>
        <w:t>Reserve architecture</w:t>
      </w:r>
    </w:p>
    <w:p>
      <w:r>
        <w:t>Constitutional principles</w:t>
      </w:r>
    </w:p>
    <w:p>
      <w:r>
        <w:t>Written approval shall become part of the constitutional record.</w:t>
      </w:r>
    </w:p>
    <w:p>
      <w:r>
        <w:t>43.10 Stage 6 — Simulation &amp; Stress Testing</w:t>
      </w:r>
    </w:p>
    <w:p>
      <w:r>
        <w:t>Every amendment shall successfully complete:</w:t>
      </w:r>
    </w:p>
    <w:p>
      <w:r>
        <w:t>Historical Replay</w:t>
      </w:r>
    </w:p>
    <w:p>
      <w:r>
        <w:t>Monte Carlo Simulation</w:t>
      </w:r>
    </w:p>
    <w:p>
      <w:r>
        <w:t>Liquidity Stress Testing</w:t>
      </w:r>
    </w:p>
    <w:p>
      <w:r>
        <w:t>Oracle Failure Simulation</w:t>
      </w:r>
    </w:p>
    <w:p>
      <w:r>
        <w:t>Currency Shock Simulation</w:t>
      </w:r>
    </w:p>
    <w:p>
      <w:r>
        <w:t>Bullion Shock Simulation</w:t>
      </w:r>
    </w:p>
    <w:p>
      <w:r>
        <w:t>Stablecoin Failure Scenario</w:t>
      </w:r>
    </w:p>
    <w:p>
      <w:r>
        <w:t>Governance Failure Scenario</w:t>
      </w:r>
    </w:p>
    <w:p>
      <w:r>
        <w:t>Cybersecurity Scenario</w:t>
      </w:r>
    </w:p>
    <w:p>
      <w:r>
        <w:t>Extreme Redemption Scenario</w:t>
      </w:r>
    </w:p>
    <w:p>
      <w:r>
        <w:t>Simulation reports shall be permanently archived.</w:t>
      </w:r>
    </w:p>
    <w:p>
      <w:r>
        <w:t>43.11 Stage 7 — Council Vote</w:t>
      </w:r>
    </w:p>
    <w:p>
      <w:r>
        <w:t>Minimum quorum: 80% of all seated voting members</w:t>
      </w:r>
    </w:p>
    <w:p>
      <w:r>
        <w:t>Approval threshold: At least 75% of all seated voting members</w:t>
      </w:r>
    </w:p>
    <w:p>
      <w:r>
        <w:t>Abstentions shall not reduce the approval threshold.</w:t>
      </w:r>
    </w:p>
    <w:p>
      <w:r>
        <w:t>Council voting shall be digitally signed and permanently archived.</w:t>
      </w:r>
    </w:p>
    <w:p>
      <w:r>
        <w:t>43.12 Conflict of Interest</w:t>
      </w:r>
    </w:p>
    <w:p>
      <w:r>
        <w:t>Any Council member with a material conflict of interest shall:</w:t>
      </w:r>
    </w:p>
    <w:p>
      <w:r>
        <w:t>Declare the conflict</w:t>
      </w:r>
    </w:p>
    <w:p>
      <w:r>
        <w:t>Abstain from deliberation</w:t>
      </w:r>
    </w:p>
    <w:p>
      <w:r>
        <w:t>Abstain from voting</w:t>
      </w:r>
    </w:p>
    <w:p>
      <w:r>
        <w:t>Abstain from technical review</w:t>
      </w:r>
    </w:p>
    <w:p>
      <w:r>
        <w:t>Conflict declarations shall become part of the permanent constitutional record.</w:t>
      </w:r>
    </w:p>
    <w:p>
      <w:r>
        <w:t>43.13 Stage 8 — Implementation Delay</w:t>
      </w:r>
    </w:p>
    <w:p>
      <w:r>
        <w:t>Following Council approval:</w:t>
      </w:r>
    </w:p>
    <w:p>
      <w:r>
        <w:t>A mandatory implementation delay of not less than ninety (90) calendar days shall apply.</w:t>
      </w:r>
    </w:p>
    <w:p>
      <w:r>
        <w:t>During this period:</w:t>
      </w:r>
    </w:p>
    <w:p>
      <w:r>
        <w:t>Software shall be upgraded</w:t>
      </w:r>
    </w:p>
    <w:p>
      <w:r>
        <w:t>Operational procedures updated</w:t>
      </w:r>
    </w:p>
    <w:p>
      <w:r>
        <w:t>Audits completed</w:t>
      </w:r>
    </w:p>
    <w:p>
      <w:r>
        <w:t>Independent verification performed</w:t>
      </w:r>
    </w:p>
    <w:p>
      <w:r>
        <w:t>Public documentation finalized</w:t>
      </w:r>
    </w:p>
    <w:p>
      <w:r>
        <w:t>No amendment may become active before the implementation period concludes.</w:t>
      </w:r>
    </w:p>
    <w:p>
      <w:r>
        <w:t>43.14 Stage 9 — Independent External Audit</w:t>
      </w:r>
    </w:p>
    <w:p>
      <w:r>
        <w:t>Independent auditors shall verify:</w:t>
      </w:r>
    </w:p>
    <w:p>
      <w:r>
        <w:t>Constitutional consistency</w:t>
      </w:r>
    </w:p>
    <w:p>
      <w:r>
        <w:t>Mathematical correctness</w:t>
      </w:r>
    </w:p>
    <w:p>
      <w:r>
        <w:t>Software implementation</w:t>
      </w:r>
    </w:p>
    <w:p>
      <w:r>
        <w:t>Economic effects</w:t>
      </w:r>
    </w:p>
    <w:p>
      <w:r>
        <w:t>Formal verification</w:t>
      </w:r>
    </w:p>
    <w:p>
      <w:r>
        <w:t>Oracle compatibility</w:t>
      </w:r>
    </w:p>
    <w:p>
      <w:r>
        <w:t>Governance compliance</w:t>
      </w:r>
    </w:p>
    <w:p>
      <w:r>
        <w:t>Documentation completeness</w:t>
      </w:r>
    </w:p>
    <w:p>
      <w:r>
        <w:t>Audit findings shall be publicly archived.</w:t>
      </w:r>
    </w:p>
    <w:p>
      <w:r>
        <w:t>43.15 Stage 10 — Public Disclosure</w:t>
      </w:r>
    </w:p>
    <w:p>
      <w:r>
        <w:t>Before activation, the Institution shall publish:</w:t>
      </w:r>
    </w:p>
    <w:p>
      <w:r>
        <w:t>Amendment Summary</w:t>
      </w:r>
    </w:p>
    <w:p>
      <w:r>
        <w:t>Constitutional Rationale</w:t>
      </w:r>
    </w:p>
    <w:p>
      <w:r>
        <w:t>Technical Summary</w:t>
      </w:r>
    </w:p>
    <w:p>
      <w:r>
        <w:t>Economic Impact Summary</w:t>
      </w:r>
    </w:p>
    <w:p>
      <w:r>
        <w:t>Effective Date</w:t>
      </w:r>
    </w:p>
    <w:p>
      <w:r>
        <w:t>Version Number</w:t>
      </w:r>
    </w:p>
    <w:p>
      <w:r>
        <w:t>Amendment Number</w:t>
      </w:r>
    </w:p>
    <w:p>
      <w:r>
        <w:t>Migration Guidance</w:t>
      </w:r>
    </w:p>
    <w:p>
      <w:r>
        <w:t>Except where prohibited by applicable law, disclosure shall occur before activation.</w:t>
      </w:r>
    </w:p>
    <w:p>
      <w:r>
        <w:t>43.16 Stage 11 — Activation</w:t>
      </w:r>
    </w:p>
    <w:p>
      <w:r>
        <w:t>Upon activation:</w:t>
      </w:r>
    </w:p>
    <w:p>
      <w:r>
        <w:t>Constitution Version updated</w:t>
      </w:r>
    </w:p>
    <w:p>
      <w:r>
        <w:t>Amendment Number assigned</w:t>
      </w:r>
    </w:p>
    <w:p>
      <w:r>
        <w:t>Constants Registry updated (if applicable)</w:t>
      </w:r>
    </w:p>
    <w:p>
      <w:r>
        <w:t>Technical Standards updated</w:t>
      </w:r>
    </w:p>
    <w:p>
      <w:r>
        <w:t>Software Release published</w:t>
      </w:r>
    </w:p>
    <w:p>
      <w:r>
        <w:t>Historical versions archived</w:t>
      </w:r>
    </w:p>
    <w:p>
      <w:r>
        <w:t>Public records updated</w:t>
      </w:r>
    </w:p>
    <w:p>
      <w:r>
        <w:t>43.17 Emergency Constitutional Amendments</w:t>
      </w:r>
    </w:p>
    <w:p>
      <w:r>
        <w:t>Emergency amendments may only be used where immediate action is necessary to preserve institutional integrity.</w:t>
      </w:r>
    </w:p>
    <w:p>
      <w:r>
        <w:t>Permitted circumstances include:</w:t>
      </w:r>
    </w:p>
    <w:p>
      <w:r>
        <w:t>Critical software vulnerability</w:t>
      </w:r>
    </w:p>
    <w:p>
      <w:r>
        <w:t>Cryptographic compromise</w:t>
      </w:r>
    </w:p>
    <w:p>
      <w:r>
        <w:t>Oracle system failure</w:t>
      </w:r>
    </w:p>
    <w:p>
      <w:r>
        <w:t>Reserve integrity risk</w:t>
      </w:r>
    </w:p>
    <w:p>
      <w:r>
        <w:t>Legal impossibility</w:t>
      </w:r>
    </w:p>
    <w:p>
      <w:r>
        <w:t>Catastrophic operational failure</w:t>
      </w:r>
    </w:p>
    <w:p>
      <w:r>
        <w:t>Emergency amendments require:</w:t>
      </w:r>
    </w:p>
    <w:p>
      <w:r>
        <w:t>Unanimous Council approval</w:t>
      </w:r>
    </w:p>
    <w:p>
      <w:r>
        <w:t>Immediate independent review</w:t>
      </w:r>
    </w:p>
    <w:p>
      <w:r>
        <w:t>Public disclosure as soon as legally permissible</w:t>
      </w:r>
    </w:p>
    <w:p>
      <w:r>
        <w:t>Emergency amendments shall automatically expire after one hundred eighty (180) calendar days unless ratified through the standard Constitutional Amendment Process.</w:t>
      </w:r>
    </w:p>
    <w:p>
      <w:r>
        <w:t>43.18 Constitutional Rollback</w:t>
      </w:r>
    </w:p>
    <w:p>
      <w:r>
        <w:t>Every amendment shall include:</w:t>
      </w:r>
    </w:p>
    <w:p>
      <w:r>
        <w:t>Rollback Plan</w:t>
      </w:r>
    </w:p>
    <w:p>
      <w:r>
        <w:t>Rollback Trigger Conditions</w:t>
      </w:r>
    </w:p>
    <w:p>
      <w:r>
        <w:t>Rollback Authority</w:t>
      </w:r>
    </w:p>
    <w:p>
      <w:r>
        <w:t>Rollback Verification Procedure</w:t>
      </w:r>
    </w:p>
    <w:p>
      <w:r>
        <w:t>Recovery Timeline</w:t>
      </w:r>
    </w:p>
    <w:p>
      <w:r>
        <w:t>Rollback testing shall be completed before activation.</w:t>
      </w:r>
    </w:p>
    <w:p>
      <w:r>
        <w:t>43.19 Version Governance</w:t>
      </w:r>
    </w:p>
    <w:p>
      <w:r>
        <w:t>Every amendment shall permanently receive:</w:t>
      </w:r>
    </w:p>
    <w:p>
      <w:r>
        <w:t>Constitution Version</w:t>
      </w:r>
    </w:p>
    <w:p>
      <w:r>
        <w:t>Amendment Number</w:t>
      </w:r>
    </w:p>
    <w:p>
      <w:r>
        <w:t>Effective Date</w:t>
      </w:r>
    </w:p>
    <w:p>
      <w:r>
        <w:t>Superseded Version</w:t>
      </w:r>
    </w:p>
    <w:p>
      <w:r>
        <w:t>Change Log</w:t>
      </w:r>
    </w:p>
    <w:p>
      <w:r>
        <w:t>Migration Notes</w:t>
      </w:r>
    </w:p>
    <w:p>
      <w:r>
        <w:t>Digital Signatures</w:t>
      </w:r>
    </w:p>
    <w:p>
      <w:r>
        <w:t>Approval Timestamp</w:t>
      </w:r>
    </w:p>
    <w:p>
      <w:r>
        <w:t>Historical constitutional versions shall remain permanently available.</w:t>
      </w:r>
    </w:p>
    <w:p>
      <w:r>
        <w:t>43.20 Constitutional Audit Trail</w:t>
      </w:r>
    </w:p>
    <w:p>
      <w:r>
        <w:t>The Institution shall permanently preserve:</w:t>
      </w:r>
    </w:p>
    <w:p>
      <w:r>
        <w:t>Original Proposal</w:t>
      </w:r>
    </w:p>
    <w:p>
      <w:r>
        <w:t>Technical Reviews</w:t>
      </w:r>
    </w:p>
    <w:p>
      <w:r>
        <w:t>Economic Reviews</w:t>
      </w:r>
    </w:p>
    <w:p>
      <w:r>
        <w:t>Legal Reviews</w:t>
      </w:r>
    </w:p>
    <w:p>
      <w:r>
        <w:t>Sharia Reviews</w:t>
      </w:r>
    </w:p>
    <w:p>
      <w:r>
        <w:t>Simulation Reports</w:t>
      </w:r>
    </w:p>
    <w:p>
      <w:r>
        <w:t>Voting Records</w:t>
      </w:r>
    </w:p>
    <w:p>
      <w:r>
        <w:t>External Audit Reports</w:t>
      </w:r>
    </w:p>
    <w:p>
      <w:r>
        <w:t>Activation Records</w:t>
      </w:r>
    </w:p>
    <w:p>
      <w:r>
        <w:t>Rollback Documentation</w:t>
      </w:r>
    </w:p>
    <w:p>
      <w:r>
        <w:t>Digital Signatures</w:t>
      </w:r>
    </w:p>
    <w:p>
      <w:r>
        <w:t>Cryptographic Hashes</w:t>
      </w:r>
    </w:p>
    <w:p>
      <w:r>
        <w:t>Timestamps</w:t>
      </w:r>
    </w:p>
    <w:p>
      <w:r>
        <w:t>The constitutional audit trail shall be immutable.</w:t>
      </w:r>
    </w:p>
    <w:p>
      <w:r>
        <w:t>43.21 Constitutionally Entrenched Principles</w:t>
      </w:r>
    </w:p>
    <w:p>
      <w:r>
        <w:t>The following constitutional principles are permanently entrenched and may only be modified through Constitutional Refounding, not through ordinary amendment:</w:t>
      </w:r>
    </w:p>
    <w:p>
      <w:r>
        <w:t>Gold as the Constitutional Monetary Anchor</w:t>
      </w:r>
    </w:p>
    <w:p>
      <w:r>
        <w:t>Full Reserve Backing</w:t>
      </w:r>
    </w:p>
    <w:p>
      <w:r>
        <w:t>Deterministic Monetary Engine</w:t>
      </w:r>
    </w:p>
    <w:p>
      <w:r>
        <w:t>Independent Proof of Reserves</w:t>
      </w:r>
    </w:p>
    <w:p>
      <w:r>
        <w:t>Institutional Neutrality</w:t>
      </w:r>
    </w:p>
    <w:p>
      <w:r>
        <w:t>Constitutional Transparency</w:t>
      </w:r>
    </w:p>
    <w:p>
      <w:r>
        <w:t>Independent Auditability</w:t>
      </w:r>
    </w:p>
    <w:p>
      <w:r>
        <w:t>Constitutional Rule of Law</w:t>
      </w:r>
    </w:p>
    <w:p>
      <w:r>
        <w:t>Separation of Reserve Assets from Operational Capital</w:t>
      </w:r>
    </w:p>
    <w:p>
      <w:r>
        <w:t>Constitutional Hierarchy</w:t>
      </w:r>
    </w:p>
    <w:p>
      <w:r>
        <w:t>Any proposal affecting these principles shall require:</w:t>
      </w:r>
    </w:p>
    <w:p>
      <w:r>
        <w:t>Unanimous Council approval</w:t>
      </w:r>
    </w:p>
    <w:p>
      <w:r>
        <w:t>Independent external constitutional review</w:t>
      </w:r>
    </w:p>
    <w:p>
      <w:r>
        <w:t>A formal Constitutional Refounding Process defined separately from the ordinary amendment procedure</w:t>
      </w:r>
    </w:p>
    <w:p>
      <w:r>
        <w:t>43.22 Guiding Principle</w:t>
      </w:r>
    </w:p>
    <w:p>
      <w:r>
        <w:t>The Constitutional Amendment Process exists to preserve institutional continuity rather than to maximize institutional change.</w:t>
      </w:r>
    </w:p>
    <w:p>
      <w:r>
        <w:t>Every amendment shall strengthen:</w:t>
      </w:r>
    </w:p>
    <w:p>
      <w:r>
        <w:t>Stability</w:t>
      </w:r>
    </w:p>
    <w:p>
      <w:r>
        <w:t>Predictability</w:t>
      </w:r>
    </w:p>
    <w:p>
      <w:r>
        <w:t>Transparency</w:t>
      </w:r>
    </w:p>
    <w:p>
      <w:r>
        <w:t>Auditability</w:t>
      </w:r>
    </w:p>
    <w:p>
      <w:r>
        <w:t>Constitutional Integrity</w:t>
      </w:r>
    </w:p>
    <w:p>
      <w:r>
        <w:t>Long-Term Institutional Trust</w:t>
      </w:r>
    </w:p>
    <w:p>
      <w:r>
        <w:t>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p>
    <w:p>
      <w:r>
        <w:t>43.23 Constitutional Verification</w:t>
      </w:r>
    </w:p>
    <w:p>
      <w:r>
        <w:t>text</w:t>
      </w:r>
    </w:p>
    <w:p>
      <w:r>
        <w:t>✓ Constitutional Principles established</w:t>
      </w:r>
    </w:p>
    <w:p>
      <w:r>
        <w:t>✓ Constitutional Hierarchy defined</w:t>
      </w:r>
    </w:p>
    <w:p>
      <w:r>
        <w:t>✓ Amendment Categories defined (A, B, C, D)</w:t>
      </w:r>
    </w:p>
    <w:p>
      <w:r>
        <w:t>✓ 11-Stage Amendment Process defined</w:t>
      </w:r>
    </w:p>
    <w:p>
      <w:r>
        <w:t>✓ Each stage requirements specified</w:t>
      </w:r>
    </w:p>
    <w:p>
      <w:r>
        <w:t>✓ Emergency Amendment provisions defined</w:t>
      </w:r>
    </w:p>
    <w:p>
      <w:r>
        <w:t>✓ Rollback requirements established</w:t>
      </w:r>
    </w:p>
    <w:p>
      <w:r>
        <w:t>✓ Version Governance defined</w:t>
      </w:r>
    </w:p>
    <w:p>
      <w:r>
        <w:t>✓ Constitutional Audit Trail established</w:t>
      </w:r>
    </w:p>
    <w:p>
      <w:r>
        <w:t>✓ Constitutionally Entrenched Principles identified</w:t>
      </w:r>
    </w:p>
    <w:p>
      <w:r>
        <w:t>✓ Guiding Principle established</w:t>
      </w:r>
    </w:p>
    <w:p>
      <w:r>
        <w:t>43.24 Related Sections</w:t>
      </w:r>
    </w:p>
    <w:p>
      <w:r>
        <w:t>Section 44 — Constitutional Council</w:t>
      </w:r>
    </w:p>
    <w:p>
      <w:r>
        <w:t>Section 45 — Technical Committee</w:t>
      </w:r>
    </w:p>
    <w:p>
      <w:r>
        <w:t>Section 46 — Risk Committee</w:t>
      </w:r>
    </w:p>
    <w:p>
      <w:r>
        <w:t>Section 47 — Audit Committee</w:t>
      </w:r>
    </w:p>
    <w:p>
      <w:r>
        <w:t>Section 48 — Sharia Committee</w:t>
      </w:r>
    </w:p>
    <w:p>
      <w:r>
        <w:t>Section 49 — Conflict of Interest</w:t>
      </w:r>
    </w:p>
    <w:p>
      <w:r>
        <w:t>Section 50 — Constitutional Constants Registry</w:t>
      </w:r>
    </w:p>
    <w:p>
      <w:r>
        <w:t>Section 51 — Constitutional Governance</w:t>
      </w:r>
    </w:p>
    <w:p>
      <w:r>
        <w:t>Section 52 — Constitutional Transparency</w:t>
      </w:r>
    </w:p>
    <w:p>
      <w:r>
        <w:t>Section 53 — Constitutional Audit</w:t>
      </w:r>
    </w:p>
    <w:p>
      <w:r>
        <w:t>Section 54 — Constitutional Dispute Resolution</w:t>
      </w:r>
    </w:p>
    <w:p>
      <w:r>
        <w:t>Section 55 — Constitutional Dissolution</w:t>
      </w:r>
    </w:p>
    <w:p>
      <w:r>
        <w:t>Constitutional Verification</w:t>
      </w:r>
    </w:p>
    <w:p>
      <w:r>
        <w:t>text</w:t>
      </w:r>
    </w:p>
    <w:p>
      <w:r>
        <w:t>✓ Constitutional Principles established</w:t>
      </w:r>
    </w:p>
    <w:p>
      <w:r>
        <w:t>✓ Constitutional Hierarchy defined</w:t>
      </w:r>
    </w:p>
    <w:p>
      <w:r>
        <w:t>✓ Constitutional Amendment Categories defined</w:t>
      </w:r>
    </w:p>
    <w:p>
      <w:r>
        <w:t>✓ Constitutional Amendment Process defined</w:t>
      </w:r>
    </w:p>
    <w:p>
      <w:r>
        <w:t>✓ Stage 1 — Constitutional Proposal defined</w:t>
      </w:r>
    </w:p>
    <w:p>
      <w:r>
        <w:t>✓ Stage 2 — Technical Review defined</w:t>
      </w:r>
    </w:p>
    <w:p>
      <w:r>
        <w:t>✓ Stage 3 — Economic Review defined</w:t>
      </w:r>
    </w:p>
    <w:p>
      <w:r>
        <w:t>✓ Stage 4 — Legal &amp; Regulatory Review defined</w:t>
      </w:r>
    </w:p>
    <w:p>
      <w:r>
        <w:t>✓ Stage 5 — Sharia Review defined</w:t>
      </w:r>
    </w:p>
    <w:p>
      <w:r>
        <w:t>✓ Stage 6 — Simulation &amp; Stress Testing defined</w:t>
      </w:r>
    </w:p>
    <w:p>
      <w:r>
        <w:t>✓ Stage 7 — Council Vote defined</w:t>
      </w:r>
    </w:p>
    <w:p>
      <w:r>
        <w:t>✓ Conflict of Interest defined</w:t>
      </w:r>
    </w:p>
    <w:p>
      <w:r>
        <w:t>✓ Stage 8 — Implementation Delay defined</w:t>
      </w:r>
    </w:p>
    <w:p>
      <w:r>
        <w:t>✓ Stage 9 — Independent External Audit defined</w:t>
      </w:r>
    </w:p>
    <w:p>
      <w:r>
        <w:t>✓ Stage 10 — Public Disclosure defined</w:t>
      </w:r>
    </w:p>
    <w:p>
      <w:r>
        <w:t>✓ Stage 11 — Activation defined</w:t>
      </w:r>
    </w:p>
    <w:p>
      <w:r>
        <w:t>✓ Emergency Constitutional Amendments defined</w:t>
      </w:r>
    </w:p>
    <w:p>
      <w:r>
        <w:t>✓ Constitutional Rollback defined</w:t>
      </w:r>
    </w:p>
    <w:p>
      <w:r>
        <w:t>✓ Version Governance defined</w:t>
      </w:r>
    </w:p>
    <w:p>
      <w:r>
        <w:t>✓ Constitutional Audit Trail established</w:t>
      </w:r>
    </w:p>
    <w:p>
      <w:r>
        <w:t>✓ Constitutionally Entrenched Principles identified</w:t>
      </w:r>
    </w:p>
    <w:p>
      <w:r>
        <w:t>✓ Guiding Principle established</w:t>
      </w:r>
    </w:p>
    <w:p>
      <w:r>
        <w:t>✓ Constitutional Verification established</w:t>
      </w:r>
    </w:p>
    <w:p>
      <w:r>
        <w:t>✓ Related Sections referenced</w:t>
      </w:r>
    </w:p>
    <w:p>
      <w:r>
        <w:t>[END OF SECTION 43 — CONSTITUTIONAL AMENDMENT &amp; GOVERNANCE FRAMEWORK]</w:t>
      </w:r>
    </w:p>
    <w:p>
      <w:r>
        <w:t>Section 44: Constitutional Emergency Governance Framework</w:t>
      </w:r>
    </w:p>
    <w:p>
      <w:r>
        <w:t>44.1 Constitutional Principle</w:t>
      </w:r>
    </w:p>
    <w:p>
      <w:r>
        <w:t>The purpose of emergency powers is to preserve constitutional continuity, institutional integrity, reserve security, and orderly settlement during extraordinary circumstances.</w:t>
      </w:r>
    </w:p>
    <w:p>
      <w:r>
        <w:t>Emergency powers are temporary, proportionate, auditable, and strictly limited.</w:t>
      </w:r>
    </w:p>
    <w:p>
      <w:r>
        <w:t>Emergency powers shall never suspend or override the Constitution.</w:t>
      </w:r>
    </w:p>
    <w:p>
      <w:r>
        <w:t>Constitutional authority remains supreme under all circumstances.</w:t>
      </w:r>
    </w:p>
    <w:p>
      <w:r>
        <w:t>44.2 Emergency Classification</w:t>
      </w:r>
    </w:p>
    <w:p>
      <w:r>
        <w:t>Institutional emergencies shall be classified into four constitutional levels.</w:t>
      </w:r>
    </w:p>
    <w:p>
      <w:r>
        <w:t>Emergency classification shall be reviewed continuously until normal operations resume.</w:t>
      </w:r>
    </w:p>
    <w:p>
      <w:r>
        <w:t>44.3 Level 1 — Technical Emergency</w:t>
      </w:r>
    </w:p>
    <w:p>
      <w:r>
        <w:t>Examples include:</w:t>
      </w:r>
    </w:p>
    <w:p>
      <w:r>
        <w:t>Oracle feed failure</w:t>
      </w:r>
    </w:p>
    <w:p>
      <w:r>
        <w:t>Oracle consensus failure</w:t>
      </w:r>
    </w:p>
    <w:p>
      <w:r>
        <w:t>Proof generation failure</w:t>
      </w:r>
    </w:p>
    <w:p>
      <w:r>
        <w:t>Cybersecurity incident</w:t>
      </w:r>
    </w:p>
    <w:p>
      <w:r>
        <w:t>Infrastructure outage</w:t>
      </w:r>
    </w:p>
    <w:p>
      <w:r>
        <w:t>Network partition</w:t>
      </w:r>
    </w:p>
    <w:p>
      <w:r>
        <w:t>Software malfunction</w:t>
      </w:r>
    </w:p>
    <w:p>
      <w:r>
        <w:t>Data corruption</w:t>
      </w:r>
    </w:p>
    <w:p>
      <w:r>
        <w:t>Validator malfunction</w:t>
      </w:r>
    </w:p>
    <w:p>
      <w:r>
        <w:t>Immediate actions may include:</w:t>
      </w:r>
    </w:p>
    <w:p>
      <w:r>
        <w:t>Pause minting</w:t>
      </w:r>
    </w:p>
    <w:p>
      <w:r>
        <w:t>Pause redemptions if settlement integrity is affected</w:t>
      </w:r>
    </w:p>
    <w:p>
      <w:r>
        <w:t>Pause oracle updates</w:t>
      </w:r>
    </w:p>
    <w:p>
      <w:r>
        <w:t>Activate redundant infrastructure</w:t>
      </w:r>
    </w:p>
    <w:p>
      <w:r>
        <w:t>Switch to backup systems</w:t>
      </w:r>
    </w:p>
    <w:p>
      <w:r>
        <w:t>Initiate incident response</w:t>
      </w:r>
    </w:p>
    <w:p>
      <w:r>
        <w:t>Authority: Technical Committee</w:t>
      </w:r>
    </w:p>
    <w:p>
      <w:r>
        <w:t>Target response time: Within one (1) hour.</w:t>
      </w:r>
    </w:p>
    <w:p>
      <w:r>
        <w:t>44.4 Level 2 — Operational Emergency</w:t>
      </w:r>
    </w:p>
    <w:p>
      <w:r>
        <w:t>Examples include:</w:t>
      </w:r>
    </w:p>
    <w:p>
      <w:r>
        <w:t>Custodian operational failure</w:t>
      </w:r>
    </w:p>
    <w:p>
      <w:r>
        <w:t>Major data center outage</w:t>
      </w:r>
    </w:p>
    <w:p>
      <w:r>
        <w:t>Payment network disruption</w:t>
      </w:r>
    </w:p>
    <w:p>
      <w:r>
        <w:t>Stablecoin operational failure</w:t>
      </w:r>
    </w:p>
    <w:p>
      <w:r>
        <w:t>Regional infrastructure disruption</w:t>
      </w:r>
    </w:p>
    <w:p>
      <w:r>
        <w:t>Major service provider failure</w:t>
      </w:r>
    </w:p>
    <w:p>
      <w:r>
        <w:t>Authority: Technical Committee jointly with Executive Management.</w:t>
      </w:r>
    </w:p>
    <w:p>
      <w:r>
        <w:t>Permitted actions include:</w:t>
      </w:r>
    </w:p>
    <w:p>
      <w:r>
        <w:t>Temporary custodian migration</w:t>
      </w:r>
    </w:p>
    <w:p>
      <w:r>
        <w:t>Disaster recovery activation</w:t>
      </w:r>
    </w:p>
    <w:p>
      <w:r>
        <w:t>Temporary routing changes</w:t>
      </w:r>
    </w:p>
    <w:p>
      <w:r>
        <w:t>Operational contingency procedures</w:t>
      </w:r>
    </w:p>
    <w:p>
      <w:r>
        <w:t>Temporary suspension of selected services</w:t>
      </w:r>
    </w:p>
    <w:p>
      <w:r>
        <w:t>Target response: Within six (6) hours.</w:t>
      </w:r>
    </w:p>
    <w:p>
      <w:r>
        <w:t>44.5 Level 3 — Constitutional Emergency</w:t>
      </w:r>
    </w:p>
    <w:p>
      <w:r>
        <w:t>Examples include:</w:t>
      </w:r>
    </w:p>
    <w:p>
      <w:r>
        <w:t>Multiple reserve custodian failures</w:t>
      </w:r>
    </w:p>
    <w:p>
      <w:r>
        <w:t>Major legal prohibition</w:t>
      </w:r>
    </w:p>
    <w:p>
      <w:r>
        <w:t>Reserve integrity uncertainty</w:t>
      </w:r>
    </w:p>
    <w:p>
      <w:r>
        <w:t>Coordinated cyberattack</w:t>
      </w:r>
    </w:p>
    <w:p>
      <w:r>
        <w:t>Widespread oracle compromise</w:t>
      </w:r>
    </w:p>
    <w:p>
      <w:r>
        <w:t>Severe geopolitical disruption</w:t>
      </w:r>
    </w:p>
    <w:p>
      <w:r>
        <w:t>National emergency materially affecting operations</w:t>
      </w:r>
    </w:p>
    <w:p>
      <w:r>
        <w:t>Authority: Council</w:t>
      </w:r>
    </w:p>
    <w:p>
      <w:r>
        <w:t>Council approval shall be required for continuation beyond twenty-four (24) hours.</w:t>
      </w:r>
    </w:p>
    <w:p>
      <w:r>
        <w:t>44.6 Level 4 — Systemic Emergency</w:t>
      </w:r>
    </w:p>
    <w:p>
      <w:r>
        <w:t>Examples include:</w:t>
      </w:r>
    </w:p>
    <w:p>
      <w:r>
        <w:t>Global financial crisis</w:t>
      </w:r>
    </w:p>
    <w:p>
      <w:r>
        <w:t>International payment system failure</w:t>
      </w:r>
    </w:p>
    <w:p>
      <w:r>
        <w:t>Multiple sovereign market closures</w:t>
      </w:r>
    </w:p>
    <w:p>
      <w:r>
        <w:t>Simultaneous reserve infrastructure failures</w:t>
      </w:r>
    </w:p>
    <w:p>
      <w:r>
        <w:t>Catastrophic constitutional threat</w:t>
      </w:r>
    </w:p>
    <w:p>
      <w:r>
        <w:t>Authority: Council together with Independent External Oversight.</w:t>
      </w:r>
    </w:p>
    <w:p>
      <w:r>
        <w:t>Emergency measures shall be reviewed at least every twenty-four (24) hours.</w:t>
      </w:r>
    </w:p>
    <w:p>
      <w:r>
        <w:t>44.7 Emergency Powers</w:t>
      </w:r>
    </w:p>
    <w:p>
      <w:r>
        <w:t>During an approved constitutional emergency, the Institution may:</w:t>
      </w:r>
    </w:p>
    <w:p>
      <w:r>
        <w:t>Pause minting</w:t>
      </w:r>
    </w:p>
    <w:p>
      <w:r>
        <w:t>Pause redemptions where settlement integrity cannot be guaranteed</w:t>
      </w:r>
    </w:p>
    <w:p>
      <w:r>
        <w:t>Pause reserve rebalancing</w:t>
      </w:r>
    </w:p>
    <w:p>
      <w:r>
        <w:t>Pause oracle updates</w:t>
      </w:r>
    </w:p>
    <w:p>
      <w:r>
        <w:t>Activate Constitutional Oracle fallback procedures</w:t>
      </w:r>
    </w:p>
    <w:p>
      <w:r>
        <w:t>Switch custodians</w:t>
      </w:r>
    </w:p>
    <w:p>
      <w:r>
        <w:t>Activate disaster recovery sites</w:t>
      </w:r>
    </w:p>
    <w:p>
      <w:r>
        <w:t>Isolate compromised infrastructure</w:t>
      </w:r>
    </w:p>
    <w:p>
      <w:r>
        <w:t>Increase operational monitoring</w:t>
      </w:r>
    </w:p>
    <w:p>
      <w:r>
        <w:t>Require enhanced multi-signature authorization</w:t>
      </w:r>
    </w:p>
    <w:p>
      <w:r>
        <w:t>Delay non-critical governance activities</w:t>
      </w:r>
    </w:p>
    <w:p>
      <w:r>
        <w:t>Publish emergency operational notices</w:t>
      </w:r>
    </w:p>
    <w:p>
      <w:r>
        <w:t>Emergency actions shall be the minimum necessary to preserve constitutional integrity.</w:t>
      </w:r>
    </w:p>
    <w:p>
      <w:r>
        <w:t>44.8 Constitutional Limitations</w:t>
      </w:r>
    </w:p>
    <w:p>
      <w:r>
        <w:t>Emergency powers SHALL NEVER authorize:</w:t>
      </w:r>
    </w:p>
    <w:p>
      <w:r>
        <w:t>Minting unbacked MTQ</w:t>
      </w:r>
    </w:p>
    <w:p>
      <w:r>
        <w:t>Reducing reserve backing below constitutional requirements</w:t>
      </w:r>
    </w:p>
    <w:p>
      <w:r>
        <w:t>Modifying Constitutional Constants</w:t>
      </w:r>
    </w:p>
    <w:p>
      <w:r>
        <w:t>Changing currency weights</w:t>
      </w:r>
    </w:p>
    <w:p>
      <w:r>
        <w:t>Suspending Proof of Reserves</w:t>
      </w:r>
    </w:p>
    <w:p>
      <w:r>
        <w:t>Altering deterministic calculations</w:t>
      </w:r>
    </w:p>
    <w:p>
      <w:r>
        <w:t>Bypassing formal verification</w:t>
      </w:r>
    </w:p>
    <w:p>
      <w:r>
        <w:t>Modifying the Constitution outside the Constitutional Amendment Process</w:t>
      </w:r>
    </w:p>
    <w:p>
      <w:r>
        <w:t>Confiscating participant assets</w:t>
      </w:r>
    </w:p>
    <w:p>
      <w:r>
        <w:t>Concealing reserve deficiencies</w:t>
      </w:r>
    </w:p>
    <w:p>
      <w:r>
        <w:t>Disabling audit logging</w:t>
      </w:r>
    </w:p>
    <w:p>
      <w:r>
        <w:t>Destroying constitutional records</w:t>
      </w:r>
    </w:p>
    <w:p>
      <w:r>
        <w:t>These limitations are constitutionally entrenched.</w:t>
      </w:r>
    </w:p>
    <w:p>
      <w:r>
        <w:t>44.9 Emergency Decision Record</w:t>
      </w:r>
    </w:p>
    <w:p>
      <w:r>
        <w:t>Every emergency action shall record:</w:t>
      </w:r>
    </w:p>
    <w:p>
      <w:r>
        <w:t>Emergency Classification</w:t>
      </w:r>
    </w:p>
    <w:p>
      <w:r>
        <w:t>Incident Identifier</w:t>
      </w:r>
    </w:p>
    <w:p>
      <w:r>
        <w:t>Trigger Event</w:t>
      </w:r>
    </w:p>
    <w:p>
      <w:r>
        <w:t>Time Detected</w:t>
      </w:r>
    </w:p>
    <w:p>
      <w:r>
        <w:t>Time Declared</w:t>
      </w:r>
    </w:p>
    <w:p>
      <w:r>
        <w:t>Decision Authority</w:t>
      </w:r>
    </w:p>
    <w:p>
      <w:r>
        <w:t>Actions Taken</w:t>
      </w:r>
    </w:p>
    <w:p>
      <w:r>
        <w:t>Systems Affected</w:t>
      </w:r>
    </w:p>
    <w:p>
      <w:r>
        <w:t>Duration</w:t>
      </w:r>
    </w:p>
    <w:p>
      <w:r>
        <w:t>Recovery Actions</w:t>
      </w:r>
    </w:p>
    <w:p>
      <w:r>
        <w:t>Digital Signatures</w:t>
      </w:r>
    </w:p>
    <w:p>
      <w:r>
        <w:t>Cryptographic Hash</w:t>
      </w:r>
    </w:p>
    <w:p>
      <w:r>
        <w:t>UTC Timestamp</w:t>
      </w:r>
    </w:p>
    <w:p>
      <w:r>
        <w:t>The emergency record shall become part of the permanent constitutional audit trail.</w:t>
      </w:r>
    </w:p>
    <w:p>
      <w:r>
        <w:t>44.10 Emergency Transparency</w:t>
      </w:r>
    </w:p>
    <w:p>
      <w:r>
        <w:t>As soon as operationally and legally appropriate, the Institution shall publish:</w:t>
      </w:r>
    </w:p>
    <w:p>
      <w:r>
        <w:t>Nature of the emergency</w:t>
      </w:r>
    </w:p>
    <w:p>
      <w:r>
        <w:t>Systems affected</w:t>
      </w:r>
    </w:p>
    <w:p>
      <w:r>
        <w:t>Services impacted</w:t>
      </w:r>
    </w:p>
    <w:p>
      <w:r>
        <w:t>Protective measures implemented</w:t>
      </w:r>
    </w:p>
    <w:p>
      <w:r>
        <w:t>Estimated recovery timeline</w:t>
      </w:r>
    </w:p>
    <w:p>
      <w:r>
        <w:t>Restoration milestones</w:t>
      </w:r>
    </w:p>
    <w:p>
      <w:r>
        <w:t>Sensitive cybersecurity information may be temporarily withheld where disclosure would increase institutional risk.</w:t>
      </w:r>
    </w:p>
    <w:p>
      <w:r>
        <w:t>44.11 Recovery and Restoration</w:t>
      </w:r>
    </w:p>
    <w:p>
      <w:r>
        <w:t>Before emergency powers are withdrawn, the Institution shall verify:</w:t>
      </w:r>
    </w:p>
    <w:p>
      <w:r>
        <w:t>Reserve integrity restored</w:t>
      </w:r>
    </w:p>
    <w:p>
      <w:r>
        <w:t>Oracle consensus restored</w:t>
      </w:r>
    </w:p>
    <w:p>
      <w:r>
        <w:t>Proof of Reserves successfully generated</w:t>
      </w:r>
    </w:p>
    <w:p>
      <w:r>
        <w:t>Deterministic validation completed</w:t>
      </w:r>
    </w:p>
    <w:p>
      <w:r>
        <w:t>Custody verified</w:t>
      </w:r>
    </w:p>
    <w:p>
      <w:r>
        <w:t>Settlement systems functioning normally</w:t>
      </w:r>
    </w:p>
    <w:p>
      <w:r>
        <w:t>Security review completed</w:t>
      </w:r>
    </w:p>
    <w:p>
      <w:r>
        <w:t>Normal operations shall resume only after successful verification.</w:t>
      </w:r>
    </w:p>
    <w:p>
      <w:r>
        <w:t>44.12 Emergency Review</w:t>
      </w:r>
    </w:p>
    <w:p>
      <w:r>
        <w:t>Following every declared emergency, an Independent Post-Incident Review shall evaluate:</w:t>
      </w:r>
    </w:p>
    <w:p>
      <w:r>
        <w:t>Root cause</w:t>
      </w:r>
    </w:p>
    <w:p>
      <w:r>
        <w:t>Timeline</w:t>
      </w:r>
    </w:p>
    <w:p>
      <w:r>
        <w:t>Decision effectiveness</w:t>
      </w:r>
    </w:p>
    <w:p>
      <w:r>
        <w:t>Governance performance</w:t>
      </w:r>
    </w:p>
    <w:p>
      <w:r>
        <w:t>Technical performance</w:t>
      </w:r>
    </w:p>
    <w:p>
      <w:r>
        <w:t>Financial impact</w:t>
      </w:r>
    </w:p>
    <w:p>
      <w:r>
        <w:t>Regulatory implications</w:t>
      </w:r>
    </w:p>
    <w:p>
      <w:r>
        <w:t>Corrective actions</w:t>
      </w:r>
    </w:p>
    <w:p>
      <w:r>
        <w:t>Lessons learned</w:t>
      </w:r>
    </w:p>
    <w:p>
      <w:r>
        <w:t>The review shall be permanently archived.</w:t>
      </w:r>
    </w:p>
    <w:p>
      <w:r>
        <w:t>44.13 Emergency Duration</w:t>
      </w:r>
    </w:p>
    <w:p>
      <w:r>
        <w:t>Emergency powers shall be temporary.</w:t>
      </w:r>
    </w:p>
    <w:p>
      <w:r>
        <w:t>Maximum continuous duration without renewed approval:</w:t>
      </w:r>
    </w:p>
    <w:p>
      <w:r>
        <w:t>Continuation beyond these limits requires renewed approval by the appropriate constitutional authority.</w:t>
      </w:r>
    </w:p>
    <w:p>
      <w:r>
        <w:t>44.14 Recovery Testing</w:t>
      </w:r>
    </w:p>
    <w:p>
      <w:r>
        <w:t>The Institution shall conduct periodic testing of emergency procedures, including:</w:t>
      </w:r>
    </w:p>
    <w:p>
      <w:r>
        <w:t>Cybersecurity incident simulation</w:t>
      </w:r>
    </w:p>
    <w:p>
      <w:r>
        <w:t>Oracle failure simulation</w:t>
      </w:r>
    </w:p>
    <w:p>
      <w:r>
        <w:t>Custodian migration testing</w:t>
      </w:r>
    </w:p>
    <w:p>
      <w:r>
        <w:t>Disaster recovery testing</w:t>
      </w:r>
    </w:p>
    <w:p>
      <w:r>
        <w:t>Reserve restoration testing</w:t>
      </w:r>
    </w:p>
    <w:p>
      <w:r>
        <w:t>Communication exercises</w:t>
      </w:r>
    </w:p>
    <w:p>
      <w:r>
        <w:t>Governance response exercises</w:t>
      </w:r>
    </w:p>
    <w:p>
      <w:r>
        <w:t>Results shall be documented and reviewed by the Council.</w:t>
      </w:r>
    </w:p>
    <w:p>
      <w:r>
        <w:t>44.15 Guiding Principle</w:t>
      </w:r>
    </w:p>
    <w:p>
      <w:r>
        <w:t>Emergency powers exist solely to preserve constitutional continuity during extraordinary circumstances.</w:t>
      </w:r>
    </w:p>
    <w:p>
      <w:r>
        <w:t>They shall be exercised only when strictly necessary, only for the minimum duration required, and only in a manner consistent with the Constitution.</w:t>
      </w:r>
    </w:p>
    <w:p>
      <w:r>
        <w:t>Constitutional principles, reserve integrity, institutional neutrality, transparency, deterministic operation, and auditability shall remain inviolable under all emergency conditions.</w:t>
      </w:r>
    </w:p>
    <w:p>
      <w:r>
        <w:t>44.16 Constitutional Verification</w:t>
      </w:r>
    </w:p>
    <w:p>
      <w:r>
        <w:t>text</w:t>
      </w:r>
    </w:p>
    <w:p>
      <w:r>
        <w:t>✓ Constitutional Principle established</w:t>
      </w:r>
    </w:p>
    <w:p>
      <w:r>
        <w:t>✓ Emergency Classification defined (4 levels)</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requirements defined</w:t>
      </w:r>
    </w:p>
    <w:p>
      <w:r>
        <w:t>✓ Emergency Transparency requirements defined</w:t>
      </w:r>
    </w:p>
    <w:p>
      <w:r>
        <w:t>✓ Recovery and Restoration requirements defined</w:t>
      </w:r>
    </w:p>
    <w:p>
      <w:r>
        <w:t>✓ Emergency Review requirements defined</w:t>
      </w:r>
    </w:p>
    <w:p>
      <w:r>
        <w:t>✓ Emergency Duration limits defined</w:t>
      </w:r>
    </w:p>
    <w:p>
      <w:r>
        <w:t>✓ Recovery Testing requirements defined</w:t>
      </w:r>
    </w:p>
    <w:p>
      <w:r>
        <w:t>✓ Guiding Principle established</w:t>
      </w:r>
    </w:p>
    <w:p>
      <w:r>
        <w:t>44.17 Related Sections</w:t>
      </w:r>
    </w:p>
    <w:p>
      <w:r>
        <w:t>Section 32 — Constitutional Oracle Failure Recovery</w:t>
      </w:r>
    </w:p>
    <w:p>
      <w:r>
        <w:t>Section 33 — Severe Deviation Protocol (SDP)</w:t>
      </w:r>
    </w:p>
    <w:p>
      <w:r>
        <w:t>Section 43 — Constitutional Amendment &amp; Governance Framework</w:t>
      </w:r>
    </w:p>
    <w:p>
      <w:r>
        <w:t>Section 45 — Technical Committee</w:t>
      </w:r>
    </w:p>
    <w:p>
      <w:r>
        <w:t>Section 46 — Risk Committee</w:t>
      </w:r>
    </w:p>
    <w:p>
      <w:r>
        <w:t>Section 47 — Audit Committee</w:t>
      </w:r>
    </w:p>
    <w:p>
      <w:r>
        <w:t>Section 48 — Sharia Committee</w:t>
      </w:r>
    </w:p>
    <w:p>
      <w:r>
        <w:t>Section 50 — Constitutional Constants Registry</w:t>
      </w:r>
    </w:p>
    <w:p>
      <w:r>
        <w:t>Section 53 — Constitutional Audit</w:t>
      </w:r>
    </w:p>
    <w:p>
      <w:r>
        <w:t>Constitutional Verification</w:t>
      </w:r>
    </w:p>
    <w:p>
      <w:r>
        <w:t>text</w:t>
      </w:r>
    </w:p>
    <w:p>
      <w:r>
        <w:t>✓ Constitutional Principle established</w:t>
      </w:r>
    </w:p>
    <w:p>
      <w:r>
        <w:t>✓ Emergency Classification defined</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defined</w:t>
      </w:r>
    </w:p>
    <w:p>
      <w:r>
        <w:t>✓ Emergency Transparency established</w:t>
      </w:r>
    </w:p>
    <w:p>
      <w:r>
        <w:t>✓ Recovery and Restoration defined</w:t>
      </w:r>
    </w:p>
    <w:p>
      <w:r>
        <w:t>✓ Emergency Review defined</w:t>
      </w:r>
    </w:p>
    <w:p>
      <w:r>
        <w:t>✓ Emergency Duration limits defined</w:t>
      </w:r>
    </w:p>
    <w:p>
      <w:r>
        <w:t>✓ Recovery Testing established</w:t>
      </w:r>
    </w:p>
    <w:p>
      <w:r>
        <w:t>✓ Guiding Principle established</w:t>
      </w:r>
    </w:p>
    <w:p>
      <w:r>
        <w:t>✓ Constitutional Verification established</w:t>
      </w:r>
    </w:p>
    <w:p>
      <w:r>
        <w:t>✓ Related Sections referenced</w:t>
      </w:r>
    </w:p>
    <w:p>
      <w:r>
        <w:t>[END OF SECTION 44 — CONSTITUTIONAL EMERGENCY GOVERNANCE FRAMEWORK]</w:t>
      </w:r>
    </w:p>
    <w:p>
      <w:r>
        <w:t>Section 45: Constitutional Invariants (Non-Amendable Provisions)</w:t>
      </w:r>
    </w:p>
    <w:p>
      <w:r>
        <w:t>45.1 Constitutional Principle</w:t>
      </w:r>
    </w:p>
    <w:p>
      <w:r>
        <w:t>Constitutional Invariants define the permanent identity of the Institution. They cannot be modified, suspended, overridden, or interpreted in a manner inconsistent with their original constitutional meaning.</w:t>
      </w:r>
    </w:p>
    <w:p>
      <w:r>
        <w:t>No Constitutional Amendment, Policy Resolution, Emergency Measure, Technical Upgrade, Governance Decision, or Operational Procedure may conflict with a Constitutional Invariant.</w:t>
      </w:r>
    </w:p>
    <w:p>
      <w:r>
        <w:t>Where any conflict exists, the Constitutional Invariant shall prevail automatically.</w:t>
      </w:r>
    </w:p>
    <w:p>
      <w:r>
        <w:t>45.2 Non-Amendable Provisions</w:t>
      </w:r>
    </w:p>
    <w:p>
      <w:r>
        <w:t>45.3 Emergency Override Protection</w:t>
      </w:r>
    </w:p>
    <w:p>
      <w:r>
        <w:t>Constitutional Emergency Powers shall never suspend, bypass, reinterpret, or weaken Constitutional Invariants.</w:t>
      </w:r>
    </w:p>
    <w:p>
      <w:r>
        <w:t>45.4 Judicial Interpretation Rule</w:t>
      </w:r>
    </w:p>
    <w:p>
      <w:r>
        <w:t>Constitutional Invariants shall be interpreted according to their constitutional purpose, original institutional intent, and preservation of reserve integrity. Ambiguity shall never be interpreted in favor of expanded discretionary authority.</w:t>
      </w:r>
    </w:p>
    <w:p>
      <w:r>
        <w:t>45.5 Mathematical Engine Evolution</w:t>
      </w:r>
    </w:p>
    <w:p>
      <w:r>
        <w:t>Mathematical algorithms, implementation methods, optimization techniques, oracle architectures, cryptographic systems, and software implementations may evolve through the Constitutional Amendment Process provided that:</w:t>
      </w:r>
    </w:p>
    <w:p>
      <w:r>
        <w:t>Constitutional invariants remain unchanged</w:t>
      </w:r>
    </w:p>
    <w:p>
      <w:r>
        <w:t>Deterministic behavior is preserved</w:t>
      </w:r>
    </w:p>
    <w:p>
      <w:r>
        <w:t>Reserve integrity is maintained</w:t>
      </w:r>
    </w:p>
    <w:p>
      <w:r>
        <w:t>Redemption rights remain unchanged</w:t>
      </w:r>
    </w:p>
    <w:p>
      <w:r>
        <w:t>Mathematical equivalence is formally demonstrated</w:t>
      </w:r>
    </w:p>
    <w:p>
      <w:r>
        <w:t>Independent verification confirms constitutional compatibility</w:t>
      </w:r>
    </w:p>
    <w:p>
      <w:r>
        <w:t>45.6 Formal Equivalence Requirement</w:t>
      </w:r>
    </w:p>
    <w:p>
      <w:r>
        <w:t>Every mathematical modification shall include a Formal Equivalence Report demonstrating that constitutional guarantees remain unchanged.</w:t>
      </w:r>
    </w:p>
    <w:p>
      <w:r>
        <w:t>45.7 Constitutional Identity Lock</w:t>
      </w:r>
    </w:p>
    <w:p>
      <w:r>
        <w:t>The Institution shall never become:</w:t>
      </w:r>
    </w:p>
    <w:p>
      <w:r>
        <w:t>A commercial bank</w:t>
      </w:r>
    </w:p>
    <w:p>
      <w:r>
        <w:t>An investment fund</w:t>
      </w:r>
    </w:p>
    <w:p>
      <w:r>
        <w:t>A payment processor</w:t>
      </w:r>
    </w:p>
    <w:p>
      <w:r>
        <w:t>A lending institution</w:t>
      </w:r>
    </w:p>
    <w:p>
      <w:r>
        <w:t>A cryptocurrency issuer</w:t>
      </w:r>
    </w:p>
    <w:p>
      <w:r>
        <w:t>A stablecoin issuer</w:t>
      </w:r>
    </w:p>
    <w:p>
      <w:r>
        <w:t>A speculative asset</w:t>
      </w:r>
    </w:p>
    <w:p>
      <w:r>
        <w:t>An exchange</w:t>
      </w:r>
    </w:p>
    <w:p>
      <w:r>
        <w:t>A DAO</w:t>
      </w:r>
    </w:p>
    <w:p>
      <w:r>
        <w:t>A DeFi protocol</w:t>
      </w:r>
    </w:p>
    <w:p>
      <w:r>
        <w:t>45.8 Constitutional Verification</w:t>
      </w:r>
    </w:p>
    <w:p>
      <w:r>
        <w:t>text</w:t>
      </w:r>
    </w:p>
    <w:p>
      <w:r>
        <w:t>✓ Constitutional Principle established</w:t>
      </w:r>
    </w:p>
    <w:p>
      <w:r>
        <w:t>✓ Non-Amendable Provisions list complete</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45.9 Related Sections</w:t>
      </w:r>
    </w:p>
    <w:p>
      <w:r>
        <w:t>Section 43 — Constitutional Amendment &amp; Governance Framework</w:t>
      </w:r>
    </w:p>
    <w:p>
      <w:r>
        <w:t>Section 44 — Constitutional Emergency Governance Framework</w:t>
      </w:r>
    </w:p>
    <w:p>
      <w:r>
        <w:t>Section 46 — Constitutional Communication Standards</w:t>
      </w:r>
    </w:p>
    <w:p>
      <w:r>
        <w:t>Section 47 — Constitutional Constants Registry</w:t>
      </w:r>
    </w:p>
    <w:p>
      <w:r>
        <w:t>Section 50 — Constitutional Governance</w:t>
      </w:r>
    </w:p>
    <w:p>
      <w:r>
        <w:t>Constitutional Verification</w:t>
      </w:r>
    </w:p>
    <w:p>
      <w:r>
        <w:t>text</w:t>
      </w:r>
    </w:p>
    <w:p>
      <w:r>
        <w:t>✓ Constitutional Principle established</w:t>
      </w:r>
    </w:p>
    <w:p>
      <w:r>
        <w:t>✓ Non-Amendable Provisions listed</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 Constitutional Verification established</w:t>
      </w:r>
    </w:p>
    <w:p>
      <w:r>
        <w:t>✓ Related Sections referenced</w:t>
      </w:r>
    </w:p>
    <w:p>
      <w:r>
        <w:t>[END OF SECTION 45 — CONSTITUTIONAL INVARIANTS (NON-AMENDABLE PROVISIONS)]</w:t>
      </w:r>
    </w:p>
    <w:p>
      <w:r>
        <w:t>Section 46: Constitutional Communication Standards</w:t>
      </w:r>
    </w:p>
    <w:p>
      <w:r>
        <w:t>46.1 Constitutional Principle</w:t>
      </w:r>
    </w:p>
    <w:p>
      <w:r>
        <w:t>Every public communication shall reflect precision, prudence, neutrality, verifiability, and institutional humility.</w:t>
      </w:r>
    </w:p>
    <w:p>
      <w:r>
        <w:t>Every statement shall be objectively measurable, technically defensible, legally supportable, and capable of independent verification.</w:t>
      </w:r>
    </w:p>
    <w:p>
      <w:r>
        <w:t>Promotional, speculative, exaggerated, or emotionally persuasive language is constitutionally prohibited.</w:t>
      </w:r>
    </w:p>
    <w:p>
      <w:r>
        <w:t>46.2 Forbidden Words</w:t>
      </w:r>
    </w:p>
    <w:p>
      <w:r>
        <w:t>46.3 Required Words</w:t>
      </w:r>
    </w:p>
    <w:p>
      <w:r>
        <w:t>46.4 Communication Rules</w:t>
      </w:r>
    </w:p>
    <w:p>
      <w:r>
        <w:t>Every communication must satisfy:</w:t>
      </w:r>
    </w:p>
    <w:p>
      <w:r>
        <w:t>✓ Technically accurate</w:t>
      </w:r>
    </w:p>
    <w:p>
      <w:r>
        <w:t>✓ Legally supportable</w:t>
      </w:r>
    </w:p>
    <w:p>
      <w:r>
        <w:t>✓ Auditable</w:t>
      </w:r>
    </w:p>
    <w:p>
      <w:r>
        <w:t>✓ Quantifiable</w:t>
      </w:r>
    </w:p>
    <w:p>
      <w:r>
        <w:t>✓ Free from promotional language</w:t>
      </w:r>
    </w:p>
    <w:p>
      <w:r>
        <w:t>✓ Free from speculation</w:t>
      </w:r>
    </w:p>
    <w:p>
      <w:r>
        <w:t>✓ Consistent with Constitutional Communication Standards</w:t>
      </w:r>
    </w:p>
    <w:p>
      <w:r>
        <w:t>46.5 Public Communication Review Process</w:t>
      </w:r>
    </w:p>
    <w:p>
      <w:r>
        <w:t>text</w:t>
      </w:r>
    </w:p>
    <w:p>
      <w:r>
        <w:t>Communication Review</w:t>
      </w:r>
    </w:p>
    <w:p>
      <w:r>
        <w:t>│</w:t>
      </w:r>
    </w:p>
    <w:p>
      <w:r>
        <w:t>▼</w:t>
      </w:r>
    </w:p>
    <w:p>
      <w:r>
        <w:t>Technical Accuracy</w:t>
      </w:r>
    </w:p>
    <w:p>
      <w:r>
        <w:t>│</w:t>
      </w:r>
    </w:p>
    <w:p>
      <w:r>
        <w:t>▼</w:t>
      </w:r>
    </w:p>
    <w:p>
      <w:r>
        <w:t>Legal Review</w:t>
      </w:r>
    </w:p>
    <w:p>
      <w:r>
        <w:t>│</w:t>
      </w:r>
    </w:p>
    <w:p>
      <w:r>
        <w:t>▼</w:t>
      </w:r>
    </w:p>
    <w:p>
      <w:r>
        <w:t>Constitutional Language Review</w:t>
      </w:r>
    </w:p>
    <w:p>
      <w:r>
        <w:t>│</w:t>
      </w:r>
    </w:p>
    <w:p>
      <w:r>
        <w:t>▼</w:t>
      </w:r>
    </w:p>
    <w:p>
      <w:r>
        <w:t>Risk Review</w:t>
      </w:r>
    </w:p>
    <w:p>
      <w:r>
        <w:t>│</w:t>
      </w:r>
    </w:p>
    <w:p>
      <w:r>
        <w:t>▼</w:t>
      </w:r>
    </w:p>
    <w:p>
      <w:r>
        <w:t>Approval</w:t>
      </w:r>
    </w:p>
    <w:p>
      <w:r>
        <w:t>│</w:t>
      </w:r>
    </w:p>
    <w:p>
      <w:r>
        <w:t>▼</w:t>
      </w:r>
    </w:p>
    <w:p>
      <w:r>
        <w:t>Publication</w:t>
      </w:r>
    </w:p>
    <w:p>
      <w:r>
        <w:t>46.6 Comparison Rule</w:t>
      </w:r>
    </w:p>
    <w:p>
      <w:r>
        <w:t>Comparisons with external institutions shall be descriptive, factual, and technically verifiable.</w:t>
      </w:r>
    </w:p>
    <w:p>
      <w:r>
        <w:t>Comparative superiority claims are constitutionally prohibited.</w:t>
      </w:r>
    </w:p>
    <w:p>
      <w:r>
        <w:t>46.7 AI-Generated Content</w:t>
      </w:r>
    </w:p>
    <w:p>
      <w:r>
        <w:t>AI-generated content shall comply with Constitutional Communication Standards before publication. Human constitutional review remains mandatory.</w:t>
      </w:r>
    </w:p>
    <w:p>
      <w:r>
        <w:t>46.8 Constitutional Tone</w:t>
      </w:r>
    </w:p>
    <w:p>
      <w:r>
        <w:t>The Institution communicates as a constitutional monetary infrastructure rather than a commercial enterprise. Communications shall prioritize institutional credibility over promotional appeal.</w:t>
      </w:r>
    </w:p>
    <w:p>
      <w:r>
        <w:t>46.9 Communication Audit</w:t>
      </w:r>
    </w:p>
    <w:p>
      <w:r>
        <w:t>Every published document shall record:</w:t>
      </w:r>
    </w:p>
    <w:p>
      <w:r>
        <w:t>Document Version</w:t>
      </w:r>
    </w:p>
    <w:p>
      <w:r>
        <w:t>Author</w:t>
      </w:r>
    </w:p>
    <w:p>
      <w:r>
        <w:t>Reviewer</w:t>
      </w:r>
    </w:p>
    <w:p>
      <w:r>
        <w:t>Constitutional Reviewer</w:t>
      </w:r>
    </w:p>
    <w:p>
      <w:r>
        <w:t>Legal Reviewer</w:t>
      </w:r>
    </w:p>
    <w:p>
      <w:r>
        <w:t>Approval Date</w:t>
      </w:r>
    </w:p>
    <w:p>
      <w:r>
        <w:t>Language Standard Version</w:t>
      </w:r>
    </w:p>
    <w:p>
      <w:r>
        <w:t>46.10 Constitutional Verification</w:t>
      </w:r>
    </w:p>
    <w:p>
      <w:r>
        <w:t>text</w:t>
      </w:r>
    </w:p>
    <w:p>
      <w:r>
        <w:t>✓ Constitutional Principle established</w:t>
      </w:r>
    </w:p>
    <w:p>
      <w:r>
        <w:t>✓ Forbidden Words list complete</w:t>
      </w:r>
    </w:p>
    <w:p>
      <w:r>
        <w:t>✓ Required Words list complete</w:t>
      </w:r>
    </w:p>
    <w:p>
      <w:r>
        <w:t>✓ Communication Rules established</w:t>
      </w:r>
    </w:p>
    <w:p>
      <w:r>
        <w:t>✓ Public Communication Review Process established</w:t>
      </w:r>
    </w:p>
    <w:p>
      <w:r>
        <w:t>✓ Comparison Rule established</w:t>
      </w:r>
    </w:p>
    <w:p>
      <w:r>
        <w:t>✓ AI-Generated Content rule established</w:t>
      </w:r>
    </w:p>
    <w:p>
      <w:r>
        <w:t>✓ Constitutional Tone established</w:t>
      </w:r>
    </w:p>
    <w:p>
      <w:r>
        <w:t>✓ Communication Audit requirements established</w:t>
      </w:r>
    </w:p>
    <w:p>
      <w:r>
        <w:t>46.11 Related Sections</w:t>
      </w:r>
    </w:p>
    <w:p>
      <w:r>
        <w:t>Section 43 — Constitutional Amendment &amp; Governance Framework</w:t>
      </w:r>
    </w:p>
    <w:p>
      <w:r>
        <w:t>Section 45 — Constitutional Invariants (Non-Amendable Provisions)</w:t>
      </w:r>
    </w:p>
    <w:p>
      <w:r>
        <w:t>Section 52 — Constitutional Transparency</w:t>
      </w:r>
    </w:p>
    <w:p>
      <w:r>
        <w:t>Constitutional Verification</w:t>
      </w:r>
    </w:p>
    <w:p>
      <w:r>
        <w:t>text</w:t>
      </w:r>
    </w:p>
    <w:p>
      <w:r>
        <w:t>✓ Constitutional Principle established</w:t>
      </w:r>
    </w:p>
    <w:p>
      <w:r>
        <w:t>✓ Forbidden Words listed</w:t>
      </w:r>
    </w:p>
    <w:p>
      <w:r>
        <w:t>✓ Required Words listed</w:t>
      </w:r>
    </w:p>
    <w:p>
      <w:r>
        <w:t>✓ Communication Rules established</w:t>
      </w:r>
    </w:p>
    <w:p>
      <w:r>
        <w:t>✓ Public Communication Review Process defined</w:t>
      </w:r>
    </w:p>
    <w:p>
      <w:r>
        <w:t>✓ Comparison Rule established</w:t>
      </w:r>
    </w:p>
    <w:p>
      <w:r>
        <w:t>✓ AI-Generated Content rule established</w:t>
      </w:r>
    </w:p>
    <w:p>
      <w:r>
        <w:t>✓ Constitutional Tone established</w:t>
      </w:r>
    </w:p>
    <w:p>
      <w:r>
        <w:t>✓ Communication Audit established</w:t>
      </w:r>
    </w:p>
    <w:p>
      <w:r>
        <w:t>✓ Constitutional Verification established</w:t>
      </w:r>
    </w:p>
    <w:p>
      <w:r>
        <w:t>✓ Related Sections referenced</w:t>
      </w:r>
    </w:p>
    <w:p>
      <w:r>
        <w:t>[END OF SECTION 46 — CONSTITUTIONAL COMMUNICATION STANDARDS]</w:t>
      </w:r>
    </w:p>
    <w:p>
      <w:r>
        <w:t>Section 47: Constitutional Continuity &amp; Institutional Resilience Framework</w:t>
      </w:r>
    </w:p>
    <w:p>
      <w:r>
        <w:t>47.1 Constitutional Principle</w:t>
      </w:r>
    </w:p>
    <w:p>
      <w:r>
        <w:t>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p>
    <w:p>
      <w:r>
        <w:t>Continuity measures shall restore constitutional operation rather than create new discretionary authority.</w:t>
      </w:r>
    </w:p>
    <w:p>
      <w:r>
        <w:t>47.2 Continuity Levels</w:t>
      </w:r>
    </w:p>
    <w:p>
      <w:r>
        <w:t>47.3 Recovery Objectives (RTO / RPO)</w:t>
      </w:r>
    </w:p>
    <w:p>
      <w:r>
        <w:t>47.4 Continuity Requirements</w:t>
      </w:r>
    </w:p>
    <w:p>
      <w:r>
        <w:t>Every recovery procedure shall preserve:</w:t>
      </w:r>
    </w:p>
    <w:p>
      <w:r>
        <w:t>Constitutional Invariants</w:t>
      </w:r>
    </w:p>
    <w:p>
      <w:r>
        <w:t>Reserve ownership</w:t>
      </w:r>
    </w:p>
    <w:p>
      <w:r>
        <w:t>Redemption rights</w:t>
      </w:r>
    </w:p>
    <w:p>
      <w:r>
        <w:t>Audit trail</w:t>
      </w:r>
    </w:p>
    <w:p>
      <w:r>
        <w:t>Oracle integrity</w:t>
      </w:r>
    </w:p>
    <w:p>
      <w:r>
        <w:t>Deterministic calculations</w:t>
      </w:r>
    </w:p>
    <w:p>
      <w:r>
        <w:t>Cryptographic verification</w:t>
      </w:r>
    </w:p>
    <w:p>
      <w:r>
        <w:t>Legal enforceability</w:t>
      </w:r>
    </w:p>
    <w:p>
      <w:r>
        <w:t>47.5 Annual Testing</w:t>
      </w:r>
    </w:p>
    <w:p>
      <w:r>
        <w:t>The Constitutional Continuity Framework shall be tested at least annually through documented tabletop exercises, technical simulations, and full disaster recovery exercises. Results shall be independently reviewed and reported to the Council.</w:t>
      </w:r>
    </w:p>
    <w:p>
      <w:r>
        <w:t>47.6 Geographic Resilience</w:t>
      </w:r>
    </w:p>
    <w:p>
      <w:r>
        <w:t>Custodians should be geographically diversified</w:t>
      </w:r>
    </w:p>
    <w:p>
      <w:r>
        <w:t>Oracle infrastructure should span multiple jurisdictions</w:t>
      </w:r>
    </w:p>
    <w:p>
      <w:r>
        <w:t>Backup governance infrastructure should exist in separate legal jurisdictions</w:t>
      </w:r>
    </w:p>
    <w:p>
      <w:r>
        <w:t>Cryptographic keys should support secure multi-region recovery</w:t>
      </w:r>
    </w:p>
    <w:p>
      <w:r>
        <w:t>47.7 Continuity Activation Rule</w:t>
      </w:r>
    </w:p>
    <w:p>
      <w:r>
        <w:t>Continuity procedures shall activate automatically where predefined objective thresholds are met. Manual activation shall be required only where constitutional judgment is necessary.</w:t>
      </w:r>
    </w:p>
    <w:p>
      <w:r>
        <w:t>47.8 Continuity Exit Criteria</w:t>
      </w:r>
    </w:p>
    <w:p>
      <w:r>
        <w:t>Each continuity level shall include:</w:t>
      </w:r>
    </w:p>
    <w:p>
      <w:r>
        <w:t>Activation criteria</w:t>
      </w:r>
    </w:p>
    <w:p>
      <w:r>
        <w:t>Recovery criteria</w:t>
      </w:r>
    </w:p>
    <w:p>
      <w:r>
        <w:t>Independent verification</w:t>
      </w:r>
    </w:p>
    <w:p>
      <w:r>
        <w:t>Council confirmation</w:t>
      </w:r>
    </w:p>
    <w:p>
      <w:r>
        <w:t>Return-to-normal authorization</w:t>
      </w:r>
    </w:p>
    <w:p>
      <w:r>
        <w:t>47.9 Constitutional Verification</w:t>
      </w:r>
    </w:p>
    <w:p>
      <w:r>
        <w:t>text</w:t>
      </w:r>
    </w:p>
    <w:p>
      <w:r>
        <w:t>✓ Constitutional Principle established</w:t>
      </w:r>
    </w:p>
    <w:p>
      <w:r>
        <w:t>✓ Continuity Levels defined (7 levels)</w:t>
      </w:r>
    </w:p>
    <w:p>
      <w:r>
        <w:t>✓ Recovery Objectives (RTO/RPO) defined</w:t>
      </w:r>
    </w:p>
    <w:p>
      <w:r>
        <w:t>✓ Continuity Requirements established</w:t>
      </w:r>
    </w:p>
    <w:p>
      <w:r>
        <w:t>✓ Annual Testing requirement established</w:t>
      </w:r>
    </w:p>
    <w:p>
      <w:r>
        <w:t>✓ Geographic Resilience requirements established</w:t>
      </w:r>
    </w:p>
    <w:p>
      <w:r>
        <w:t>✓ Continuity Activation Rule established</w:t>
      </w:r>
    </w:p>
    <w:p>
      <w:r>
        <w:t>✓ Continuity Exit Criteria established</w:t>
      </w:r>
    </w:p>
    <w:p>
      <w:r>
        <w:t>47.10 Related Sections</w:t>
      </w:r>
    </w:p>
    <w:p>
      <w:r>
        <w:t>Section 32 — Constitutional Oracle Failure Recovery</w:t>
      </w:r>
    </w:p>
    <w:p>
      <w:r>
        <w:t>Section 44 — Constitutional Emergency Governance Framework</w:t>
      </w:r>
    </w:p>
    <w:p>
      <w:r>
        <w:t>Section 45 — Constitutional Invariants (Non-Amendable Provisions)</w:t>
      </w:r>
    </w:p>
    <w:p>
      <w:r>
        <w:t>Section 53 — Constitutional Audit</w:t>
      </w:r>
    </w:p>
    <w:p>
      <w:r>
        <w:t>Constitutional Verification</w:t>
      </w:r>
    </w:p>
    <w:p>
      <w:r>
        <w:t>text</w:t>
      </w:r>
    </w:p>
    <w:p>
      <w:r>
        <w:t>✓ Constitutional Principle established</w:t>
      </w:r>
    </w:p>
    <w:p>
      <w:r>
        <w:t>✓ Continuity Levels defined</w:t>
      </w:r>
    </w:p>
    <w:p>
      <w:r>
        <w:t>✓ Recovery Objectives (RTO/RPO) defined</w:t>
      </w:r>
    </w:p>
    <w:p>
      <w:r>
        <w:t>✓ Continuity Requirements established</w:t>
      </w:r>
    </w:p>
    <w:p>
      <w:r>
        <w:t>✓ Annual Testing established</w:t>
      </w:r>
    </w:p>
    <w:p>
      <w:r>
        <w:t>✓ Geographic Resilience established</w:t>
      </w:r>
    </w:p>
    <w:p>
      <w:r>
        <w:t>✓ Continuity Activation Rule established</w:t>
      </w:r>
    </w:p>
    <w:p>
      <w:r>
        <w:t>✓ Continuity Exit Criteria established</w:t>
      </w:r>
    </w:p>
    <w:p>
      <w:r>
        <w:t>✓ Constitutional Verification established</w:t>
      </w:r>
    </w:p>
    <w:p>
      <w:r>
        <w:t>✓ Related Sections referenced</w:t>
      </w:r>
    </w:p>
    <w:p>
      <w:r>
        <w:t>[END OF SECTION 47 — CONSTITUTIONAL CONTINUITY &amp; INSTITUTIONAL RESILIENCE FRAMEWORK]</w:t>
      </w:r>
    </w:p>
    <w:p>
      <w:r>
        <w:t>Section 48: Jurisdictional Regulatory Implementation — United States</w:t>
      </w:r>
    </w:p>
    <w:p>
      <w:r>
        <w:t>48.1 Constitutional Principle</w:t>
      </w:r>
    </w:p>
    <w:p>
      <w:r>
        <w:t>The Institution is designed to operate in compliance with applicable laws and regulations in every jurisdiction in which it conducts activities. Regulatory implementation shall adapt to jurisdiction-specific requirements while preserving Constitutional Invariants.</w:t>
      </w:r>
    </w:p>
    <w:p>
      <w:r>
        <w:t>48.2 U.S. Regulatory Implementation</w:t>
      </w:r>
    </w:p>
    <w:p>
      <w:r>
        <w:t>48.3 International Frameworks</w:t>
      </w:r>
    </w:p>
    <w:p>
      <w:r>
        <w:t>48.4 Constitutional Design Intents</w:t>
      </w:r>
    </w:p>
    <w:p>
      <w:r>
        <w:t>48.5 Regulatory Classification Statement</w:t>
      </w:r>
    </w:p>
    <w:p>
      <w:r>
        <w:t>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p>
    <w:p>
      <w:r>
        <w:t>Nothing in this Constitution constitutes legal, regulatory, tax, accounting, or investment advice. Participants remain responsible for obtaining independent professional advice where appropriate.</w:t>
      </w:r>
    </w:p>
    <w:p>
      <w:r>
        <w:t>48.6 Jurisdictional Flexibility</w:t>
      </w:r>
    </w:p>
    <w:p>
      <w:r>
        <w:t>Jurisdiction-specific implementation requirements may differ among legal systems. Such implementation differences shall not modify Constitutional Invariants or the constitutional monetary architecture.</w:t>
      </w:r>
    </w:p>
    <w:p>
      <w:r>
        <w:t>48.7 Regulatory Review</w:t>
      </w:r>
    </w:p>
    <w:p>
      <w:r>
        <w:t>The Institution shall conduct a formal regulatory review at least annually, or following any material legislative or regulatory change affecting reserve management, settlement, custody, sanctions compliance, or participant eligibility.</w:t>
      </w:r>
    </w:p>
    <w:p>
      <w:r>
        <w:t>48.8 Regulatory Governance</w:t>
      </w:r>
    </w:p>
    <w:p>
      <w:r>
        <w:t>48.9 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requirements established</w:t>
      </w:r>
    </w:p>
    <w:p>
      <w:r>
        <w:t>✓ Regulatory Governance defined</w:t>
      </w:r>
    </w:p>
    <w:p>
      <w:r>
        <w:t>48.10 Related Sections</w:t>
      </w:r>
    </w:p>
    <w:p>
      <w:r>
        <w:t>Section 7 — Counterparty Risk Adjustment — Composite Score</w:t>
      </w:r>
    </w:p>
    <w:p>
      <w:r>
        <w:t>Section 10 — Counterparty Exposure Limits</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established</w:t>
      </w:r>
    </w:p>
    <w:p>
      <w:r>
        <w:t>✓ Regulatory Governance defined</w:t>
      </w:r>
    </w:p>
    <w:p>
      <w:r>
        <w:t>✓ Constitutional Verification established</w:t>
      </w:r>
    </w:p>
    <w:p>
      <w:r>
        <w:t>✓ Related Sections referenced</w:t>
      </w:r>
    </w:p>
    <w:p>
      <w:r>
        <w:t>[END OF SECTION 48 — JURISDICTIONAL REGULATORY IMPLEMENTATION (UNITED STATES)]</w:t>
      </w:r>
    </w:p>
    <w:p>
      <w:r>
        <w:t>Section 49: Constitutional Sharia Governance Framework</w:t>
      </w:r>
    </w:p>
    <w:p>
      <w:r>
        <w:t>49.1 Constitutional Principle</w:t>
      </w:r>
    </w:p>
    <w:p>
      <w:r>
        <w:t>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p>
    <w:p>
      <w:r>
        <w:t>Sharia governance complements, but does not replace, constitutional governance.</w:t>
      </w:r>
    </w:p>
    <w:p>
      <w:r>
        <w:t>49.2 Constitutional Sharia Requirements</w:t>
      </w:r>
    </w:p>
    <w:p>
      <w:r>
        <w:t>49.3 Sharia Committee Constitutional Powers</w:t>
      </w:r>
    </w:p>
    <w:p>
      <w:r>
        <w:t>49.4 Fatwa Lifecycle</w:t>
      </w:r>
    </w:p>
    <w:p>
      <w:r>
        <w:t>text</w:t>
      </w:r>
    </w:p>
    <w:p>
      <w:r>
        <w:t>Proposal</w:t>
      </w:r>
    </w:p>
    <w:p>
      <w:r>
        <w:t>│</w:t>
      </w:r>
    </w:p>
    <w:p>
      <w:r>
        <w:t>▼</w:t>
      </w:r>
    </w:p>
    <w:p>
      <w:r>
        <w:t>Sharia Review</w:t>
      </w:r>
    </w:p>
    <w:p>
      <w:r>
        <w:t>│</w:t>
      </w:r>
    </w:p>
    <w:p>
      <w:r>
        <w:t>▼</w:t>
      </w:r>
    </w:p>
    <w:p>
      <w:r>
        <w:t>Technical Review</w:t>
      </w:r>
    </w:p>
    <w:p>
      <w:r>
        <w:t>│</w:t>
      </w:r>
    </w:p>
    <w:p>
      <w:r>
        <w:t>▼</w:t>
      </w:r>
    </w:p>
    <w:p>
      <w:r>
        <w:t>Legal Review</w:t>
      </w:r>
    </w:p>
    <w:p>
      <w:r>
        <w:t>│</w:t>
      </w:r>
    </w:p>
    <w:p>
      <w:r>
        <w:t>▼</w:t>
      </w:r>
    </w:p>
    <w:p>
      <w:r>
        <w:t>Joint Review</w:t>
      </w:r>
    </w:p>
    <w:p>
      <w:r>
        <w:t>│</w:t>
      </w:r>
    </w:p>
    <w:p>
      <w:r>
        <w:t>▼</w:t>
      </w:r>
    </w:p>
    <w:p>
      <w:r>
        <w:t>Fatwa Issued</w:t>
      </w:r>
    </w:p>
    <w:p>
      <w:r>
        <w:t>│</w:t>
      </w:r>
    </w:p>
    <w:p>
      <w:r>
        <w:t>▼</w:t>
      </w:r>
    </w:p>
    <w:p>
      <w:r>
        <w:t>Implementation</w:t>
      </w:r>
    </w:p>
    <w:p>
      <w:r>
        <w:t>│</w:t>
      </w:r>
    </w:p>
    <w:p>
      <w:r>
        <w:t>▼</w:t>
      </w:r>
    </w:p>
    <w:p>
      <w:r>
        <w:t>Annual Revalidation</w:t>
      </w:r>
    </w:p>
    <w:p>
      <w:r>
        <w:t>49.5 Conflict Resolution</w:t>
      </w:r>
    </w:p>
    <w:p>
      <w:r>
        <w:t>Where Constitutional Governance and Sharia Governance identify potential inconsistency, a Joint Constitutional Review shall be convened. No implementation shall proceed until constitutional compatibility and Sharia compliance have both been confirmed.</w:t>
      </w:r>
    </w:p>
    <w:p>
      <w:r>
        <w:t>49.6 Scholar Independence</w:t>
      </w:r>
    </w:p>
    <w:p>
      <w:r>
        <w:t>Members of the Constitutional Sharia Committee shall:</w:t>
      </w:r>
    </w:p>
    <w:p>
      <w:r>
        <w:t>Remain operationally independent</w:t>
      </w:r>
    </w:p>
    <w:p>
      <w:r>
        <w:t>Disclose conflicts of interest annually</w:t>
      </w:r>
    </w:p>
    <w:p>
      <w:r>
        <w:t>Receive fixed compensation independent of commercial performance</w:t>
      </w:r>
    </w:p>
    <w:p>
      <w:r>
        <w:t>Serve staggered terms to preserve continuity</w:t>
      </w:r>
    </w:p>
    <w:p>
      <w:r>
        <w:t>49.7 Annual External Sharia Audit</w:t>
      </w:r>
    </w:p>
    <w:p>
      <w:r>
        <w:t>An independent external Sharia audit shall be conducted annually by qualified auditors independent of the Constitutional Sharia Committee.</w:t>
      </w:r>
    </w:p>
    <w:p>
      <w:r>
        <w:t>49.8 International Recognition</w:t>
      </w:r>
    </w:p>
    <w:p>
      <w:r>
        <w:t>The Institution may additionally consider standards published by:</w:t>
      </w:r>
    </w:p>
    <w:p>
      <w:r>
        <w:t>IFSB (Islamic Financial Services Board)</w:t>
      </w:r>
    </w:p>
    <w:p>
      <w:r>
        <w:t>OIC Fiqh Academy</w:t>
      </w:r>
    </w:p>
    <w:p>
      <w:r>
        <w:t>National Sharia Supervisory Authorities</w:t>
      </w:r>
    </w:p>
    <w:p>
      <w:r>
        <w:t>Provided such guidance does not conflict with Constitutional Invariants.</w:t>
      </w:r>
    </w:p>
    <w:p>
      <w:r>
        <w:t>49.9 Public Transparency</w:t>
      </w:r>
    </w:p>
    <w:p>
      <w:r>
        <w:t>The Institution shall publish annually:</w:t>
      </w:r>
    </w:p>
    <w:p>
      <w:r>
        <w:t>Sharia Certificate</w:t>
      </w:r>
    </w:p>
    <w:p>
      <w:r>
        <w:t>Fatwa Register</w:t>
      </w:r>
    </w:p>
    <w:p>
      <w:r>
        <w:t>Asset Compliance Report</w:t>
      </w:r>
    </w:p>
    <w:p>
      <w:r>
        <w:t>Non-compliance Events</w:t>
      </w:r>
    </w:p>
    <w:p>
      <w:r>
        <w:t>Corrective Actions</w:t>
      </w:r>
    </w:p>
    <w:p>
      <w:r>
        <w:t>49.10 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required</w:t>
      </w:r>
    </w:p>
    <w:p>
      <w:r>
        <w:t>✓ International Recognition established</w:t>
      </w:r>
    </w:p>
    <w:p>
      <w:r>
        <w:t>✓ Public Transparency requirements established</w:t>
      </w:r>
    </w:p>
    <w:p>
      <w:r>
        <w:t>49.11 Related Sections</w:t>
      </w:r>
    </w:p>
    <w:p>
      <w:r>
        <w:t>Section 43 — Constitutional Amendment &amp; Governance Framework</w:t>
      </w:r>
    </w:p>
    <w:p>
      <w:r>
        <w:t>Section 45 — Constitutional Invariants (Non-Amendable Provisions)</w:t>
      </w:r>
    </w:p>
    <w:p>
      <w:r>
        <w:t>Section 48 — Jurisdictional Regulatory Implementation</w:t>
      </w:r>
    </w:p>
    <w:p>
      <w:r>
        <w:t>Section 53 — Constitutional Audit</w:t>
      </w:r>
    </w:p>
    <w:p>
      <w:r>
        <w:t>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established</w:t>
      </w:r>
    </w:p>
    <w:p>
      <w:r>
        <w:t>✓ International Recognition established</w:t>
      </w:r>
    </w:p>
    <w:p>
      <w:r>
        <w:t>✓ Public Transparency established</w:t>
      </w:r>
    </w:p>
    <w:p>
      <w:r>
        <w:t>✓ Constitutional Verification established</w:t>
      </w:r>
    </w:p>
    <w:p>
      <w:r>
        <w:t>✓ Related Sections referenced</w:t>
      </w:r>
    </w:p>
    <w:p>
      <w:r>
        <w:t>[END OF SECTION 49 — CONSTITUTIONAL SHARIA GOVERNANCE FRAMEWORK]</w:t>
      </w:r>
    </w:p>
    <w:p>
      <w:r>
        <w:t>Section 50: Constitutional Bullion Standards</w:t>
      </w:r>
    </w:p>
    <w:p>
      <w:r>
        <w:t>50.1 Constitutional Principle</w:t>
      </w:r>
    </w:p>
    <w:p>
      <w:r>
        <w:t>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p>
    <w:p>
      <w:r>
        <w:t>50.2 Constitutional Bullion Standards</w:t>
      </w:r>
    </w:p>
    <w:p>
      <w:r>
        <w:t>50.3 Chain of Custody</w:t>
      </w:r>
    </w:p>
    <w:p>
      <w:r>
        <w:t>text</w:t>
      </w:r>
    </w:p>
    <w:p>
      <w:r>
        <w:t>Refinery</w:t>
      </w:r>
    </w:p>
    <w:p>
      <w:r>
        <w:t>│</w:t>
      </w:r>
    </w:p>
    <w:p>
      <w:r>
        <w:t>▼</w:t>
      </w:r>
    </w:p>
    <w:p>
      <w:r>
        <w:t>Transport</w:t>
      </w:r>
    </w:p>
    <w:p>
      <w:r>
        <w:t>│</w:t>
      </w:r>
    </w:p>
    <w:p>
      <w:r>
        <w:t>▼</w:t>
      </w:r>
    </w:p>
    <w:p>
      <w:r>
        <w:t>Vault</w:t>
      </w:r>
    </w:p>
    <w:p>
      <w:r>
        <w:t>│</w:t>
      </w:r>
    </w:p>
    <w:p>
      <w:r>
        <w:t>▼</w:t>
      </w:r>
    </w:p>
    <w:p>
      <w:r>
        <w:t>Verification</w:t>
      </w:r>
    </w:p>
    <w:p>
      <w:r>
        <w:t>│</w:t>
      </w:r>
    </w:p>
    <w:p>
      <w:r>
        <w:t>▼</w:t>
      </w:r>
    </w:p>
    <w:p>
      <w:r>
        <w:t>Reserve Registry</w:t>
      </w:r>
    </w:p>
    <w:p>
      <w:r>
        <w:t>│</w:t>
      </w:r>
    </w:p>
    <w:p>
      <w:r>
        <w:t>▼</w:t>
      </w:r>
    </w:p>
    <w:p>
      <w:r>
        <w:t>Proof of Reserves</w:t>
      </w:r>
    </w:p>
    <w:p>
      <w:r>
        <w:t>50.4 Diversification Limits</w:t>
      </w:r>
    </w:p>
    <w:p>
      <w:r>
        <w:t>50.5 Inspection Requirements</w:t>
      </w:r>
    </w:p>
    <w:p>
      <w:r>
        <w:t>50.6 Insurance Requirement</w:t>
      </w:r>
    </w:p>
    <w:p>
      <w:r>
        <w:t>All constitutional bullion shall remain fully insured at replacement value through highly rated insurers. Insurance arrangements shall be reviewed annually.</w:t>
      </w:r>
    </w:p>
    <w:p>
      <w:r>
        <w:t>50.7 Encumbrance Prohibition</w:t>
      </w:r>
    </w:p>
    <w:p>
      <w:r>
        <w:t>Constitutional bullion shall never be:</w:t>
      </w:r>
    </w:p>
    <w:p>
      <w:r>
        <w:t>Pledged</w:t>
      </w:r>
    </w:p>
    <w:p>
      <w:r>
        <w:t>Rehypothecated</w:t>
      </w:r>
    </w:p>
    <w:p>
      <w:r>
        <w:t>Lent</w:t>
      </w:r>
    </w:p>
    <w:p>
      <w:r>
        <w:t>Leased</w:t>
      </w:r>
    </w:p>
    <w:p>
      <w:r>
        <w:t>Used as collateral</w:t>
      </w:r>
    </w:p>
    <w:p>
      <w:r>
        <w:t>Subject to derivative exposure</w:t>
      </w:r>
    </w:p>
    <w:p>
      <w:r>
        <w:t>Commingled with third-party assets</w:t>
      </w:r>
    </w:p>
    <w:p>
      <w:r>
        <w:t>50.8 Transport Standards</w:t>
      </w:r>
    </w:p>
    <w:p>
      <w:r>
        <w:t>Bullion transport shall satisfy:</w:t>
      </w:r>
    </w:p>
    <w:p>
      <w:r>
        <w:t>Armored transport</w:t>
      </w:r>
    </w:p>
    <w:p>
      <w:r>
        <w:t>GPS tracking</w:t>
      </w:r>
    </w:p>
    <w:p>
      <w:r>
        <w:t>Dual authorization</w:t>
      </w:r>
    </w:p>
    <w:p>
      <w:r>
        <w:t>Tamper-evident containers</w:t>
      </w:r>
    </w:p>
    <w:p>
      <w:r>
        <w:t>Documented custody transfer</w:t>
      </w:r>
    </w:p>
    <w:p>
      <w:r>
        <w:t>50.9 Verification Lifecycle</w:t>
      </w:r>
    </w:p>
    <w:p>
      <w:r>
        <w:t>text</w:t>
      </w:r>
    </w:p>
    <w:p>
      <w:r>
        <w:t>Acquisition</w:t>
      </w:r>
    </w:p>
    <w:p>
      <w:r>
        <w:t>│</w:t>
      </w:r>
    </w:p>
    <w:p>
      <w:r>
        <w:t>▼</w:t>
      </w:r>
    </w:p>
    <w:p>
      <w:r>
        <w:t>Transport</w:t>
      </w:r>
    </w:p>
    <w:p>
      <w:r>
        <w:t>│</w:t>
      </w:r>
    </w:p>
    <w:p>
      <w:r>
        <w:t>▼</w:t>
      </w:r>
    </w:p>
    <w:p>
      <w:r>
        <w:t>Vault Receipt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w:t>
      </w:r>
    </w:p>
    <w:p>
      <w:r>
        <w:t>▼</w:t>
      </w:r>
    </w:p>
    <w:p>
      <w:r>
        <w:t>Quarterly Audit</w:t>
      </w:r>
    </w:p>
    <w:p>
      <w:r>
        <w:t>│</w:t>
      </w:r>
    </w:p>
    <w:p>
      <w:r>
        <w:t>▼</w:t>
      </w:r>
    </w:p>
    <w:p>
      <w:r>
        <w:t>Annual Assay</w:t>
      </w:r>
    </w:p>
    <w:p>
      <w:r>
        <w:t>50.10 Emergency Custody Transfer</w:t>
      </w:r>
    </w:p>
    <w:p>
      <w:r>
        <w:t>Where a qualified custodian becomes unavailable, bullion may be transferred to an alternate qualified custodian through a documented chain-of-custody process without affecting constitutional ownership.</w:t>
      </w:r>
    </w:p>
    <w:p>
      <w:r>
        <w:t>50.11 Reserve Registry</w:t>
      </w:r>
    </w:p>
    <w:p>
      <w:r>
        <w:t>Every bar shall have immutable records including:</w:t>
      </w:r>
    </w:p>
    <w:p>
      <w:r>
        <w:t>Bar ID</w:t>
      </w:r>
    </w:p>
    <w:p>
      <w:r>
        <w:t>Serial Number</w:t>
      </w:r>
    </w:p>
    <w:p>
      <w:r>
        <w:t>Refiner</w:t>
      </w:r>
    </w:p>
    <w:p>
      <w:r>
        <w:t>Weight</w:t>
      </w:r>
    </w:p>
    <w:p>
      <w:r>
        <w:t>Purity</w:t>
      </w:r>
    </w:p>
    <w:p>
      <w:r>
        <w:t>Vault</w:t>
      </w:r>
    </w:p>
    <w:p>
      <w:r>
        <w:t>Jurisdiction</w:t>
      </w:r>
    </w:p>
    <w:p>
      <w:r>
        <w:t>Custodian</w:t>
      </w:r>
    </w:p>
    <w:p>
      <w:r>
        <w:t>Insurance Reference</w:t>
      </w:r>
    </w:p>
    <w:p>
      <w:r>
        <w:t>Audit Status</w:t>
      </w:r>
    </w:p>
    <w:p>
      <w:r>
        <w:t>Proof-of-Reserve Reference</w:t>
      </w:r>
    </w:p>
    <w:p>
      <w:r>
        <w:t>50.12 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50.13 Related Sections</w:t>
      </w:r>
    </w:p>
    <w:p>
      <w:r>
        <w:t>Section 14 — Gold Anchor</w:t>
      </w:r>
    </w:p>
    <w:p>
      <w:r>
        <w:t>Section 25 — Constitutional Bullion Reserve Layer</w:t>
      </w:r>
    </w:p>
    <w:p>
      <w:r>
        <w:t>Section 28 — Constitutional Gold and Silver Acquisition Framework</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 Constitutional Verification established</w:t>
      </w:r>
    </w:p>
    <w:p>
      <w:r>
        <w:t>✓ Related Sections referenced</w:t>
      </w:r>
    </w:p>
    <w:p>
      <w:r>
        <w:t>[END OF SECTION 50 — CONSTITUTIONAL BULLION STANDARDS]</w:t>
      </w:r>
    </w:p>
    <w:p>
      <w:r>
        <w:t>Section 51: Constitutional Silver Standards</w:t>
      </w:r>
    </w:p>
    <w:p>
      <w:r>
        <w:t>51.1 Constitutional Principle</w:t>
      </w:r>
    </w:p>
    <w:p>
      <w:r>
        <w:t>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p>
    <w:p>
      <w:r>
        <w:t>51.2 Constitutional Silver Standards</w:t>
      </w:r>
    </w:p>
    <w:p>
      <w:r>
        <w:t>51.3 Minimum Redemption Unit</w:t>
      </w:r>
    </w:p>
    <w:p>
      <w:r>
        <w:t>The operational minimum redemption quantity shall be established by Policy and may evolve through Operational Governance without requiring constitutional amendment, provided reserve integrity and participant fairness are preserved.</w:t>
      </w:r>
    </w:p>
    <w:p>
      <w:r>
        <w:t>51.4 Chain of Custody</w:t>
      </w:r>
    </w:p>
    <w:p>
      <w:r>
        <w:t>text</w:t>
      </w:r>
    </w:p>
    <w:p>
      <w:r>
        <w:t>Approved Refiner</w:t>
      </w:r>
    </w:p>
    <w:p>
      <w:r>
        <w:t>│</w:t>
      </w:r>
    </w:p>
    <w:p>
      <w:r>
        <w:t>▼</w:t>
      </w:r>
    </w:p>
    <w:p>
      <w:r>
        <w:t>Secure Transport</w:t>
      </w:r>
    </w:p>
    <w:p>
      <w:r>
        <w:t>│</w:t>
      </w:r>
    </w:p>
    <w:p>
      <w:r>
        <w:t>▼</w:t>
      </w:r>
    </w:p>
    <w:p>
      <w:r>
        <w:t>Qualified Vault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51.5 Diversification Limits</w:t>
      </w:r>
    </w:p>
    <w:p>
      <w:r>
        <w:t>51.6 Inspection Requirements</w:t>
      </w:r>
    </w:p>
    <w:p>
      <w:r>
        <w:t>51.7 Encumbrance Prohibition</w:t>
      </w:r>
    </w:p>
    <w:p>
      <w:r>
        <w:t>Constitutional silver shall never be:</w:t>
      </w:r>
    </w:p>
    <w:p>
      <w:r>
        <w:t>Pledged</w:t>
      </w:r>
    </w:p>
    <w:p>
      <w:r>
        <w:t>Rehypothecated</w:t>
      </w:r>
    </w:p>
    <w:p>
      <w:r>
        <w:t>Lent</w:t>
      </w:r>
    </w:p>
    <w:p>
      <w:r>
        <w:t>Leased</w:t>
      </w:r>
    </w:p>
    <w:p>
      <w:r>
        <w:t>Used as collateral</w:t>
      </w:r>
    </w:p>
    <w:p>
      <w:r>
        <w:t>Committed to derivative exposure</w:t>
      </w:r>
    </w:p>
    <w:p>
      <w:r>
        <w:t>Commingled with third-party assets</w:t>
      </w:r>
    </w:p>
    <w:p>
      <w:r>
        <w:t>51.8 Transport Standards</w:t>
      </w:r>
    </w:p>
    <w:p>
      <w:r>
        <w:t>Silver transport shall satisfy:</w:t>
      </w:r>
    </w:p>
    <w:p>
      <w:r>
        <w:t>Armored transport</w:t>
      </w:r>
    </w:p>
    <w:p>
      <w:r>
        <w:t>GPS tracking</w:t>
      </w:r>
    </w:p>
    <w:p>
      <w:r>
        <w:t>Dual authorization</w:t>
      </w:r>
    </w:p>
    <w:p>
      <w:r>
        <w:t>Tamper-evident containers</w:t>
      </w:r>
    </w:p>
    <w:p>
      <w:r>
        <w:t>Full insurance</w:t>
      </w:r>
    </w:p>
    <w:p>
      <w:r>
        <w:t>Documented custody transfer</w:t>
      </w:r>
    </w:p>
    <w:p>
      <w:r>
        <w:t>51.9 Reserve Registry</w:t>
      </w:r>
    </w:p>
    <w:p>
      <w:r>
        <w:t>Every silver bar shall include:</w:t>
      </w:r>
    </w:p>
    <w:p>
      <w:r>
        <w:t>Bar ID</w:t>
      </w:r>
    </w:p>
    <w:p>
      <w:r>
        <w:t>Serial Number</w:t>
      </w:r>
    </w:p>
    <w:p>
      <w:r>
        <w:t>Refiner</w:t>
      </w:r>
    </w:p>
    <w:p>
      <w:r>
        <w:t>Weight</w:t>
      </w:r>
    </w:p>
    <w:p>
      <w:r>
        <w:t>Purity</w:t>
      </w:r>
    </w:p>
    <w:p>
      <w:r>
        <w:t>Vault</w:t>
      </w:r>
    </w:p>
    <w:p>
      <w:r>
        <w:t>Custodian</w:t>
      </w:r>
    </w:p>
    <w:p>
      <w:r>
        <w:t>Jurisdiction</w:t>
      </w:r>
    </w:p>
    <w:p>
      <w:r>
        <w:t>Insurance Reference</w:t>
      </w:r>
    </w:p>
    <w:p>
      <w:r>
        <w:t>Audit Status</w:t>
      </w:r>
    </w:p>
    <w:p>
      <w:r>
        <w:t>Proof-of-Reserve Reference</w:t>
      </w:r>
    </w:p>
    <w:p>
      <w:r>
        <w:t>51.10 Emergency Custody Transfer</w:t>
      </w:r>
    </w:p>
    <w:p>
      <w:r>
        <w:t>Where a qualified silver custodian becomes unavailable, holdings may be transferred to an alternate qualified custodian through a documented chain-of-custody process without affecting constitutional ownership or reserve integrity.</w:t>
      </w:r>
    </w:p>
    <w:p>
      <w:r>
        <w:t>51.11 Constitutional Hierarchy</w:t>
      </w:r>
    </w:p>
    <w:p>
      <w:r>
        <w:t>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p>
    <w:p>
      <w:r>
        <w:t>51.12 Transparency Requirements</w:t>
      </w:r>
    </w:p>
    <w:p>
      <w:r>
        <w:t>The Institution shall publish at least quarterly:</w:t>
      </w:r>
    </w:p>
    <w:p>
      <w:r>
        <w:t>Total Silver Holdings</w:t>
      </w:r>
    </w:p>
    <w:p>
      <w:r>
        <w:t>Number of Bars</w:t>
      </w:r>
    </w:p>
    <w:p>
      <w:r>
        <w:t>Average Purity</w:t>
      </w:r>
    </w:p>
    <w:p>
      <w:r>
        <w:t>Vault Distribution</w:t>
      </w:r>
    </w:p>
    <w:p>
      <w:r>
        <w:t>Custodian Distribution</w:t>
      </w:r>
    </w:p>
    <w:p>
      <w:r>
        <w:t>Refinery Distribution</w:t>
      </w:r>
    </w:p>
    <w:p>
      <w:r>
        <w:t>Independent Assay Results</w:t>
      </w:r>
    </w:p>
    <w:p>
      <w:r>
        <w:t>Audit Status</w:t>
      </w:r>
    </w:p>
    <w:p>
      <w:r>
        <w:t>Proof-of-Reserve Verification</w:t>
      </w:r>
    </w:p>
    <w:p>
      <w:r>
        <w:t>51.13 Constitutional Cross-Reference</w:t>
      </w:r>
    </w:p>
    <w:p>
      <w:r>
        <w:t>Silver reserve management shall comply with:</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50 — Constitutional Bullion Standards</w:t>
      </w:r>
    </w:p>
    <w:p>
      <w:r>
        <w:t>Constitutional Constants Registry — Bullion Allocation Limits</w:t>
      </w:r>
    </w:p>
    <w:p>
      <w:r>
        <w:t>51.14 Constitutional Verification</w:t>
      </w:r>
    </w:p>
    <w:p>
      <w:r>
        <w:t>text</w:t>
      </w:r>
    </w:p>
    <w:p>
      <w:r>
        <w:t>✓ Constitutional Principle established</w:t>
      </w:r>
    </w:p>
    <w:p>
      <w:r>
        <w:t>✓ Constitutional Silver Standards defined</w:t>
      </w:r>
    </w:p>
    <w:p>
      <w:r>
        <w:t>✓ Minimum Redemption Unit policy-driven (not constitutionally fixed)</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51.15 Related Sections</w:t>
      </w:r>
    </w:p>
    <w:p>
      <w:r>
        <w:t>Section 14 — Gold Anchor</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45 — Constitutional Invariants (Non-Amendable Provisions)</w:t>
      </w:r>
    </w:p>
    <w:p>
      <w:r>
        <w:t>Section 50 — Constitutional Bullion Standards</w:t>
      </w:r>
    </w:p>
    <w:p>
      <w:r>
        <w:t>Constitutional Verification</w:t>
      </w:r>
    </w:p>
    <w:p>
      <w:r>
        <w:t>text</w:t>
      </w:r>
    </w:p>
    <w:p>
      <w:r>
        <w:t>✓ Constitutional Principle established</w:t>
      </w:r>
    </w:p>
    <w:p>
      <w:r>
        <w:t>✓ Constitutional Silver Standards defined</w:t>
      </w:r>
    </w:p>
    <w:p>
      <w:r>
        <w:t>✓ Minimum Redemption Unit policy-driven</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 Constitutional Verification established</w:t>
      </w:r>
    </w:p>
    <w:p>
      <w:r>
        <w:t>✓ Related Sections referenced</w:t>
      </w:r>
    </w:p>
    <w:p>
      <w:r>
        <w:t>[END OF SECTION 51 — CONSTITUTIONAL SILVER STANDARDS]</w:t>
      </w:r>
    </w:p>
    <w:p>
      <w:r>
        <w:t>Section 52: Mathematical Engine Evolution</w:t>
      </w:r>
    </w:p>
    <w:p>
      <w:r>
        <w:t>52.1 Constitutional Principle</w:t>
      </w:r>
    </w:p>
    <w:p>
      <w:r>
        <w:t>The Constitutional Monetary Engine is designed to remain institutionally stable while permitting controlled mathematical evolution over time.</w:t>
      </w:r>
    </w:p>
    <w:p>
      <w:r>
        <w:t>Core Constitutional Invariants are immutable and shall never be modified, suspended, overridden, or reinterpreted.</w:t>
      </w:r>
    </w:p>
    <w:p>
      <w:r>
        <w:t>Mathematical implementation may evolve only through the Constitutional Amendment Process (Section 43), provided that every amendment preserves all Constitutional Invariants and maintains deterministic, reproducible, auditable, and verifiable operation.</w:t>
      </w:r>
    </w:p>
    <w:p>
      <w:r>
        <w:t>Mathematical evolution exists to improve institutional resilience, security, auditability, and operational robustness—not to introduce discretionary monetary policy or alter the constitutional identity of the Institution.</w:t>
      </w:r>
    </w:p>
    <w:p>
      <w:r>
        <w:t>52.2 Constitutional Objectives of Mathematical Evolution</w:t>
      </w:r>
    </w:p>
    <w:p>
      <w:r>
        <w:t>Mathematical evolution shall pursue one or more of the following constitutional objectives:</w:t>
      </w:r>
    </w:p>
    <w:p>
      <w:r>
        <w:t>Improve institutional resilience</w:t>
      </w:r>
    </w:p>
    <w:p>
      <w:r>
        <w:t>Improve mathematical correctness</w:t>
      </w:r>
    </w:p>
    <w:p>
      <w:r>
        <w:t>Improve numerical stability</w:t>
      </w:r>
    </w:p>
    <w:p>
      <w:r>
        <w:t>Improve deterministic execution</w:t>
      </w:r>
    </w:p>
    <w:p>
      <w:r>
        <w:t>Improve transparency and auditability</w:t>
      </w:r>
    </w:p>
    <w:p>
      <w:r>
        <w:t>Improve regulatory compatibility</w:t>
      </w:r>
    </w:p>
    <w:p>
      <w:r>
        <w:t>Improve cryptographic security</w:t>
      </w:r>
    </w:p>
    <w:p>
      <w:r>
        <w:t>Improve operational efficiency</w:t>
      </w:r>
    </w:p>
    <w:p>
      <w:r>
        <w:t>Improve settlement safety</w:t>
      </w:r>
    </w:p>
    <w:p>
      <w:r>
        <w:t>Improve long-term maintainability</w:t>
      </w:r>
    </w:p>
    <w:p>
      <w:r>
        <w:t>No amendment shall pursue commercial competitiveness, speculative performance, or short-term financial advantage.</w:t>
      </w:r>
    </w:p>
    <w:p>
      <w:r>
        <w:t>52.3 Constitutional Invariants</w:t>
      </w:r>
    </w:p>
    <w:p>
      <w:r>
        <w:t>The following Constitutional Invariants shall remain permanently immutable:</w:t>
      </w:r>
    </w:p>
    <w:p>
      <w:r>
        <w:t>Any amendment conflicting with these invariants shall be automatically null and void.</w:t>
      </w:r>
    </w:p>
    <w:p>
      <w:r>
        <w:t>52.4 Mathematical Components Eligible for Evolution</w:t>
      </w:r>
    </w:p>
    <w:p>
      <w:r>
        <w:t>The following constitutional implementation components may evolve only through the Constitutional Amendment Process while preserving all Constitutional Invariants.</w:t>
      </w:r>
    </w:p>
    <w:p>
      <w:r>
        <w:t>Examples include:</w:t>
      </w:r>
    </w:p>
    <w:p>
      <w:r>
        <w:t>Structural weighting methodology</w:t>
      </w:r>
    </w:p>
    <w:p>
      <w:r>
        <w:t>Momentum methodology</w:t>
      </w:r>
    </w:p>
    <w:p>
      <w:r>
        <w:t>Mean reversion methodology</w:t>
      </w:r>
    </w:p>
    <w:p>
      <w:r>
        <w:t>Liquidity overlay methodology</w:t>
      </w:r>
    </w:p>
    <w:p>
      <w:r>
        <w:t>Volatility estimation methodology</w:t>
      </w:r>
    </w:p>
    <w:p>
      <w:r>
        <w:t>Shock Absorber methodology</w:t>
      </w:r>
    </w:p>
    <w:p>
      <w:r>
        <w:t>Concentration algorithms</w:t>
      </w:r>
    </w:p>
    <w:p>
      <w:r>
        <w:t>Rebalancing algorithms</w:t>
      </w:r>
    </w:p>
    <w:p>
      <w:r>
        <w:t>Statistical estimation techniques</w:t>
      </w:r>
    </w:p>
    <w:p>
      <w:r>
        <w:t>Risk modeling methodologies</w:t>
      </w:r>
    </w:p>
    <w:p>
      <w:r>
        <w:t>Oracle consensus methodology</w:t>
      </w:r>
    </w:p>
    <w:p>
      <w:r>
        <w:t>Oracle redundancy methodology</w:t>
      </w:r>
    </w:p>
    <w:p>
      <w:r>
        <w:t>Stress-testing methodology</w:t>
      </w:r>
    </w:p>
    <w:p>
      <w:r>
        <w:t>Simulation methodology</w:t>
      </w:r>
    </w:p>
    <w:p>
      <w:r>
        <w:t>Formal verification methodology</w:t>
      </w:r>
    </w:p>
    <w:p>
      <w:r>
        <w:t>Zero-Knowledge proof systems</w:t>
      </w:r>
    </w:p>
    <w:p>
      <w:r>
        <w:t>Cryptographic algorithms</w:t>
      </w:r>
    </w:p>
    <w:p>
      <w:r>
        <w:t>Numerical optimization methods</w:t>
      </w:r>
    </w:p>
    <w:p>
      <w:r>
        <w:t>Settlement optimization</w:t>
      </w:r>
    </w:p>
    <w:p>
      <w:r>
        <w:t>Computational efficiency improvements</w:t>
      </w:r>
    </w:p>
    <w:p>
      <w:r>
        <w:t>Evolution of these components shall improve implementation quality without changing the constitutional purpose of the Institution.</w:t>
      </w:r>
    </w:p>
    <w:p>
      <w:r>
        <w:t>52.5 Components Not Eligible for Evolution</w:t>
      </w:r>
    </w:p>
    <w:p>
      <w:r>
        <w:t>The following constitutional characteristics shall never be altered through mathematical evolution:</w:t>
      </w:r>
    </w:p>
    <w:p>
      <w:r>
        <w:t>Constitutional monetary purpose</w:t>
      </w:r>
    </w:p>
    <w:p>
      <w:r>
        <w:t>Reserve-backed monetary model</w:t>
      </w:r>
    </w:p>
    <w:p>
      <w:r>
        <w:t>Constitutional reserve segregation</w:t>
      </w:r>
    </w:p>
    <w:p>
      <w:r>
        <w:t>Gold as the constitutional anchor</w:t>
      </w:r>
    </w:p>
    <w:p>
      <w:r>
        <w:t>Rule-based deterministic operation</w:t>
      </w:r>
    </w:p>
    <w:p>
      <w:r>
        <w:t>Constitutional governance structure</w:t>
      </w:r>
    </w:p>
    <w:p>
      <w:r>
        <w:t>Constitutional auditability</w:t>
      </w:r>
    </w:p>
    <w:p>
      <w:r>
        <w:t>Constitutional transparency</w:t>
      </w:r>
    </w:p>
    <w:p>
      <w:r>
        <w:t>Redemption rights</w:t>
      </w:r>
    </w:p>
    <w:p>
      <w:r>
        <w:t>Reserve ownership principles</w:t>
      </w:r>
    </w:p>
    <w:p>
      <w:r>
        <w:t>Changes to these principles constitute constitutional replacement and are prohibited.</w:t>
      </w:r>
    </w:p>
    <w:p>
      <w:r>
        <w:t>52.6 Constitutional Evolution Requirements</w:t>
      </w:r>
    </w:p>
    <w:p>
      <w:r>
        <w:t>Every mathematical amendment shall satisfy all of the following requirements before activation.</w:t>
      </w:r>
    </w:p>
    <w:p>
      <w:r>
        <w:t>Technical Requirements:</w:t>
      </w:r>
    </w:p>
    <w:p>
      <w:r>
        <w:t>Mathematical correctness</w:t>
      </w:r>
    </w:p>
    <w:p>
      <w:r>
        <w:t>Numerical stability</w:t>
      </w:r>
    </w:p>
    <w:p>
      <w:r>
        <w:t>Deterministic execution</w:t>
      </w:r>
    </w:p>
    <w:p>
      <w:r>
        <w:t>Fixed-precision arithmetic</w:t>
      </w:r>
    </w:p>
    <w:p>
      <w:r>
        <w:t>Computational reproducibility</w:t>
      </w:r>
    </w:p>
    <w:p>
      <w:r>
        <w:t>Canonical implementation</w:t>
      </w:r>
    </w:p>
    <w:p>
      <w:r>
        <w:t>Constitutional Requirements:</w:t>
      </w:r>
    </w:p>
    <w:p>
      <w:r>
        <w:t>Preserve every Constitutional Invariant</w:t>
      </w:r>
    </w:p>
    <w:p>
      <w:r>
        <w:t>Preserve constitutional identity</w:t>
      </w:r>
    </w:p>
    <w:p>
      <w:r>
        <w:t>Preserve auditability</w:t>
      </w:r>
    </w:p>
    <w:p>
      <w:r>
        <w:t>Preserve transparency</w:t>
      </w:r>
    </w:p>
    <w:p>
      <w:r>
        <w:t>Preserve redemption integrity</w:t>
      </w:r>
    </w:p>
    <w:p>
      <w:r>
        <w:t>Preserve reserve integrity</w:t>
      </w:r>
    </w:p>
    <w:p>
      <w:r>
        <w:t>Governance Requirements:</w:t>
      </w:r>
    </w:p>
    <w:p>
      <w:r>
        <w:t>Constitutional Amendment Process completed</w:t>
      </w:r>
    </w:p>
    <w:p>
      <w:r>
        <w:t>Independent technical review</w:t>
      </w:r>
    </w:p>
    <w:p>
      <w:r>
        <w:t>Independent economic review</w:t>
      </w:r>
    </w:p>
    <w:p>
      <w:r>
        <w:t>Independent legal review</w:t>
      </w:r>
    </w:p>
    <w:p>
      <w:r>
        <w:t>Independent Sharia review</w:t>
      </w:r>
    </w:p>
    <w:p>
      <w:r>
        <w:t>Independent external audit</w:t>
      </w:r>
    </w:p>
    <w:p>
      <w:r>
        <w:t>Constitutional Council approval</w:t>
      </w:r>
    </w:p>
    <w:p>
      <w:r>
        <w:t>Validation Requirements:</w:t>
      </w:r>
    </w:p>
    <w:p>
      <w:r>
        <w:t>Formal verification completed</w:t>
      </w:r>
    </w:p>
    <w:p>
      <w:r>
        <w:t>Monte Carlo stress testing completed</w:t>
      </w:r>
    </w:p>
    <w:p>
      <w:r>
        <w:t>Historical replay testing completed</w:t>
      </w:r>
    </w:p>
    <w:p>
      <w:r>
        <w:t>Deterministic reproducibility confirmed</w:t>
      </w:r>
    </w:p>
    <w:p>
      <w:r>
        <w:t>Backward compatibility assessment completed</w:t>
      </w:r>
    </w:p>
    <w:p>
      <w:r>
        <w:t>Failure of any requirement automatically rejects the amendment.</w:t>
      </w:r>
    </w:p>
    <w:p>
      <w:r>
        <w:t>52.7 Version Control</w:t>
      </w:r>
    </w:p>
    <w:p>
      <w:r>
        <w:t>Every mathematical evolution shall create a new immutable Mathematical Engine Version.</w:t>
      </w:r>
    </w:p>
    <w:p>
      <w:r>
        <w:t>Each version shall permanently record:</w:t>
      </w:r>
    </w:p>
    <w:p>
      <w:r>
        <w:t>Historical versions shall never be deleted or overwritten.</w:t>
      </w:r>
    </w:p>
    <w:p>
      <w:r>
        <w:t>52.8 Backward Compatibility</w:t>
      </w:r>
    </w:p>
    <w:p>
      <w:r>
        <w:t>Every historical constitutional calculation shall remain permanently reproducible.</w:t>
      </w:r>
    </w:p>
    <w:p>
      <w:r>
        <w:t>Historical reproduction shall include:</w:t>
      </w:r>
    </w:p>
    <w:p>
      <w:r>
        <w:t>Mathematical Engine Version</w:t>
      </w:r>
    </w:p>
    <w:p>
      <w:r>
        <w:t>Constitutional Version</w:t>
      </w:r>
    </w:p>
    <w:p>
      <w:r>
        <w:t>Constants Registry Version</w:t>
      </w:r>
    </w:p>
    <w:p>
      <w:r>
        <w:t>Oracle Version</w:t>
      </w:r>
    </w:p>
    <w:p>
      <w:r>
        <w:t>Proof System Version</w:t>
      </w:r>
    </w:p>
    <w:p>
      <w:r>
        <w:t>Cryptographic Version</w:t>
      </w:r>
    </w:p>
    <w:p>
      <w:r>
        <w:t>Software Release Identifier</w:t>
      </w:r>
    </w:p>
    <w:p>
      <w:r>
        <w:t>Reserve Snapshot</w:t>
      </w:r>
    </w:p>
    <w:p>
      <w:r>
        <w:t>Oracle Snapshot</w:t>
      </w:r>
    </w:p>
    <w:p>
      <w:r>
        <w:t>Timestamp</w:t>
      </w:r>
    </w:p>
    <w:p>
      <w:r>
        <w:t>Historical settlement calculations shall always produce identical outputs when executed using the same constitutional version.</w:t>
      </w:r>
    </w:p>
    <w:p>
      <w:r>
        <w:t>52.9 Deterministic Evolution</w:t>
      </w:r>
    </w:p>
    <w:p>
      <w:r>
        <w:t>Every Mathematical Engine Version shall preserve deterministic execution.</w:t>
      </w:r>
    </w:p>
    <w:p>
      <w:r>
        <w:t>Given identical constitutional inputs, every validator shall produce identical outputs.</w:t>
      </w:r>
    </w:p>
    <w:p>
      <w:r>
        <w:t>Deterministic execution requires:</w:t>
      </w:r>
    </w:p>
    <w:p>
      <w:r>
        <w:t>Fixed-precision arithmetic only</w:t>
      </w:r>
    </w:p>
    <w:p>
      <w:r>
        <w:t>Canonical ordering of operations</w:t>
      </w:r>
    </w:p>
    <w:p>
      <w:r>
        <w:t>Canonical rounding rules</w:t>
      </w:r>
    </w:p>
    <w:p>
      <w:r>
        <w:t>Canonical normalization</w:t>
      </w:r>
    </w:p>
    <w:p>
      <w:r>
        <w:t>No floating-point ambiguity</w:t>
      </w:r>
    </w:p>
    <w:p>
      <w:r>
        <w:t>No randomness</w:t>
      </w:r>
    </w:p>
    <w:p>
      <w:r>
        <w:t>No probabilistic execution</w:t>
      </w:r>
    </w:p>
    <w:p>
      <w:r>
        <w:t>No implementation-dependent behavior</w:t>
      </w:r>
    </w:p>
    <w:p>
      <w:r>
        <w:t>Determinism shall remain a permanent Constitutional Invariant.</w:t>
      </w:r>
    </w:p>
    <w:p>
      <w:r>
        <w:t>52.10 Formal Verification Requirement</w:t>
      </w:r>
    </w:p>
    <w:p>
      <w:r>
        <w:t>Every Mathematical Engine Version shall undergo formal verification before activation.</w:t>
      </w:r>
    </w:p>
    <w:p>
      <w:r>
        <w:t>Formal verification shall demonstrate:</w:t>
      </w:r>
    </w:p>
    <w:p>
      <w:r>
        <w:t>Mathematical correctness</w:t>
      </w:r>
    </w:p>
    <w:p>
      <w:r>
        <w:t>Preservation of Constitutional Invariants</w:t>
      </w:r>
    </w:p>
    <w:p>
      <w:r>
        <w:t>Deterministic execution</w:t>
      </w:r>
    </w:p>
    <w:p>
      <w:r>
        <w:t>Numerical stability</w:t>
      </w:r>
    </w:p>
    <w:p>
      <w:r>
        <w:t>State transition correctness</w:t>
      </w:r>
    </w:p>
    <w:p>
      <w:r>
        <w:t>Oracle correctness</w:t>
      </w:r>
    </w:p>
    <w:p>
      <w:r>
        <w:t>Reserve integrity</w:t>
      </w:r>
    </w:p>
    <w:p>
      <w:r>
        <w:t>Settlement correctness</w:t>
      </w:r>
    </w:p>
    <w:p>
      <w:r>
        <w:t>Absence of arithmetic overflow</w:t>
      </w:r>
    </w:p>
    <w:p>
      <w:r>
        <w:t>Absence of arithmetic underflow</w:t>
      </w:r>
    </w:p>
    <w:p>
      <w:r>
        <w:t>Absence of division-by-zero conditions</w:t>
      </w:r>
    </w:p>
    <w:p>
      <w:r>
        <w:t>Activation is prohibited until formal verification is successfully completed.</w:t>
      </w:r>
    </w:p>
    <w:p>
      <w:r>
        <w:t>52.11 Simulation and Stress Testing</w:t>
      </w:r>
    </w:p>
    <w:p>
      <w:r>
        <w:t>Every mathematical amendment shall successfully complete constitutional validation.</w:t>
      </w:r>
    </w:p>
    <w:p>
      <w:r>
        <w:t>Minimum validation includes:</w:t>
      </w:r>
    </w:p>
    <w:p>
      <w:r>
        <w:t>Monte Carlo simulation</w:t>
      </w:r>
    </w:p>
    <w:p>
      <w:r>
        <w:t>Historical crisis replay</w:t>
      </w:r>
    </w:p>
    <w:p>
      <w:r>
        <w:t>Liquidity stress testing</w:t>
      </w:r>
    </w:p>
    <w:p>
      <w:r>
        <w:t>Reserve adequacy testing</w:t>
      </w:r>
    </w:p>
    <w:p>
      <w:r>
        <w:t>Oracle failure testing</w:t>
      </w:r>
    </w:p>
    <w:p>
      <w:r>
        <w:t>Custodian failure testing</w:t>
      </w:r>
    </w:p>
    <w:p>
      <w:r>
        <w:t>Settlement continuity testing</w:t>
      </w:r>
    </w:p>
    <w:p>
      <w:r>
        <w:t>Redemption stress testing</w:t>
      </w:r>
    </w:p>
    <w:p>
      <w:r>
        <w:t>Cyber resilience testing</w:t>
      </w:r>
    </w:p>
    <w:p>
      <w:r>
        <w:t>Disaster recovery simulation</w:t>
      </w:r>
    </w:p>
    <w:p>
      <w:r>
        <w:t>Stress testing shall demonstrate that all Constitutional Invariants remain satisfied under adverse conditions.</w:t>
      </w:r>
    </w:p>
    <w:p>
      <w:r>
        <w:t>52.12 Evolution Governance</w:t>
      </w:r>
    </w:p>
    <w:p>
      <w:r>
        <w:t>Mathematical evolution shall never be initiated solely for:</w:t>
      </w:r>
    </w:p>
    <w:p>
      <w:r>
        <w:t>Commercial advantage</w:t>
      </w:r>
    </w:p>
    <w:p>
      <w:r>
        <w:t>Competitive positioning</w:t>
      </w:r>
    </w:p>
    <w:p>
      <w:r>
        <w:t>Speculative opportunity</w:t>
      </w:r>
    </w:p>
    <w:p>
      <w:r>
        <w:t>Political pressure</w:t>
      </w:r>
    </w:p>
    <w:p>
      <w:r>
        <w:t>Revenue maximization</w:t>
      </w:r>
    </w:p>
    <w:p>
      <w:r>
        <w:t>Marketing purposes</w:t>
      </w:r>
    </w:p>
    <w:p>
      <w:r>
        <w:t>Short-term optimization</w:t>
      </w:r>
    </w:p>
    <w:p>
      <w:r>
        <w:t>Mathematical evolution shall be justified exclusively by:</w:t>
      </w:r>
    </w:p>
    <w:p>
      <w:r>
        <w:t>Improved institutional resilience</w:t>
      </w:r>
    </w:p>
    <w:p>
      <w:r>
        <w:t>Improved mathematical correctness</w:t>
      </w:r>
    </w:p>
    <w:p>
      <w:r>
        <w:t>Improved operational safety</w:t>
      </w:r>
    </w:p>
    <w:p>
      <w:r>
        <w:t>Improved regulatory compatibility</w:t>
      </w:r>
    </w:p>
    <w:p>
      <w:r>
        <w:t>Improved auditability</w:t>
      </w:r>
    </w:p>
    <w:p>
      <w:r>
        <w:t>Improved cryptographic security</w:t>
      </w:r>
    </w:p>
    <w:p>
      <w:r>
        <w:t>Demonstrated long-term constitutional benefit</w:t>
      </w:r>
    </w:p>
    <w:p>
      <w:r>
        <w:t>52.13 Principle of Conservative Evolution</w:t>
      </w:r>
    </w:p>
    <w:p>
      <w:r>
        <w:t>Where multiple mathematically valid implementations exist, the Institution shall adopt the implementation that maximizes:</w:t>
      </w:r>
    </w:p>
    <w:p>
      <w:r>
        <w:t>Stability</w:t>
      </w:r>
    </w:p>
    <w:p>
      <w:r>
        <w:t>Simplicity</w:t>
      </w:r>
    </w:p>
    <w:p>
      <w:r>
        <w:t>Transparency</w:t>
      </w:r>
    </w:p>
    <w:p>
      <w:r>
        <w:t>Determinism</w:t>
      </w:r>
    </w:p>
    <w:p>
      <w:r>
        <w:t>Reproducibility</w:t>
      </w:r>
    </w:p>
    <w:p>
      <w:r>
        <w:t>Auditability</w:t>
      </w:r>
    </w:p>
    <w:p>
      <w:r>
        <w:t>Maintainability</w:t>
      </w:r>
    </w:p>
    <w:p>
      <w:r>
        <w:t>Mathematical complexity shall never be introduced without demonstrable constitutional benefit.</w:t>
      </w:r>
    </w:p>
    <w:p>
      <w:r>
        <w:t>52.14 Artificial Intelligence Boundary</w:t>
      </w:r>
    </w:p>
    <w:p>
      <w:r>
        <w:t>Artificial Intelligence may assist:</w:t>
      </w:r>
    </w:p>
    <w:p>
      <w:r>
        <w:t>Analysis</w:t>
      </w:r>
    </w:p>
    <w:p>
      <w:r>
        <w:t>Monitoring</w:t>
      </w:r>
    </w:p>
    <w:p>
      <w:r>
        <w:t>Anomaly detection</w:t>
      </w:r>
    </w:p>
    <w:p>
      <w:r>
        <w:t>Forecasting</w:t>
      </w:r>
    </w:p>
    <w:p>
      <w:r>
        <w:t>Simulation</w:t>
      </w:r>
    </w:p>
    <w:p>
      <w:r>
        <w:t>Reporting</w:t>
      </w:r>
    </w:p>
    <w:p>
      <w:r>
        <w:t>Operational recommendations</w:t>
      </w:r>
    </w:p>
    <w:p>
      <w:r>
        <w:t>Artificial Intelligence shall never independently:</w:t>
      </w:r>
    </w:p>
    <w:p>
      <w:r>
        <w:t>Calculate constitutional reserve values</w:t>
      </w:r>
    </w:p>
    <w:p>
      <w:r>
        <w:t>Determine NAV</w:t>
      </w:r>
    </w:p>
    <w:p>
      <w:r>
        <w:t>Modify constitutional weights</w:t>
      </w:r>
    </w:p>
    <w:p>
      <w:r>
        <w:t>Authorize minting</w:t>
      </w:r>
    </w:p>
    <w:p>
      <w:r>
        <w:t>Authorize redemption</w:t>
      </w:r>
    </w:p>
    <w:p>
      <w:r>
        <w:t>Modify Constitutional Constants</w:t>
      </w:r>
    </w:p>
    <w:p>
      <w:r>
        <w:t>Alter Constitutional Invariants</w:t>
      </w:r>
    </w:p>
    <w:p>
      <w:r>
        <w:t>Override deterministic calculations</w:t>
      </w:r>
    </w:p>
    <w:p>
      <w:r>
        <w:t>All constitutional calculations shall be performed exclusively by deterministic constitutional algorithms.</w:t>
      </w:r>
    </w:p>
    <w:p>
      <w:r>
        <w:t>52.15 Constitutional Continuity</w:t>
      </w:r>
    </w:p>
    <w:p>
      <w:r>
        <w:t>Mathematical evolution shall constitute an evolution of implementation rather than an evolution of constitutional identity.</w:t>
      </w:r>
    </w:p>
    <w:p>
      <w:r>
        <w:t>No amendment may transform the Institution into:</w:t>
      </w:r>
    </w:p>
    <w:p>
      <w:r>
        <w:t>A discretionary monetary authority</w:t>
      </w:r>
    </w:p>
    <w:p>
      <w:r>
        <w:t>A fractional-reserve institution</w:t>
      </w:r>
    </w:p>
    <w:p>
      <w:r>
        <w:t>A lending institution</w:t>
      </w:r>
    </w:p>
    <w:p>
      <w:r>
        <w:t>An investment vehicle</w:t>
      </w:r>
    </w:p>
    <w:p>
      <w:r>
        <w:t>A speculative financial product</w:t>
      </w:r>
    </w:p>
    <w:p>
      <w:r>
        <w:t>A governance-token system</w:t>
      </w:r>
    </w:p>
    <w:p>
      <w:r>
        <w:t>A platform business</w:t>
      </w:r>
    </w:p>
    <w:p>
      <w:r>
        <w:t>A commercial bank</w:t>
      </w:r>
    </w:p>
    <w:p>
      <w:r>
        <w:t>A central bank</w:t>
      </w:r>
    </w:p>
    <w:p>
      <w:r>
        <w:t>The constitutional identity of the Institution shall remain unchanged regardless of future mathematical evolution.</w:t>
      </w:r>
    </w:p>
    <w:p>
      <w:r>
        <w:t>52.16 Constitutional Audit Trail</w:t>
      </w:r>
    </w:p>
    <w:p>
      <w:r>
        <w:t>Every mathematical amendment shall generate a permanent Constitutional Audit Package containing:</w:t>
      </w:r>
    </w:p>
    <w:p>
      <w:r>
        <w:t>Amendment Proposal</w:t>
      </w:r>
    </w:p>
    <w:p>
      <w:r>
        <w:t>Technical Analysis</w:t>
      </w:r>
    </w:p>
    <w:p>
      <w:r>
        <w:t>Economic Analysis</w:t>
      </w:r>
    </w:p>
    <w:p>
      <w:r>
        <w:t>Legal Analysis</w:t>
      </w:r>
    </w:p>
    <w:p>
      <w:r>
        <w:t>Sharia Analysis</w:t>
      </w:r>
    </w:p>
    <w:p>
      <w:r>
        <w:t>Mathematical Specification</w:t>
      </w:r>
    </w:p>
    <w:p>
      <w:r>
        <w:t>Formal Verification Report</w:t>
      </w:r>
    </w:p>
    <w:p>
      <w:r>
        <w:t>Simulation Report</w:t>
      </w:r>
    </w:p>
    <w:p>
      <w:r>
        <w:t>Stress-Test Report</w:t>
      </w:r>
    </w:p>
    <w:p>
      <w:r>
        <w:t>Independent External Audit</w:t>
      </w:r>
    </w:p>
    <w:p>
      <w:r>
        <w:t>Council Resolution</w:t>
      </w:r>
    </w:p>
    <w:p>
      <w:r>
        <w:t>Version Metadata</w:t>
      </w:r>
    </w:p>
    <w:p>
      <w:r>
        <w:t>Activation Record</w:t>
      </w:r>
    </w:p>
    <w:p>
      <w:r>
        <w:t>The Constitutional Audit Package shall become part of the permanent Constitutional Record.</w:t>
      </w:r>
    </w:p>
    <w:p>
      <w:r>
        <w:t>52.17 Principle of Constitutional Permanence</w:t>
      </w:r>
    </w:p>
    <w:p>
      <w:r>
        <w:t>The Mathematical Engine is intended to evolve in implementation while remaining permanent in constitutional identity.</w:t>
      </w:r>
    </w:p>
    <w:p>
      <w:r>
        <w:t>Future generations may improve algorithms, cryptography, computational methods, and verification techniques, but no mathematical evolution shall weaken:</w:t>
      </w:r>
    </w:p>
    <w:p>
      <w:r>
        <w:t>Constitutional stability</w:t>
      </w:r>
    </w:p>
    <w:p>
      <w:r>
        <w:t>Reserve integrity</w:t>
      </w:r>
    </w:p>
    <w:p>
      <w:r>
        <w:t>Redemption certainty</w:t>
      </w:r>
    </w:p>
    <w:p>
      <w:r>
        <w:t>Monetary neutrality</w:t>
      </w:r>
    </w:p>
    <w:p>
      <w:r>
        <w:t>Institutional transparency</w:t>
      </w:r>
    </w:p>
    <w:p>
      <w:r>
        <w:t>Deterministic execution</w:t>
      </w:r>
    </w:p>
    <w:p>
      <w:r>
        <w:t>Constitutional trust</w:t>
      </w:r>
    </w:p>
    <w:p>
      <w:r>
        <w:t>Every mathematical evolution shall strengthen the Institution while preserving its constitutional foundations.</w:t>
      </w:r>
    </w:p>
    <w:p>
      <w:r>
        <w:t>52.18 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requirements established</w:t>
      </w:r>
    </w:p>
    <w:p>
      <w:r>
        <w:t>✓ Backward Compatibility requirements established</w:t>
      </w:r>
    </w:p>
    <w:p>
      <w:r>
        <w:t>✓ Deterministic Evolution established</w:t>
      </w:r>
    </w:p>
    <w:p>
      <w:r>
        <w:t>✓ Formal Verification Requirement established</w:t>
      </w:r>
    </w:p>
    <w:p>
      <w:r>
        <w:t>✓ Simulation and Stress Testing requirements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requirements established</w:t>
      </w:r>
    </w:p>
    <w:p>
      <w:r>
        <w:t>✓ Principle of Constitutional Permanence established</w:t>
      </w:r>
    </w:p>
    <w:p>
      <w:r>
        <w:t>52.19 Related Sections</w:t>
      </w:r>
    </w:p>
    <w:p>
      <w:r>
        <w:t>Section 11 — Monetary Engine Determinism</w:t>
      </w:r>
    </w:p>
    <w:p>
      <w:r>
        <w:t>Section 43 — Constitutional Amendment &amp; Governance Framework</w:t>
      </w:r>
    </w:p>
    <w:p>
      <w:r>
        <w:t>Section 45 — Constitutional Invariants (Non-Amendable Provisions)</w:t>
      </w:r>
    </w:p>
    <w:p>
      <w:r>
        <w:t>Section 53 — Constitutional Constants Modification</w:t>
      </w:r>
    </w:p>
    <w:p>
      <w:r>
        <w:t>Section 54 — Constitutional Reserve Governance</w:t>
      </w:r>
    </w:p>
    <w:p>
      <w:r>
        <w:t>Section 55 — Constitutional Final Provisions</w:t>
      </w:r>
    </w:p>
    <w:p>
      <w:r>
        <w:t>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established</w:t>
      </w:r>
    </w:p>
    <w:p>
      <w:r>
        <w:t>✓ Backward Compatibility established</w:t>
      </w:r>
    </w:p>
    <w:p>
      <w:r>
        <w:t>✓ Deterministic Evolution established</w:t>
      </w:r>
    </w:p>
    <w:p>
      <w:r>
        <w:t>✓ Formal Verification Requirement established</w:t>
      </w:r>
    </w:p>
    <w:p>
      <w:r>
        <w:t>✓ Simulation and Stress Testing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established</w:t>
      </w:r>
    </w:p>
    <w:p>
      <w:r>
        <w:t>✓ Principle of Constitutional Permanence established</w:t>
      </w:r>
    </w:p>
    <w:p>
      <w:r>
        <w:t>✓ Constitutional Verification established</w:t>
      </w:r>
    </w:p>
    <w:p>
      <w:r>
        <w:t>✓ Related Sections referenced</w:t>
      </w:r>
    </w:p>
    <w:p>
      <w:r>
        <w:t>[END OF SECTION 52 — MATHEMATICAL ENGINE EVOLUTION]</w:t>
      </w:r>
    </w:p>
    <w:p>
      <w:r>
        <w:t>Section 53: Constitutional Constants Modification</w:t>
      </w:r>
    </w:p>
    <w:p>
      <w:r>
        <w:t>53.1 Constitutional Principle</w:t>
      </w:r>
    </w:p>
    <w:p>
      <w:r>
        <w:t>Constitutional constants define the quantitative parameters used by the Constitutional Monetary Engine. They provide stability, predictability, reproducibility, and auditability across all institutional operations.</w:t>
      </w:r>
    </w:p>
    <w:p>
      <w:r>
        <w:t>Constitutional constants are not operational preferences. They form part of the constitutional framework and therefore may only be modified through the Constitutional Amendment Process while preserving all Constitutional Invariants.</w:t>
      </w:r>
    </w:p>
    <w:p>
      <w:r>
        <w:t>53.2 Modification Rule</w:t>
      </w:r>
    </w:p>
    <w:p>
      <w:r>
        <w:t>A Constitutional Constant may be modified only when all of the following conditions are satisfied:</w:t>
      </w:r>
    </w:p>
    <w:p>
      <w:r>
        <w:t>The complete Constitutional Amendment Process (Section 43) is successfully completed</w:t>
      </w:r>
    </w:p>
    <w:p>
      <w:r>
        <w:t>Independent technical review confirms mathematical correctness</w:t>
      </w:r>
    </w:p>
    <w:p>
      <w:r>
        <w:t>Independent economic review confirms monetary stability</w:t>
      </w:r>
    </w:p>
    <w:p>
      <w:r>
        <w:t>Independent legal review confirms regulatory compatibility</w:t>
      </w:r>
    </w:p>
    <w:p>
      <w:r>
        <w:t>Independent Sharia review confirms continued AAOIFI compliance</w:t>
      </w:r>
    </w:p>
    <w:p>
      <w:r>
        <w:t>Formal verification confirms that all constitutional invariants remain satisfied</w:t>
      </w:r>
    </w:p>
    <w:p>
      <w:r>
        <w:t>Stress testing demonstrates no material deterioration in constitutional resilience</w:t>
      </w:r>
    </w:p>
    <w:p>
      <w:r>
        <w:t>Independent external audit confirms compliance with constitutional procedures</w:t>
      </w:r>
    </w:p>
    <w:p>
      <w:r>
        <w:t>The Constitutional Council approves the amendment by the required constitutional supermajority</w:t>
      </w:r>
    </w:p>
    <w:p>
      <w:r>
        <w:t>The constitutional implementation delay has fully elapsed before activation</w:t>
      </w:r>
    </w:p>
    <w:p>
      <w:r>
        <w:t>No committee, officer, custodian, validator, oracle, or external service provider may modify a Constitutional Constant unilaterally.</w:t>
      </w:r>
    </w:p>
    <w:p>
      <w:r>
        <w:t>53.3 Constitutional Invariants Take Precedence</w:t>
      </w:r>
    </w:p>
    <w:p>
      <w:r>
        <w:t>Modification of Constitutional Constants shall never alter, weaken, suspend, reinterpret, or bypass any Constitutional Invariant.</w:t>
      </w:r>
    </w:p>
    <w:p>
      <w:r>
        <w:t>If a proposed modification conflicts with a Constitutional Invariant, the proposal is automatically void.</w:t>
      </w:r>
    </w:p>
    <w:p>
      <w:r>
        <w:t>53.4 Version Control</w:t>
      </w:r>
    </w:p>
    <w:p>
      <w:r>
        <w:t>Every modification shall create a new immutable Constitutional Version.</w:t>
      </w:r>
    </w:p>
    <w:p>
      <w:r>
        <w:t>Each version shall include:</w:t>
      </w:r>
    </w:p>
    <w:p>
      <w:r>
        <w:t>Previous constitutional versions shall remain permanently accessible and independently verifiable.</w:t>
      </w:r>
    </w:p>
    <w:p>
      <w:r>
        <w:t>53.5 Canonical Constants Registry</w:t>
      </w:r>
    </w:p>
    <w:p>
      <w:r>
        <w:t>The Constitutional Constants Registry (Section 1 of the Constitutional Mathematical Foundations) is the sole authoritative source of all constitutional constants.</w:t>
      </w:r>
    </w:p>
    <w:p>
      <w:r>
        <w:t>Duplicate definitions elsewhere in this Constitution are prohibited.</w:t>
      </w:r>
    </w:p>
    <w:p>
      <w:r>
        <w:t>If a discrepancy exists between any section and the Constitutional Constants Registry, the Registry shall prevail.</w:t>
      </w:r>
    </w:p>
    <w:p>
      <w:r>
        <w:t>53.6 Examples of Constitutional Constants</w:t>
      </w:r>
    </w:p>
    <w:p>
      <w:r>
        <w:t>Examples include, but are not limited to:</w:t>
      </w:r>
    </w:p>
    <w:p>
      <w:r>
        <w:t>Structural weighting coefficients (α, β, γ)</w:t>
      </w:r>
    </w:p>
    <w:p>
      <w:r>
        <w:t>Momentum bounds</w:t>
      </w:r>
    </w:p>
    <w:p>
      <w:r>
        <w:t>Mean reversion coefficient</w:t>
      </w:r>
    </w:p>
    <w:p>
      <w:r>
        <w:t>EWMA decay factors</w:t>
      </w:r>
    </w:p>
    <w:p>
      <w:r>
        <w:t>Liquidity overlay parameters</w:t>
      </w:r>
    </w:p>
    <w:p>
      <w:r>
        <w:t>Concentration caps</w:t>
      </w:r>
    </w:p>
    <w:p>
      <w:r>
        <w:t>Minimum currency floor</w:t>
      </w:r>
    </w:p>
    <w:p>
      <w:r>
        <w:t>Reserve allocation ranges</w:t>
      </w:r>
    </w:p>
    <w:p>
      <w:r>
        <w:t>Haircut schedules</w:t>
      </w:r>
    </w:p>
    <w:p>
      <w:r>
        <w:t>SDP thresholds</w:t>
      </w:r>
    </w:p>
    <w:p>
      <w:r>
        <w:t>Oracle freshness limits</w:t>
      </w:r>
    </w:p>
    <w:p>
      <w:r>
        <w:t>Reserve ratio targets</w:t>
      </w:r>
    </w:p>
    <w:p>
      <w:r>
        <w:t>Stablecoin eligibility thresholds</w:t>
      </w:r>
    </w:p>
    <w:p>
      <w:r>
        <w:t>Rebalancing thresholds</w:t>
      </w:r>
    </w:p>
    <w:p>
      <w:r>
        <w:t>These values are constitutional constants and therefore may only be modified through the constitutional amendment process.</w:t>
      </w:r>
    </w:p>
    <w:p>
      <w:r>
        <w:t>53.7 Backward Compatibility</w:t>
      </w:r>
    </w:p>
    <w:p>
      <w:r>
        <w:t>Every constitutional amendment affecting numerical constants shall include:</w:t>
      </w:r>
    </w:p>
    <w:p>
      <w:r>
        <w:t>Migration methodology</w:t>
      </w:r>
    </w:p>
    <w:p>
      <w:r>
        <w:t>Implementation plan</w:t>
      </w:r>
    </w:p>
    <w:p>
      <w:r>
        <w:t>Validator transition procedure</w:t>
      </w:r>
    </w:p>
    <w:p>
      <w:r>
        <w:t>Reproducibility verification</w:t>
      </w:r>
    </w:p>
    <w:p>
      <w:r>
        <w:t>Rollback procedure</w:t>
      </w:r>
    </w:p>
    <w:p>
      <w:r>
        <w:t>Historical compatibility assessment</w:t>
      </w:r>
    </w:p>
    <w:p>
      <w:r>
        <w:t>The Institution shall preserve the ability to reproduce every historical calculation using the constitutional version that was active at the time the calculation occurred.</w:t>
      </w:r>
    </w:p>
    <w:p>
      <w:r>
        <w:t>53.8 Deterministic Constitutional History</w:t>
      </w:r>
    </w:p>
    <w:p>
      <w:r>
        <w:t>For every historical operation, the Institution shall permanently retain:</w:t>
      </w:r>
    </w:p>
    <w:p>
      <w:r>
        <w:t>Constitutional Version</w:t>
      </w:r>
    </w:p>
    <w:p>
      <w:r>
        <w:t>Constants Registry Version</w:t>
      </w:r>
    </w:p>
    <w:p>
      <w:r>
        <w:t>Mathematical Engine Version</w:t>
      </w:r>
    </w:p>
    <w:p>
      <w:r>
        <w:t>Oracle Version</w:t>
      </w:r>
    </w:p>
    <w:p>
      <w:r>
        <w:t>Proof System Version</w:t>
      </w:r>
    </w:p>
    <w:p>
      <w:r>
        <w:t>Formal Verification Version</w:t>
      </w:r>
    </w:p>
    <w:p>
      <w:r>
        <w:t>Software Release Identifier</w:t>
      </w:r>
    </w:p>
    <w:p>
      <w:r>
        <w:t>This guarantees complete historical reproducibility of every calculation and decision.</w:t>
      </w:r>
    </w:p>
    <w:p>
      <w:r>
        <w:t>53.9 Constitutional Audit Requirement</w:t>
      </w:r>
    </w:p>
    <w:p>
      <w:r>
        <w:t>Every modification of Constitutional Constants shall produce an immutable audit package containing:</w:t>
      </w:r>
    </w:p>
    <w:p>
      <w:r>
        <w:t>Amendment proposal</w:t>
      </w:r>
    </w:p>
    <w:p>
      <w:r>
        <w:t>Technical analysis</w:t>
      </w:r>
    </w:p>
    <w:p>
      <w:r>
        <w:t>Economic analysis</w:t>
      </w:r>
    </w:p>
    <w:p>
      <w:r>
        <w:t>Legal analysis</w:t>
      </w:r>
    </w:p>
    <w:p>
      <w:r>
        <w:t>Sharia analysis</w:t>
      </w:r>
    </w:p>
    <w:p>
      <w:r>
        <w:t>Simulation results</w:t>
      </w:r>
    </w:p>
    <w:p>
      <w:r>
        <w:t>Stress-test results</w:t>
      </w:r>
    </w:p>
    <w:p>
      <w:r>
        <w:t>Formal verification report</w:t>
      </w:r>
    </w:p>
    <w:p>
      <w:r>
        <w:t>Independent audit report</w:t>
      </w:r>
    </w:p>
    <w:p>
      <w:r>
        <w:t>Council voting record</w:t>
      </w:r>
    </w:p>
    <w:p>
      <w:r>
        <w:t>Activation record</w:t>
      </w:r>
    </w:p>
    <w:p>
      <w:r>
        <w:t>The audit package shall be permanently retained as part of the Constitutional Record.</w:t>
      </w:r>
    </w:p>
    <w:p>
      <w:r>
        <w:t>53.10 Principle of Constitutional Stability</w:t>
      </w:r>
    </w:p>
    <w:p>
      <w:r>
        <w:t>Constitutional Constants shall not be modified solely to improve short-term performance, increase competitiveness, maximize yield, respond to political pressure, or pursue commercial objectives.</w:t>
      </w:r>
    </w:p>
    <w:p>
      <w:r>
        <w:t>Any amendment shall be justified exclusively on the basis of constitutional resilience, institutional stability, mathematical correctness, operational safety, regulatory compatibility, or demonstrated long-term improvement supported by independent evidence.</w:t>
      </w:r>
    </w:p>
    <w:p>
      <w:r>
        <w:t>53.11 Constitutional Verification</w:t>
      </w:r>
    </w:p>
    <w:p>
      <w:r>
        <w:t>text</w:t>
      </w:r>
    </w:p>
    <w:p>
      <w:r>
        <w:t>✓ Constitutional Principle established</w:t>
      </w:r>
    </w:p>
    <w:p>
      <w:r>
        <w:t>✓ Modification Rule established</w:t>
      </w:r>
    </w:p>
    <w:p>
      <w:r>
        <w:t>✓ Constitutional Invariants Take Precedence established</w:t>
      </w:r>
    </w:p>
    <w:p>
      <w:r>
        <w:t>✓ Version Control requirements established</w:t>
      </w:r>
    </w:p>
    <w:p>
      <w:r>
        <w:t>✓ Canonical Constants Registry established</w:t>
      </w:r>
    </w:p>
    <w:p>
      <w:r>
        <w:t>✓ Examples of Constitutional Constants provided</w:t>
      </w:r>
    </w:p>
    <w:p>
      <w:r>
        <w:t>✓ Backward Compatibility requirements established</w:t>
      </w:r>
    </w:p>
    <w:p>
      <w:r>
        <w:t>✓ Deterministic Constitutional History requirements established</w:t>
      </w:r>
    </w:p>
    <w:p>
      <w:r>
        <w:t>✓ Constitutional Audit Requirement established</w:t>
      </w:r>
    </w:p>
    <w:p>
      <w:r>
        <w:t>✓ Principle of Constitutional Stability established</w:t>
      </w:r>
    </w:p>
    <w:p>
      <w:r>
        <w:t>53.12 Related Sections</w:t>
      </w:r>
    </w:p>
    <w:p>
      <w:r>
        <w:t>Section 1 — Constitutional Constants Registry</w:t>
      </w:r>
    </w:p>
    <w:p>
      <w:r>
        <w:t>Section 11 — Monetary Engine Determinism</w:t>
      </w:r>
    </w:p>
    <w:p>
      <w:r>
        <w:t>Section 43 — Constitutional Amendment &amp; Governance Framework</w:t>
      </w:r>
    </w:p>
    <w:p>
      <w:r>
        <w:t>Section 45 — Constitutional Invariants (Non-Amendable Provisions)</w:t>
      </w:r>
    </w:p>
    <w:p>
      <w:r>
        <w:t>Section 52 — Mathematical Engine Evolution</w:t>
      </w:r>
    </w:p>
    <w:p>
      <w:r>
        <w:t>Section 54 — Constitutional Reserve Governance</w:t>
      </w:r>
    </w:p>
    <w:p>
      <w:r>
        <w:t>Section 55 — Constitutional Final Provisions</w:t>
      </w:r>
    </w:p>
    <w:p>
      <w:r>
        <w:t>Constitutional Verification</w:t>
      </w:r>
    </w:p>
    <w:p>
      <w:r>
        <w:t>text</w:t>
      </w:r>
    </w:p>
    <w:p>
      <w:r>
        <w:t>✓ Constitutional Principle established</w:t>
      </w:r>
    </w:p>
    <w:p>
      <w:r>
        <w:t>✓ Modification Rule established</w:t>
      </w:r>
    </w:p>
    <w:p>
      <w:r>
        <w:t>✓ Constitutional Invariants Take Precedence established</w:t>
      </w:r>
    </w:p>
    <w:p>
      <w:r>
        <w:t>✓ Version Control established</w:t>
      </w:r>
    </w:p>
    <w:p>
      <w:r>
        <w:t>✓ Canonical Constants Registry established</w:t>
      </w:r>
    </w:p>
    <w:p>
      <w:r>
        <w:t>✓ Examples of Constitutional Constants provided</w:t>
      </w:r>
    </w:p>
    <w:p>
      <w:r>
        <w:t>✓ Backward Compatibility established</w:t>
      </w:r>
    </w:p>
    <w:p>
      <w:r>
        <w:t>✓ Deterministic Constitutional History established</w:t>
      </w:r>
    </w:p>
    <w:p>
      <w:r>
        <w:t>✓ Constitutional Audit Requirement established</w:t>
      </w:r>
    </w:p>
    <w:p>
      <w:r>
        <w:t>✓ Principle of Constitutional Stability established</w:t>
      </w:r>
    </w:p>
    <w:p>
      <w:r>
        <w:t>✓ Constitutional Verification established</w:t>
      </w:r>
    </w:p>
    <w:p>
      <w:r>
        <w:t>✓ Related Sections referenced</w:t>
      </w:r>
    </w:p>
    <w:p>
      <w:r>
        <w:t>[END OF SECTION 53 — CONSTITUTIONAL CONSTANTS MODIFICATION]</w:t>
      </w:r>
    </w:p>
    <w:p>
      <w:r>
        <w:t>Section 54: Constitutional Verification &amp; Readiness</w:t>
      </w:r>
    </w:p>
    <w:p>
      <w:r>
        <w:t>54.1 Constitutional Verification Principle</w:t>
      </w:r>
    </w:p>
    <w:p>
      <w:r>
        <w:t>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p>
    <w:p>
      <w:r>
        <w:t>Completion of this verification does not constitute legal approval, regulatory authorization, market acceptance, or operational launch. It certifies only that the constitutional specification has reached institutional review readiness.</w:t>
      </w:r>
    </w:p>
    <w:p>
      <w:r>
        <w:t>54.2 Constitutional Verification Matrix</w:t>
      </w:r>
    </w:p>
    <w:p>
      <w:r>
        <w:t>54.3 Constitutional Verification Checklist</w:t>
      </w:r>
    </w:p>
    <w:p>
      <w:r>
        <w:t>The Constitutional Verification Process shall confirm:</w:t>
      </w:r>
    </w:p>
    <w:p>
      <w:r>
        <w:t>✓ Internal consistency of all constitutional provisions</w:t>
      </w:r>
    </w:p>
    <w:p>
      <w:r>
        <w:t>✓ No conflicting constitutional definitions</w:t>
      </w:r>
    </w:p>
    <w:p>
      <w:r>
        <w:t>✓ No duplicate authoritative definitions</w:t>
      </w:r>
    </w:p>
    <w:p>
      <w:r>
        <w:t>✓ Mathematical consistency across all equations</w:t>
      </w:r>
    </w:p>
    <w:p>
      <w:r>
        <w:t>✓ Consistent terminology throughout the Constitution</w:t>
      </w:r>
    </w:p>
    <w:p>
      <w:r>
        <w:t>✓ Deterministic execution of every constitutional algorithm</w:t>
      </w:r>
    </w:p>
    <w:p>
      <w:r>
        <w:t>✓ Preservation of every Constitutional Invariant</w:t>
      </w:r>
    </w:p>
    <w:p>
      <w:r>
        <w:t>✓ Correct cross-references between all sections</w:t>
      </w:r>
    </w:p>
    <w:p>
      <w:r>
        <w:t>✓ Successful formal verification</w:t>
      </w:r>
    </w:p>
    <w:p>
      <w:r>
        <w:t>✓ Successful stress-testing</w:t>
      </w:r>
    </w:p>
    <w:p>
      <w:r>
        <w:t>✓ Successful simulation testing</w:t>
      </w:r>
    </w:p>
    <w:p>
      <w:r>
        <w:t>✓ Successful governance review</w:t>
      </w:r>
    </w:p>
    <w:p>
      <w:r>
        <w:t>✓ Successful legal review</w:t>
      </w:r>
    </w:p>
    <w:p>
      <w:r>
        <w:t>✓ Successful Sharia review</w:t>
      </w:r>
    </w:p>
    <w:p>
      <w:r>
        <w:t>✓ Successful external constitutional audit</w:t>
      </w:r>
    </w:p>
    <w:p>
      <w:r>
        <w:t>54.4 Constitutional Readiness Requirements</w:t>
      </w:r>
    </w:p>
    <w:p>
      <w:r>
        <w:t>A Constitutional Release Candidate shall satisfy all of the following before external validation:</w:t>
      </w:r>
    </w:p>
    <w:p>
      <w:r>
        <w:t>Constitutional drafting complete</w:t>
      </w:r>
    </w:p>
    <w:p>
      <w:r>
        <w:t>Mathematical specification complete</w:t>
      </w:r>
    </w:p>
    <w:p>
      <w:r>
        <w:t>Constitutional Constants Registry finalized</w:t>
      </w:r>
    </w:p>
    <w:p>
      <w:r>
        <w:t>Canonical algorithms finalized</w:t>
      </w:r>
    </w:p>
    <w:p>
      <w:r>
        <w:t>Formal verification completed</w:t>
      </w:r>
    </w:p>
    <w:p>
      <w:r>
        <w:t>Stress testing completed</w:t>
      </w:r>
    </w:p>
    <w:p>
      <w:r>
        <w:t>Simulation completed</w:t>
      </w:r>
    </w:p>
    <w:p>
      <w:r>
        <w:t>Oracle architecture validated</w:t>
      </w:r>
    </w:p>
    <w:p>
      <w:r>
        <w:t>Governance framework validated</w:t>
      </w:r>
    </w:p>
    <w:p>
      <w:r>
        <w:t>Constitutional documentation complete</w:t>
      </w:r>
    </w:p>
    <w:p>
      <w:r>
        <w:t>Independent audit prepared</w:t>
      </w:r>
    </w:p>
    <w:p>
      <w:r>
        <w:t>Failure of any requirement postpones Constitutional Release Candidate status.</w:t>
      </w:r>
    </w:p>
    <w:p>
      <w:r>
        <w:t>54.5 Constitutional Release Classification</w:t>
      </w:r>
    </w:p>
    <w:p>
      <w:r>
        <w:t>The Institution recognizes the following constitutional maturity levels:</w:t>
      </w:r>
    </w:p>
    <w:p>
      <w:r>
        <w:t>Advancement between stages requires completion of the applicable constitutional review process.</w:t>
      </w:r>
    </w:p>
    <w:p>
      <w:r>
        <w:t>54.6 Constitutional Verification Record</w:t>
      </w:r>
    </w:p>
    <w:p>
      <w:r>
        <w:t>Every Constitutional Release Candidate shall permanently record:</w:t>
      </w:r>
    </w:p>
    <w:p>
      <w:r>
        <w:t>Constitutional Version</w:t>
      </w:r>
    </w:p>
    <w:p>
      <w:r>
        <w:t>Verification Date</w:t>
      </w:r>
    </w:p>
    <w:p>
      <w:r>
        <w:t>Verification Identifier</w:t>
      </w:r>
    </w:p>
    <w:p>
      <w:r>
        <w:t>Mathematical Engine Version</w:t>
      </w:r>
    </w:p>
    <w:p>
      <w:r>
        <w:t>Constants Registry Version</w:t>
      </w:r>
    </w:p>
    <w:p>
      <w:r>
        <w:t>Oracle Version</w:t>
      </w:r>
    </w:p>
    <w:p>
      <w:r>
        <w:t>Proof System Version</w:t>
      </w:r>
    </w:p>
    <w:p>
      <w:r>
        <w:t>Formal Verification Version</w:t>
      </w:r>
    </w:p>
    <w:p>
      <w:r>
        <w:t>Stress-Test Version</w:t>
      </w:r>
    </w:p>
    <w:p>
      <w:r>
        <w:t>External Audit Version</w:t>
      </w:r>
    </w:p>
    <w:p>
      <w:r>
        <w:t>Council Resolution</w:t>
      </w:r>
    </w:p>
    <w:p>
      <w:r>
        <w:t>Verification Timestamp</w:t>
      </w:r>
    </w:p>
    <w:p>
      <w:r>
        <w:t>This record forms part of the permanent Constitutional Archive.</w:t>
      </w:r>
    </w:p>
    <w:p>
      <w:r>
        <w:t>54.7 Principle of Verification Integrity</w:t>
      </w:r>
    </w:p>
    <w:p>
      <w:r>
        <w:t>Verification certifies that the Constitution is internally complete, coherent, deterministic, and ready for independent evaluation.</w:t>
      </w:r>
    </w:p>
    <w:p>
      <w:r>
        <w:t>Verification does not constitute regulatory approval, legal authorization, financial endorsement, or operational licensing.</w:t>
      </w:r>
    </w:p>
    <w:p>
      <w:r>
        <w:t>54.8 Constitutional Verification</w:t>
      </w:r>
    </w:p>
    <w:p>
      <w:r>
        <w:t>text</w:t>
      </w:r>
    </w:p>
    <w:p>
      <w:r>
        <w:t>✓ Constitutional Verification Principle established</w:t>
      </w:r>
    </w:p>
    <w:p>
      <w:r>
        <w:t>✓ Verification Matrix completed</w:t>
      </w:r>
    </w:p>
    <w:p>
      <w:r>
        <w:t>✓ Verification Checklist completed</w:t>
      </w:r>
    </w:p>
    <w:p>
      <w:r>
        <w:t>✓ Readiness Requirements established</w:t>
      </w:r>
    </w:p>
    <w:p>
      <w:r>
        <w:t>✓ Release Classification defined</w:t>
      </w:r>
    </w:p>
    <w:p>
      <w:r>
        <w:t>✓ Verification Record requirements established</w:t>
      </w:r>
    </w:p>
    <w:p>
      <w:r>
        <w:t>✓ Principle of Verification Integrity established</w:t>
      </w:r>
    </w:p>
    <w:p>
      <w:r>
        <w:t>54.9 Related Sections</w:t>
      </w:r>
    </w:p>
    <w:p>
      <w:r>
        <w:t>Section 38 — Constitutional Formal Verification</w:t>
      </w:r>
    </w:p>
    <w:p>
      <w:r>
        <w:t>Section 40 — Constitutional Stress Testing</w:t>
      </w:r>
    </w:p>
    <w:p>
      <w:r>
        <w:t>Section 43 — Constitutional Amendment &amp; Governance Framework</w:t>
      </w:r>
    </w:p>
    <w:p>
      <w:r>
        <w:t>Section 45 — Constitutional Invariants (Non-Amendable Provisions)</w:t>
      </w:r>
    </w:p>
    <w:p>
      <w:r>
        <w:t>Section 53 — Constitutional Constants Modification</w:t>
      </w:r>
    </w:p>
    <w:p>
      <w:r>
        <w:t>Section 55 — Constitutional Release Declaration</w:t>
      </w:r>
    </w:p>
    <w:p>
      <w:r>
        <w:t>Constitutional Verification</w:t>
      </w:r>
    </w:p>
    <w:p>
      <w:r>
        <w:t>text</w:t>
      </w:r>
    </w:p>
    <w:p>
      <w:r>
        <w:t>✓ Constitutional Verification Principle established</w:t>
      </w:r>
    </w:p>
    <w:p>
      <w:r>
        <w:t>✓ Verification Matrix defined</w:t>
      </w:r>
    </w:p>
    <w:p>
      <w:r>
        <w:t>✓ Verification Checklist established</w:t>
      </w:r>
    </w:p>
    <w:p>
      <w:r>
        <w:t>✓ Readiness Requirements established</w:t>
      </w:r>
    </w:p>
    <w:p>
      <w:r>
        <w:t>✓ Release Classification defined</w:t>
      </w:r>
    </w:p>
    <w:p>
      <w:r>
        <w:t>✓ Verification Record established</w:t>
      </w:r>
    </w:p>
    <w:p>
      <w:r>
        <w:t>✓ Principle of Verification Integrity established</w:t>
      </w:r>
    </w:p>
    <w:p>
      <w:r>
        <w:t>✓ Constitutional Verification established</w:t>
      </w:r>
    </w:p>
    <w:p>
      <w:r>
        <w:t>✓ Related Sections referenced</w:t>
      </w:r>
    </w:p>
    <w:p>
      <w:r>
        <w:t>[END OF SECTION 54 — CONSTITUTIONAL VERIFICATION &amp; READINESS]</w:t>
      </w:r>
    </w:p>
    <w:p>
      <w:r>
        <w:t>Section 55: Constitutional Release Declaration</w:t>
      </w:r>
    </w:p>
    <w:p>
      <w:r>
        <w:t>55.1 Constitutional Release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55.2 Constitutional Summary</w:t>
      </w:r>
    </w:p>
    <w:p>
      <w:r>
        <w:t>The Constitution defines:</w:t>
      </w:r>
    </w:p>
    <w:p>
      <w:r>
        <w:t>Constitutional Monetary Architecture</w:t>
      </w:r>
    </w:p>
    <w:p>
      <w:r>
        <w:t>Constitutional Mathematical Engine</w:t>
      </w:r>
    </w:p>
    <w:p>
      <w:r>
        <w:t>Constitutional Reserve Framework</w:t>
      </w:r>
    </w:p>
    <w:p>
      <w:r>
        <w:t>Constitutional Currency Weighting Engine</w:t>
      </w:r>
    </w:p>
    <w:p>
      <w:r>
        <w:t>Constitutional Oracle Framework</w:t>
      </w:r>
    </w:p>
    <w:p>
      <w:r>
        <w:t>Constitutional Governance Framework</w:t>
      </w:r>
    </w:p>
    <w:p>
      <w:r>
        <w:t>Constitutional Risk Framework</w:t>
      </w:r>
    </w:p>
    <w:p>
      <w:r>
        <w:t>Constitutional Proof-of-Reserves Framework</w:t>
      </w:r>
    </w:p>
    <w:p>
      <w:r>
        <w:t>Constitutional Verification Framework</w:t>
      </w:r>
    </w:p>
    <w:p>
      <w:r>
        <w:t>Constitutional Continuity Framework</w:t>
      </w:r>
    </w:p>
    <w:p>
      <w:r>
        <w:t>Collectively, these components define the constitutional operating model of the Institution.</w:t>
      </w:r>
    </w:p>
    <w:p>
      <w:r>
        <w:t>55.3 Constitutional Features</w:t>
      </w:r>
    </w:p>
    <w:p>
      <w:r>
        <w:t>55.4 Constitutional Identity</w:t>
      </w:r>
    </w:p>
    <w:p>
      <w:r>
        <w:t>The Institution is constituted as a constitutional monetary infrastructure governed by deterministic constitutional rules, full reserve backing, institutional governance, mathematical transparency, and permanent auditability.</w:t>
      </w:r>
    </w:p>
    <w:p>
      <w:r>
        <w:t>Its constitutional purpose is to support neutral, resilient, and transparent settlement through a reserve-backed constitutional monetary framework.</w:t>
      </w:r>
    </w:p>
    <w:p>
      <w:r>
        <w:t>55.5 Constitutional Limitation</w:t>
      </w:r>
    </w:p>
    <w:p>
      <w:r>
        <w:t>This Constitution establishes the constitutional architecture of the Institution.</w:t>
      </w:r>
    </w:p>
    <w:p>
      <w:r>
        <w:t>It does not itself constitute:</w:t>
      </w:r>
    </w:p>
    <w:p>
      <w:r>
        <w:t>Regulatory authorization</w:t>
      </w:r>
    </w:p>
    <w:p>
      <w:r>
        <w:t>Legal recognition</w:t>
      </w:r>
    </w:p>
    <w:p>
      <w:r>
        <w:t>Banking licensure</w:t>
      </w:r>
    </w:p>
    <w:p>
      <w:r>
        <w:t>Payment system approval</w:t>
      </w:r>
    </w:p>
    <w:p>
      <w:r>
        <w:t>Investment advice</w:t>
      </w:r>
    </w:p>
    <w:p>
      <w:r>
        <w:t>Legal advice</w:t>
      </w:r>
    </w:p>
    <w:p>
      <w:r>
        <w:t>Governmental endorsement</w:t>
      </w:r>
    </w:p>
    <w:p>
      <w:r>
        <w:t>Implementation remains subject to applicable law, regulatory requirements, institutional approvals, and operational readiness.</w:t>
      </w:r>
    </w:p>
    <w:p>
      <w:r>
        <w:t>55.6 Constitutional Commitment</w:t>
      </w:r>
    </w:p>
    <w:p>
      <w:r>
        <w:t>The Institution commits to preserving:</w:t>
      </w:r>
    </w:p>
    <w:p>
      <w:r>
        <w:t>Constitutional Integrity</w:t>
      </w:r>
    </w:p>
    <w:p>
      <w:r>
        <w:t>Monetary Neutrality</w:t>
      </w:r>
    </w:p>
    <w:p>
      <w:r>
        <w:t>Reserve Transparency</w:t>
      </w:r>
    </w:p>
    <w:p>
      <w:r>
        <w:t>Deterministic Operation</w:t>
      </w:r>
    </w:p>
    <w:p>
      <w:r>
        <w:t>Institutional Prudence</w:t>
      </w:r>
    </w:p>
    <w:p>
      <w:r>
        <w:t>Auditability</w:t>
      </w:r>
    </w:p>
    <w:p>
      <w:r>
        <w:t>Mathematical Correctness</w:t>
      </w:r>
    </w:p>
    <w:p>
      <w:r>
        <w:t>Regulatory Cooperation</w:t>
      </w:r>
    </w:p>
    <w:p>
      <w:r>
        <w:t>Sharia Compliance</w:t>
      </w:r>
    </w:p>
    <w:p>
      <w:r>
        <w:t>Long-Term Constitutional Stability</w:t>
      </w:r>
    </w:p>
    <w:p>
      <w:r>
        <w:t>These commitments shall guide every future constitutional amendment and operational decision.</w:t>
      </w:r>
    </w:p>
    <w:p>
      <w:r>
        <w:t>55.7 Constitutional Closing Declaration</w:t>
      </w:r>
    </w:p>
    <w:p>
      <w:r>
        <w:t>This Constitution establishes the enduring constitutional framework governing the Institution.</w:t>
      </w:r>
    </w:p>
    <w:p>
      <w:r>
        <w:t>Future constitutional evolution may improve implementation, mathematics, cryptography, and operational processes, but shall never weaken the Constitutional Invariants upon which the Institution is founded.</w:t>
      </w:r>
    </w:p>
    <w:p>
      <w:r>
        <w:t>Every future version shall preserve the constitutional identity, institutional purpose, and governing principles defined herein.</w:t>
      </w:r>
    </w:p>
    <w:p>
      <w:r>
        <w:t>55.8 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55.9 Related Sections</w:t>
      </w:r>
    </w:p>
    <w:p>
      <w:r>
        <w:t>Section 43 — Constitutional Amendment &amp; Governance Framework</w:t>
      </w:r>
    </w:p>
    <w:p>
      <w:r>
        <w:t>Section 45 — Constitutional Invariants (Non-Amendable Provisions)</w:t>
      </w:r>
    </w:p>
    <w:p>
      <w:r>
        <w:t>Section 53 — Constitutional Constants Modification</w:t>
      </w:r>
    </w:p>
    <w:p>
      <w:r>
        <w:t>Section 54 — Constitutional Verification &amp; Readiness</w:t>
      </w:r>
    </w:p>
    <w:p>
      <w:r>
        <w:t>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 Constitutional Verification established</w:t>
      </w:r>
    </w:p>
    <w:p>
      <w:r>
        <w:t>✓ Related Sections referenced</w:t>
      </w:r>
    </w:p>
    <w:p>
      <w:r>
        <w:t>[END OF SECTION 55 — CONSTITUTIONAL RELEASE DECLARATION]</w:t>
      </w:r>
    </w:p>
    <w:p>
      <w:r>
        <w:t>Section 56: Constitutional Dependency Framework</w:t>
      </w:r>
    </w:p>
    <w:p>
      <w:r>
        <w:t>56.1 Constitutional Principle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No institutional operation shall depend on any single external entity, service provider, jurisdiction, or technology. Failure of any single dependency shall not interrupt constitutional operation.</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56.1A Constitutional Dependency Hierarchy</w:t>
      </w:r>
    </w:p>
    <w:p>
      <w:r>
        <w:t>Constitutional Principle:</w:t>
      </w:r>
    </w:p>
    <w:p>
      <w:r>
        <w:t>Dependencies shall be classified according to their effect on constitutional operation. Higher-tier dependencies shall require progressively stronger redundancy, oversight, and recovery requirements.</w:t>
      </w:r>
    </w:p>
    <w:p>
      <w:r>
        <w:t>Tier Requirements:</w:t>
      </w:r>
    </w:p>
    <w:p>
      <w:r>
        <w:t>What This Means in Practice:</w:t>
      </w:r>
    </w:p>
    <w:p>
      <w:r>
        <w:t>Tier I dependencies are essential to constitutional continuity</w:t>
      </w:r>
    </w:p>
    <w:p>
      <w:r>
        <w:t>Tier I requires mandatory redundancy with at least 3 independent providers</w:t>
      </w:r>
    </w:p>
    <w:p>
      <w:r>
        <w:t>Tier I replacement must occur within 24 hours</w:t>
      </w:r>
    </w:p>
    <w:p>
      <w:r>
        <w:t>Tier I is audited quarterly</w:t>
      </w:r>
    </w:p>
    <w:p>
      <w:r>
        <w:t>No single Tier I dependency failure shall interrupt constitutional operation</w:t>
      </w:r>
    </w:p>
    <w:p>
      <w:r>
        <w:t>Why This Matters:</w:t>
      </w:r>
    </w:p>
    <w:p>
      <w:r>
        <w:t>Classification enables proportional governance</w:t>
      </w:r>
    </w:p>
    <w:p>
      <w:r>
        <w:t>Higher tiers receive stronger protections</w:t>
      </w:r>
    </w:p>
    <w:p>
      <w:r>
        <w:t>Resources are allocated based on constitutional importance</w:t>
      </w:r>
    </w:p>
    <w:p>
      <w:r>
        <w:t>Redundancy requirements are calibrated to risk</w:t>
      </w:r>
    </w:p>
    <w:p>
      <w:r>
        <w:t>56.1B Constitutional Independence Doctrine</w:t>
      </w:r>
    </w:p>
    <w:p>
      <w:r>
        <w:t>Constitutional Principle:</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Independence Requirements:</w:t>
      </w:r>
    </w:p>
    <w:p>
      <w:r>
        <w:t>Independence Application:</w:t>
      </w:r>
    </w:p>
    <w:p>
      <w:r>
        <w:t>Service providers are subordinate to the Constitution</w:t>
      </w:r>
    </w:p>
    <w:p>
      <w:r>
        <w:t>Service providers have no constitutional authority</w:t>
      </w:r>
    </w:p>
    <w:p>
      <w:r>
        <w:t>Service providers cannot influence constitutional decisions</w:t>
      </w:r>
    </w:p>
    <w:p>
      <w:r>
        <w:t>Service providers cannot block constitutional operations</w:t>
      </w:r>
    </w:p>
    <w:p>
      <w:r>
        <w:t>Service providers cannot unilaterally terminate services</w:t>
      </w:r>
    </w:p>
    <w:p>
      <w:r>
        <w:t>What This Means in Practice:</w:t>
      </w:r>
    </w:p>
    <w:p>
      <w:r>
        <w:t>A custodian cannot refuse to release reserves based on its own policy</w:t>
      </w:r>
    </w:p>
    <w:p>
      <w:r>
        <w:t>An oracle provider cannot manipulate data to influence NAV</w:t>
      </w:r>
    </w:p>
    <w:p>
      <w:r>
        <w:t>A cloud provider cannot suspend operations based on its own discretion</w:t>
      </w:r>
    </w:p>
    <w:p>
      <w:r>
        <w:t>A banking partner cannot block settlement based on its own judgment</w:t>
      </w:r>
    </w:p>
    <w:p>
      <w:r>
        <w:t>Why This Matters:</w:t>
      </w:r>
    </w:p>
    <w:p>
      <w:r>
        <w:t>Without independence, dependencies acquire unconstitutional influence</w:t>
      </w:r>
    </w:p>
    <w:p>
      <w:r>
        <w:t>Without independence, the Institution is vulnerable to provider decisions</w:t>
      </w:r>
    </w:p>
    <w:p>
      <w:r>
        <w:t>Without independence, constitutional authority is compromised</w:t>
      </w:r>
    </w:p>
    <w:p>
      <w:r>
        <w:t>Independence preserves constitutional sovereignty</w:t>
      </w:r>
    </w:p>
    <w:p>
      <w:r>
        <w:t>56.1C Common-Mode Failure Doctrine</w:t>
      </w:r>
    </w:p>
    <w:p>
      <w:r>
        <w:t>Constitutional Principle:</w:t>
      </w:r>
    </w:p>
    <w:p>
      <w:r>
        <w:t>Dependencies that appear independent but rely upon common ownership, infrastructure, cloud providers, telecommunications, legal jurisdictions, software libraries, or key personnel shall be treated as correlated dependencies when calculating concentration risk.</w:t>
      </w:r>
    </w:p>
    <w:p>
      <w:r>
        <w:t>Common-Mode Failure Identification:</w:t>
      </w:r>
    </w:p>
    <w:p>
      <w:r>
        <w:t>Treatment:</w:t>
      </w:r>
    </w:p>
    <w:p>
      <w:r>
        <w:t>What This Means in Practice:</w:t>
      </w:r>
    </w:p>
    <w:p>
      <w:r>
        <w:t>Two custodians using the same cloud provider are not truly independent</w:t>
      </w:r>
    </w:p>
    <w:p>
      <w:r>
        <w:t>Two oracle providers using the same data center are not truly independent</w:t>
      </w:r>
    </w:p>
    <w:p>
      <w:r>
        <w:t>Two banking partners in the same jurisdiction are not truly independent</w:t>
      </w:r>
    </w:p>
    <w:p>
      <w:r>
        <w:t>Correlation must be actively identified and mitigated</w:t>
      </w:r>
    </w:p>
    <w:p>
      <w:r>
        <w:t>Why This Matters:</w:t>
      </w:r>
    </w:p>
    <w:p>
      <w:r>
        <w:t>Without correlation analysis, dependencies appear more independent than they are</w:t>
      </w:r>
    </w:p>
    <w:p>
      <w:r>
        <w:t>Hidden correlations create common-mode failure risks</w:t>
      </w:r>
    </w:p>
    <w:p>
      <w:r>
        <w:t>Common-mode failures can cascade</w:t>
      </w:r>
    </w:p>
    <w:p>
      <w:r>
        <w:t>Correlation analysis is essential to true resilience</w:t>
      </w:r>
    </w:p>
    <w:p>
      <w:r>
        <w:t>56.2 Dependency Categories</w:t>
      </w:r>
    </w:p>
    <w:p>
      <w:r>
        <w:t>Dependencies shall be classified according to their constitutional importance:</w:t>
      </w:r>
    </w:p>
    <w:p>
      <w:r>
        <w:t>What This Means in Practice:</w:t>
      </w:r>
    </w:p>
    <w:p>
      <w:r>
        <w:t>Tier I dependencies are essential to constitutional continuity</w:t>
      </w:r>
    </w:p>
    <w:p>
      <w:r>
        <w:t>Tier II dependencies are essential to operational continuity</w:t>
      </w:r>
    </w:p>
    <w:p>
      <w:r>
        <w:t>Tier III dependencies support operations</w:t>
      </w:r>
    </w:p>
    <w:p>
      <w:r>
        <w:t>Each category has specific concentration limits</w:t>
      </w:r>
    </w:p>
    <w:p>
      <w:r>
        <w:t>Why This Matters:</w:t>
      </w:r>
    </w:p>
    <w:p>
      <w:r>
        <w:t>Complete categorization enables comprehensive governance</w:t>
      </w:r>
    </w:p>
    <w:p>
      <w:r>
        <w:t>Hidden dependencies are identified</w:t>
      </w:r>
    </w:p>
    <w:p>
      <w:r>
        <w:t>Concentration limits apply to all dependencies</w:t>
      </w:r>
    </w:p>
    <w:p>
      <w:r>
        <w:t>No dependency is overlooked</w:t>
      </w:r>
    </w:p>
    <w:p>
      <w:r>
        <w:t>56.3 Dependency Governance Requirements</w:t>
      </w:r>
    </w:p>
    <w:p>
      <w:r>
        <w:t>For every dependency, the Institution shall define:</w:t>
      </w:r>
    </w:p>
    <w:p>
      <w:r>
        <w:t>Documentation Requirements:</w:t>
      </w:r>
    </w:p>
    <w:p>
      <w:r>
        <w:t>What This Means in Practice:</w:t>
      </w:r>
    </w:p>
    <w:p>
      <w:r>
        <w:t>Every dependency is documented in a central registry</w:t>
      </w:r>
    </w:p>
    <w:p>
      <w:r>
        <w:t>Service levels are defined in agreements</w:t>
      </w:r>
    </w:p>
    <w:p>
      <w:r>
        <w:t>Incident response plans are in place</w:t>
      </w:r>
    </w:p>
    <w:p>
      <w:r>
        <w:t>Business continuity plans ensure operations continue</w:t>
      </w:r>
    </w:p>
    <w:p>
      <w:r>
        <w:t>Disaster recovery plans enable recovery</w:t>
      </w:r>
    </w:p>
    <w:p>
      <w:r>
        <w:t>Risk assessments identify vulnerabilities</w:t>
      </w:r>
    </w:p>
    <w:p>
      <w:r>
        <w:t>Dependency maps identify correlations</w:t>
      </w:r>
    </w:p>
    <w:p>
      <w:r>
        <w:t>56.3A Cross-Dependency Mapping</w:t>
      </w:r>
    </w:p>
    <w:p>
      <w:r>
        <w:t>Constitutional Principle:</w:t>
      </w:r>
    </w:p>
    <w:p>
      <w:r>
        <w:t>The Institution shall maintain continuously updated dependency maps identifying upstream dependencies, downstream dependencies, shared infrastructure, hidden common-mode failures, and correlated risk.</w:t>
      </w:r>
    </w:p>
    <w:p>
      <w:r>
        <w:t>Dependency Mapping Requirements:</w:t>
      </w:r>
    </w:p>
    <w:p>
      <w:r>
        <w:t>Mapping Frequency:</w:t>
      </w:r>
    </w:p>
    <w:p>
      <w:r>
        <w:t>What This Means in Practice:</w:t>
      </w:r>
    </w:p>
    <w:p>
      <w:r>
        <w:t>A dependency map shows all dependencies and their relationships</w:t>
      </w:r>
    </w:p>
    <w:p>
      <w:r>
        <w:t>Upstream dependencies are identified</w:t>
      </w:r>
    </w:p>
    <w:p>
      <w:r>
        <w:t>Hidden correlations are exposed</w:t>
      </w:r>
    </w:p>
    <w:p>
      <w:r>
        <w:t>Single points of failure are identified</w:t>
      </w:r>
    </w:p>
    <w:p>
      <w:r>
        <w:t>Jurisdictional concentration is tracked</w:t>
      </w:r>
    </w:p>
    <w:p>
      <w:r>
        <w:t>Why This Matters:</w:t>
      </w:r>
    </w:p>
    <w:p>
      <w:r>
        <w:t>Without mapping, hidden dependencies go unidentified</w:t>
      </w:r>
    </w:p>
    <w:p>
      <w:r>
        <w:t>Without mapping, common-mode failures are not anticipated</w:t>
      </w:r>
    </w:p>
    <w:p>
      <w:r>
        <w:t>Without mapping, single points of failure persist</w:t>
      </w:r>
    </w:p>
    <w:p>
      <w:r>
        <w:t>Mapping enables comprehensive risk management</w:t>
      </w:r>
    </w:p>
    <w:p>
      <w:r>
        <w:t>56.4 Dependency Concentration Limits</w:t>
      </w:r>
    </w:p>
    <w:p>
      <w:r>
        <w:t>Concentration limits by dependency type:</w:t>
      </w:r>
    </w:p>
    <w:p>
      <w:r>
        <w:t>Constitutional Concentration Principle:</w:t>
      </w:r>
    </w:p>
    <w:p>
      <w:r>
        <w:t>Maximum concentrations constitute constitutional ceilings rather than operational targets. The Institution shall maintain lower operational exposure whenever reasonably practicable. Concentration below maximum limits is preferred whenever operationally feasible.</w:t>
      </w:r>
    </w:p>
    <w:p>
      <w:r>
        <w:t>Breach Detection:</w:t>
      </w:r>
    </w:p>
    <w:p>
      <w:r>
        <w:t>What This Means in Practice:</w:t>
      </w:r>
    </w:p>
    <w:p>
      <w:r>
        <w:t>Concentration is monitored continuously</w:t>
      </w:r>
    </w:p>
    <w:p>
      <w:r>
        <w:t>Approaching limits triggers enhanced monitoring</w:t>
      </w:r>
    </w:p>
    <w:p>
      <w:r>
        <w:t>Exceeding limits requires remediation</w:t>
      </w:r>
    </w:p>
    <w:p>
      <w:r>
        <w:t>Continued breach requires Council notification</w:t>
      </w:r>
    </w:p>
    <w:p>
      <w:r>
        <w:t>Lower concentration is always preferred</w:t>
      </w:r>
    </w:p>
    <w:p>
      <w:r>
        <w:t>Why This Matters:</w:t>
      </w:r>
    </w:p>
    <w:p>
      <w:r>
        <w:t>Concentration limits prevent over-reliance</w:t>
      </w:r>
    </w:p>
    <w:p>
      <w:r>
        <w:t>Ceilings provide constitutional protection</w:t>
      </w:r>
    </w:p>
    <w:p>
      <w:r>
        <w:t>Lower operational targets promote diversification</w:t>
      </w:r>
    </w:p>
    <w:p>
      <w:r>
        <w:t>Monitoring detects breaches early</w:t>
      </w:r>
    </w:p>
    <w:p>
      <w:r>
        <w:t>56.4A Jurisdictional Dependency Limits</w:t>
      </w:r>
    </w:p>
    <w:p>
      <w:r>
        <w:t>Constitutional Principle:</w:t>
      </w:r>
    </w:p>
    <w:p>
      <w:r>
        <w:t>No constitutional function shall depend exclusively upon one legal jurisdiction. Every constitutional capability shall remain executable following complete loss of any single jurisdiction.</w:t>
      </w:r>
    </w:p>
    <w:p>
      <w:r>
        <w:t>Jurisdictional Requirements:</w:t>
      </w:r>
    </w:p>
    <w:p>
      <w:r>
        <w:t>Jurisdictional Limits:</w:t>
      </w:r>
    </w:p>
    <w:p>
      <w:r>
        <w:t>What This Means in Practice:</w:t>
      </w:r>
    </w:p>
    <w:p>
      <w:r>
        <w:t>Reserves are distributed across at least 3 jurisdictions</w:t>
      </w:r>
    </w:p>
    <w:p>
      <w:r>
        <w:t>No single jurisdiction holds more than 40% of reserves</w:t>
      </w:r>
    </w:p>
    <w:p>
      <w:r>
        <w:t>Governance can continue from 3 independent jurisdictions</w:t>
      </w:r>
    </w:p>
    <w:p>
      <w:r>
        <w:t>Oracle infrastructure spans 4 jurisdictions</w:t>
      </w:r>
    </w:p>
    <w:p>
      <w:r>
        <w:t>MPC key shares are distributed across 3 jurisdictions</w:t>
      </w:r>
    </w:p>
    <w:p>
      <w:r>
        <w:t>Why This Matters:</w:t>
      </w:r>
    </w:p>
    <w:p>
      <w:r>
        <w:t>Jurisdictional concentration creates vulnerability</w:t>
      </w:r>
    </w:p>
    <w:p>
      <w:r>
        <w:t>Single jurisdiction loss should not halt operations</w:t>
      </w:r>
    </w:p>
    <w:p>
      <w:r>
        <w:t>Legal diversity reduces regulatory risk</w:t>
      </w:r>
    </w:p>
    <w:p>
      <w:r>
        <w:t>Geographic distribution enables resilience</w:t>
      </w:r>
    </w:p>
    <w:p>
      <w:r>
        <w:t>56.5 Dependency Risk Scoring</w:t>
      </w:r>
    </w:p>
    <w:p>
      <w:r>
        <w:t>Constitutional Dependency Score (CDS):</w:t>
      </w:r>
    </w:p>
    <w:p>
      <w:r>
        <w:t>Every dependency shall receive a Constitutional Dependency Score (CDS) measuring its overall risk to constitutional operation.</w:t>
      </w:r>
    </w:p>
    <w:p>
      <w:r>
        <w:t>Score Components:</w:t>
      </w:r>
    </w:p>
    <w:p>
      <w:r>
        <w:t>Score Calculation:</w:t>
      </w:r>
    </w:p>
    <w:p>
      <w:r>
        <w:t>text</w:t>
      </w:r>
    </w:p>
    <w:p>
      <w:r>
        <w:t>CDS = (Operational × 0.20) + (Financial × 0.15) + (Legal × 0.15) +</w:t>
      </w:r>
    </w:p>
    <w:p>
      <w:r>
        <w:t>(Cyber × 0.20) + (Jurisdictional × 0.10) + (Replacement × 0.10) +</w:t>
      </w:r>
    </w:p>
    <w:p>
      <w:r>
        <w:t>(Vendor × 0.05) + (Concentration × 0.05)</w:t>
      </w:r>
    </w:p>
    <w:p>
      <w:r>
        <w:t>Score Interpretation:</w:t>
      </w:r>
    </w:p>
    <w:p>
      <w:r>
        <w:t>What This Means in Practice:</w:t>
      </w:r>
    </w:p>
    <w:p>
      <w:r>
        <w:t>Every dependency receives a quantitative risk score</w:t>
      </w:r>
    </w:p>
    <w:p>
      <w:r>
        <w:t>Scores are calculated from multiple components</w:t>
      </w:r>
    </w:p>
    <w:p>
      <w:r>
        <w:t>Scores trigger defined actions</w:t>
      </w:r>
    </w:p>
    <w:p>
      <w:r>
        <w:t>Scores are reviewed and updated quarterly</w:t>
      </w:r>
    </w:p>
    <w:p>
      <w:r>
        <w:t>Why This Matters:</w:t>
      </w:r>
    </w:p>
    <w:p>
      <w:r>
        <w:t>Quantitative scoring enables objective comparison</w:t>
      </w:r>
    </w:p>
    <w:p>
      <w:r>
        <w:t>Multiple components provide comprehensive assessment</w:t>
      </w:r>
    </w:p>
    <w:p>
      <w:r>
        <w:t>Scores trigger proportional action</w:t>
      </w:r>
    </w:p>
    <w:p>
      <w:r>
        <w:t>Regular review maintains current assessment</w:t>
      </w:r>
    </w:p>
    <w:p>
      <w:r>
        <w:t>56.6 Dependency Replacement Protocol</w:t>
      </w:r>
    </w:p>
    <w:p>
      <w:r>
        <w:t>Protocol Flow:</w:t>
      </w:r>
    </w:p>
    <w:p>
      <w:r>
        <w:t>text</w:t>
      </w:r>
    </w:p>
    <w:p>
      <w:r>
        <w:t>Dependency Failure Identified</w:t>
      </w:r>
    </w:p>
    <w:p>
      <w:r>
        <w:t>│</w:t>
      </w:r>
    </w:p>
    <w:p>
      <w:r>
        <w:t>▼</w:t>
      </w:r>
    </w:p>
    <w:p>
      <w:r>
        <w:t>Emergency Assessment</w:t>
      </w:r>
    </w:p>
    <w:p>
      <w:r>
        <w:t>│</w:t>
      </w:r>
    </w:p>
    <w:p>
      <w:r>
        <w:t>▼</w:t>
      </w:r>
    </w:p>
    <w:p>
      <w:r>
        <w:t>Activate Backup Dependency</w:t>
      </w:r>
    </w:p>
    <w:p>
      <w:r>
        <w:t>│</w:t>
      </w:r>
    </w:p>
    <w:p>
      <w:r>
        <w:t>▼</w:t>
      </w:r>
    </w:p>
    <w:p>
      <w:r>
        <w:t>Integrity Verification</w:t>
      </w:r>
    </w:p>
    <w:p>
      <w:r>
        <w:t>│</w:t>
      </w:r>
    </w:p>
    <w:p>
      <w:r>
        <w:t>▼</w:t>
      </w:r>
    </w:p>
    <w:p>
      <w:r>
        <w:t>Legal Validation</w:t>
      </w:r>
    </w:p>
    <w:p>
      <w:r>
        <w:t>│</w:t>
      </w:r>
    </w:p>
    <w:p>
      <w:r>
        <w:t>▼</w:t>
      </w:r>
    </w:p>
    <w:p>
      <w:r>
        <w:t>Cryptographic Verification</w:t>
      </w:r>
    </w:p>
    <w:p>
      <w:r>
        <w:t>│</w:t>
      </w:r>
    </w:p>
    <w:p>
      <w:r>
        <w:t>▼</w:t>
      </w:r>
    </w:p>
    <w:p>
      <w:r>
        <w:t>Operational Testing</w:t>
      </w:r>
    </w:p>
    <w:p>
      <w:r>
        <w:t>│</w:t>
      </w:r>
    </w:p>
    <w:p>
      <w:r>
        <w:t>▼</w:t>
      </w:r>
    </w:p>
    <w:p>
      <w:r>
        <w:t>Transfer Operations</w:t>
      </w:r>
    </w:p>
    <w:p>
      <w:r>
        <w:t>│</w:t>
      </w:r>
    </w:p>
    <w:p>
      <w:r>
        <w:t>▼</w:t>
      </w:r>
    </w:p>
    <w:p>
      <w:r>
        <w:t>Verify Operational Continuity</w:t>
      </w:r>
    </w:p>
    <w:p>
      <w:r>
        <w:t>│</w:t>
      </w:r>
    </w:p>
    <w:p>
      <w:r>
        <w:t>▼</w:t>
      </w:r>
    </w:p>
    <w:p>
      <w:r>
        <w:t>Document Transition</w:t>
      </w:r>
    </w:p>
    <w:p>
      <w:r>
        <w:t>│</w:t>
      </w:r>
    </w:p>
    <w:p>
      <w:r>
        <w:t>▼</w:t>
      </w:r>
    </w:p>
    <w:p>
      <w:r>
        <w:t>Rollback Capability Confirmed</w:t>
      </w:r>
    </w:p>
    <w:p>
      <w:r>
        <w:t>│</w:t>
      </w:r>
    </w:p>
    <w:p>
      <w:r>
        <w:t>▼</w:t>
      </w:r>
    </w:p>
    <w:p>
      <w:r>
        <w:t>Post-Incident Review</w:t>
      </w:r>
    </w:p>
    <w:p>
      <w:r>
        <w:t>│</w:t>
      </w:r>
    </w:p>
    <w:p>
      <w:r>
        <w:t>▼</w:t>
      </w:r>
    </w:p>
    <w:p>
      <w:r>
        <w:t>Review and Learn</w:t>
      </w:r>
    </w:p>
    <w:p>
      <w:r>
        <w:t>Step Details:</w:t>
      </w:r>
    </w:p>
    <w:p>
      <w:r>
        <w:t>What This Means in Practice:</w:t>
      </w:r>
    </w:p>
    <w:p>
      <w:r>
        <w:t>Replacement is activated immediately upon failure</w:t>
      </w:r>
    </w:p>
    <w:p>
      <w:r>
        <w:t>Backup dependencies are pre-identified and ready</w:t>
      </w:r>
    </w:p>
    <w:p>
      <w:r>
        <w:t>Integrity is verified before operations transfer</w:t>
      </w:r>
    </w:p>
    <w:p>
      <w:r>
        <w:t>Legal validation confirms compliance</w:t>
      </w:r>
    </w:p>
    <w:p>
      <w:r>
        <w:t>Cryptographic verification ensures security</w:t>
      </w:r>
    </w:p>
    <w:p>
      <w:r>
        <w:t>Operational testing confirms functionality</w:t>
      </w:r>
    </w:p>
    <w:p>
      <w:r>
        <w:t>Rollback capability ensures safety</w:t>
      </w:r>
    </w:p>
    <w:p>
      <w:r>
        <w:t>Post-incident review captures lessons</w:t>
      </w:r>
    </w:p>
    <w:p>
      <w:r>
        <w:t>Why This Matters:</w:t>
      </w:r>
    </w:p>
    <w:p>
      <w:r>
        <w:t>Integrity verification prevents corruption</w:t>
      </w:r>
    </w:p>
    <w:p>
      <w:r>
        <w:t>Legal validation ensures compliance</w:t>
      </w:r>
    </w:p>
    <w:p>
      <w:r>
        <w:t>Cryptographic verification ensures security</w:t>
      </w:r>
    </w:p>
    <w:p>
      <w:r>
        <w:t>Operational testing confirms functionality</w:t>
      </w:r>
    </w:p>
    <w:p>
      <w:r>
        <w:t>Rollback capability ensures safety</w:t>
      </w:r>
    </w:p>
    <w:p>
      <w:r>
        <w:t>Post-incident review enables learning</w:t>
      </w:r>
    </w:p>
    <w:p>
      <w:r>
        <w:t>56.7 Dependency Failover Protocol</w:t>
      </w:r>
    </w:p>
    <w:p>
      <w:r>
        <w:t>Protocol Flow:</w:t>
      </w:r>
    </w:p>
    <w:p>
      <w:r>
        <w:t>text</w:t>
      </w:r>
    </w:p>
    <w:p>
      <w:r>
        <w:t>Primary Dependency Unavailable</w:t>
      </w:r>
    </w:p>
    <w:p>
      <w:r>
        <w:t>│</w:t>
      </w:r>
    </w:p>
    <w:p>
      <w:r>
        <w:t>▼</w:t>
      </w:r>
    </w:p>
    <w:p>
      <w:r>
        <w:t>Automatic Failover Initiated</w:t>
      </w:r>
    </w:p>
    <w:p>
      <w:r>
        <w:t>│</w:t>
      </w:r>
    </w:p>
    <w:p>
      <w:r>
        <w:t>▼</w:t>
      </w:r>
    </w:p>
    <w:p>
      <w:r>
        <w:t>Backup Dependency Activated</w:t>
      </w:r>
    </w:p>
    <w:p>
      <w:r>
        <w:t>│</w:t>
      </w:r>
    </w:p>
    <w:p>
      <w:r>
        <w:t>▼</w:t>
      </w:r>
    </w:p>
    <w:p>
      <w:r>
        <w:t>Operations Continue</w:t>
      </w:r>
    </w:p>
    <w:p>
      <w:r>
        <w:t>│</w:t>
      </w:r>
    </w:p>
    <w:p>
      <w:r>
        <w:t>▼</w:t>
      </w:r>
    </w:p>
    <w:p>
      <w:r>
        <w:t>Verify Integrity</w:t>
      </w:r>
    </w:p>
    <w:p>
      <w:r>
        <w:t>│</w:t>
      </w:r>
    </w:p>
    <w:p>
      <w:r>
        <w:t>▼</w:t>
      </w:r>
    </w:p>
    <w:p>
      <w:r>
        <w:t>Constitutional Verification</w:t>
      </w:r>
    </w:p>
    <w:p>
      <w:r>
        <w:t>│</w:t>
      </w:r>
    </w:p>
    <w:p>
      <w:r>
        <w:t>▼</w:t>
      </w:r>
    </w:p>
    <w:p>
      <w:r>
        <w:t>Document Failover</w:t>
      </w:r>
    </w:p>
    <w:p>
      <w:r>
        <w:t>│</w:t>
      </w:r>
    </w:p>
    <w:p>
      <w:r>
        <w:t>▼</w:t>
      </w:r>
    </w:p>
    <w:p>
      <w:r>
        <w:t>Restore Primary (when available)</w:t>
      </w:r>
    </w:p>
    <w:p>
      <w:r>
        <w:t>Step Details:</w:t>
      </w:r>
    </w:p>
    <w:p>
      <w:r>
        <w:t>Constitutional Verification Step:</w:t>
      </w:r>
    </w:p>
    <w:p>
      <w:r>
        <w:t>After failover, verify that no Constitutional Invariant has been violated before resuming normal operations. This verification shall include:</w:t>
      </w:r>
    </w:p>
    <w:p>
      <w:r>
        <w:t>What This Means in Practice:</w:t>
      </w:r>
    </w:p>
    <w:p>
      <w:r>
        <w:t>Failover is automatic where possible</w:t>
      </w:r>
    </w:p>
    <w:p>
      <w:r>
        <w:t>Backup dependencies are immediately available</w:t>
      </w:r>
    </w:p>
    <w:p>
      <w:r>
        <w:t>Operations continue without interruption</w:t>
      </w:r>
    </w:p>
    <w:p>
      <w:r>
        <w:t>Integrity is verified</w:t>
      </w:r>
    </w:p>
    <w:p>
      <w:r>
        <w:t>Constitutional compliance is verified</w:t>
      </w:r>
    </w:p>
    <w:p>
      <w:r>
        <w:t>Failover is documented</w:t>
      </w:r>
    </w:p>
    <w:p>
      <w:r>
        <w:t>Primary is restored when available</w:t>
      </w:r>
    </w:p>
    <w:p>
      <w:r>
        <w:t>Why This Matters:</w:t>
      </w:r>
    </w:p>
    <w:p>
      <w:r>
        <w:t>Automatic failover minimizes downtime</w:t>
      </w:r>
    </w:p>
    <w:p>
      <w:r>
        <w:t>Immediate backup activation ensures continuity</w:t>
      </w:r>
    </w:p>
    <w:p>
      <w:r>
        <w:t>Integrity verification ensures correctness</w:t>
      </w:r>
    </w:p>
    <w:p>
      <w:r>
        <w:t>Constitutional verification ensures compliance</w:t>
      </w:r>
    </w:p>
    <w:p>
      <w:r>
        <w:t>Documentation enables audit</w:t>
      </w:r>
    </w:p>
    <w:p>
      <w:r>
        <w:t>56.8 Dependency Audit Requirements</w:t>
      </w:r>
    </w:p>
    <w:p>
      <w:r>
        <w:t>Audit Frequency:</w:t>
      </w:r>
    </w:p>
    <w:p>
      <w:r>
        <w:t>Audit Contents:</w:t>
      </w:r>
    </w:p>
    <w:p>
      <w:r>
        <w:t>Every dependency audit shall verify:</w:t>
      </w:r>
    </w:p>
    <w:p>
      <w:r>
        <w:t>Audit Reporting:</w:t>
      </w:r>
    </w:p>
    <w:p>
      <w:r>
        <w:t>What This Means in Practice:</w:t>
      </w:r>
    </w:p>
    <w:p>
      <w:r>
        <w:t>Tier I dependencies are audited quarterly</w:t>
      </w:r>
    </w:p>
    <w:p>
      <w:r>
        <w:t>Tier II dependencies are audited semi-annually</w:t>
      </w:r>
    </w:p>
    <w:p>
      <w:r>
        <w:t>Tier III dependencies are audited annually</w:t>
      </w:r>
    </w:p>
    <w:p>
      <w:r>
        <w:t>Audits verify all critical aspects</w:t>
      </w:r>
    </w:p>
    <w:p>
      <w:r>
        <w:t>Findings are addressed through action plans</w:t>
      </w:r>
    </w:p>
    <w:p>
      <w:r>
        <w:t>Status is tracked</w:t>
      </w:r>
    </w:p>
    <w:p>
      <w:r>
        <w:t>Why This Matters:</w:t>
      </w:r>
    </w:p>
    <w:p>
      <w:r>
        <w:t>Regular auditing identifies issues early</w:t>
      </w:r>
    </w:p>
    <w:p>
      <w:r>
        <w:t>Comprehensive scope ensures no gaps</w:t>
      </w:r>
    </w:p>
    <w:p>
      <w:r>
        <w:t>Action plans ensure remediation</w:t>
      </w:r>
    </w:p>
    <w:p>
      <w:r>
        <w:t>Status tracking ensures completion</w:t>
      </w:r>
    </w:p>
    <w:p>
      <w:r>
        <w:t>56.9 Dependency Exit Strategy</w:t>
      </w:r>
    </w:p>
    <w:p>
      <w:r>
        <w:t>Every dependency shall have a documented exit strategy including:</w:t>
      </w:r>
    </w:p>
    <w:p>
      <w:r>
        <w:t>Exit Triggers:</w:t>
      </w:r>
    </w:p>
    <w:p>
      <w:r>
        <w:t>What This Means in Practice:</w:t>
      </w:r>
    </w:p>
    <w:p>
      <w:r>
        <w:t>Every dependency has a documented exit strategy</w:t>
      </w:r>
    </w:p>
    <w:p>
      <w:r>
        <w:t>Exit triggers are defined</w:t>
      </w:r>
    </w:p>
    <w:p>
      <w:r>
        <w:t>Successor dependencies are identified</w:t>
      </w:r>
    </w:p>
    <w:p>
      <w:r>
        <w:t>Data migration is planned</w:t>
      </w:r>
    </w:p>
    <w:p>
      <w:r>
        <w:t>Operations continuity is assured</w:t>
      </w:r>
    </w:p>
    <w:p>
      <w:r>
        <w:t>Legal and regulatory compliance is maintained</w:t>
      </w:r>
    </w:p>
    <w:p>
      <w:r>
        <w:t>Knowledge and credentials are managed</w:t>
      </w:r>
    </w:p>
    <w:p>
      <w:r>
        <w:t>Lessons are captured</w:t>
      </w:r>
    </w:p>
    <w:p>
      <w:r>
        <w:t>56.10 Dependency Approval Levels</w:t>
      </w:r>
    </w:p>
    <w:p>
      <w:r>
        <w:t>Approval requirements for dependency changes:</w:t>
      </w:r>
    </w:p>
    <w:p>
      <w:r>
        <w:t>Approval Classification:</w:t>
      </w:r>
    </w:p>
    <w:p>
      <w:r>
        <w:t>Approval Criteria:</w:t>
      </w:r>
    </w:p>
    <w:p>
      <w:r>
        <w:t>What This Means in Practice:</w:t>
      </w:r>
    </w:p>
    <w:p>
      <w:r>
        <w:t>Dependency changes require appropriate approvals</w:t>
      </w:r>
    </w:p>
    <w:p>
      <w:r>
        <w:t>Constitutional changes require Council + Technical Committee + Risk Committee</w:t>
      </w:r>
    </w:p>
    <w:p>
      <w:r>
        <w:t>Critical changes require Council + Technical Committee</w:t>
      </w:r>
    </w:p>
    <w:p>
      <w:r>
        <w:t>Operational changes require Technical Committee</w:t>
      </w:r>
    </w:p>
    <w:p>
      <w:r>
        <w:t>Emergency changes are expedited but require post-hoc review</w:t>
      </w:r>
    </w:p>
    <w:p>
      <w:r>
        <w:t>56.11 Emergency Dependency Override</w:t>
      </w:r>
    </w:p>
    <w:p>
      <w:r>
        <w:t>Constitutional Principle:</w:t>
      </w:r>
    </w:p>
    <w:p>
      <w:r>
        <w:t>Emergency dependency changes shall be time-limited, automatically reviewed, and subject to mandatory audit. No permanent constitutional change shall occur through emergency procedures.</w:t>
      </w:r>
    </w:p>
    <w:p>
      <w:r>
        <w:t>Emergency Requirements:</w:t>
      </w:r>
    </w:p>
    <w:p>
      <w:r>
        <w:t>What This Means in Practice:</w:t>
      </w:r>
    </w:p>
    <w:p>
      <w:r>
        <w:t>Emergency changes are temporary</w:t>
      </w:r>
    </w:p>
    <w:p>
      <w:r>
        <w:t>Emergency changes automatically expire</w:t>
      </w:r>
    </w:p>
    <w:p>
      <w:r>
        <w:t>Emergency changes are reviewed automatically</w:t>
      </w:r>
    </w:p>
    <w:p>
      <w:r>
        <w:t>Emergency changes are audited</w:t>
      </w:r>
    </w:p>
    <w:p>
      <w:r>
        <w:t>Emergency changes are disclosed</w:t>
      </w:r>
    </w:p>
    <w:p>
      <w:r>
        <w:t>Why This Matters:</w:t>
      </w:r>
    </w:p>
    <w:p>
      <w:r>
        <w:t>Emergency powers are limited</w:t>
      </w:r>
    </w:p>
    <w:p>
      <w:r>
        <w:t>Temporary changes do not become permanent</w:t>
      </w:r>
    </w:p>
    <w:p>
      <w:r>
        <w:t>Review ensures necessity</w:t>
      </w:r>
    </w:p>
    <w:p>
      <w:r>
        <w:t>Audit ensures accountability</w:t>
      </w:r>
    </w:p>
    <w:p>
      <w:r>
        <w:t>56.12 Dependency Lifecycle</w:t>
      </w:r>
    </w:p>
    <w:p>
      <w:r>
        <w:t>Constitutional Principle:</w:t>
      </w:r>
    </w:p>
    <w:p>
      <w:r>
        <w:t>Every dependency shall follow a defined lifecycle from selection through termination. Lifecycle governance ensures dependencies are properly vetted, approved, monitored, and retired.</w:t>
      </w:r>
    </w:p>
    <w:p>
      <w:r>
        <w:t>Dependency Lifecycle Stages:</w:t>
      </w:r>
    </w:p>
    <w:p>
      <w:r>
        <w:t>Lifecycle Documentation:</w:t>
      </w:r>
    </w:p>
    <w:p>
      <w:r>
        <w:t>What This Means in Practice:</w:t>
      </w:r>
    </w:p>
    <w:p>
      <w:r>
        <w:t>Every dependency follows a defined lifecycle</w:t>
      </w:r>
    </w:p>
    <w:p>
      <w:r>
        <w:t>Selection is based on criteria</w:t>
      </w:r>
    </w:p>
    <w:p>
      <w:r>
        <w:t>Qualification includes due diligence</w:t>
      </w:r>
    </w:p>
    <w:p>
      <w:r>
        <w:t>Approval is formal</w:t>
      </w:r>
    </w:p>
    <w:p>
      <w:r>
        <w:t>Monitoring is continuous</w:t>
      </w:r>
    </w:p>
    <w:p>
      <w:r>
        <w:t>Review is periodic</w:t>
      </w:r>
    </w:p>
    <w:p>
      <w:r>
        <w:t>Replacement is planned</w:t>
      </w:r>
    </w:p>
    <w:p>
      <w:r>
        <w:t>Termination is documented</w:t>
      </w:r>
    </w:p>
    <w:p>
      <w:r>
        <w:t>Why This Matters:</w:t>
      </w:r>
    </w:p>
    <w:p>
      <w:r>
        <w:t>Lifecycle governance ensures consistency</w:t>
      </w:r>
    </w:p>
    <w:p>
      <w:r>
        <w:t>Each stage has defined activities</w:t>
      </w:r>
    </w:p>
    <w:p>
      <w:r>
        <w:t>Documentation provides accountability</w:t>
      </w:r>
    </w:p>
    <w:p>
      <w:r>
        <w:t>Complete lifecycle prevents gaps</w:t>
      </w:r>
    </w:p>
    <w:p>
      <w:r>
        <w:t>56.13 Vendor Neutrality Clause</w:t>
      </w:r>
    </w:p>
    <w:p>
      <w:r>
        <w:t>Constitutional Principle:</w:t>
      </w:r>
    </w:p>
    <w:p>
      <w:r>
        <w:t>Selection shall be based upon constitutional criteria rather than commercial preference. No dependency shall receive constitutional preference based upon market dominance or commercial influence.</w:t>
      </w:r>
    </w:p>
    <w:p>
      <w:r>
        <w:t>Vendor Neutrality Requirements:</w:t>
      </w:r>
    </w:p>
    <w:p>
      <w:r>
        <w:t>What This Means in Practice:</w:t>
      </w:r>
    </w:p>
    <w:p>
      <w:r>
        <w:t>Selection is based on constitutional criteria, not commercial preference</w:t>
      </w:r>
    </w:p>
    <w:p>
      <w:r>
        <w:t>Market dominance does not confer preference</w:t>
      </w:r>
    </w:p>
    <w:p>
      <w:r>
        <w:t>Proprietary lock-in is avoided</w:t>
      </w:r>
    </w:p>
    <w:p>
      <w:r>
        <w:t>Evaluation is objective and measurable</w:t>
      </w:r>
    </w:p>
    <w:p>
      <w:r>
        <w:t>Selection is competitive</w:t>
      </w:r>
    </w:p>
    <w:p>
      <w:r>
        <w:t>Why This Matters:</w:t>
      </w:r>
    </w:p>
    <w:p>
      <w:r>
        <w:t>Neutrality prevents vendor capture</w:t>
      </w:r>
    </w:p>
    <w:p>
      <w:r>
        <w:t>Constitutional criteria ensure institutional alignment</w:t>
      </w:r>
    </w:p>
    <w:p>
      <w:r>
        <w:t>Competition ensures value</w:t>
      </w:r>
    </w:p>
    <w:p>
      <w:r>
        <w:t>Objective evaluation ensures fairness</w:t>
      </w:r>
    </w:p>
    <w:p>
      <w:r>
        <w:t>56.14 Dependency Stress Testing</w:t>
      </w:r>
    </w:p>
    <w:p>
      <w:r>
        <w:t>Constitutional Principle:</w:t>
      </w:r>
    </w:p>
    <w:p>
      <w:r>
        <w:t>The Institution shall conduct annual constitutional dependency stress tests to verify that constitutional operations survive dependency failures.</w:t>
      </w:r>
    </w:p>
    <w:p>
      <w:r>
        <w:t>Stress Test Scenarios:</w:t>
      </w:r>
    </w:p>
    <w:p>
      <w:r>
        <w:t>Test Requirements:</w:t>
      </w:r>
    </w:p>
    <w:p>
      <w:r>
        <w:t>What This Means in Practice:</w:t>
      </w:r>
    </w:p>
    <w:p>
      <w:r>
        <w:t>Annual stress tests verify constitutional resilience</w:t>
      </w:r>
    </w:p>
    <w:p>
      <w:r>
        <w:t>Scenarios cover realistic failures</w:t>
      </w:r>
    </w:p>
    <w:p>
      <w:r>
        <w:t>Outcomes are measured</w:t>
      </w:r>
    </w:p>
    <w:p>
      <w:r>
        <w:t>Constitutional compliance is verified</w:t>
      </w:r>
    </w:p>
    <w:p>
      <w:r>
        <w:t>Recovery is verified</w:t>
      </w:r>
    </w:p>
    <w:p>
      <w:r>
        <w:t>Lessons are applied</w:t>
      </w:r>
    </w:p>
    <w:p>
      <w:r>
        <w:t>Why This Matters:</w:t>
      </w:r>
    </w:p>
    <w:p>
      <w:r>
        <w:t>Testing validates resilience</w:t>
      </w:r>
    </w:p>
    <w:p>
      <w:r>
        <w:t>Realistic scenarios ensure relevance</w:t>
      </w:r>
    </w:p>
    <w:p>
      <w:r>
        <w:t>Constitutional verification ensures compliance</w:t>
      </w:r>
    </w:p>
    <w:p>
      <w:r>
        <w:t>Lessons enable improvement</w:t>
      </w:r>
    </w:p>
    <w:p>
      <w:r>
        <w:t>56.15 Dependency Sunset Reviews</w:t>
      </w:r>
    </w:p>
    <w:p>
      <w:r>
        <w:t>Constitutional Principle:</w:t>
      </w:r>
    </w:p>
    <w:p>
      <w:r>
        <w:t>Every dependency shall automatically expire unless formally renewed. Sunset reviews prevent institutional stagnation and ensure dependencies remain constitutionally appropriate.</w:t>
      </w:r>
    </w:p>
    <w:p>
      <w:r>
        <w:t>Sunset Requirements:</w:t>
      </w:r>
    </w:p>
    <w:p>
      <w:r>
        <w:t>Sunset Review Contents:</w:t>
      </w:r>
    </w:p>
    <w:p>
      <w:r>
        <w:t>What This Means in Practice:</w:t>
      </w:r>
    </w:p>
    <w:p>
      <w:r>
        <w:t>Every dependency expires every 3 years</w:t>
      </w:r>
    </w:p>
    <w:p>
      <w:r>
        <w:t>Renewal requires formal review</w:t>
      </w:r>
    </w:p>
    <w:p>
      <w:r>
        <w:t>Review assesses continued need</w:t>
      </w:r>
    </w:p>
    <w:p>
      <w:r>
        <w:t>Review assesses performance</w:t>
      </w:r>
    </w:p>
    <w:p>
      <w:r>
        <w:t>Review assesses alternatives</w:t>
      </w:r>
    </w:p>
    <w:p>
      <w:r>
        <w:t>Renewal requires approval</w:t>
      </w:r>
    </w:p>
    <w:p>
      <w:r>
        <w:t>Why This Matters:</w:t>
      </w:r>
    </w:p>
    <w:p>
      <w:r>
        <w:t>Sunset reviews prevent indefinite commitments</w:t>
      </w:r>
    </w:p>
    <w:p>
      <w:r>
        <w:t>Regular review ensures continued necessity</w:t>
      </w:r>
    </w:p>
    <w:p>
      <w:r>
        <w:t>Renewal justifies continued relationship</w:t>
      </w:r>
    </w:p>
    <w:p>
      <w:r>
        <w:t>Institutional stagnation is prevented</w:t>
      </w:r>
    </w:p>
    <w:p>
      <w:r>
        <w:t>56.16 Section Verification</w:t>
      </w:r>
    </w:p>
    <w:p>
      <w:r>
        <w:t>text</w:t>
      </w:r>
    </w:p>
    <w:p>
      <w:r>
        <w:t>✓ Constitutional Dependency Hierarchy established (Tier I, II, III)</w:t>
      </w:r>
    </w:p>
    <w:p>
      <w:r>
        <w:t>✓ Constitutional Independence Doctrine established</w:t>
      </w:r>
    </w:p>
    <w:p>
      <w:r>
        <w:t>✓ Common-Mode Failure Doctrine established</w:t>
      </w:r>
    </w:p>
    <w:p>
      <w:r>
        <w:t>✓ Complete Dependency Categories defined</w:t>
      </w:r>
    </w:p>
    <w:p>
      <w:r>
        <w:t>✓ Dependency Governance Requirements established</w:t>
      </w:r>
    </w:p>
    <w:p>
      <w:r>
        <w:t>✓ Cross-Dependency Mapping defined</w:t>
      </w:r>
    </w:p>
    <w:p>
      <w:r>
        <w:t>✓ Dependency Concentration Limits defined</w:t>
      </w:r>
    </w:p>
    <w:p>
      <w:r>
        <w:t>✓ Jurisdictional Dependency Limits established</w:t>
      </w:r>
    </w:p>
    <w:p>
      <w:r>
        <w:t>✓ Dependency Risk Scoring defined</w:t>
      </w:r>
    </w:p>
    <w:p>
      <w:r>
        <w:t>✓ Dependency Replacement Protocol established</w:t>
      </w:r>
    </w:p>
    <w:p>
      <w:r>
        <w:t>✓ Dependency Failover Protocol established</w:t>
      </w:r>
    </w:p>
    <w:p>
      <w:r>
        <w:t>✓ Constitutional Verification included in failover</w:t>
      </w:r>
    </w:p>
    <w:p>
      <w:r>
        <w:t>✓ Dependency Audit Requirements established</w:t>
      </w:r>
    </w:p>
    <w:p>
      <w:r>
        <w:t>✓ Dependency Exit Strategy required</w:t>
      </w:r>
    </w:p>
    <w:p>
      <w:r>
        <w:t>✓ Dependency Approval Levels defined</w:t>
      </w:r>
    </w:p>
    <w:p>
      <w:r>
        <w:t>✓ Emergency Dependency Override established</w:t>
      </w:r>
    </w:p>
    <w:p>
      <w:r>
        <w:t>✓ Dependency Lifecycle defined</w:t>
      </w:r>
    </w:p>
    <w:p>
      <w:r>
        <w:t>✓ Vendor Neutrality Clause established</w:t>
      </w:r>
    </w:p>
    <w:p>
      <w:r>
        <w:t>✓ Dependency Stress Testing required</w:t>
      </w:r>
    </w:p>
    <w:p>
      <w:r>
        <w:t>✓ Dependency Sunset Reviews established</w:t>
      </w:r>
    </w:p>
    <w:p>
      <w:r>
        <w:t>✓ No single point of constitutional failure</w:t>
      </w:r>
    </w:p>
    <w:p>
      <w:r>
        <w:t>✓ Concentration controls validated</w:t>
      </w:r>
    </w:p>
    <w:p>
      <w:r>
        <w:t>✓ Replacement procedures verified</w:t>
      </w:r>
    </w:p>
    <w:p>
      <w:r>
        <w:t>✓ Exit procedures documented</w:t>
      </w:r>
    </w:p>
    <w:p>
      <w:r>
        <w:t>✓ Stress testing completed</w:t>
      </w:r>
    </w:p>
    <w:p>
      <w:r>
        <w:t>✓ Continuous monitoring defined</w:t>
      </w:r>
    </w:p>
    <w:p>
      <w:r>
        <w:t>56.17 Related Sections</w:t>
      </w:r>
    </w:p>
    <w:p>
      <w:r>
        <w:t>[END OF SECTION 56 — CONSTITUTIONAL DEPENDENCY FRAMEWORK]</w:t>
      </w:r>
    </w:p>
    <w:p>
      <w:r>
        <w:t>UPDATE TO COMPLETION SUMMARY</w:t>
      </w:r>
    </w:p>
    <w:p>
      <w:r>
        <w:t>Key Additions:</w:t>
      </w:r>
    </w:p>
    <w:p>
      <w:r>
        <w:t>56.1A Constitutional Dependency Hierarchy</w:t>
      </w:r>
    </w:p>
    <w:p>
      <w:r>
        <w:t>56.1B Constitutional Independence Doctrine</w:t>
      </w:r>
    </w:p>
    <w:p>
      <w:r>
        <w:t>56.1C Common-Mode Failure Doctrine</w:t>
      </w:r>
    </w:p>
    <w:p>
      <w:r>
        <w:t>56.3A Cross-Dependency Mapping</w:t>
      </w:r>
    </w:p>
    <w:p>
      <w:r>
        <w:t>56.4A Jurisdictional Dependency Limits</w:t>
      </w:r>
    </w:p>
    <w:p>
      <w:r>
        <w:t>56.5 Dependency Risk Scoring</w:t>
      </w:r>
    </w:p>
    <w:p>
      <w:r>
        <w:t>56.11 Emergency Dependency Override</w:t>
      </w:r>
    </w:p>
    <w:p>
      <w:r>
        <w:t>56.12 Dependency Lifecycle</w:t>
      </w:r>
    </w:p>
    <w:p>
      <w:r>
        <w:t>56.13 Vendor Neutrality Clause</w:t>
      </w:r>
    </w:p>
    <w:p>
      <w:r>
        <w:t>56.14 Dependency Stress Testing</w:t>
      </w:r>
    </w:p>
    <w:p>
      <w:r>
        <w:t>56.15 Dependency Sunset Reviews</w:t>
      </w:r>
    </w:p>
    <w:p>
      <w:r>
        <w:t>Integration Status:</w:t>
      </w:r>
    </w:p>
    <w:p>
      <w:r>
        <w:t>[END OF SECTION 56 REVISION]</w:t>
      </w:r>
    </w:p>
    <w:p>
      <w:pPr>
        <w:pStyle w:val="Heading1"/>
      </w:pPr>
      <w:r>
        <w:t>SECTION 57 — INSTITUTIONAL CONTINUITY FRAMEWORK (REGENERATED — FINAL VERSION)</w:t>
      </w:r>
    </w:p>
    <w:p>
      <w:pPr>
        <w:pStyle w:val="Heading2"/>
      </w:pPr>
      <w:r>
        <w:t>57.1 Constitutional Principle</w:t>
      </w:r>
    </w:p>
    <w:p>
      <w:r>
        <w:t>Constitutional Principle:</w:t>
      </w:r>
    </w:p>
    <w:p>
      <w:r>
        <w:t>The Institution is constituted as a permanent constitutional monetary institution designed to preserve its identity, authority, integrity, and operational continuity across generations.</w:t>
      </w:r>
    </w:p>
    <w:p>
      <w:r>
        <w:t>Its continuity shall not depend upon any individual, founder, governing body, technology, jurisdiction, vendor, service provider, market structure, or geopolitical condition.</w:t>
      </w:r>
    </w:p>
    <w:p>
      <w:r>
        <w:t>Institutional continuity is a constitutional obligation. Every governance process, engineering activity, operational procedure, and organizational decision shall preserve the Institution's ability to continue fulfilling its constitutional purpose without interruption.</w:t>
      </w:r>
    </w:p>
    <w:p>
      <w:r>
        <w:t>Continuity Scope:</w:t>
      </w:r>
    </w:p>
    <w:p>
      <w:r>
        <w:t>The Institution shall be capable of surviving:</w:t>
      </w:r>
    </w:p>
    <w:p>
      <w:r>
        <w:t>Continuity Protection:</w:t>
      </w:r>
    </w:p>
    <w:p>
      <w:r>
        <w:t>No transition shall compromise:</w:t>
      </w:r>
    </w:p>
    <w:p>
      <w:r>
        <w:t>What This Means in Practice:</w:t>
      </w:r>
    </w:p>
    <w:p>
      <w:r>
        <w:t>The Institution is designed to survive leadership transitions</w:t>
      </w:r>
    </w:p>
    <w:p>
      <w:r>
        <w:t>The Institution is designed to survive technology changes</w:t>
      </w:r>
    </w:p>
    <w:p>
      <w:r>
        <w:t>The Institution is designed to survive regulatory changes</w:t>
      </w:r>
    </w:p>
    <w:p>
      <w:r>
        <w:t>Constitutional identity is preserved through all changes</w:t>
      </w:r>
    </w:p>
    <w:p>
      <w:r>
        <w:t>No single failure can destroy the Institution</w:t>
      </w:r>
    </w:p>
    <w:p>
      <w:r>
        <w:t>Why This Matters:</w:t>
      </w:r>
    </w:p>
    <w:p>
      <w:r>
        <w:t>Without continuity, the Institution is fragile</w:t>
      </w:r>
    </w:p>
    <w:p>
      <w:r>
        <w:t>Without continuity, participants cannot rely on the Institution</w:t>
      </w:r>
    </w:p>
    <w:p>
      <w:r>
        <w:t>Without continuity, the Institution cannot fulfill its constitutional purpose</w:t>
      </w:r>
    </w:p>
    <w:p>
      <w:r>
        <w:t>Continuity is essential to institutional legitimacy</w:t>
      </w:r>
    </w:p>
    <w:p>
      <w:r>
        <w:t>Relation to Layer 0:</w:t>
      </w:r>
    </w:p>
    <w:p>
      <w:r>
        <w:t>This Section implements the Longevity Doctrine (0.9), Evolution Doctrine (0.8), and Institutional Survival Doctrine established in Layer 0. All continuity requirements derive their constitutional authority from Layer 0.</w:t>
      </w:r>
    </w:p>
    <w:p>
      <w:pPr>
        <w:pStyle w:val="Heading2"/>
      </w:pPr>
      <w:r>
        <w:t>57.2 Objectives of Institutional Continuity</w:t>
      </w:r>
    </w:p>
    <w:p>
      <w:r>
        <w:t>Constitutional Principle:</w:t>
      </w:r>
    </w:p>
    <w:p>
      <w:r>
        <w:t>The Institutional Continuity Framework exists to ensure that the Institution remains constitutionally identical despite continuous operational evolution.</w:t>
      </w:r>
    </w:p>
    <w:p>
      <w:r>
        <w:t>Continuity Objectives:</w:t>
      </w:r>
    </w:p>
    <w:p>
      <w:r>
        <w:t>The objectives of this Framework are to preserve:</w:t>
      </w:r>
    </w:p>
    <w:p>
      <w:r>
        <w:t>Measurement:</w:t>
      </w:r>
    </w:p>
    <w:p>
      <w:r>
        <w:t>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p>
    <w:p>
      <w:r>
        <w:t>What This Means in Practice:</w:t>
      </w:r>
    </w:p>
    <w:p>
      <w:r>
        <w:t>The Council may change composition while preserving constitutional authority</w:t>
      </w:r>
    </w:p>
    <w:p>
      <w:r>
        <w:t>Technology may evolve while preserving deterministic operation</w:t>
      </w:r>
    </w:p>
    <w:p>
      <w:r>
        <w:t>Operations may adapt while preserving reserve integrity</w:t>
      </w:r>
    </w:p>
    <w:p>
      <w:r>
        <w:t>The Institution remains constitutionally identical through change</w:t>
      </w:r>
    </w:p>
    <w:p>
      <w:r>
        <w:t>Why This Matters:</w:t>
      </w:r>
    </w:p>
    <w:p>
      <w:r>
        <w:t>Measurable continuity enables accountability</w:t>
      </w:r>
    </w:p>
    <w:p>
      <w:r>
        <w:t>Functional preservation is the true measure of continuity</w:t>
      </w:r>
    </w:p>
    <w:p>
      <w:r>
        <w:t>Structural change does not imply constitutional change</w:t>
      </w:r>
    </w:p>
    <w:p>
      <w:r>
        <w:t>Continuity enables institutional endurance</w:t>
      </w:r>
    </w:p>
    <w:p>
      <w:pPr>
        <w:pStyle w:val="Heading2"/>
      </w:pPr>
      <w:r>
        <w:t>57.3 Council Succession Planning</w:t>
      </w:r>
    </w:p>
    <w:p>
      <w:r>
        <w:t>Constitutional Principle:</w:t>
      </w:r>
    </w:p>
    <w:p>
      <w:r>
        <w:t>Leadership succession shall be planned continuously rather than reactively. Every constitutional authority shall remain continuously replaceable without interruption of constitutional operation.</w:t>
      </w:r>
    </w:p>
    <w:p>
      <w:r>
        <w:t>Succession planning shall ensure that institutional capability is never dependent upon any individual.</w:t>
      </w:r>
    </w:p>
    <w:p>
      <w:r>
        <w:t>Succession Scope:</w:t>
      </w:r>
    </w:p>
    <w:p>
      <w:r>
        <w:t>The Council shall maintain documented succession plans for all constitutional leadership positions, including:</w:t>
      </w:r>
    </w:p>
    <w:p>
      <w:r>
        <w:t>Succession Requirements:</w:t>
      </w:r>
    </w:p>
    <w:p>
      <w:r>
        <w:t>Each succession plan shall define:</w:t>
      </w:r>
    </w:p>
    <w:p>
      <w:r>
        <w:t>Succession Readiness:</w:t>
      </w:r>
    </w:p>
    <w:p>
      <w:r>
        <w:t>The Institution shall maintain continuous succession readiness. No constitutional office shall remain without an identified succession pathway.</w:t>
      </w:r>
    </w:p>
    <w:p>
      <w:r>
        <w:t>Emergency succession procedures shall permit constitutional continuity without altering constitutional authority.</w:t>
      </w:r>
    </w:p>
    <w:p>
      <w:r>
        <w:t>What This Means in Practice:</w:t>
      </w:r>
    </w:p>
    <w:p>
      <w:r>
        <w:t>Succession plans exist for all critical positions</w:t>
      </w:r>
    </w:p>
    <w:p>
      <w:r>
        <w:t>Plans are reviewed and updated regularly</w:t>
      </w:r>
    </w:p>
    <w:p>
      <w:r>
        <w:t>Emergency succession is defined</w:t>
      </w:r>
    </w:p>
    <w:p>
      <w:r>
        <w:t>No position is dependent on a single individual</w:t>
      </w:r>
    </w:p>
    <w:p>
      <w:r>
        <w:t>Transition preserves institutional continuity</w:t>
      </w:r>
    </w:p>
    <w:p>
      <w:r>
        <w:t>Why This Matters:</w:t>
      </w:r>
    </w:p>
    <w:p>
      <w:r>
        <w:t>Planning prevents succession crises</w:t>
      </w:r>
    </w:p>
    <w:p>
      <w:r>
        <w:t>Emergency procedures enable rapid response</w:t>
      </w:r>
    </w:p>
    <w:p>
      <w:r>
        <w:t>Continuous readiness ensures stability</w:t>
      </w:r>
    </w:p>
    <w:p>
      <w:r>
        <w:t>No individual is indispensable</w:t>
      </w:r>
    </w:p>
    <w:p>
      <w:pPr>
        <w:pStyle w:val="Heading2"/>
      </w:pPr>
      <w:r>
        <w:t>57.4 Institutional Competency Preservation</w:t>
      </w:r>
    </w:p>
    <w:p>
      <w:r>
        <w:t>Constitutional Principle:</w:t>
      </w:r>
    </w:p>
    <w:p>
      <w:r>
        <w:t>The Institution depends upon competencies rather than individuals. Institutional knowledge shall never exist in only one person.</w:t>
      </w:r>
    </w:p>
    <w:p>
      <w:r>
        <w:t>Critical competencies shall be continuously preserved through redundancy, documentation, training, certification, and cross-functional development.</w:t>
      </w:r>
    </w:p>
    <w:p>
      <w:r>
        <w:t>Critical Competencies:</w:t>
      </w:r>
    </w:p>
    <w:p>
      <w:r>
        <w:t>The Council shall maintain constitutional competency matrices covering, at minimum:</w:t>
      </w:r>
    </w:p>
    <w:p>
      <w:r>
        <w:t>Competency Redundancy:</w:t>
      </w:r>
    </w:p>
    <w:p>
      <w:r>
        <w:t>Every constitutionally critical competency shall be possessed by no fewer than two qualified individuals. No constitutional function shall rely upon irreplaceable expertise.</w:t>
      </w:r>
    </w:p>
    <w:p>
      <w:r>
        <w:t>Competency Matrix:</w:t>
      </w:r>
    </w:p>
    <w:p>
      <w:r>
        <w:t>The Institution shall maintain a continuously updated competency matrix identifying:</w:t>
      </w:r>
    </w:p>
    <w:p>
      <w:r>
        <w:t>Competency Reviews:</w:t>
      </w:r>
    </w:p>
    <w:p>
      <w:r>
        <w:t>Competency assessments shall occur annually. Material competency deficiencies shall require corrective action plans approved by the Council.</w:t>
      </w:r>
    </w:p>
    <w:p>
      <w:r>
        <w:t>What This Means in Practice:</w:t>
      </w:r>
    </w:p>
    <w:p>
      <w:r>
        <w:t>Competencies are documented and tracked</w:t>
      </w:r>
    </w:p>
    <w:p>
      <w:r>
        <w:t>Critical competencies have redundancy</w:t>
      </w:r>
    </w:p>
    <w:p>
      <w:r>
        <w:t>Competency gaps are identified and addressed</w:t>
      </w:r>
    </w:p>
    <w:p>
      <w:r>
        <w:t>Training and certification maintain competence</w:t>
      </w:r>
    </w:p>
    <w:p>
      <w:r>
        <w:t>Why This Matters:</w:t>
      </w:r>
    </w:p>
    <w:p>
      <w:r>
        <w:t>Competencies are more durable than individuals</w:t>
      </w:r>
    </w:p>
    <w:p>
      <w:r>
        <w:t>Redundancy prevents loss of capability</w:t>
      </w:r>
    </w:p>
    <w:p>
      <w:r>
        <w:t>Gap identification enables remediation</w:t>
      </w:r>
    </w:p>
    <w:p>
      <w:r>
        <w:t>Continuous assessment maintains readiness</w:t>
      </w:r>
    </w:p>
    <w:p>
      <w:pPr>
        <w:pStyle w:val="Heading2"/>
      </w:pPr>
      <w:r>
        <w:t>57.5 Knowledge Transfer Framework</w:t>
      </w:r>
    </w:p>
    <w:p>
      <w:r>
        <w:t>Constitutional Principle:</w:t>
      </w:r>
    </w:p>
    <w:p>
      <w:r>
        <w:t>Institutional knowledge shall be transferred intentionally rather than informally. Leadership transitions shall preserve not only documented information but also institutional reasoning, judgment, historical context, and constitutional interpretation.</w:t>
      </w:r>
    </w:p>
    <w:p>
      <w:r>
        <w:t>Knowledge Transfer Requirements:</w:t>
      </w:r>
    </w:p>
    <w:p>
      <w:r>
        <w:t>Every transition shall include transfer of:</w:t>
      </w:r>
    </w:p>
    <w:p>
      <w:r>
        <w:t>Knowledge Transfer Process:</w:t>
      </w:r>
    </w:p>
    <w:p>
      <w:r>
        <w:t>Knowledge transfer shall include:</w:t>
      </w:r>
    </w:p>
    <w:p>
      <w:r>
        <w:t>Minimum Transition Period:</w:t>
      </w:r>
    </w:p>
    <w:p>
      <w:r>
        <w:t>Unless prevented by emergency circumstances, constitutional leadership transitions shall include a defined overlap period sufficient to complete structured knowledge transfer. The minimum overlap period shall be defined by constitutional policy.</w:t>
      </w:r>
    </w:p>
    <w:p>
      <w:r>
        <w:t>Transition Verification:</w:t>
      </w:r>
    </w:p>
    <w:p>
      <w:r>
        <w:t>The receiving authority shall certify that knowledge transfer has been completed. The Council shall verify completion before concluding the transition.</w:t>
      </w:r>
    </w:p>
    <w:p>
      <w:r>
        <w:t>What This Means in Practice:</w:t>
      </w:r>
    </w:p>
    <w:p>
      <w:r>
        <w:t>Knowledge transfer is structured, not ad hoc</w:t>
      </w:r>
    </w:p>
    <w:p>
      <w:r>
        <w:t>Transitions include overlap periods</w:t>
      </w:r>
    </w:p>
    <w:p>
      <w:r>
        <w:t>Knowledge is documented and transferred</w:t>
      </w:r>
    </w:p>
    <w:p>
      <w:r>
        <w:t>Transfer is verified and certified</w:t>
      </w:r>
    </w:p>
    <w:p>
      <w:r>
        <w:t>Why This Matters:</w:t>
      </w:r>
    </w:p>
    <w:p>
      <w:r>
        <w:t>Structured transfer prevents knowledge loss</w:t>
      </w:r>
    </w:p>
    <w:p>
      <w:r>
        <w:t>Overlap ensures continuity</w:t>
      </w:r>
    </w:p>
    <w:p>
      <w:r>
        <w:t>Documentation preserves knowledge</w:t>
      </w:r>
    </w:p>
    <w:p>
      <w:r>
        <w:t>Verification ensures completeness</w:t>
      </w:r>
    </w:p>
    <w:p>
      <w:pPr>
        <w:pStyle w:val="Heading2"/>
      </w:pPr>
      <w:r>
        <w:t>57.6 Institutional Memory</w:t>
      </w:r>
    </w:p>
    <w:p>
      <w:r>
        <w:t>Constitutional Principle:</w:t>
      </w:r>
    </w:p>
    <w:p>
      <w:r>
        <w:t>Institutional memory constitutes a constitutional asset. The Institution shall preserve not only decisions but also the reasoning, assumptions, dependencies, alternatives, risks, and historical circumstances that produced those decisions.</w:t>
      </w:r>
    </w:p>
    <w:p>
      <w:r>
        <w:t>Loss of institutional memory constitutes institutional risk.</w:t>
      </w:r>
    </w:p>
    <w:p>
      <w:r>
        <w:t>Institutional Memory Repository:</w:t>
      </w:r>
    </w:p>
    <w:p>
      <w:r>
        <w:t>The Institution shall maintain a permanent repository containing:</w:t>
      </w:r>
    </w:p>
    <w:p>
      <w:r>
        <w:t>Decision Dependency Mapping:</w:t>
      </w:r>
    </w:p>
    <w:p>
      <w:r>
        <w:t>Every significant institutional decision shall identify:</w:t>
      </w:r>
    </w:p>
    <w:p>
      <w:r>
        <w:t>Decision dependency maps shall be preserved permanently to prevent unintended institutional inconsistency during future amendments.</w:t>
      </w:r>
    </w:p>
    <w:p>
      <w:r>
        <w:t>Institutional Memory Protection:</w:t>
      </w:r>
    </w:p>
    <w:p>
      <w:r>
        <w:t>Institutional memory shall be:</w:t>
      </w:r>
    </w:p>
    <w:p>
      <w:r>
        <w:t>What This Means in Practice:</w:t>
      </w:r>
    </w:p>
    <w:p>
      <w:r>
        <w:t>All institutional memory is preserved</w:t>
      </w:r>
    </w:p>
    <w:p>
      <w:r>
        <w:t>Decision reasoning is captured</w:t>
      </w:r>
    </w:p>
    <w:p>
      <w:r>
        <w:t>Dependencies are documented</w:t>
      </w:r>
    </w:p>
    <w:p>
      <w:r>
        <w:t>Integrity is protected</w:t>
      </w:r>
    </w:p>
    <w:p>
      <w:r>
        <w:t>Access is controlled</w:t>
      </w:r>
    </w:p>
    <w:p>
      <w:r>
        <w:t>Why This Matters:</w:t>
      </w:r>
    </w:p>
    <w:p>
      <w:r>
        <w:t>Memory enables institutional learning</w:t>
      </w:r>
    </w:p>
    <w:p>
      <w:r>
        <w:t>Reasoning enables future interpretation</w:t>
      </w:r>
    </w:p>
    <w:p>
      <w:r>
        <w:t>Dependencies prevent inconsistency</w:t>
      </w:r>
    </w:p>
    <w:p>
      <w:r>
        <w:t>Integrity prevents manipulation</w:t>
      </w:r>
    </w:p>
    <w:p>
      <w:pPr>
        <w:pStyle w:val="Heading2"/>
      </w:pPr>
      <w:r>
        <w:t>57.7 Constitutional Interpretation Continuity</w:t>
      </w:r>
    </w:p>
    <w:p>
      <w:r>
        <w:t>Constitutional Principle:</w:t>
      </w:r>
    </w:p>
    <w:p>
      <w:r>
        <w:t>Constitutional interpretation shall remain consistent across generations. Interpretation shall preserve original constitutional intent while permitting orderly institutional evolution.</w:t>
      </w:r>
    </w:p>
    <w:p>
      <w:r>
        <w:t>Interpretive precedents shall guide future interpretation but shall never supersede the constitutional text. Where conflict exists between precedent and constitutional text, the constitutional text shall prevail.</w:t>
      </w:r>
    </w:p>
    <w:p>
      <w:r>
        <w:t>Interpretation Principles:</w:t>
      </w:r>
    </w:p>
    <w:p>
      <w:r>
        <w:t>Interpretation shall remain consistent with Layer 0, including:</w:t>
      </w:r>
    </w:p>
    <w:p>
      <w:r>
        <w:t>Interpretation Archives:</w:t>
      </w:r>
    </w:p>
    <w:p>
      <w:r>
        <w:t>The Institution shall maintain permanent archives containing:</w:t>
      </w:r>
    </w:p>
    <w:p>
      <w:r>
        <w:t>Interpretation Record Requirements:</w:t>
      </w:r>
    </w:p>
    <w:p>
      <w:r>
        <w:t>Each interpretive record shall identify:</w:t>
      </w:r>
    </w:p>
    <w:p>
      <w:r>
        <w:t>What This Means in Practice:</w:t>
      </w:r>
    </w:p>
    <w:p>
      <w:r>
        <w:t>Interpretation is consistent over time</w:t>
      </w:r>
    </w:p>
    <w:p>
      <w:r>
        <w:t>Precedents are preserved</w:t>
      </w:r>
    </w:p>
    <w:p>
      <w:r>
        <w:t>Constitutional text is supreme</w:t>
      </w:r>
    </w:p>
    <w:p>
      <w:r>
        <w:t>Interpretation is documented and archived</w:t>
      </w:r>
    </w:p>
    <w:p>
      <w:r>
        <w:t>Why This Matters:</w:t>
      </w:r>
    </w:p>
    <w:p>
      <w:r>
        <w:t>Consistency enables predictability</w:t>
      </w:r>
    </w:p>
    <w:p>
      <w:r>
        <w:t>Precedents guide future interpretation</w:t>
      </w:r>
    </w:p>
    <w:p>
      <w:r>
        <w:t>Constitutional supremacy preserves integrity</w:t>
      </w:r>
    </w:p>
    <w:p>
      <w:r>
        <w:t>Documentation enables future understanding</w:t>
      </w:r>
    </w:p>
    <w:p>
      <w:pPr>
        <w:pStyle w:val="Heading2"/>
      </w:pPr>
      <w:r>
        <w:t>57.8 Constitutional Archives &amp; Archive Integrity</w:t>
      </w:r>
    </w:p>
    <w:p>
      <w:r>
        <w:t>Constitutional Principle:</w:t>
      </w:r>
    </w:p>
    <w:p>
      <w:r>
        <w:t>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p>
    <w:p>
      <w:r>
        <w:t>Loss of constitutional archives constitutes a constitutional continuity event.</w:t>
      </w:r>
    </w:p>
    <w:p>
      <w:r>
        <w:t>Archive Scope:</w:t>
      </w:r>
    </w:p>
    <w:p>
      <w:r>
        <w:t>The constitutional archives shall permanently preserve:</w:t>
      </w:r>
    </w:p>
    <w:p>
      <w:r>
        <w:t>Archive Standards:</w:t>
      </w:r>
    </w:p>
    <w:p>
      <w:r>
        <w:t>All constitutional archives shall satisfy the following properties:</w:t>
      </w:r>
    </w:p>
    <w:p>
      <w:r>
        <w:t>Archive Integrity Verification:</w:t>
      </w:r>
    </w:p>
    <w:p>
      <w:r>
        <w:t>The Institution shall periodically verify archive integrity using cryptographic verification methods. Integrity verification shall include:</w:t>
      </w:r>
    </w:p>
    <w:p>
      <w:r>
        <w:t>Integrity verification shall occur at intervals defined by constitutional policy.</w:t>
      </w:r>
    </w:p>
    <w:p>
      <w:r>
        <w:t>Geographic Preservation:</w:t>
      </w:r>
    </w:p>
    <w:p>
      <w:r>
        <w:t>Archives shall be maintained across multiple independent jurisdictions. No single jurisdiction shall possess exclusive control over constitutional archives.</w:t>
      </w:r>
    </w:p>
    <w:p>
      <w:r>
        <w:t>Long-Term Preservation:</w:t>
      </w:r>
    </w:p>
    <w:p>
      <w:r>
        <w:t>Archive formats shall remain technology-neutral. Where technology becomes obsolete, archives shall be migrated without altering historical content or evidentiary integrity.</w:t>
      </w:r>
    </w:p>
    <w:p>
      <w:r>
        <w:t>Migration activities shall preserve:</w:t>
      </w:r>
    </w:p>
    <w:p>
      <w:r>
        <w:t>What This Means in Practice:</w:t>
      </w:r>
    </w:p>
    <w:p>
      <w:r>
        <w:t>Archives are permanent and immutable</w:t>
      </w:r>
    </w:p>
    <w:p>
      <w:r>
        <w:t>Archives are geographically distributed</w:t>
      </w:r>
    </w:p>
    <w:p>
      <w:r>
        <w:t>Archives are cryptographically verified</w:t>
      </w:r>
    </w:p>
    <w:p>
      <w:r>
        <w:t>Archives are technology-independent</w:t>
      </w:r>
    </w:p>
    <w:p>
      <w:r>
        <w:t>Migration preserves historical integrity</w:t>
      </w:r>
    </w:p>
    <w:p>
      <w:r>
        <w:t>Why This Matters:</w:t>
      </w:r>
    </w:p>
    <w:p>
      <w:r>
        <w:t>Archives preserve constitutional identity</w:t>
      </w:r>
    </w:p>
    <w:p>
      <w:r>
        <w:t>Geographic distribution prevents single-point loss</w:t>
      </w:r>
    </w:p>
    <w:p>
      <w:r>
        <w:t>Cryptographic verification prevents alteration</w:t>
      </w:r>
    </w:p>
    <w:p>
      <w:r>
        <w:t>Technology independence enables long-term preservation</w:t>
      </w:r>
    </w:p>
    <w:p>
      <w:pPr>
        <w:pStyle w:val="Heading2"/>
      </w:pPr>
      <w:r>
        <w:t>57.9 Training, Certification &amp; Competency Maintenance</w:t>
      </w:r>
    </w:p>
    <w:p>
      <w:r>
        <w:t>Constitutional Principle:</w:t>
      </w:r>
    </w:p>
    <w:p>
      <w:r>
        <w:t>Institutional continuity requires continuous professional competence. Every constitutional authority shall possess and maintain the competencies necessary to discharge constitutional responsibilities.</w:t>
      </w:r>
    </w:p>
    <w:p>
      <w:r>
        <w:t>Training is a constitutional obligation rather than an administrative activity.</w:t>
      </w:r>
    </w:p>
    <w:p>
      <w:r>
        <w:t>Required Training:</w:t>
      </w:r>
    </w:p>
    <w:p>
      <w:r>
        <w:t>Training programs shall include:</w:t>
      </w:r>
    </w:p>
    <w:p>
      <w:r>
        <w:t>Certification:</w:t>
      </w:r>
    </w:p>
    <w:p>
      <w:r>
        <w:t>Continuing Competence:</w:t>
      </w:r>
    </w:p>
    <w:p>
      <w:r>
        <w:t>Certification shall not constitute permanent qualification. Competencies shall be periodically reassessed.</w:t>
      </w:r>
    </w:p>
    <w:p>
      <w:r>
        <w:t>Training shall be refreshed whenever:</w:t>
      </w:r>
    </w:p>
    <w:p>
      <w:r>
        <w:t>Competency Reviews:</w:t>
      </w:r>
    </w:p>
    <w:p>
      <w:r>
        <w:t>The Council shall periodically review institutional competency levels. Reviews shall identify:</w:t>
      </w:r>
    </w:p>
    <w:p>
      <w:r>
        <w:t>Corrective action plans shall be documented for identified deficiencies.</w:t>
      </w:r>
    </w:p>
    <w:p>
      <w:r>
        <w:t>What This Means in Practice:</w:t>
      </w:r>
    </w:p>
    <w:p>
      <w:r>
        <w:t>Training is mandatory and documented</w:t>
      </w:r>
    </w:p>
    <w:p>
      <w:r>
        <w:t>Certification ensures competence</w:t>
      </w:r>
    </w:p>
    <w:p>
      <w:r>
        <w:t>Continuing education maintains competence</w:t>
      </w:r>
    </w:p>
    <w:p>
      <w:r>
        <w:t>Competency reviews identify gaps</w:t>
      </w:r>
    </w:p>
    <w:p>
      <w:r>
        <w:t>Why This Matters:</w:t>
      </w:r>
    </w:p>
    <w:p>
      <w:r>
        <w:t>Competence is essential to constitutional authority</w:t>
      </w:r>
    </w:p>
    <w:p>
      <w:r>
        <w:t>Training prevents competency decay</w:t>
      </w:r>
    </w:p>
    <w:p>
      <w:r>
        <w:t>Certification provides verification</w:t>
      </w:r>
    </w:p>
    <w:p>
      <w:r>
        <w:t>Gap identification enables remediation</w:t>
      </w:r>
    </w:p>
    <w:p>
      <w:pPr>
        <w:pStyle w:val="Heading2"/>
      </w:pPr>
      <w:r>
        <w:t>57.10 Historical Preservation</w:t>
      </w:r>
    </w:p>
    <w:p>
      <w:r>
        <w:t>Constitutional Principle:</w:t>
      </w:r>
    </w:p>
    <w:p>
      <w:r>
        <w:t>Institutional history forms part of constitutional identity. Historical preservation enables future generations to understand constitutional evolution without altering constitutional legitimacy.</w:t>
      </w:r>
    </w:p>
    <w:p>
      <w:r>
        <w:t>Historical Records:</w:t>
      </w:r>
    </w:p>
    <w:p>
      <w:r>
        <w:t>Historical preservation shall include:</w:t>
      </w:r>
    </w:p>
    <w:p>
      <w:r>
        <w:t>Preservation of Near-Miss Events:</w:t>
      </w:r>
    </w:p>
    <w:p>
      <w:r>
        <w:t>The Institution shall preserve documentation of significant near-miss events. Near-miss events often provide greater institutional learning than realized failures.</w:t>
      </w:r>
    </w:p>
    <w:p>
      <w:r>
        <w:t>Documentation shall include:</w:t>
      </w:r>
    </w:p>
    <w:p>
      <w:r>
        <w:t>Constitutional Timeline:</w:t>
      </w:r>
    </w:p>
    <w:p>
      <w:r>
        <w:t>The Institution shall maintain a continuously updated constitutional timeline identifying major institutional developments.</w:t>
      </w:r>
    </w:p>
    <w:p>
      <w:r>
        <w:t>What This Means in Practice:</w:t>
      </w:r>
    </w:p>
    <w:p>
      <w:r>
        <w:t>History is preserved and documented</w:t>
      </w:r>
    </w:p>
    <w:p>
      <w:r>
        <w:t>Near-miss events are captured</w:t>
      </w:r>
    </w:p>
    <w:p>
      <w:r>
        <w:t>A constitutional timeline is maintained</w:t>
      </w:r>
    </w:p>
    <w:p>
      <w:r>
        <w:t>History enables learning and understanding</w:t>
      </w:r>
    </w:p>
    <w:p>
      <w:r>
        <w:t>Why This Matters:</w:t>
      </w:r>
    </w:p>
    <w:p>
      <w:r>
        <w:t>History provides context for decisions</w:t>
      </w:r>
    </w:p>
    <w:p>
      <w:r>
        <w:t>Near-misses provide learning opportunities</w:t>
      </w:r>
    </w:p>
    <w:p>
      <w:r>
        <w:t>Timelines enable understanding of evolution</w:t>
      </w:r>
    </w:p>
    <w:p>
      <w:r>
        <w:t>Preservation prevents loss of institutional memory</w:t>
      </w:r>
    </w:p>
    <w:p>
      <w:pPr>
        <w:pStyle w:val="Heading2"/>
      </w:pPr>
      <w:r>
        <w:t>57.11 Decision Archives</w:t>
      </w:r>
    </w:p>
    <w:p>
      <w:r>
        <w:t>Constitutional Principle:</w:t>
      </w:r>
    </w:p>
    <w:p>
      <w:r>
        <w:t>Every significant institutional decision shall remain permanently understandable. Future governance shall understand not only what decisions were made but why they were made.</w:t>
      </w:r>
    </w:p>
    <w:p>
      <w:r>
        <w:t>Required Decision Record:</w:t>
      </w:r>
    </w:p>
    <w:p>
      <w:r>
        <w:t>Each archived decision shall include:</w:t>
      </w:r>
    </w:p>
    <w:p>
      <w:r>
        <w:t>Alternatives Considered:</w:t>
      </w:r>
    </w:p>
    <w:p>
      <w:r>
        <w:t>Decision records shall identify:</w:t>
      </w:r>
    </w:p>
    <w:p>
      <w:r>
        <w:t>Future governance shall understand the reasoning process rather than only the final outcome.</w:t>
      </w:r>
    </w:p>
    <w:p>
      <w:r>
        <w:t>Dependency Mapping:</w:t>
      </w:r>
    </w:p>
    <w:p>
      <w:r>
        <w:t>Each significant decision shall identify:</w:t>
      </w:r>
    </w:p>
    <w:p>
      <w:r>
        <w:t>Dissent Preservation:</w:t>
      </w:r>
    </w:p>
    <w:p>
      <w:r>
        <w:t>Where disagreement exists, dissenting opinions shall be preserved together with supporting reasoning. Historical dissent provides institutional learning and strengthens future constitutional interpretation.</w:t>
      </w:r>
    </w:p>
    <w:p>
      <w:r>
        <w:t>What This Means in Practice:</w:t>
      </w:r>
    </w:p>
    <w:p>
      <w:r>
        <w:t>All significant decisions are documented</w:t>
      </w:r>
    </w:p>
    <w:p>
      <w:r>
        <w:t>Rationale is captured, not just outcomes</w:t>
      </w:r>
    </w:p>
    <w:p>
      <w:r>
        <w:t>Alternatives are documented</w:t>
      </w:r>
    </w:p>
    <w:p>
      <w:r>
        <w:t>Dependencies are mapped</w:t>
      </w:r>
    </w:p>
    <w:p>
      <w:r>
        <w:t>Dissenting views are preserved</w:t>
      </w:r>
    </w:p>
    <w:p>
      <w:r>
        <w:t>Why This Matters:</w:t>
      </w:r>
    </w:p>
    <w:p>
      <w:r>
        <w:t>Documentation enables future understanding</w:t>
      </w:r>
    </w:p>
    <w:p>
      <w:r>
        <w:t>Rationale enables evaluation</w:t>
      </w:r>
    </w:p>
    <w:p>
      <w:r>
        <w:t>Alternatives show thoroughness</w:t>
      </w:r>
    </w:p>
    <w:p>
      <w:r>
        <w:t>Dissent enables learning</w:t>
      </w:r>
    </w:p>
    <w:p>
      <w:pPr>
        <w:pStyle w:val="Heading2"/>
      </w:pPr>
      <w:r>
        <w:t>57.12 Lessons Learned &amp; Institutional Learning Framework</w:t>
      </w:r>
    </w:p>
    <w:p>
      <w:r>
        <w:t>Constitutional Principle:</w:t>
      </w:r>
    </w:p>
    <w:p>
      <w:r>
        <w:t>The Institution shall continuously improve through structured institutional learning. Learning shall arise from success, failure, incidents, audits, simulations, and external review.</w:t>
      </w:r>
    </w:p>
    <w:p>
      <w:r>
        <w:t>Learning Sources:</w:t>
      </w:r>
    </w:p>
    <w:p>
      <w:r>
        <w:t>Lessons shall be captured from:</w:t>
      </w:r>
    </w:p>
    <w:p>
      <w:r>
        <w:t>Institutional Learning Process:</w:t>
      </w:r>
    </w:p>
    <w:p>
      <w:r>
        <w:t>text</w:t>
      </w:r>
    </w:p>
    <w:p>
      <w:r>
        <w:t>Event</w:t>
      </w:r>
    </w:p>
    <w:p>
      <w:r>
        <w:t>│</w:t>
      </w:r>
    </w:p>
    <w:p>
      <w:r>
        <w:t>▼</w:t>
      </w:r>
    </w:p>
    <w:p>
      <w:r>
        <w:t>Documentation</w:t>
      </w:r>
    </w:p>
    <w:p>
      <w:r>
        <w:t>│</w:t>
      </w:r>
    </w:p>
    <w:p>
      <w:r>
        <w:t>▼</w:t>
      </w:r>
    </w:p>
    <w:p>
      <w:r>
        <w:t>Evidence Collection</w:t>
      </w:r>
    </w:p>
    <w:p>
      <w:r>
        <w:t>│</w:t>
      </w:r>
    </w:p>
    <w:p>
      <w:r>
        <w:t>▼</w:t>
      </w:r>
    </w:p>
    <w:p>
      <w:r>
        <w:t>Root Cause Analysis</w:t>
      </w:r>
    </w:p>
    <w:p>
      <w:r>
        <w:t>│</w:t>
      </w:r>
    </w:p>
    <w:p>
      <w:r>
        <w:t>▼</w:t>
      </w:r>
    </w:p>
    <w:p>
      <w:r>
        <w:t>Corrective Actions</w:t>
      </w:r>
    </w:p>
    <w:p>
      <w:r>
        <w:t>│</w:t>
      </w:r>
    </w:p>
    <w:p>
      <w:r>
        <w:t>▼</w:t>
      </w:r>
    </w:p>
    <w:p>
      <w:r>
        <w:t>Preventive Actions</w:t>
      </w:r>
    </w:p>
    <w:p>
      <w:r>
        <w:t>│</w:t>
      </w:r>
    </w:p>
    <w:p>
      <w:r>
        <w:t>▼</w:t>
      </w:r>
    </w:p>
    <w:p>
      <w:r>
        <w:t>Implementation</w:t>
      </w:r>
    </w:p>
    <w:p>
      <w:r>
        <w:t>│</w:t>
      </w:r>
    </w:p>
    <w:p>
      <w:r>
        <w:t>▼</w:t>
      </w:r>
    </w:p>
    <w:p>
      <w:r>
        <w:t>Verification</w:t>
      </w:r>
    </w:p>
    <w:p>
      <w:r>
        <w:t>│</w:t>
      </w:r>
    </w:p>
    <w:p>
      <w:r>
        <w:t>▼</w:t>
      </w:r>
    </w:p>
    <w:p>
      <w:r>
        <w:t>Institutional Learning Archive</w:t>
      </w:r>
    </w:p>
    <w:p>
      <w:r>
        <w:t>Root Cause Analysis:</w:t>
      </w:r>
    </w:p>
    <w:p>
      <w:r>
        <w:t>Every significant incident shall undergo structured root cause analysis. Acceptable methodologies include:</w:t>
      </w:r>
    </w:p>
    <w:p>
      <w:r>
        <w:t>The selected methodology shall be appropriate to the complexity of the event.</w:t>
      </w:r>
    </w:p>
    <w:p>
      <w:r>
        <w:t>Effectiveness Reviews:</w:t>
      </w:r>
    </w:p>
    <w:p>
      <w:r>
        <w:t>Corrective actions shall be reviewed after implementation to determine whether institutional objectives were achieved. Unsuccessful corrective actions shall be revised.</w:t>
      </w:r>
    </w:p>
    <w:p>
      <w:r>
        <w:t>What This Means in Practice:</w:t>
      </w:r>
    </w:p>
    <w:p>
      <w:r>
        <w:t>All incidents undergo root cause analysis</w:t>
      </w:r>
    </w:p>
    <w:p>
      <w:r>
        <w:t>Corrective actions are implemented</w:t>
      </w:r>
    </w:p>
    <w:p>
      <w:r>
        <w:t>Effectiveness is verified</w:t>
      </w:r>
    </w:p>
    <w:p>
      <w:r>
        <w:t>Lessons are archived for future reference</w:t>
      </w:r>
    </w:p>
    <w:p>
      <w:r>
        <w:t>Why This Matters:</w:t>
      </w:r>
    </w:p>
    <w:p>
      <w:r>
        <w:t>Root cause analysis prevents recurrence</w:t>
      </w:r>
    </w:p>
    <w:p>
      <w:r>
        <w:t>Corrective actions address issues</w:t>
      </w:r>
    </w:p>
    <w:p>
      <w:r>
        <w:t>Effectiveness verification ensures resolution</w:t>
      </w:r>
    </w:p>
    <w:p>
      <w:r>
        <w:t>Archiving enables institutional learning</w:t>
      </w:r>
    </w:p>
    <w:p>
      <w:pPr>
        <w:pStyle w:val="Heading2"/>
      </w:pPr>
      <w:r>
        <w:t>57.13 Institutional Culture Preservation</w:t>
      </w:r>
    </w:p>
    <w:p>
      <w:r>
        <w:t>Constitutional Principle:</w:t>
      </w:r>
    </w:p>
    <w:p>
      <w:r>
        <w:t>Institutional continuity depends not only upon rules but also upon constitutional culture. The Institution shall preserve a culture consistent with constitutional principles.</w:t>
      </w:r>
    </w:p>
    <w:p>
      <w:r>
        <w:t>Constitutional Culture:</w:t>
      </w:r>
    </w:p>
    <w:p>
      <w:r>
        <w:t>The Institution shall continuously promote:</w:t>
      </w:r>
    </w:p>
    <w:p>
      <w:r>
        <w:t>Culture Drift:</w:t>
      </w:r>
    </w:p>
    <w:p>
      <w:r>
        <w:t>The Council shall periodically assess cultural alignment. Material divergence from constitutional principles shall require corrective governance measures.</w:t>
      </w:r>
    </w:p>
    <w:p>
      <w:r>
        <w:t>Leadership Responsibility:</w:t>
      </w:r>
    </w:p>
    <w:p>
      <w:r>
        <w:t>Leaders shall preserve constitutional culture through:</w:t>
      </w:r>
    </w:p>
    <w:p>
      <w:r>
        <w:t>Culture and Constitution:</w:t>
      </w:r>
    </w:p>
    <w:p>
      <w:r>
        <w:t>Institutional culture shall never override constitutional text. Constitutional principles are supreme; culture implements them.</w:t>
      </w:r>
    </w:p>
    <w:p>
      <w:r>
        <w:t>What This Means in Practice:</w:t>
      </w:r>
    </w:p>
    <w:p>
      <w:r>
        <w:t>Culture is aligned with constitutional principles</w:t>
      </w:r>
    </w:p>
    <w:p>
      <w:r>
        <w:t>Culture drift is monitored and corrected</w:t>
      </w:r>
    </w:p>
    <w:p>
      <w:r>
        <w:t>Leaders model constitutional culture</w:t>
      </w:r>
    </w:p>
    <w:p>
      <w:r>
        <w:t>Constitutional text remains supreme</w:t>
      </w:r>
    </w:p>
    <w:p>
      <w:r>
        <w:t>Why This Matters:</w:t>
      </w:r>
    </w:p>
    <w:p>
      <w:r>
        <w:t>Culture enables constitutional operation</w:t>
      </w:r>
    </w:p>
    <w:p>
      <w:r>
        <w:t>Culture drift can undermine constitutional principles</w:t>
      </w:r>
    </w:p>
    <w:p>
      <w:r>
        <w:t>Leadership shapes institutional culture</w:t>
      </w:r>
    </w:p>
    <w:p>
      <w:r>
        <w:t>Constitutional supremacy must be preserved</w:t>
      </w:r>
    </w:p>
    <w:p>
      <w:pPr>
        <w:pStyle w:val="Heading2"/>
      </w:pPr>
      <w:r>
        <w:t>57.14 Institutional Independence Review</w:t>
      </w:r>
    </w:p>
    <w:p>
      <w:r>
        <w:t>Constitutional Principle:</w:t>
      </w:r>
    </w:p>
    <w:p>
      <w:r>
        <w:t>Institutional independence shall be continuously protected. The Institution shall not become dependent upon any individual, jurisdiction, technology, vendor, or service provider in a manner that could compromise constitutional authority.</w:t>
      </w:r>
    </w:p>
    <w:p>
      <w:r>
        <w:t>Independence Review Scope:</w:t>
      </w:r>
    </w:p>
    <w:p>
      <w:r>
        <w:t>The Council shall conduct periodic institutional independence reviews covering:</w:t>
      </w:r>
    </w:p>
    <w:p>
      <w:r>
        <w:t>Independence Review Frequency:</w:t>
      </w:r>
    </w:p>
    <w:p>
      <w:r>
        <w:t>Independence Verification:</w:t>
      </w:r>
    </w:p>
    <w:p>
      <w:r>
        <w:t>Each review shall verify:</w:t>
      </w:r>
    </w:p>
    <w:p>
      <w:r>
        <w:t>What This Means in Practice:</w:t>
      </w:r>
    </w:p>
    <w:p>
      <w:r>
        <w:t>Independence is reviewed annually</w:t>
      </w:r>
    </w:p>
    <w:p>
      <w:r>
        <w:t>Dependencies are assessed quarterly</w:t>
      </w:r>
    </w:p>
    <w:p>
      <w:r>
        <w:t>Concentration is monitored</w:t>
      </w:r>
    </w:p>
    <w:p>
      <w:r>
        <w:t>Redundancy is verified</w:t>
      </w:r>
    </w:p>
    <w:p>
      <w:r>
        <w:t>Why This Matters:</w:t>
      </w:r>
    </w:p>
    <w:p>
      <w:r>
        <w:t>Independence is essential to constitutional authority</w:t>
      </w:r>
    </w:p>
    <w:p>
      <w:r>
        <w:t>Dependencies can compromise independence</w:t>
      </w:r>
    </w:p>
    <w:p>
      <w:r>
        <w:t>Regular review identifies vulnerabilities</w:t>
      </w:r>
    </w:p>
    <w:p>
      <w:r>
        <w:t>Redundancy preserves independence</w:t>
      </w:r>
    </w:p>
    <w:p>
      <w:pPr>
        <w:pStyle w:val="Heading2"/>
      </w:pPr>
      <w:r>
        <w:t>57.15 Continuity Governance</w:t>
      </w:r>
    </w:p>
    <w:p>
      <w:r>
        <w:t>Constitutional Principle:</w:t>
      </w:r>
    </w:p>
    <w:p>
      <w:r>
        <w:t>Continuity governance shall be a standing responsibility of the Council. Institutional continuity shall not be delegated to a single individual or committee without Council oversight.</w:t>
      </w:r>
    </w:p>
    <w:p>
      <w:r>
        <w:t>Continuity Responsibilities:</w:t>
      </w:r>
    </w:p>
    <w:p>
      <w:r>
        <w:t>Continuity Reporting:</w:t>
      </w:r>
    </w:p>
    <w:p>
      <w:r>
        <w:t>Continuity Review:</w:t>
      </w:r>
    </w:p>
    <w:p>
      <w:r>
        <w:t>The Council shall conduct an annual continuity review covering:</w:t>
      </w:r>
    </w:p>
    <w:p>
      <w:r>
        <w:t>What This Means in Practice:</w:t>
      </w:r>
    </w:p>
    <w:p>
      <w:r>
        <w:t>Continuity is a standing Council responsibility</w:t>
      </w:r>
    </w:p>
    <w:p>
      <w:r>
        <w:t>Continuity is reported quarterly</w:t>
      </w:r>
    </w:p>
    <w:p>
      <w:r>
        <w:t>Annual reviews assess continuity status</w:t>
      </w:r>
    </w:p>
    <w:p>
      <w:r>
        <w:t>Gaps are identified and addressed</w:t>
      </w:r>
    </w:p>
    <w:p>
      <w:r>
        <w:t>Why This Matters:</w:t>
      </w:r>
    </w:p>
    <w:p>
      <w:r>
        <w:t>Governance ensures continuity is maintained</w:t>
      </w:r>
    </w:p>
    <w:p>
      <w:r>
        <w:t>Reporting provides visibility</w:t>
      </w:r>
    </w:p>
    <w:p>
      <w:r>
        <w:t>Reviews identify gaps</w:t>
      </w:r>
    </w:p>
    <w:p>
      <w:r>
        <w:t>Accountability ensures action</w:t>
      </w:r>
    </w:p>
    <w:p>
      <w:pPr>
        <w:pStyle w:val="Heading2"/>
      </w:pPr>
      <w:r>
        <w:t>57.16 Section Verification</w:t>
      </w:r>
    </w:p>
    <w:p>
      <w:r>
        <w:t>text</w:t>
      </w:r>
    </w:p>
    <w:p>
      <w:r>
        <w:t>✓ Constitutional Principle established</w:t>
      </w:r>
    </w:p>
    <w:p>
      <w:r>
        <w:t>✓ Continuity Objectives defined</w:t>
      </w:r>
    </w:p>
    <w:p>
      <w:r>
        <w:t>✓ Council Succession Planning established</w:t>
      </w:r>
    </w:p>
    <w:p>
      <w:r>
        <w:t>✓ Institutional Competency Preservation defined</w:t>
      </w:r>
    </w:p>
    <w:p>
      <w:r>
        <w:t>✓ Knowledge Transfer Framework established</w:t>
      </w:r>
    </w:p>
    <w:p>
      <w:r>
        <w:t>✓ Institutional Memory defined</w:t>
      </w:r>
    </w:p>
    <w:p>
      <w:r>
        <w:t>✓ Constitutional Interpretation Continuity established</w:t>
      </w:r>
    </w:p>
    <w:p>
      <w:r>
        <w:t>✓ Constitutional Archives &amp; Archive Integrity defined</w:t>
      </w:r>
    </w:p>
    <w:p>
      <w:r>
        <w:t>✓ Training, Certification &amp; Competency Maintenance established</w:t>
      </w:r>
    </w:p>
    <w:p>
      <w:r>
        <w:t>✓ Historical Preservation defined</w:t>
      </w:r>
    </w:p>
    <w:p>
      <w:r>
        <w:t>✓ Decision Archives established</w:t>
      </w:r>
    </w:p>
    <w:p>
      <w:r>
        <w:t>✓ Lessons Learned &amp; Institutional Learning Framework defined</w:t>
      </w:r>
    </w:p>
    <w:p>
      <w:r>
        <w:t>✓ Institutional Culture Preservation established</w:t>
      </w:r>
    </w:p>
    <w:p>
      <w:r>
        <w:t>✓ Institutional Independence Review established</w:t>
      </w:r>
    </w:p>
    <w:p>
      <w:r>
        <w:t>✓ Continuity Governance established</w:t>
      </w:r>
    </w:p>
    <w:p>
      <w:r>
        <w:t>✓ No single point of failure</w:t>
      </w:r>
    </w:p>
    <w:p>
      <w:r>
        <w:t>✓ Competency redundancy maintained</w:t>
      </w:r>
    </w:p>
    <w:p>
      <w:r>
        <w:t>✓ Knowledge transfer structured</w:t>
      </w:r>
    </w:p>
    <w:p>
      <w:r>
        <w:t>✓ Archives cryptographically verified</w:t>
      </w:r>
    </w:p>
    <w:p>
      <w:r>
        <w:t>✓ Culture alignment monitored</w:t>
      </w:r>
    </w:p>
    <w:p>
      <w:r>
        <w:t>✓ Independence regularly reviewed</w:t>
      </w:r>
    </w:p>
    <w:p>
      <w:r>
        <w:t>✓ Continuity governed by Council</w:t>
      </w:r>
    </w:p>
    <w:p>
      <w:pPr>
        <w:pStyle w:val="Heading2"/>
      </w:pPr>
      <w:r>
        <w:t>57.17 Related Sections</w:t>
      </w:r>
    </w:p>
    <w:p>
      <w:r>
        <w:t>[END OF SECTION 57 — INSTITUTIONAL CONTINUITY FRAMEWORK]</w:t>
      </w:r>
    </w:p>
    <w:p>
      <w:pPr>
        <w:pStyle w:val="Heading2"/>
      </w:pPr>
      <w:r>
        <w:t>SECTION 58 — CONSTITUTIONAL ENGINEERING LIFECYCLE (FINAL INSTITUTIONAL VERSION)</w:t>
      </w:r>
    </w:p>
    <w:p>
      <w:pPr>
        <w:pStyle w:val="Heading2"/>
      </w:pPr>
      <w:r>
        <w:t>58.1 Constitutional Principle</w:t>
      </w:r>
    </w:p>
    <w:p>
      <w:r>
        <w:t>Constitutional Principle:</w:t>
      </w:r>
    </w:p>
    <w:p>
      <w:r>
        <w:t>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p>
    <w:p>
      <w:r>
        <w:t>The Constitutional Engineering Lifecycle ensures that constitutional intent is preserved throughout the complete lifecycle of every institutional capability.</w:t>
      </w:r>
    </w:p>
    <w:p>
      <w:r>
        <w:t>Engineering Authority:</w:t>
      </w:r>
    </w:p>
    <w:p>
      <w:r>
        <w:t>Engineering shall implement the Constitution. Engineering shall never redefine the Constitution. No engineering decision may modify constitutional meaning without following the Constitutional Amendment Process.</w:t>
      </w:r>
    </w:p>
    <w:p>
      <w:r>
        <w:t>What This Means in Practice:</w:t>
      </w:r>
    </w:p>
    <w:p>
      <w:r>
        <w:t>Engineering implements constitutional requirements</w:t>
      </w:r>
    </w:p>
    <w:p>
      <w:r>
        <w:t>Engineering does not create constitutional requirements</w:t>
      </w:r>
    </w:p>
    <w:p>
      <w:r>
        <w:t>Engineering decisions are subordinate to constitutional authority</w:t>
      </w:r>
    </w:p>
    <w:p>
      <w:r>
        <w:t>Constitutional changes require the Amendment Process</w:t>
      </w:r>
    </w:p>
    <w:p>
      <w:r>
        <w:t>Why This Matters:</w:t>
      </w:r>
    </w:p>
    <w:p>
      <w:r>
        <w:t>Engineering must preserve constitutional intent</w:t>
      </w:r>
    </w:p>
    <w:p>
      <w:r>
        <w:t>Engineering cannot redefine constitutional meaning</w:t>
      </w:r>
    </w:p>
    <w:p>
      <w:r>
        <w:t>Constitutional supremacy prevents engineering drift</w:t>
      </w:r>
    </w:p>
    <w:p>
      <w:r>
        <w:t>Amendment Process protects constitutional integrity</w:t>
      </w:r>
    </w:p>
    <w:p>
      <w:pPr>
        <w:pStyle w:val="Heading2"/>
      </w:pPr>
      <w:r>
        <w:t>58.2 Objectives</w:t>
      </w:r>
    </w:p>
    <w:p>
      <w:r>
        <w:t>The Lifecycle exists to ensure:</w:t>
      </w:r>
    </w:p>
    <w:p>
      <w:pPr>
        <w:pStyle w:val="Heading2"/>
      </w:pPr>
      <w:r>
        <w:t>58.3 Engineering Principles</w:t>
      </w:r>
    </w:p>
    <w:p>
      <w:r>
        <w:t>Every engineering activity shall satisfy:</w:t>
      </w:r>
    </w:p>
    <w:p>
      <w:r>
        <w:t>What This Means in Practice:</w:t>
      </w:r>
    </w:p>
    <w:p>
      <w:r>
        <w:t>Engineering is always subordinate to the Constitution</w:t>
      </w:r>
    </w:p>
    <w:p>
      <w:r>
        <w:t>Determinism is non-negotiable</w:t>
      </w:r>
    </w:p>
    <w:p>
      <w:r>
        <w:t>Security is built in from the beginning</w:t>
      </w:r>
    </w:p>
    <w:p>
      <w:r>
        <w:t>Verification is required before deployment</w:t>
      </w:r>
    </w:p>
    <w:p>
      <w:r>
        <w:t>Human accountability is maintained</w:t>
      </w:r>
    </w:p>
    <w:p>
      <w:r>
        <w:t>Audit trails are comprehensive</w:t>
      </w:r>
    </w:p>
    <w:p>
      <w:r>
        <w:t>Least privilege limits risk</w:t>
      </w:r>
    </w:p>
    <w:p>
      <w:r>
        <w:t>Defense in depth prevents single-point failure</w:t>
      </w:r>
    </w:p>
    <w:p>
      <w:r>
        <w:t>Fail-safe behavior protects the Institution</w:t>
      </w:r>
    </w:p>
    <w:p>
      <w:r>
        <w:t>Rollback capability enables recovery</w:t>
      </w:r>
    </w:p>
    <w:p>
      <w:r>
        <w:t>Technology independence prevents lock-in</w:t>
      </w:r>
    </w:p>
    <w:p>
      <w:pPr>
        <w:pStyle w:val="Heading2"/>
      </w:pPr>
      <w:r>
        <w:t>58.4 Constitutional Lifecycle Phases</w:t>
      </w:r>
    </w:p>
    <w:p>
      <w:r>
        <w:t>text</w:t>
      </w:r>
    </w:p>
    <w:p>
      <w:r>
        <w:t>Need Identified</w:t>
      </w:r>
    </w:p>
    <w:p>
      <w:r>
        <w:t>│</w:t>
      </w:r>
    </w:p>
    <w:p>
      <w:r>
        <w:t>▼</w:t>
      </w:r>
    </w:p>
    <w:p>
      <w:r>
        <w:t>Requirements</w:t>
      </w:r>
    </w:p>
    <w:p>
      <w:r>
        <w:t>│</w:t>
      </w:r>
    </w:p>
    <w:p>
      <w:r>
        <w:t>▼</w:t>
      </w:r>
    </w:p>
    <w:p>
      <w:r>
        <w:t>Constitutional Review</w:t>
      </w:r>
    </w:p>
    <w:p>
      <w:r>
        <w:t>│</w:t>
      </w:r>
    </w:p>
    <w:p>
      <w:r>
        <w:t>▼</w:t>
      </w:r>
    </w:p>
    <w:p>
      <w:r>
        <w:t>Architecture</w:t>
      </w:r>
    </w:p>
    <w:p>
      <w:r>
        <w:t>│</w:t>
      </w:r>
    </w:p>
    <w:p>
      <w:r>
        <w:t>▼</w:t>
      </w:r>
    </w:p>
    <w:p>
      <w:r>
        <w:t>Design</w:t>
      </w:r>
    </w:p>
    <w:p>
      <w:r>
        <w:t>│</w:t>
      </w:r>
    </w:p>
    <w:p>
      <w:r>
        <w:t>▼</w:t>
      </w:r>
    </w:p>
    <w:p>
      <w:r>
        <w:t>Threat Modeling</w:t>
      </w:r>
    </w:p>
    <w:p>
      <w:r>
        <w:t>│</w:t>
      </w:r>
    </w:p>
    <w:p>
      <w:r>
        <w:t>▼</w:t>
      </w:r>
    </w:p>
    <w:p>
      <w:r>
        <w:t>Formal Specification</w:t>
      </w:r>
    </w:p>
    <w:p>
      <w:r>
        <w:t>│</w:t>
      </w:r>
    </w:p>
    <w:p>
      <w:r>
        <w:t>▼</w:t>
      </w:r>
    </w:p>
    <w:p>
      <w:r>
        <w:t>Independent Review</w:t>
      </w:r>
    </w:p>
    <w:p>
      <w:r>
        <w:t>│</w:t>
      </w:r>
    </w:p>
    <w:p>
      <w:r>
        <w:t>▼</w:t>
      </w:r>
    </w:p>
    <w:p>
      <w:r>
        <w:t>Implementation</w:t>
      </w:r>
    </w:p>
    <w:p>
      <w:r>
        <w:t>│</w:t>
      </w:r>
    </w:p>
    <w:p>
      <w:r>
        <w:t>▼</w:t>
      </w:r>
    </w:p>
    <w:p>
      <w:r>
        <w:t>Formal Verification</w:t>
      </w:r>
    </w:p>
    <w:p>
      <w:r>
        <w:t>│</w:t>
      </w:r>
    </w:p>
    <w:p>
      <w:r>
        <w:t>▼</w:t>
      </w:r>
    </w:p>
    <w:p>
      <w:r>
        <w:t>Testing</w:t>
      </w:r>
    </w:p>
    <w:p>
      <w:r>
        <w:t>│</w:t>
      </w:r>
    </w:p>
    <w:p>
      <w:r>
        <w:t>▼</w:t>
      </w:r>
    </w:p>
    <w:p>
      <w:r>
        <w:t>External Audit</w:t>
      </w:r>
    </w:p>
    <w:p>
      <w:r>
        <w:t>│</w:t>
      </w:r>
    </w:p>
    <w:p>
      <w:r>
        <w:t>▼</w:t>
      </w:r>
    </w:p>
    <w:p>
      <w:r>
        <w:t>Approval</w:t>
      </w:r>
    </w:p>
    <w:p>
      <w:r>
        <w:t>│</w:t>
      </w:r>
    </w:p>
    <w:p>
      <w:r>
        <w:t>▼</w:t>
      </w:r>
    </w:p>
    <w:p>
      <w:r>
        <w:t>Deployment</w:t>
      </w:r>
    </w:p>
    <w:p>
      <w:r>
        <w:t>│</w:t>
      </w:r>
    </w:p>
    <w:p>
      <w:r>
        <w:t>▼</w:t>
      </w:r>
    </w:p>
    <w:p>
      <w:r>
        <w:t>Monitoring</w:t>
      </w:r>
    </w:p>
    <w:p>
      <w:r>
        <w:t>│</w:t>
      </w:r>
    </w:p>
    <w:p>
      <w:r>
        <w:t>▼</w:t>
      </w:r>
    </w:p>
    <w:p>
      <w:r>
        <w:t>Incident Review</w:t>
      </w:r>
    </w:p>
    <w:p>
      <w:r>
        <w:t>│</w:t>
      </w:r>
    </w:p>
    <w:p>
      <w:r>
        <w:t>▼</w:t>
      </w:r>
    </w:p>
    <w:p>
      <w:r>
        <w:t>Maintenance</w:t>
      </w:r>
    </w:p>
    <w:p>
      <w:r>
        <w:t>│</w:t>
      </w:r>
    </w:p>
    <w:p>
      <w:r>
        <w:t>▼</w:t>
      </w:r>
    </w:p>
    <w:p>
      <w:r>
        <w:t>Evolution</w:t>
      </w:r>
    </w:p>
    <w:p>
      <w:r>
        <w:t>│</w:t>
      </w:r>
    </w:p>
    <w:p>
      <w:r>
        <w:t>▼</w:t>
      </w:r>
    </w:p>
    <w:p>
      <w:r>
        <w:t>Retirement</w:t>
      </w:r>
    </w:p>
    <w:p>
      <w:r>
        <w:t>│</w:t>
      </w:r>
    </w:p>
    <w:p>
      <w:r>
        <w:t>▼</w:t>
      </w:r>
    </w:p>
    <w:p>
      <w:r>
        <w:t>Archive</w:t>
      </w:r>
    </w:p>
    <w:p>
      <w:r>
        <w:t>Lifecycle Expansion:</w:t>
      </w:r>
    </w:p>
    <w:p>
      <w:r>
        <w:t>This expands the lifecycle beyond ordinary software development into institutional governance. Each phase has specific requirements, deliverables, and governance.</w:t>
      </w:r>
    </w:p>
    <w:p>
      <w:pPr>
        <w:pStyle w:val="Heading2"/>
      </w:pPr>
      <w:r>
        <w:t>58.5 Requirements Definition</w:t>
      </w:r>
    </w:p>
    <w:p>
      <w:r>
        <w:t>Requirements Scope:</w:t>
      </w:r>
    </w:p>
    <w:p>
      <w:r>
        <w:t>Every requirement shall include:</w:t>
      </w:r>
    </w:p>
    <w:p>
      <w:r>
        <w:t>Requirement Constraint:</w:t>
      </w:r>
    </w:p>
    <w:p>
      <w:r>
        <w:t>No requirement may conflict with Constitutional Invariants. Requirements that conflict with invariants are void.</w:t>
      </w:r>
    </w:p>
    <w:p>
      <w:r>
        <w:t>What This Means in Practice:</w:t>
      </w:r>
    </w:p>
    <w:p>
      <w:r>
        <w:t>Every requirement has constitutional authority</w:t>
      </w:r>
    </w:p>
    <w:p>
      <w:r>
        <w:t>Dependencies are identified</w:t>
      </w:r>
    </w:p>
    <w:p>
      <w:r>
        <w:t>Risks are classified</w:t>
      </w:r>
    </w:p>
    <w:p>
      <w:r>
        <w:t>Implications are assessed</w:t>
      </w:r>
    </w:p>
    <w:p>
      <w:r>
        <w:t>Constitutional compliance is verified</w:t>
      </w:r>
    </w:p>
    <w:p>
      <w:pPr>
        <w:pStyle w:val="Heading2"/>
      </w:pPr>
      <w:r>
        <w:t>58.6 Constitutional Review</w:t>
      </w:r>
    </w:p>
    <w:p>
      <w:r>
        <w:t>Constitutional Review Scope:</w:t>
      </w:r>
    </w:p>
    <w:p>
      <w:r>
        <w:t>Before design begins, the Constitutional Review shall verify:</w:t>
      </w:r>
    </w:p>
    <w:p>
      <w:r>
        <w:t>Review Mandate:</w:t>
      </w:r>
    </w:p>
    <w:p>
      <w:r>
        <w:t>This review is mandatory. No design or implementation may proceed without completed Constitutional Review.</w:t>
      </w:r>
    </w:p>
    <w:p>
      <w:r>
        <w:t>What This Means in Practice:</w:t>
      </w:r>
    </w:p>
    <w:p>
      <w:r>
        <w:t>Constitutional Review is mandatory</w:t>
      </w:r>
    </w:p>
    <w:p>
      <w:r>
        <w:t>All aspects are verified</w:t>
      </w:r>
    </w:p>
    <w:p>
      <w:r>
        <w:t>Invariants are checked</w:t>
      </w:r>
    </w:p>
    <w:p>
      <w:r>
        <w:t>Neutrality is confirmed</w:t>
      </w:r>
    </w:p>
    <w:p>
      <w:r>
        <w:t>Governance consistency is ensured</w:t>
      </w:r>
    </w:p>
    <w:p>
      <w:pPr>
        <w:pStyle w:val="Heading2"/>
      </w:pPr>
      <w:r>
        <w:t>58.7 Architecture</w:t>
      </w:r>
    </w:p>
    <w:p>
      <w:r>
        <w:t>Architecture Definition:</w:t>
      </w:r>
    </w:p>
    <w:p>
      <w:r>
        <w:t>Architecture shall define:</w:t>
      </w:r>
    </w:p>
    <w:p>
      <w:r>
        <w:t>Architecture Approval:</w:t>
      </w:r>
    </w:p>
    <w:p>
      <w:r>
        <w:t>Architecture approval precedes design. No design may proceed without approved architecture.</w:t>
      </w:r>
    </w:p>
    <w:p>
      <w:r>
        <w:t>What This Means in Practice:</w:t>
      </w:r>
    </w:p>
    <w:p>
      <w:r>
        <w:t>Architecture is formally defined</w:t>
      </w:r>
    </w:p>
    <w:p>
      <w:r>
        <w:t>Trust boundaries are identified</w:t>
      </w:r>
    </w:p>
    <w:p>
      <w:r>
        <w:t>Dependencies are mapped</w:t>
      </w:r>
    </w:p>
    <w:p>
      <w:r>
        <w:t>Failure domains are understood</w:t>
      </w:r>
    </w:p>
    <w:p>
      <w:r>
        <w:t>Security boundaries are established</w:t>
      </w:r>
    </w:p>
    <w:p>
      <w:r>
        <w:t>Redundancy is designed</w:t>
      </w:r>
    </w:p>
    <w:p>
      <w:pPr>
        <w:pStyle w:val="Heading2"/>
      </w:pPr>
      <w:r>
        <w:t>58.8 Threat Modeling</w:t>
      </w:r>
    </w:p>
    <w:p>
      <w:r>
        <w:t>Threat Modeling Requirement:</w:t>
      </w:r>
    </w:p>
    <w:p>
      <w:r>
        <w:t>Every critical capability shall undergo structured threat modeling.</w:t>
      </w:r>
    </w:p>
    <w:p>
      <w:r>
        <w:t>Threat Categories:</w:t>
      </w:r>
    </w:p>
    <w:p>
      <w:r>
        <w:t>Threat Model Contents:</w:t>
      </w:r>
    </w:p>
    <w:p>
      <w:r>
        <w:t>Each threat shall include:</w:t>
      </w:r>
    </w:p>
    <w:p>
      <w:r>
        <w:t>What This Means in Practice:</w:t>
      </w:r>
    </w:p>
    <w:p>
      <w:r>
        <w:t>Threat modeling is mandatory for critical capabilities</w:t>
      </w:r>
    </w:p>
    <w:p>
      <w:r>
        <w:t>All threat categories are considered</w:t>
      </w:r>
    </w:p>
    <w:p>
      <w:r>
        <w:t>Threats are assessed and documented</w:t>
      </w:r>
    </w:p>
    <w:p>
      <w:r>
        <w:t>Mitigations are defined</w:t>
      </w:r>
    </w:p>
    <w:p>
      <w:r>
        <w:t>Residual risk is evaluated</w:t>
      </w:r>
    </w:p>
    <w:p>
      <w:pPr>
        <w:pStyle w:val="Heading2"/>
      </w:pPr>
      <w:r>
        <w:t>58.9 Design</w:t>
      </w:r>
    </w:p>
    <w:p>
      <w:r>
        <w:t>Design Requirements:</w:t>
      </w:r>
    </w:p>
    <w:p>
      <w:r>
        <w:t>Design shall include:</w:t>
      </w:r>
    </w:p>
    <w:p>
      <w:r>
        <w:t>What This Means in Practice:</w:t>
      </w:r>
    </w:p>
    <w:p>
      <w:r>
        <w:t>Design covers all aspects</w:t>
      </w:r>
    </w:p>
    <w:p>
      <w:r>
        <w:t>Security is designed in</w:t>
      </w:r>
    </w:p>
    <w:p>
      <w:r>
        <w:t>Operations are considered</w:t>
      </w:r>
    </w:p>
    <w:p>
      <w:r>
        <w:t>Recovery is planned</w:t>
      </w:r>
    </w:p>
    <w:p>
      <w:r>
        <w:t>Monitoring is built in</w:t>
      </w:r>
    </w:p>
    <w:p>
      <w:r>
        <w:t>Upgrades are planned</w:t>
      </w:r>
    </w:p>
    <w:p>
      <w:pPr>
        <w:pStyle w:val="Heading2"/>
      </w:pPr>
      <w:r>
        <w:t>58.10 Formal Specification</w:t>
      </w:r>
    </w:p>
    <w:p>
      <w:r>
        <w:t>Specification Requirement:</w:t>
      </w:r>
    </w:p>
    <w:p>
      <w:r>
        <w:t>Every mathematical model, state transition, algorithm, policy, and invariant shall have a formal specification independent of implementation language.</w:t>
      </w:r>
    </w:p>
    <w:p>
      <w:r>
        <w:t>What This Means in Practice:</w:t>
      </w:r>
    </w:p>
    <w:p>
      <w:r>
        <w:t>Formal specifications exist for all critical components</w:t>
      </w:r>
    </w:p>
    <w:p>
      <w:r>
        <w:t>Specifications are independent of implementation</w:t>
      </w:r>
    </w:p>
    <w:p>
      <w:r>
        <w:t>Specifications enable formal verification</w:t>
      </w:r>
    </w:p>
    <w:p>
      <w:pPr>
        <w:pStyle w:val="Heading2"/>
      </w:pPr>
      <w:r>
        <w:t>58.11 Independent Review</w:t>
      </w:r>
    </w:p>
    <w:p>
      <w:r>
        <w:t>Reviewer Categories:</w:t>
      </w:r>
    </w:p>
    <w:p>
      <w:r>
        <w:t>Expand reviewers to include:</w:t>
      </w:r>
    </w:p>
    <w:p>
      <w:r>
        <w:t>Review Constraint:</w:t>
      </w:r>
    </w:p>
    <w:p>
      <w:r>
        <w:t>No reviewer may approve their own implementation. Independent review requires separation of implementation and review.</w:t>
      </w:r>
    </w:p>
    <w:p>
      <w:r>
        <w:t>What This Means in Practice:</w:t>
      </w:r>
    </w:p>
    <w:p>
      <w:r>
        <w:t>Multiple reviewer types are engaged</w:t>
      </w:r>
    </w:p>
    <w:p>
      <w:r>
        <w:t>Reviewers are independent</w:t>
      </w:r>
    </w:p>
    <w:p>
      <w:r>
        <w:t>No self-approval is permitted</w:t>
      </w:r>
    </w:p>
    <w:p>
      <w:r>
        <w:t>Comprehensive review covers all aspects</w:t>
      </w:r>
    </w:p>
    <w:p>
      <w:pPr>
        <w:pStyle w:val="Heading2"/>
      </w:pPr>
      <w:r>
        <w:t>58.12 Implementation</w:t>
      </w:r>
    </w:p>
    <w:p>
      <w:r>
        <w:t>Implementation Standards:</w:t>
      </w:r>
    </w:p>
    <w:p>
      <w:r>
        <w:t>What This Means in Practice:</w:t>
      </w:r>
    </w:p>
    <w:p>
      <w:r>
        <w:t>Implementation follows strict standards</w:t>
      </w:r>
    </w:p>
    <w:p>
      <w:r>
        <w:t>Reproducibility is ensured</w:t>
      </w:r>
    </w:p>
    <w:p>
      <w:r>
        <w:t>Peer review is mandatory</w:t>
      </w:r>
    </w:p>
    <w:p>
      <w:r>
        <w:t>Dependencies are verified</w:t>
      </w:r>
    </w:p>
    <w:p>
      <w:r>
        <w:t>Secrets are protected</w:t>
      </w:r>
    </w:p>
    <w:p>
      <w:r>
        <w:t>Supply chain is verified</w:t>
      </w:r>
    </w:p>
    <w:p>
      <w:pPr>
        <w:pStyle w:val="Heading2"/>
      </w:pPr>
      <w:r>
        <w:t>58.13 Formal Verification</w:t>
      </w:r>
    </w:p>
    <w:p>
      <w:r>
        <w:t>Verification Scope:</w:t>
      </w:r>
    </w:p>
    <w:p>
      <w:r>
        <w:t>Verification shall include:</w:t>
      </w:r>
    </w:p>
    <w:p>
      <w:r>
        <w:t>What This Means in Practice:</w:t>
      </w:r>
    </w:p>
    <w:p>
      <w:r>
        <w:t>Formal verification is comprehensive</w:t>
      </w:r>
    </w:p>
    <w:p>
      <w:r>
        <w:t>All critical properties are verified</w:t>
      </w:r>
    </w:p>
    <w:p>
      <w:r>
        <w:t>Mathematical proofs provide certainty</w:t>
      </w:r>
    </w:p>
    <w:p>
      <w:r>
        <w:t>Determinism is proven</w:t>
      </w:r>
    </w:p>
    <w:p>
      <w:pPr>
        <w:pStyle w:val="Heading2"/>
      </w:pPr>
      <w:r>
        <w:t>58.14 Testing</w:t>
      </w:r>
    </w:p>
    <w:p>
      <w:r>
        <w:t>Testing Types:</w:t>
      </w:r>
    </w:p>
    <w:p>
      <w:r>
        <w:t>Expand testing to include:</w:t>
      </w:r>
    </w:p>
    <w:p>
      <w:r>
        <w:t>What This Means in Practice:</w:t>
      </w:r>
    </w:p>
    <w:p>
      <w:r>
        <w:t>Testing is comprehensive</w:t>
      </w:r>
    </w:p>
    <w:p>
      <w:r>
        <w:t>Multiple testing types are used</w:t>
      </w:r>
    </w:p>
    <w:p>
      <w:r>
        <w:t>Resilience is tested</w:t>
      </w:r>
    </w:p>
    <w:p>
      <w:r>
        <w:t>Security is tested</w:t>
      </w:r>
    </w:p>
    <w:p>
      <w:r>
        <w:t>Performance is tested</w:t>
      </w:r>
    </w:p>
    <w:p>
      <w:r>
        <w:t>Scenarios are simulated</w:t>
      </w:r>
    </w:p>
    <w:p>
      <w:pPr>
        <w:pStyle w:val="Heading2"/>
      </w:pPr>
      <w:r>
        <w:t>58.15 External Validation</w:t>
      </w:r>
    </w:p>
    <w:p>
      <w:r>
        <w:t>Validation Requirement:</w:t>
      </w:r>
    </w:p>
    <w:p>
      <w:r>
        <w:t>Independent validation shall occur before every major release.</w:t>
      </w:r>
    </w:p>
    <w:p>
      <w:r>
        <w:t>Validation Sources:</w:t>
      </w:r>
    </w:p>
    <w:p>
      <w:r>
        <w:t>Validation may include:</w:t>
      </w:r>
    </w:p>
    <w:p>
      <w:r>
        <w:t>What This Means in Practice:</w:t>
      </w:r>
    </w:p>
    <w:p>
      <w:r>
        <w:t>External validation is required</w:t>
      </w:r>
    </w:p>
    <w:p>
      <w:r>
        <w:t>Multiple validation sources are used</w:t>
      </w:r>
    </w:p>
    <w:p>
      <w:r>
        <w:t>Validation is independent</w:t>
      </w:r>
    </w:p>
    <w:p>
      <w:r>
        <w:t>Findings are addressed</w:t>
      </w:r>
    </w:p>
    <w:p>
      <w:pPr>
        <w:pStyle w:val="Heading2"/>
      </w:pPr>
      <w:r>
        <w:t>58.16 Deployment</w:t>
      </w:r>
    </w:p>
    <w:p>
      <w:r>
        <w:t>Deployment Requirements:</w:t>
      </w:r>
    </w:p>
    <w:p>
      <w:r>
        <w:t>What This Means in Practice:</w:t>
      </w:r>
    </w:p>
    <w:p>
      <w:r>
        <w:t>Multiple approvals are required</w:t>
      </w:r>
    </w:p>
    <w:p>
      <w:r>
        <w:t>Deployments are signed</w:t>
      </w:r>
    </w:p>
    <w:p>
      <w:r>
        <w:t>Rollback capability is verified</w:t>
      </w:r>
    </w:p>
    <w:p>
      <w:r>
        <w:t>Monitoring is active</w:t>
      </w:r>
    </w:p>
    <w:p>
      <w:r>
        <w:t>Verification is performed</w:t>
      </w:r>
    </w:p>
    <w:p>
      <w:r>
        <w:t>Deployment windows are defined</w:t>
      </w:r>
    </w:p>
    <w:p>
      <w:pPr>
        <w:pStyle w:val="Heading2"/>
      </w:pPr>
      <w:r>
        <w:t>58.17 Monitoring</w:t>
      </w:r>
    </w:p>
    <w:p>
      <w:r>
        <w:t>Monitoring Requirement:</w:t>
      </w:r>
    </w:p>
    <w:p>
      <w:r>
        <w:t>Every deployed capability shall continuously monitor:</w:t>
      </w:r>
    </w:p>
    <w:p>
      <w:r>
        <w:t>What This Means in Practice:</w:t>
      </w:r>
    </w:p>
    <w:p>
      <w:r>
        <w:t>Monitoring is continuous</w:t>
      </w:r>
    </w:p>
    <w:p>
      <w:r>
        <w:t>All critical aspects are monitored</w:t>
      </w:r>
    </w:p>
    <w:p>
      <w:r>
        <w:t>Issues are detected early</w:t>
      </w:r>
    </w:p>
    <w:p>
      <w:r>
        <w:t>Compliance is verified</w:t>
      </w:r>
    </w:p>
    <w:p>
      <w:pPr>
        <w:pStyle w:val="Heading2"/>
      </w:pPr>
      <w:r>
        <w:t>58.18 Incident Engineering</w:t>
      </w:r>
    </w:p>
    <w:p>
      <w:r>
        <w:t>Incident Requirement:</w:t>
      </w:r>
    </w:p>
    <w:p>
      <w:r>
        <w:t>Every incident shall produce:</w:t>
      </w:r>
    </w:p>
    <w:p>
      <w:r>
        <w:t>Incident Closure:</w:t>
      </w:r>
    </w:p>
    <w:p>
      <w:r>
        <w:t>No incident is closed until lessons are incorporated.</w:t>
      </w:r>
    </w:p>
    <w:p>
      <w:r>
        <w:t>What This Means in Practice:</w:t>
      </w:r>
    </w:p>
    <w:p>
      <w:r>
        <w:t>All incidents are investigated</w:t>
      </w:r>
    </w:p>
    <w:p>
      <w:r>
        <w:t>Root cause is identified</w:t>
      </w:r>
    </w:p>
    <w:p>
      <w:r>
        <w:t>Lessons are learned</w:t>
      </w:r>
    </w:p>
    <w:p>
      <w:r>
        <w:t>Corrective actions are implemented</w:t>
      </w:r>
    </w:p>
    <w:p>
      <w:r>
        <w:t>Closure requires verification</w:t>
      </w:r>
    </w:p>
    <w:p>
      <w:pPr>
        <w:pStyle w:val="Heading2"/>
      </w:pPr>
      <w:r>
        <w:t>58.19 Maintenance</w:t>
      </w:r>
    </w:p>
    <w:p>
      <w:r>
        <w:t>Maintenance Activities:</w:t>
      </w:r>
    </w:p>
    <w:p>
      <w:r>
        <w:t>What This Means in Practice:</w:t>
      </w:r>
    </w:p>
    <w:p>
      <w:r>
        <w:t>Maintenance is proactive</w:t>
      </w:r>
    </w:p>
    <w:p>
      <w:r>
        <w:t>Security patches are applied</w:t>
      </w:r>
    </w:p>
    <w:p>
      <w:r>
        <w:t>Dependencies are updated</w:t>
      </w:r>
    </w:p>
    <w:p>
      <w:r>
        <w:t>Performance is optimized</w:t>
      </w:r>
    </w:p>
    <w:p>
      <w:r>
        <w:t>Documentation is maintained</w:t>
      </w:r>
    </w:p>
    <w:p>
      <w:pPr>
        <w:pStyle w:val="Heading2"/>
      </w:pPr>
      <w:r>
        <w:t>58.20 Controlled Evolution</w:t>
      </w:r>
    </w:p>
    <w:p>
      <w:r>
        <w:t>Evolution Requirements:</w:t>
      </w:r>
    </w:p>
    <w:p>
      <w:r>
        <w:t>Engineering evolution must satisfy:</w:t>
      </w:r>
    </w:p>
    <w:p>
      <w:r>
        <w:t>What This Means in Practice:</w:t>
      </w:r>
    </w:p>
    <w:p>
      <w:r>
        <w:t>Evolution is controlled</w:t>
      </w:r>
    </w:p>
    <w:p>
      <w:r>
        <w:t>Compatibility is maintained</w:t>
      </w:r>
    </w:p>
    <w:p>
      <w:r>
        <w:t>Migration is planned</w:t>
      </w:r>
    </w:p>
    <w:p>
      <w:r>
        <w:t>Rollback is possible</w:t>
      </w:r>
    </w:p>
    <w:p>
      <w:r>
        <w:t>Verification is required</w:t>
      </w:r>
    </w:p>
    <w:p>
      <w:r>
        <w:t>Approval is obtained</w:t>
      </w:r>
    </w:p>
    <w:p>
      <w:pPr>
        <w:pStyle w:val="Heading2"/>
      </w:pPr>
      <w:r>
        <w:t>58.21 Retirement</w:t>
      </w:r>
    </w:p>
    <w:p>
      <w:r>
        <w:t>Retirement Requirements:</w:t>
      </w:r>
    </w:p>
    <w:p>
      <w:r>
        <w:t>Every retirement requires:</w:t>
      </w:r>
    </w:p>
    <w:p>
      <w:r>
        <w:t>What This Means in Practice:</w:t>
      </w:r>
    </w:p>
    <w:p>
      <w:r>
        <w:t>Retirement is planned</w:t>
      </w:r>
    </w:p>
    <w:p>
      <w:r>
        <w:t>Migration is completed</w:t>
      </w:r>
    </w:p>
    <w:p>
      <w:r>
        <w:t>History is preserved</w:t>
      </w:r>
    </w:p>
    <w:p>
      <w:r>
        <w:t>Knowledge is transferred</w:t>
      </w:r>
    </w:p>
    <w:p>
      <w:r>
        <w:t>Dependencies are removed</w:t>
      </w:r>
    </w:p>
    <w:p>
      <w:r>
        <w:t>Risks are assessed</w:t>
      </w:r>
    </w:p>
    <w:p>
      <w:pPr>
        <w:pStyle w:val="Heading2"/>
      </w:pPr>
      <w:r>
        <w:t>58.22 Documentation</w:t>
      </w:r>
    </w:p>
    <w:p>
      <w:r>
        <w:t>Documentation Requirements:</w:t>
      </w:r>
    </w:p>
    <w:p>
      <w:r>
        <w:t>Documentation shall include:</w:t>
      </w:r>
    </w:p>
    <w:p>
      <w:r>
        <w:t>What This Means in Practice:</w:t>
      </w:r>
    </w:p>
    <w:p>
      <w:r>
        <w:t>Documentation is complete</w:t>
      </w:r>
    </w:p>
    <w:p>
      <w:r>
        <w:t>All lifecycle phases are documented</w:t>
      </w:r>
    </w:p>
    <w:p>
      <w:r>
        <w:t>Verifiable evidence is produced</w:t>
      </w:r>
    </w:p>
    <w:p>
      <w:r>
        <w:t>Auditable records are maintained</w:t>
      </w:r>
    </w:p>
    <w:p>
      <w:pPr>
        <w:pStyle w:val="Heading2"/>
      </w:pPr>
      <w:r>
        <w:t>58.23 Engineering Evidence</w:t>
      </w:r>
    </w:p>
    <w:p>
      <w:r>
        <w:t>Evidence Requirement:</w:t>
      </w:r>
    </w:p>
    <w:p>
      <w:r>
        <w:t>Every lifecycle phase must produce verifiable evidence. No undocumented activity may become institutional truth.</w:t>
      </w:r>
    </w:p>
    <w:p>
      <w:r>
        <w:t>What This Means in Practice:</w:t>
      </w:r>
    </w:p>
    <w:p>
      <w:r>
        <w:t>Evidence is produced at every phase</w:t>
      </w:r>
    </w:p>
    <w:p>
      <w:r>
        <w:t>Evidence is verifiable</w:t>
      </w:r>
    </w:p>
    <w:p>
      <w:r>
        <w:t>Evidence is auditable</w:t>
      </w:r>
    </w:p>
    <w:p>
      <w:r>
        <w:t>Evidence is preserved</w:t>
      </w:r>
    </w:p>
    <w:p>
      <w:pPr>
        <w:pStyle w:val="Heading2"/>
      </w:pPr>
      <w:r>
        <w:t>58.24 Supply Chain Governance</w:t>
      </w:r>
    </w:p>
    <w:p>
      <w:r>
        <w:t>Supply Chain Requirements:</w:t>
      </w:r>
    </w:p>
    <w:p>
      <w:r>
        <w:t>Every software dependency shall be:</w:t>
      </w:r>
    </w:p>
    <w:p>
      <w:r>
        <w:t>Supply Chain Constraint:</w:t>
      </w:r>
    </w:p>
    <w:p>
      <w:r>
        <w:t>No unverified dependency may enter production.</w:t>
      </w:r>
    </w:p>
    <w:p>
      <w:r>
        <w:t>What This Means in Practice:</w:t>
      </w:r>
    </w:p>
    <w:p>
      <w:r>
        <w:t>All dependencies are approved</w:t>
      </w:r>
    </w:p>
    <w:p>
      <w:r>
        <w:t>Specific versions are used</w:t>
      </w:r>
    </w:p>
    <w:p>
      <w:r>
        <w:t>Integrity is verified</w:t>
      </w:r>
    </w:p>
    <w:p>
      <w:r>
        <w:t>Licenses are reviewed</w:t>
      </w:r>
    </w:p>
    <w:p>
      <w:r>
        <w:t>Security is scanned</w:t>
      </w:r>
    </w:p>
    <w:p>
      <w:r>
        <w:t>Monitoring is continuous</w:t>
      </w:r>
    </w:p>
    <w:p>
      <w:pPr>
        <w:pStyle w:val="Heading2"/>
      </w:pPr>
      <w:r>
        <w:t>58.25 Cryptographic Lifecycle</w:t>
      </w:r>
    </w:p>
    <w:p>
      <w:r>
        <w:t>Lifecycle Requirements:</w:t>
      </w:r>
    </w:p>
    <w:p>
      <w:r>
        <w:t>Every cryptographic primitive shall define:</w:t>
      </w:r>
    </w:p>
    <w:p>
      <w:r>
        <w:t>What This Means in Practice:</w:t>
      </w:r>
    </w:p>
    <w:p>
      <w:r>
        <w:t>Cryptographic choices are justified</w:t>
      </w:r>
    </w:p>
    <w:p>
      <w:r>
        <w:t>Lifetimes are defined</w:t>
      </w:r>
    </w:p>
    <w:p>
      <w:r>
        <w:t>Migration triggers are set</w:t>
      </w:r>
    </w:p>
    <w:p>
      <w:r>
        <w:t>Deprecation is scheduled</w:t>
      </w:r>
    </w:p>
    <w:p>
      <w:r>
        <w:t>Replacement is planned</w:t>
      </w:r>
    </w:p>
    <w:p>
      <w:r>
        <w:t>Keys are destroyed securely</w:t>
      </w:r>
    </w:p>
    <w:p>
      <w:pPr>
        <w:pStyle w:val="Heading2"/>
      </w:pPr>
      <w:r>
        <w:t>58.26 AI Engineering Governance</w:t>
      </w:r>
    </w:p>
    <w:p>
      <w:r>
        <w:t>AI Requirements:</w:t>
      </w:r>
    </w:p>
    <w:p>
      <w:r>
        <w:t>Every AI component shall define:</w:t>
      </w:r>
    </w:p>
    <w:p>
      <w:r>
        <w:t>AI Constraint:</w:t>
      </w:r>
    </w:p>
    <w:p>
      <w:r>
        <w:t>AI shall never approve constitutional decisions. AI may advise but never govern.</w:t>
      </w:r>
    </w:p>
    <w:p>
      <w:r>
        <w:t>What This Means in Practice:</w:t>
      </w:r>
    </w:p>
    <w:p>
      <w:r>
        <w:t>AI is governed and controlled</w:t>
      </w:r>
    </w:p>
    <w:p>
      <w:r>
        <w:t>AI has defined scope and authority</w:t>
      </w:r>
    </w:p>
    <w:p>
      <w:r>
        <w:t>AI is validated and tested</w:t>
      </w:r>
    </w:p>
    <w:p>
      <w:r>
        <w:t>Human oversight is maintained</w:t>
      </w:r>
    </w:p>
    <w:p>
      <w:r>
        <w:t>Audit logs are kept</w:t>
      </w:r>
    </w:p>
    <w:p>
      <w:r>
        <w:t>AI cannot approve constitutional decisions</w:t>
      </w:r>
    </w:p>
    <w:p>
      <w:pPr>
        <w:pStyle w:val="Heading2"/>
      </w:pPr>
      <w:r>
        <w:t>58.27 Metrics</w:t>
      </w:r>
    </w:p>
    <w:p>
      <w:r>
        <w:t>Engineering Metrics:</w:t>
      </w:r>
    </w:p>
    <w:p>
      <w:r>
        <w:t>Engineering metrics shall include:</w:t>
      </w:r>
    </w:p>
    <w:p>
      <w:r>
        <w:t>What This Means in Practice:</w:t>
      </w:r>
    </w:p>
    <w:p>
      <w:r>
        <w:t>Metrics are tracked and reported</w:t>
      </w:r>
    </w:p>
    <w:p>
      <w:r>
        <w:t>Success rates are measured</w:t>
      </w:r>
    </w:p>
    <w:p>
      <w:r>
        <w:t>Recovery time is tracked</w:t>
      </w:r>
    </w:p>
    <w:p>
      <w:r>
        <w:t>Security posture is assessed</w:t>
      </w:r>
    </w:p>
    <w:p>
      <w:r>
        <w:t>Technical debt is monitored</w:t>
      </w:r>
    </w:p>
    <w:p>
      <w:pPr>
        <w:pStyle w:val="Heading2"/>
      </w:pPr>
      <w:r>
        <w:t>58.28 Version Governance</w:t>
      </w:r>
    </w:p>
    <w:p>
      <w:r>
        <w:t>Versioning Requirements:</w:t>
      </w:r>
    </w:p>
    <w:p>
      <w:r>
        <w:t>Expand with:</w:t>
      </w:r>
    </w:p>
    <w:p>
      <w:r>
        <w:t>What This Means in Practice:</w:t>
      </w:r>
    </w:p>
    <w:p>
      <w:r>
        <w:t>Comprehensive versioning is used</w:t>
      </w:r>
    </w:p>
    <w:p>
      <w:r>
        <w:t>All aspects are versioned</w:t>
      </w:r>
    </w:p>
    <w:p>
      <w:r>
        <w:t>Migration history is preserved</w:t>
      </w:r>
    </w:p>
    <w:p>
      <w:r>
        <w:t>Compatibility is documented</w:t>
      </w:r>
    </w:p>
    <w:p>
      <w:pPr>
        <w:pStyle w:val="Heading2"/>
      </w:pPr>
      <w:r>
        <w:t>58.29 Section Verification</w:t>
      </w:r>
    </w:p>
    <w:p>
      <w:r>
        <w:t>text</w:t>
      </w:r>
    </w:p>
    <w:p>
      <w:r>
        <w:t>✓ Requirements defined</w:t>
      </w:r>
    </w:p>
    <w:p>
      <w:r>
        <w:t>✓ Constitutional review completed</w:t>
      </w:r>
    </w:p>
    <w:p>
      <w:r>
        <w:t>✓ Architecture approved</w:t>
      </w:r>
    </w:p>
    <w:p>
      <w:r>
        <w:t>✓ Threat model completed</w:t>
      </w:r>
    </w:p>
    <w:p>
      <w:r>
        <w:t>✓ Design defined</w:t>
      </w:r>
    </w:p>
    <w:p>
      <w:r>
        <w:t>✓ Formal specification completed</w:t>
      </w:r>
    </w:p>
    <w:p>
      <w:r>
        <w:t>✓ Independent review completed</w:t>
      </w:r>
    </w:p>
    <w:p>
      <w:r>
        <w:t>✓ Implementation standards defined</w:t>
      </w:r>
    </w:p>
    <w:p>
      <w:r>
        <w:t>✓ Formal verification completed</w:t>
      </w:r>
    </w:p>
    <w:p>
      <w:r>
        <w:t>✓ Testing completed</w:t>
      </w:r>
    </w:p>
    <w:p>
      <w:r>
        <w:t>✓ External validation completed</w:t>
      </w:r>
    </w:p>
    <w:p>
      <w:r>
        <w:t>✓ Deployment verified</w:t>
      </w:r>
    </w:p>
    <w:p>
      <w:r>
        <w:t>✓ Monitoring enabled</w:t>
      </w:r>
    </w:p>
    <w:p>
      <w:r>
        <w:t>✓ Incident procedures defined</w:t>
      </w:r>
    </w:p>
    <w:p>
      <w:r>
        <w:t>✓ Maintenance planned</w:t>
      </w:r>
    </w:p>
    <w:p>
      <w:r>
        <w:t>✓ Evolution governed</w:t>
      </w:r>
    </w:p>
    <w:p>
      <w:r>
        <w:t>✓ Retirement defined</w:t>
      </w:r>
    </w:p>
    <w:p>
      <w:r>
        <w:t>✓ Documentation complete</w:t>
      </w:r>
    </w:p>
    <w:p>
      <w:r>
        <w:t>✓ Supply chain verified</w:t>
      </w:r>
    </w:p>
    <w:p>
      <w:r>
        <w:t>✓ AI governance verified</w:t>
      </w:r>
    </w:p>
    <w:p>
      <w:r>
        <w:t>✓ Cryptographic lifecycle defined</w:t>
      </w:r>
    </w:p>
    <w:p>
      <w:r>
        <w:t>✓ Metrics established</w:t>
      </w:r>
    </w:p>
    <w:p>
      <w:r>
        <w:t>✓ Version governance defined</w:t>
      </w:r>
    </w:p>
    <w:p>
      <w:r>
        <w:t>✓ Archive completed</w:t>
      </w:r>
    </w:p>
    <w:p>
      <w:r>
        <w:t>✓ Constitutional supremacy maintained</w:t>
      </w:r>
    </w:p>
    <w:p>
      <w:pPr>
        <w:pStyle w:val="Heading2"/>
      </w:pPr>
      <w:r>
        <w:t>58.30 Related Sections</w:t>
      </w:r>
    </w:p>
    <w:p>
      <w:r>
        <w:t>[END OF SECTION 58 — CONSTITUTIONAL ENGINEERING LIFECYCLE]</w:t>
      </w:r>
    </w:p>
    <w:p>
      <w:pPr>
        <w:pStyle w:val="Heading2"/>
      </w:pPr>
      <w:r>
        <w:t>INTEGRATION STATUS SUMMARY</w:t>
      </w:r>
    </w:p>
    <w:p>
      <w:pPr>
        <w:pStyle w:val="Heading2"/>
      </w:pPr>
      <w:r>
        <w:t>KEY IMPROVEMENTS IN SECTIONS 57-58</w:t>
      </w:r>
    </w:p>
    <w:p>
      <w:pPr>
        <w:pStyle w:val="Heading3"/>
      </w:pPr>
      <w:r>
        <w:t>Section 57 Improvements:</w:t>
      </w:r>
    </w:p>
    <w:p>
      <w:pPr>
        <w:pStyle w:val="Heading3"/>
      </w:pPr>
      <w:r>
        <w:t>Section 58 Improvements:</w:t>
      </w:r>
    </w:p>
    <w:p>
      <w:r>
        <w:t>[END OF SECTIONS 57-58 — COMPLETE]</w:t>
      </w:r>
    </w:p>
    <w:p>
      <w:r>
        <w:t>SECTION 59 — CONSTITUTIONAL INSTITUTIONAL HEALTH &amp; PERFORMANCE FRAMEWORK (REVISED)</w:t>
      </w:r>
    </w:p>
    <w:p>
      <w:r>
        <w:t>59.1 Constitutional Principle</w:t>
      </w:r>
    </w:p>
    <w:p>
      <w:r>
        <w:t>Constitutional Principle:</w:t>
      </w:r>
    </w:p>
    <w:p>
      <w:r>
        <w:t>Metrics exist to demonstrate constitutional compliance rather than organizational success. They shall never become optimization targets that encourage behavior contrary to constitutional objectives.</w:t>
      </w:r>
    </w:p>
    <w:p>
      <w:r>
        <w:t>No metric may be optimized if doing so would reduce reserve quality, constitutional neutrality, solvency, transparency, determinism, or institutional integrity. The purpose of measurement is to ensure constitutional fidelity, not operational perfection.</w:t>
      </w:r>
    </w:p>
    <w:p>
      <w:r>
        <w:t>What This Means in Practice:</w:t>
      </w:r>
    </w:p>
    <w:p>
      <w:r>
        <w:t>Metrics demonstrate constitutional compliance</w:t>
      </w:r>
    </w:p>
    <w:p>
      <w:r>
        <w:t>Metrics are evidence, not targets</w:t>
      </w:r>
    </w:p>
    <w:p>
      <w:r>
        <w:t>Metrics cannot be "gamed" through optimization</w:t>
      </w:r>
    </w:p>
    <w:p>
      <w:r>
        <w:t>Constitutional fidelity is the purpose of measurement</w:t>
      </w:r>
    </w:p>
    <w:p>
      <w:r>
        <w:t>Why This Matters:</w:t>
      </w:r>
    </w:p>
    <w:p>
      <w:r>
        <w:t>Without constitutional measurement, compliance is unverifiable</w:t>
      </w:r>
    </w:p>
    <w:p>
      <w:r>
        <w:t>Without evidence, trust is based on assertion</w:t>
      </w:r>
    </w:p>
    <w:p>
      <w:r>
        <w:t>Without integrity, metrics become manipulation targets</w:t>
      </w:r>
    </w:p>
    <w:p>
      <w:r>
        <w:t>Constitutional measurement is essential to institutional credibility</w:t>
      </w:r>
    </w:p>
    <w:p>
      <w:r>
        <w:t>Relation to Layer 0:</w:t>
      </w:r>
    </w:p>
    <w:p>
      <w:r>
        <w:t>This Section implements the Evidence Doctrine (0.5), Trust Doctrine (0.3), and Institutional Identity (0.1) established in Layer 0. All measurement requirements derive their constitutional authority from Layer 0.</w:t>
      </w:r>
    </w:p>
    <w:p>
      <w:r>
        <w:t>59.2 Metric Hierarchy</w:t>
      </w:r>
    </w:p>
    <w:p>
      <w:r>
        <w:t>Constitutional Principle:</w:t>
      </w:r>
    </w:p>
    <w:p>
      <w:r>
        <w:t>Metrics shall be organized according to their constitutional importance. Constitutional Integrity Metrics shall never trade off against any other category.</w:t>
      </w:r>
    </w:p>
    <w:p>
      <w:r>
        <w:t>Layer A — Constitutional Integrity Metrics (Existential):</w:t>
      </w:r>
    </w:p>
    <w:p>
      <w:r>
        <w:t>These metrics are pass/fail. They indicate whether the Institution remains constitutionally sound.</w:t>
      </w:r>
    </w:p>
    <w:p>
      <w:r>
        <w:t>Layer B — Institutional Resilience Metrics (Strategic):</w:t>
      </w:r>
    </w:p>
    <w:p>
      <w:r>
        <w:t>These metrics measure the Institution's ability to survive disruption.</w:t>
      </w:r>
    </w:p>
    <w:p>
      <w:r>
        <w:t>Layer C — Governance Metrics (Structural):</w:t>
      </w:r>
    </w:p>
    <w:p>
      <w:r>
        <w:t>These metrics measure governance effectiveness.</w:t>
      </w:r>
    </w:p>
    <w:p>
      <w:r>
        <w:t>Layer D — Service Metrics (Operational):</w:t>
      </w:r>
    </w:p>
    <w:p>
      <w:r>
        <w:t>These metrics measure operational performance.</w:t>
      </w:r>
    </w:p>
    <w:p>
      <w:r>
        <w:t>Metric Hierarchy Rule:</w:t>
      </w:r>
    </w:p>
    <w:p>
      <w:r>
        <w:t>No metric in any lower layer may be optimized at the expense of any metric in a higher layer. Constitutional Integrity Metrics (Layer A) are absolute and non-negotiable. All other metrics are subordinate to Layer A requirements.</w:t>
      </w:r>
    </w:p>
    <w:p>
      <w:r>
        <w:t>What This Means in Practice:</w:t>
      </w:r>
    </w:p>
    <w:p>
      <w:r>
        <w:t>Constitutional Integrity Metrics are absolute</w:t>
      </w:r>
    </w:p>
    <w:p>
      <w:r>
        <w:t>Resilience Metrics support continuity</w:t>
      </w:r>
    </w:p>
    <w:p>
      <w:r>
        <w:t>Governance Metrics ensure quality</w:t>
      </w:r>
    </w:p>
    <w:p>
      <w:r>
        <w:t>Service Metrics measure performance</w:t>
      </w:r>
    </w:p>
    <w:p>
      <w:r>
        <w:t>Optimization must respect the hierarchy</w:t>
      </w:r>
    </w:p>
    <w:p>
      <w:r>
        <w:t>Why This Matters:</w:t>
      </w:r>
    </w:p>
    <w:p>
      <w:r>
        <w:t>The hierarchy prevents optimization of lower layers at the expense of higher layers</w:t>
      </w:r>
    </w:p>
    <w:p>
      <w:r>
        <w:t>Constitutional integrity is protected from operational pressures</w:t>
      </w:r>
    </w:p>
    <w:p>
      <w:r>
        <w:t>Resources are allocated according to constitutional importance</w:t>
      </w:r>
    </w:p>
    <w:p>
      <w:r>
        <w:t>The hierarchy maintains constitutional priorities</w:t>
      </w:r>
    </w:p>
    <w:p>
      <w:r>
        <w:t>59.3 Constitutional Health Status</w:t>
      </w:r>
    </w:p>
    <w:p>
      <w:r>
        <w:t>Constitutional Principle:</w:t>
      </w:r>
    </w:p>
    <w:p>
      <w:r>
        <w:t>The Institution shall maintain a continuous constitutional health status that indicates whether constitutional operations remain within constitutional boundaries.</w:t>
      </w:r>
    </w:p>
    <w:p>
      <w:r>
        <w:t>Health Status Levels:</w:t>
      </w:r>
    </w:p>
    <w:p>
      <w:r>
        <w:t>Status Criteria:</w:t>
      </w:r>
    </w:p>
    <w:p>
      <w:r>
        <w:t>Integration:</w:t>
      </w:r>
    </w:p>
    <w:p>
      <w:r>
        <w:t>This status integrates directly with Section 44 (Constitutional Emergency Governance Framework). A Constitutional Emergency status automatically triggers the appropriate emergency protocols.</w:t>
      </w:r>
    </w:p>
    <w:p>
      <w:r>
        <w:t>What This Means in Practice:</w:t>
      </w:r>
    </w:p>
    <w:p>
      <w:r>
        <w:t>Health status is continuously monitored</w:t>
      </w:r>
    </w:p>
    <w:p>
      <w:r>
        <w:t>Status indicates constitutional compliance</w:t>
      </w:r>
    </w:p>
    <w:p>
      <w:r>
        <w:t>Status triggers appropriate action</w:t>
      </w:r>
    </w:p>
    <w:p>
      <w:r>
        <w:t>Emergency status activates Section 44</w:t>
      </w:r>
    </w:p>
    <w:p>
      <w:r>
        <w:t>Why This Matters:</w:t>
      </w:r>
    </w:p>
    <w:p>
      <w:r>
        <w:t>Status provides clear constitutional visibility</w:t>
      </w:r>
    </w:p>
    <w:p>
      <w:r>
        <w:t>Status enables proportional response</w:t>
      </w:r>
    </w:p>
    <w:p>
      <w:r>
        <w:t>Status triggers governance action</w:t>
      </w:r>
    </w:p>
    <w:p>
      <w:r>
        <w:t>Status protects constitutional integrity</w:t>
      </w:r>
    </w:p>
    <w:p>
      <w:r>
        <w:t>59.4 Metric Governance</w:t>
      </w:r>
    </w:p>
    <w:p>
      <w:r>
        <w:t>Constitutional Principle:</w:t>
      </w:r>
    </w:p>
    <w:p>
      <w:r>
        <w:t>Metrics themselves require governance. Metrics cannot be changed merely to improve results. Every metric modification requires documented rationale, independent validation, Council approval, version history, impact assessment, and backward comparability where practical.</w:t>
      </w:r>
    </w:p>
    <w:p>
      <w:r>
        <w:t>Metric Modification Requirements:</w:t>
      </w:r>
    </w:p>
    <w:p>
      <w:r>
        <w:t>Metric Modification Constraint:</w:t>
      </w:r>
    </w:p>
    <w:p>
      <w:r>
        <w:t>No metric may be modified to conceal institutional weakness, improve reported results, or reduce constitutional accountability. Metric modification shall improve measurement accuracy or constitutional relevance.</w:t>
      </w:r>
    </w:p>
    <w:p>
      <w:r>
        <w:t>What This Means in Practice:</w:t>
      </w:r>
    </w:p>
    <w:p>
      <w:r>
        <w:t>Metrics are governed like constitutional provisions</w:t>
      </w:r>
    </w:p>
    <w:p>
      <w:r>
        <w:t>Changes require approval</w:t>
      </w:r>
    </w:p>
    <w:p>
      <w:r>
        <w:t>History is preserved</w:t>
      </w:r>
    </w:p>
    <w:p>
      <w:r>
        <w:t>Comparability is maintained</w:t>
      </w:r>
    </w:p>
    <w:p>
      <w:r>
        <w:t>Integrity is protected</w:t>
      </w:r>
    </w:p>
    <w:p>
      <w:r>
        <w:t>Why This Matters:</w:t>
      </w:r>
    </w:p>
    <w:p>
      <w:r>
        <w:t>Metric integrity is essential to institutional trust</w:t>
      </w:r>
    </w:p>
    <w:p>
      <w:r>
        <w:t>Arbitrary changes undermine credibility</w:t>
      </w:r>
    </w:p>
    <w:p>
      <w:r>
        <w:t>Version history enables understanding</w:t>
      </w:r>
    </w:p>
    <w:p>
      <w:r>
        <w:t>Approval ensures accountability</w:t>
      </w:r>
    </w:p>
    <w:p>
      <w:r>
        <w:t>59.5 Reserve Health Score</w:t>
      </w:r>
    </w:p>
    <w:p>
      <w:r>
        <w:t>Constitutional Principle:</w:t>
      </w:r>
    </w:p>
    <w:p>
      <w:r>
        <w:t>Reserve health is the foundation of constitutional solvency. Reserve metrics shall provide comprehensive visibility into reserve adequacy, quality, and risk.</w:t>
      </w:r>
    </w:p>
    <w:p>
      <w:r>
        <w:t>Reserve Health Components:</w:t>
      </w:r>
    </w:p>
    <w:p>
      <w:r>
        <w:t>Reserve Health Score Calculation:</w:t>
      </w:r>
    </w:p>
    <w:p>
      <w:r>
        <w:t>text</w:t>
      </w:r>
    </w:p>
    <w:p>
      <w:r>
        <w:t>Reserve Health Score = (Reserve Ratio × 0.25) + (Reserve Quality × 0.15) +</w:t>
      </w:r>
    </w:p>
    <w:p>
      <w:r>
        <w:t>(Reserve Concentration × 0.10) + (Jurisdiction Concentration × 0.10) +</w:t>
      </w:r>
    </w:p>
    <w:p>
      <w:r>
        <w:t>(Bullion Allocation × 0.05) + (Stablecoin Exposure × 0.05) +</w:t>
      </w:r>
    </w:p>
    <w:p>
      <w:r>
        <w:t>(Counterparty Concentration × 0.10) + (Reserve Liquidity × 0.10) +</w:t>
      </w:r>
    </w:p>
    <w:p>
      <w:r>
        <w:t>(Haircut Buffer × 0.05) + (Adjusted Reserve Margin × 0.05)</w:t>
      </w:r>
    </w:p>
    <w:p>
      <w:r>
        <w:t>Interpretation:</w:t>
      </w:r>
    </w:p>
    <w:p>
      <w:r>
        <w:t>What This Means in Practice:</w:t>
      </w:r>
    </w:p>
    <w:p>
      <w:r>
        <w:t>Reserve health is comprehensively measured</w:t>
      </w:r>
    </w:p>
    <w:p>
      <w:r>
        <w:t>Multiple components are assessed</w:t>
      </w:r>
    </w:p>
    <w:p>
      <w:r>
        <w:t>Scores are interpreted with actions</w:t>
      </w:r>
    </w:p>
    <w:p>
      <w:r>
        <w:t>Reserve health is continuously monitored</w:t>
      </w:r>
    </w:p>
    <w:p>
      <w:r>
        <w:t>59.6 Liquidity Health Score</w:t>
      </w:r>
    </w:p>
    <w:p>
      <w:r>
        <w:t>Constitutional Principle:</w:t>
      </w:r>
    </w:p>
    <w:p>
      <w:r>
        <w:t>Liquidity health ensures the Institution can meet redemption obligations. Liquidity metrics shall provide comprehensive visibility into liquidity adequacy and risk.</w:t>
      </w:r>
    </w:p>
    <w:p>
      <w:r>
        <w:t>Liquidity Health Components:</w:t>
      </w:r>
    </w:p>
    <w:p>
      <w:r>
        <w:t>Liquidity Health Score Calculation:</w:t>
      </w:r>
    </w:p>
    <w:p>
      <w:r>
        <w:t>text</w:t>
      </w:r>
    </w:p>
    <w:p>
      <w:r>
        <w:t>Liquidity Health Score = (LCR × 0.25) + (Time-to-Cash × 0.15) +</w:t>
      </w:r>
    </w:p>
    <w:p>
      <w:r>
        <w:t>(Redemption Queue × 0.10) + (Collateral Mobility × 0.10) +</w:t>
      </w:r>
    </w:p>
    <w:p>
      <w:r>
        <w:t>(Settlement Liquidity × 0.10) + (Emergency Liquidity × 0.10) +</w:t>
      </w:r>
    </w:p>
    <w:p>
      <w:r>
        <w:t>(Cross-border Liquidity × 0.05) + (Crisis Liquidity × 0.10) +</w:t>
      </w:r>
    </w:p>
    <w:p>
      <w:r>
        <w:t>(Liquidity Diversity × 0.05)</w:t>
      </w:r>
    </w:p>
    <w:p>
      <w:r>
        <w:t>Interpretation:</w:t>
      </w:r>
    </w:p>
    <w:p>
      <w:r>
        <w:t>59.7 Settlement Reliability</w:t>
      </w:r>
    </w:p>
    <w:p>
      <w:r>
        <w:t>Constitutional Principle:</w:t>
      </w:r>
    </w:p>
    <w:p>
      <w:r>
        <w:t>Settlement reliability is the core operational function. Settlement metrics shall provide comprehensive visibility into settlement performance and risk.</w:t>
      </w:r>
    </w:p>
    <w:p>
      <w:r>
        <w:t>Settlement Reliability Components:</w:t>
      </w:r>
    </w:p>
    <w:p>
      <w:r>
        <w:t>Settlement Reliability Score:</w:t>
      </w:r>
    </w:p>
    <w:p>
      <w:r>
        <w:t>text</w:t>
      </w:r>
    </w:p>
    <w:p>
      <w:r>
        <w:t>Settlement Reliability Score = (Settlement Success × 0.20) + (Finality Confidence × 0.15) +</w:t>
      </w:r>
    </w:p>
    <w:p>
      <w:r>
        <w:t>(Settlement Time × 0.15) + (Reversal Events × 0.10) +</w:t>
      </w:r>
    </w:p>
    <w:p>
      <w:r>
        <w:t>(Retry Rate × 0.10) + (Determinism × 0.10) +</w:t>
      </w:r>
    </w:p>
    <w:p>
      <w:r>
        <w:t>(Network Availability × 0.10) + (Cross-chain Availability × 0.10)</w:t>
      </w:r>
    </w:p>
    <w:p>
      <w:r>
        <w:t>59.8 Governance Quality</w:t>
      </w:r>
    </w:p>
    <w:p>
      <w:r>
        <w:t>Constitutional Principle:</w:t>
      </w:r>
    </w:p>
    <w:p>
      <w:r>
        <w:t>Governance quality determines institutional decision-making effectiveness. Governance metrics shall provide comprehensive visibility into governance performance.</w:t>
      </w:r>
    </w:p>
    <w:p>
      <w:r>
        <w:t>Governance Quality Components:</w:t>
      </w:r>
    </w:p>
    <w:p>
      <w:r>
        <w:t>Governance Quality Score:</w:t>
      </w:r>
    </w:p>
    <w:p>
      <w:r>
        <w:t>text</w:t>
      </w:r>
    </w:p>
    <w:p>
      <w:r>
        <w:t>Governance Quality Score = (Decision Quality × 0.15) + (Decision Consistency × 0.10) +</w:t>
      </w:r>
    </w:p>
    <w:p>
      <w:r>
        <w:t>(Conflict Resolution Time × 0.10) + (Attendance × 0.05) +</w:t>
      </w:r>
    </w:p>
    <w:p>
      <w:r>
        <w:t>(Voting Participation × 0.05) + (Policy Compliance × 0.15) +</w:t>
      </w:r>
    </w:p>
    <w:p>
      <w:r>
        <w:t>(Independent Review Completion × 0.10) + (Board Diversity × 0.05) +</w:t>
      </w:r>
    </w:p>
    <w:p>
      <w:r>
        <w:t>(Succession Readiness × 0.10) + (Knowledge Retention × 0.10) +</w:t>
      </w:r>
    </w:p>
    <w:p>
      <w:r>
        <w:t>(Governance Continuity × 0.05)</w:t>
      </w:r>
    </w:p>
    <w:p>
      <w:r>
        <w:t>59.9 Counterparty Exposure</w:t>
      </w:r>
    </w:p>
    <w:p>
      <w:r>
        <w:t>Constitutional Principle:</w:t>
      </w:r>
    </w:p>
    <w:p>
      <w:r>
        <w:t>Counterparty exposure shall be measured comprehensively to identify concentration, correlation, and migration risks.</w:t>
      </w:r>
    </w:p>
    <w:p>
      <w:r>
        <w:t>Counterparty Exposure Components:</w:t>
      </w:r>
    </w:p>
    <w:p>
      <w:r>
        <w:t>59.10 Operational Readiness</w:t>
      </w:r>
    </w:p>
    <w:p>
      <w:r>
        <w:t>Constitutional Principle:</w:t>
      </w:r>
    </w:p>
    <w:p>
      <w:r>
        <w:t>Operational readiness ensures the Institution can execute its constitutional functions effectively.</w:t>
      </w:r>
    </w:p>
    <w:p>
      <w:r>
        <w:t>Operational Readiness Components:</w:t>
      </w:r>
    </w:p>
    <w:p>
      <w:r>
        <w:t>59.11 Recovery Readiness</w:t>
      </w:r>
    </w:p>
    <w:p>
      <w:r>
        <w:t>Constitutional Principle:</w:t>
      </w:r>
    </w:p>
    <w:p>
      <w:r>
        <w:t>Recovery readiness ensures the Institution can survive and recover from disruption.</w:t>
      </w:r>
    </w:p>
    <w:p>
      <w:r>
        <w:t>Recovery Readiness Components:</w:t>
      </w:r>
    </w:p>
    <w:p>
      <w:r>
        <w:t>59.12 Audit Health</w:t>
      </w:r>
    </w:p>
    <w:p>
      <w:r>
        <w:t>Constitutional Principle:</w:t>
      </w:r>
    </w:p>
    <w:p>
      <w:r>
        <w:t>Audit health ensures independent verification of institutional operations.</w:t>
      </w:r>
    </w:p>
    <w:p>
      <w:r>
        <w:t>Audit Health Components:</w:t>
      </w:r>
    </w:p>
    <w:p>
      <w:r>
        <w:t>59.13 Transparency Score</w:t>
      </w:r>
    </w:p>
    <w:p>
      <w:r>
        <w:t>Constitutional Principle:</w:t>
      </w:r>
    </w:p>
    <w:p>
      <w:r>
        <w:t>Transparency is the foundation of institutional trust. The Transparency Score measures whether the Institution provides verifiable evidence of its operations.</w:t>
      </w:r>
    </w:p>
    <w:p>
      <w:r>
        <w:t>Transparency Components:</w:t>
      </w:r>
    </w:p>
    <w:p>
      <w:r>
        <w:t>Transparency Score Calculation:</w:t>
      </w:r>
    </w:p>
    <w:p>
      <w:r>
        <w:t>text</w:t>
      </w:r>
    </w:p>
    <w:p>
      <w:r>
        <w:t>Transparency Score = (Reserve Disclosure × 0.10) + (Proof Timeliness × 0.10) +</w:t>
      </w:r>
    </w:p>
    <w:p>
      <w:r>
        <w:t>(Proof Completeness × 0.15) + (Audit Publication × 0.10) +</w:t>
      </w:r>
    </w:p>
    <w:p>
      <w:r>
        <w:t>(Incident Disclosure × 0.10) + (Methodology Disclosure × 0.10) +</w:t>
      </w:r>
    </w:p>
    <w:p>
      <w:r>
        <w:t>(Version Disclosure × 0.10) + (Decision Publication × 0.15) +</w:t>
      </w:r>
    </w:p>
    <w:p>
      <w:r>
        <w:t>(Evidence Availability × 0.10)</w:t>
      </w:r>
    </w:p>
    <w:p>
      <w:r>
        <w:t>Interpretation:</w:t>
      </w:r>
    </w:p>
    <w:p>
      <w:r>
        <w:t>59.14 Dependency Health</w:t>
      </w:r>
    </w:p>
    <w:p>
      <w:r>
        <w:t>Constitutional Principle:</w:t>
      </w:r>
    </w:p>
    <w:p>
      <w:r>
        <w:t>Dependency health ensures the Institution is not exposed to excessive dependency risk.</w:t>
      </w:r>
    </w:p>
    <w:p>
      <w:r>
        <w:t>Dependency Health Components:</w:t>
      </w:r>
    </w:p>
    <w:p>
      <w:r>
        <w:t>59.15 Institutional Trust Evidence Index</w:t>
      </w:r>
    </w:p>
    <w:p>
      <w:r>
        <w:t>Constitutional Principle:</w:t>
      </w:r>
    </w:p>
    <w:p>
      <w:r>
        <w:t>Trust is earned through evidence, not declared. The Institutional Trust Evidence Index measures the objective evidence demonstrating institutional trustworthiness. This is not a "trust score" but an evidence index.</w:t>
      </w:r>
    </w:p>
    <w:p>
      <w:r>
        <w:t>Trust Evidence Components:</w:t>
      </w:r>
    </w:p>
    <w:p>
      <w:r>
        <w:t>Trust Evidence Index Calculation:</w:t>
      </w:r>
    </w:p>
    <w:p>
      <w:r>
        <w:t>text</w:t>
      </w:r>
    </w:p>
    <w:p>
      <w:r>
        <w:t>Trust Evidence Index = (Transparency × 0.15) + (Determinism × 0.10) +</w:t>
      </w:r>
    </w:p>
    <w:p>
      <w:r>
        <w:t>(Proof Frequency × 0.10) + (Audit Success × 0.10) +</w:t>
      </w:r>
    </w:p>
    <w:p>
      <w:r>
        <w:t>(Incident Disclosure × 0.10) + (System Availability × 0.10) +</w:t>
      </w:r>
    </w:p>
    <w:p>
      <w:r>
        <w:t>(Regulatory Compliance × 0.10) + (Reserve Integrity × 0.10) +</w:t>
      </w:r>
    </w:p>
    <w:p>
      <w:r>
        <w:t>(Evidence Completeness × 0.10) + (Verification Success × 0.05)</w:t>
      </w:r>
    </w:p>
    <w:p>
      <w:r>
        <w:t>59.16 Institutional Resilience Index</w:t>
      </w:r>
    </w:p>
    <w:p>
      <w:r>
        <w:t>Constitutional Principle:</w:t>
      </w:r>
    </w:p>
    <w:p>
      <w:r>
        <w:t>Institutional resilience is the ability to survive and recover from disruption. The Institutional Resilience Index measures overall institutional resilience.</w:t>
      </w:r>
    </w:p>
    <w:p>
      <w:r>
        <w:t>Resilience Components:</w:t>
      </w:r>
    </w:p>
    <w:p>
      <w:r>
        <w:t>Resilience Index Calculation:</w:t>
      </w:r>
    </w:p>
    <w:p>
      <w:r>
        <w:t>text</w:t>
      </w:r>
    </w:p>
    <w:p>
      <w:r>
        <w:t>Institutional Resilience Index = (Operational × 0.15) + (Financial × 0.10) +</w:t>
      </w:r>
    </w:p>
    <w:p>
      <w:r>
        <w:t>(Legal × 0.10) + (Cyber × 0.15) +</w:t>
      </w:r>
    </w:p>
    <w:p>
      <w:r>
        <w:t>(Governance × 0.10) + (Technology × 0.10) +</w:t>
      </w:r>
    </w:p>
    <w:p>
      <w:r>
        <w:t>(Human × 0.10) + (Dependency × 0.10) +</w:t>
      </w:r>
    </w:p>
    <w:p>
      <w:r>
        <w:t>(Recovery × 0.10)</w:t>
      </w:r>
    </w:p>
    <w:p>
      <w:r>
        <w:t>59.17 Technology Sustainability Index</w:t>
      </w:r>
    </w:p>
    <w:p>
      <w:r>
        <w:t>Constitutional Principle:</w:t>
      </w:r>
    </w:p>
    <w:p>
      <w:r>
        <w:t>Technology sustainability ensures the Institution's technology remains viable and maintainable over the long term.</w:t>
      </w:r>
    </w:p>
    <w:p>
      <w:r>
        <w:t>Technology Sustainability Components:</w:t>
      </w:r>
    </w:p>
    <w:p>
      <w:r>
        <w:t>59.18 Human Capital Continuity Index</w:t>
      </w:r>
    </w:p>
    <w:p>
      <w:r>
        <w:t>Constitutional Principle:</w:t>
      </w:r>
    </w:p>
    <w:p>
      <w:r>
        <w:t>Human capital continuity ensures institutional knowledge and competence are preserved across generations.</w:t>
      </w:r>
    </w:p>
    <w:p>
      <w:r>
        <w:t>Human Capital Continuity Components:</w:t>
      </w:r>
    </w:p>
    <w:p>
      <w:r>
        <w:t>59.19 Legal &amp; Regulatory Readiness Index</w:t>
      </w:r>
    </w:p>
    <w:p>
      <w:r>
        <w:t>Constitutional Principle:</w:t>
      </w:r>
    </w:p>
    <w:p>
      <w:r>
        <w:t>Legal and regulatory readiness ensures the Institution maintains compliance and anticipates legal changes.</w:t>
      </w:r>
    </w:p>
    <w:p>
      <w:r>
        <w:t>Legal &amp; Regulatory Readiness Components:</w:t>
      </w:r>
    </w:p>
    <w:p>
      <w:r>
        <w:t>59.20 Oracle Integrity Index</w:t>
      </w:r>
    </w:p>
    <w:p>
      <w:r>
        <w:t>Constitutional Principle:</w:t>
      </w:r>
    </w:p>
    <w:p>
      <w:r>
        <w:t>Oracle integrity ensures the data upon which the Institution relies is reliable and tamper-resistant.</w:t>
      </w:r>
    </w:p>
    <w:p>
      <w:r>
        <w:t>Oracle Integrity Components:</w:t>
      </w:r>
    </w:p>
    <w:p>
      <w:r>
        <w:t>59.21 Metric Relationships</w:t>
      </w:r>
    </w:p>
    <w:p>
      <w:r>
        <w:t>Constitutional Principle:</w:t>
      </w:r>
    </w:p>
    <w:p>
      <w:r>
        <w:t>Metrics do not exist in isolation. Relationships between metrics shall be understood and monitored.</w:t>
      </w:r>
    </w:p>
    <w:p>
      <w:r>
        <w:t>Relationship Examples:</w:t>
      </w:r>
    </w:p>
    <w:p>
      <w:r>
        <w:t>text</w:t>
      </w:r>
    </w:p>
    <w:p>
      <w:r>
        <w:t>Reserve Health</w:t>
      </w:r>
    </w:p>
    <w:p>
      <w:r>
        <w:t>│</w:t>
      </w:r>
    </w:p>
    <w:p>
      <w:r>
        <w:t>▼</w:t>
      </w:r>
    </w:p>
    <w:p>
      <w:r>
        <w:t>Liquidity Health</w:t>
      </w:r>
    </w:p>
    <w:p>
      <w:r>
        <w:t>│</w:t>
      </w:r>
    </w:p>
    <w:p>
      <w:r>
        <w:t>▼</w:t>
      </w:r>
    </w:p>
    <w:p>
      <w:r>
        <w:t>Settlement Reliability</w:t>
      </w:r>
    </w:p>
    <w:p>
      <w:r>
        <w:t>│</w:t>
      </w:r>
    </w:p>
    <w:p>
      <w:r>
        <w:t>▼</w:t>
      </w:r>
    </w:p>
    <w:p>
      <w:r>
        <w:t>Institutional Trust Evidence Index</w:t>
      </w:r>
    </w:p>
    <w:p>
      <w:r>
        <w:t>│</w:t>
      </w:r>
    </w:p>
    <w:p>
      <w:r>
        <w:t>▼</w:t>
      </w:r>
    </w:p>
    <w:p>
      <w:r>
        <w:t>Institutional Adoption</w:t>
      </w:r>
    </w:p>
    <w:p>
      <w:r>
        <w:t>Relationship Monitoring:</w:t>
      </w:r>
    </w:p>
    <w:p>
      <w:r>
        <w:t>59.22 Metric Validation</w:t>
      </w:r>
    </w:p>
    <w:p>
      <w:r>
        <w:t>Constitutional Principle:</w:t>
      </w:r>
    </w:p>
    <w:p>
      <w:r>
        <w:t>Every metric shall be validated through documented calculation, inputs, data sources, frequency, owner, independent verification, public disclosure, and historical retention.</w:t>
      </w:r>
    </w:p>
    <w:p>
      <w:r>
        <w:t>Metric Validation Requirements:</w:t>
      </w:r>
    </w:p>
    <w:p>
      <w:r>
        <w:t>Metric Validation Example:</w:t>
      </w:r>
    </w:p>
    <w:p>
      <w:r>
        <w:t>59.23 Threshold Actions</w:t>
      </w:r>
    </w:p>
    <w:p>
      <w:r>
        <w:t>Constitutional Principle:</w:t>
      </w:r>
    </w:p>
    <w:p>
      <w:r>
        <w:t>Metric thresholds shall trigger defined constitutional actions.</w:t>
      </w:r>
    </w:p>
    <w:p>
      <w:r>
        <w:t>Threshold Action Framework:</w:t>
      </w:r>
    </w:p>
    <w:p>
      <w:r>
        <w:t>Integration:</w:t>
      </w:r>
    </w:p>
    <w:p>
      <w:r>
        <w:t>This framework integrates directly with Section 44 (Constitutional Emergency Governance Framework). Scores below 50 automatically trigger the appropriate emergency protocols.</w:t>
      </w:r>
    </w:p>
    <w:p>
      <w:r>
        <w:t>59.24 Trend Analysis</w:t>
      </w:r>
    </w:p>
    <w:p>
      <w:r>
        <w:t>Constitutional Principle:</w:t>
      </w:r>
    </w:p>
    <w:p>
      <w:r>
        <w:t>Trend matters more than snapshots. Metrics shall be tracked over time to identify deterioration or improvement.</w:t>
      </w:r>
    </w:p>
    <w:p>
      <w:r>
        <w:t>Trend Periods:</w:t>
      </w:r>
    </w:p>
    <w:p>
      <w:r>
        <w:t>Trend Interpretation:</w:t>
      </w:r>
    </w:p>
    <w:p>
      <w:r>
        <w:t>59.25 Institutional Health Dashboard</w:t>
      </w:r>
    </w:p>
    <w:p>
      <w:r>
        <w:t>Constitutional Principle:</w:t>
      </w:r>
    </w:p>
    <w:p>
      <w:r>
        <w:t>The Institutional Health Dashboard provides a single comprehensive view of constitutional institutional health.</w:t>
      </w:r>
    </w:p>
    <w:p>
      <w:r>
        <w:t>Dashboard:</w:t>
      </w:r>
    </w:p>
    <w:p>
      <w:r>
        <w:t>Dashboard Status Indicators:</w:t>
      </w:r>
    </w:p>
    <w:p>
      <w:r>
        <w:t>Overall Constitutional Health:</w:t>
      </w:r>
    </w:p>
    <w:p>
      <w:r>
        <w:t>59.26 Section Verification</w:t>
      </w:r>
    </w:p>
    <w:p>
      <w:r>
        <w:t>text</w:t>
      </w:r>
    </w:p>
    <w:p>
      <w:r>
        <w:t>✓ Section renamed to Constitutional Institutional Health &amp; Performance Framework</w:t>
      </w:r>
    </w:p>
    <w:p>
      <w:r>
        <w:t>✓ Constitutional Principle established</w:t>
      </w:r>
    </w:p>
    <w:p>
      <w:r>
        <w:t>✓ Metric Hierarchy defined (Layers A-D)</w:t>
      </w:r>
    </w:p>
    <w:p>
      <w:r>
        <w:t>✓ Constitutional Health Status defined</w:t>
      </w:r>
    </w:p>
    <w:p>
      <w:r>
        <w:t>✓ Metric Governance established</w:t>
      </w:r>
    </w:p>
    <w:p>
      <w:r>
        <w:t>✓ Reserve Health Score defined</w:t>
      </w:r>
    </w:p>
    <w:p>
      <w:r>
        <w:t>✓ Liquidity Health Score defined</w:t>
      </w:r>
    </w:p>
    <w:p>
      <w:r>
        <w:t>✓ Settlement Reliability defined</w:t>
      </w:r>
    </w:p>
    <w:p>
      <w:r>
        <w:t>✓ Governance Quality defined</w:t>
      </w:r>
    </w:p>
    <w:p>
      <w:r>
        <w:t>✓ Counterparty Exposure defined</w:t>
      </w:r>
    </w:p>
    <w:p>
      <w:r>
        <w:t>✓ Operational Readiness defined</w:t>
      </w:r>
    </w:p>
    <w:p>
      <w:r>
        <w:t>✓ Recovery Readiness defined</w:t>
      </w:r>
    </w:p>
    <w:p>
      <w:r>
        <w:t>✓ Audit Health defined</w:t>
      </w:r>
    </w:p>
    <w:p>
      <w:r>
        <w:t>✓ Transparency Score defined</w:t>
      </w:r>
    </w:p>
    <w:p>
      <w:r>
        <w:t>✓ Dependency Health defined</w:t>
      </w:r>
    </w:p>
    <w:p>
      <w:r>
        <w:t>✓ Institutional Trust Evidence Index defined</w:t>
      </w:r>
    </w:p>
    <w:p>
      <w:r>
        <w:t>✓ Institutional Resilience Index defined</w:t>
      </w:r>
    </w:p>
    <w:p>
      <w:r>
        <w:t>✓ Technology Sustainability Index defined</w:t>
      </w:r>
    </w:p>
    <w:p>
      <w:r>
        <w:t>✓ Human Capital Continuity Index defined</w:t>
      </w:r>
    </w:p>
    <w:p>
      <w:r>
        <w:t>✓ Legal &amp; Regulatory Readiness Index defined</w:t>
      </w:r>
    </w:p>
    <w:p>
      <w:r>
        <w:t>✓ Oracle Integrity Index defined</w:t>
      </w:r>
    </w:p>
    <w:p>
      <w:r>
        <w:t>✓ Metric Relationships defined</w:t>
      </w:r>
    </w:p>
    <w:p>
      <w:r>
        <w:t>✓ Metric Validation established</w:t>
      </w:r>
    </w:p>
    <w:p>
      <w:r>
        <w:t>✓ Threshold Actions defined</w:t>
      </w:r>
    </w:p>
    <w:p>
      <w:r>
        <w:t>✓ Trend Analysis established</w:t>
      </w:r>
    </w:p>
    <w:p>
      <w:r>
        <w:t>✓ Institutional Health Dashboard defined</w:t>
      </w:r>
    </w:p>
    <w:p>
      <w:r>
        <w:t>✓ No metric may be optimized at expense of constitutional integrity</w:t>
      </w:r>
    </w:p>
    <w:p>
      <w:r>
        <w:t>✓ Metrics are evidence, not targets</w:t>
      </w:r>
    </w:p>
    <w:p>
      <w:r>
        <w:t>✓ Hierarchy prevents gaming</w:t>
      </w:r>
    </w:p>
    <w:p>
      <w:r>
        <w:t>✓ Dashboard provides comprehensive health overview</w:t>
      </w:r>
    </w:p>
    <w:p>
      <w:r>
        <w:t>59.27 Related Sections</w:t>
      </w:r>
    </w:p>
    <w:p>
      <w:r>
        <w:t>[END OF SECTION 59 — CONSTITUTIONAL INSTITUTIONAL HEALTH &amp; PERFORMANCE FRAMEWORK]</w:t>
      </w:r>
    </w:p>
    <w:p>
      <w:r>
        <w:t>SECTION 60 — CONSTITUTIONAL RISK TAXONOMY (FINAL INSTITUTIONAL VERSION)</w:t>
      </w:r>
    </w:p>
    <w:p>
      <w:r>
        <w:t>60.1 Constitutional Principle</w:t>
      </w:r>
    </w:p>
    <w:p>
      <w:r>
        <w:t>Constitutional Principle:</w:t>
      </w:r>
    </w:p>
    <w:p>
      <w:r>
        <w:t>Every institutional risk shall be systematically identified, classified, measured, governed, monitored, documented, and periodically reassessed through a permanent Constitutional Risk Taxonomy.</w:t>
      </w:r>
    </w:p>
    <w:p>
      <w:r>
        <w:t>The Constitutional Risk Taxonomy provides the common language, governance framework, escalation model, and decision architecture through which all institutional risks are managed.</w:t>
      </w:r>
    </w:p>
    <w:p>
      <w:r>
        <w:t>No institutional activity may exist outside the Constitutional Risk Taxonomy. Risk management is continuous rather than periodic. The objective is not the elimination of risk. The objective is constitutional resilience.</w:t>
      </w:r>
    </w:p>
    <w:p>
      <w:r>
        <w:t>What This Means in Practice:</w:t>
      </w:r>
    </w:p>
    <w:p>
      <w:r>
        <w:t>All risks are systematically identified and classified</w:t>
      </w:r>
    </w:p>
    <w:p>
      <w:r>
        <w:t>Risks are measured and governed through a common framework</w:t>
      </w:r>
    </w:p>
    <w:p>
      <w:r>
        <w:t>Risk management is continuous and proactive</w:t>
      </w:r>
    </w:p>
    <w:p>
      <w:r>
        <w:t>The objective is resilience, not risk elimination</w:t>
      </w:r>
    </w:p>
    <w:p>
      <w:r>
        <w:t>Why This Matters:</w:t>
      </w:r>
    </w:p>
    <w:p>
      <w:r>
        <w:t>Without a taxonomy, risks are managed inconsistently</w:t>
      </w:r>
    </w:p>
    <w:p>
      <w:r>
        <w:t>Without a framework, emerging risks go undetected</w:t>
      </w:r>
    </w:p>
    <w:p>
      <w:r>
        <w:t>Without governance, risks escalate without response</w:t>
      </w:r>
    </w:p>
    <w:p>
      <w:r>
        <w:t>Without resilience, the Institution is vulnerable</w:t>
      </w:r>
    </w:p>
    <w:p>
      <w:r>
        <w:t>Relation to Layer 0:</w:t>
      </w:r>
    </w:p>
    <w:p>
      <w:r>
        <w:t>This Section implements the Evidence Doctrine (0.5), Dependency Doctrine (0.6), and Trust Doctrine (0.3) established in Layer 0. All risk management requirements derive their constitutional authority from Layer 0.</w:t>
      </w:r>
    </w:p>
    <w:p>
      <w:r>
        <w:t>60.2 Constitutional Objectives</w:t>
      </w:r>
    </w:p>
    <w:p>
      <w:r>
        <w:t>Constitutional Principle:</w:t>
      </w:r>
    </w:p>
    <w:p>
      <w:r>
        <w:t>The Risk Taxonomy exists to preserve constitutional integrity and institutional resilience through systematic risk management.</w:t>
      </w:r>
    </w:p>
    <w:p>
      <w:r>
        <w:t>Objectives:</w:t>
      </w:r>
    </w:p>
    <w:p>
      <w:r>
        <w:t>What This Means in Practice:</w:t>
      </w:r>
    </w:p>
    <w:p>
      <w:r>
        <w:t>All risk management serves constitutional preservation</w:t>
      </w:r>
    </w:p>
    <w:p>
      <w:r>
        <w:t>Solvency and redeemability are protected</w:t>
      </w:r>
    </w:p>
    <w:p>
      <w:r>
        <w:t>Neutrality is maintained</w:t>
      </w:r>
    </w:p>
    <w:p>
      <w:r>
        <w:t>Emerging threats are detected early</w:t>
      </w:r>
    </w:p>
    <w:p>
      <w:r>
        <w:t>Responses are proportional to risk</w:t>
      </w:r>
    </w:p>
    <w:p>
      <w:r>
        <w:t>Why This Matters:</w:t>
      </w:r>
    </w:p>
    <w:p>
      <w:r>
        <w:t>Objectives guide risk management activity</w:t>
      </w:r>
    </w:p>
    <w:p>
      <w:r>
        <w:t>Constitutional preservation is the primary goal</w:t>
      </w:r>
    </w:p>
    <w:p>
      <w:r>
        <w:t>Proportional responses prevent over/under reaction</w:t>
      </w:r>
    </w:p>
    <w:p>
      <w:r>
        <w:t>Continuous improvement strengthens resilience</w:t>
      </w:r>
    </w:p>
    <w:p>
      <w:r>
        <w:t>60.3 Constitutional Risk Classification</w:t>
      </w:r>
    </w:p>
    <w:p>
      <w:r>
        <w:t>Constitutional Principle:</w:t>
      </w:r>
    </w:p>
    <w:p>
      <w:r>
        <w:t>Every identified risk shall belong to one or more constitutional domains. Comprehensive classification ensures no risk is overlooked.</w:t>
      </w:r>
    </w:p>
    <w:p>
      <w:r>
        <w:t>Risk Domains:</w:t>
      </w:r>
    </w:p>
    <w:p>
      <w:r>
        <w:t>What This Means in Practice:</w:t>
      </w:r>
    </w:p>
    <w:p>
      <w:r>
        <w:t>All risks are classified by domain</w:t>
      </w:r>
    </w:p>
    <w:p>
      <w:r>
        <w:t>Classification enables systematic management</w:t>
      </w:r>
    </w:p>
    <w:p>
      <w:r>
        <w:t>Comprehensive coverage prevents oversight</w:t>
      </w:r>
    </w:p>
    <w:p>
      <w:r>
        <w:t>Domains are reviewed and updated</w:t>
      </w:r>
    </w:p>
    <w:p>
      <w:r>
        <w:t>60.4 Risk Classification Dimensions</w:t>
      </w:r>
    </w:p>
    <w:p>
      <w:r>
        <w:t>Constitutional Principle:</w:t>
      </w:r>
    </w:p>
    <w:p>
      <w:r>
        <w:t>Every risk shall be evaluated using standardized dimensions to ensure consistent assessment across all risk types.</w:t>
      </w:r>
    </w:p>
    <w:p>
      <w:r>
        <w:t>Risk Dimensions:</w:t>
      </w:r>
    </w:p>
    <w:p>
      <w:r>
        <w:t>Dimension Application:</w:t>
      </w:r>
    </w:p>
    <w:p>
      <w:r>
        <w:t>Each risk shall be scored on each dimension using a standardized scale. Dimension scores shall be documented in the Constitutional Risk Register.</w:t>
      </w:r>
    </w:p>
    <w:p>
      <w:r>
        <w:t>What This Means in Practice:</w:t>
      </w:r>
    </w:p>
    <w:p>
      <w:r>
        <w:t>Risks are evaluated across standardized dimensions</w:t>
      </w:r>
    </w:p>
    <w:p>
      <w:r>
        <w:t>Dimensions provide consistent assessment</w:t>
      </w:r>
    </w:p>
    <w:p>
      <w:r>
        <w:t>Scores are documented and tracked</w:t>
      </w:r>
    </w:p>
    <w:p>
      <w:r>
        <w:t>Changes in dimensions trigger review</w:t>
      </w:r>
    </w:p>
    <w:p>
      <w:r>
        <w:t>Why This Matters:</w:t>
      </w:r>
    </w:p>
    <w:p>
      <w:r>
        <w:t>Standardized dimensions enable consistent assessment</w:t>
      </w:r>
    </w:p>
    <w:p>
      <w:r>
        <w:t>Multiple dimensions provide comprehensive evaluation</w:t>
      </w:r>
    </w:p>
    <w:p>
      <w:r>
        <w:t>Scoring enables comparison</w:t>
      </w:r>
    </w:p>
    <w:p>
      <w:r>
        <w:t>Tracking enables trend analysis</w:t>
      </w:r>
    </w:p>
    <w:p>
      <w:r>
        <w:t>60.5 Constitutional Risk Levels</w:t>
      </w:r>
    </w:p>
    <w:p>
      <w:r>
        <w:t>Constitutional Principle:</w:t>
      </w:r>
    </w:p>
    <w:p>
      <w:r>
        <w:t>Every risk shall receive a Constitutional Risk Level indicating its severity and required response.</w:t>
      </w:r>
    </w:p>
    <w:p>
      <w:r>
        <w:t>Risk Levels:</w:t>
      </w:r>
    </w:p>
    <w:p>
      <w:r>
        <w:t>Existential Risk Definition:</w:t>
      </w:r>
    </w:p>
    <w:p>
      <w:r>
        <w:t>Existential risks threaten one or more Constitutional Invariants. Existential risks require immediate escalation to the Council and activation of appropriate emergency protocols.</w:t>
      </w:r>
    </w:p>
    <w:p>
      <w:r>
        <w:t>What This Means in Practice:</w:t>
      </w:r>
    </w:p>
    <w:p>
      <w:r>
        <w:t>Risks are assigned a severity level</w:t>
      </w:r>
    </w:p>
    <w:p>
      <w:r>
        <w:t>Level determines required action</w:t>
      </w:r>
    </w:p>
    <w:p>
      <w:r>
        <w:t>Existential risks trigger emergency protocols</w:t>
      </w:r>
    </w:p>
    <w:p>
      <w:r>
        <w:t>Levels are reviewed and updated</w:t>
      </w:r>
    </w:p>
    <w:p>
      <w:r>
        <w:t>60.6 Risk Appetite Framework</w:t>
      </w:r>
    </w:p>
    <w:p>
      <w:r>
        <w:t>Constitutional Principle:</w:t>
      </w:r>
    </w:p>
    <w:p>
      <w:r>
        <w:t>The Institution recognizes that different categories of risk require different constitutional tolerances. Risk appetite shall be explicitly defined for each risk category.</w:t>
      </w:r>
    </w:p>
    <w:p>
      <w:r>
        <w:t>Risk Appetite by Category:</w:t>
      </w:r>
    </w:p>
    <w:p>
      <w:r>
        <w:t>Appetite Application:</w:t>
      </w:r>
    </w:p>
    <w:p>
      <w:r>
        <w:t>Risk appetite shall guide risk-taking decisions. Activities exceeding stated appetite shall be prohibited unless specifically authorized through constitutional governance.</w:t>
      </w:r>
    </w:p>
    <w:p>
      <w:r>
        <w:t>What This Means in Practice:</w:t>
      </w:r>
    </w:p>
    <w:p>
      <w:r>
        <w:t>Risk appetite is explicitly defined</w:t>
      </w:r>
    </w:p>
    <w:p>
      <w:r>
        <w:t>Different categories have different tolerances</w:t>
      </w:r>
    </w:p>
    <w:p>
      <w:r>
        <w:t>Activities must align with appetite</w:t>
      </w:r>
    </w:p>
    <w:p>
      <w:r>
        <w:t>Exceptions require governance approval</w:t>
      </w:r>
    </w:p>
    <w:p>
      <w:r>
        <w:t>Why This Matters:</w:t>
      </w:r>
    </w:p>
    <w:p>
      <w:r>
        <w:t>Risk appetite guides decision-making</w:t>
      </w:r>
    </w:p>
    <w:p>
      <w:r>
        <w:t>Explicit tolerances prevent inconsistency</w:t>
      </w:r>
    </w:p>
    <w:p>
      <w:r>
        <w:t>Different categories require different treatment</w:t>
      </w:r>
    </w:p>
    <w:p>
      <w:r>
        <w:t>Governance ensures exceptions are controlled</w:t>
      </w:r>
    </w:p>
    <w:p>
      <w:r>
        <w:t>60.7 Risk Response Strategies</w:t>
      </w:r>
    </w:p>
    <w:p>
      <w:r>
        <w:t>Constitutional Principle:</w:t>
      </w:r>
    </w:p>
    <w:p>
      <w:r>
        <w:t>Approved constitutional responses to identified risks shall be selected from a defined set of strategies.</w:t>
      </w:r>
    </w:p>
    <w:p>
      <w:r>
        <w:t>Response Strategies:</w:t>
      </w:r>
    </w:p>
    <w:p>
      <w:r>
        <w:t>Response Selection:</w:t>
      </w:r>
    </w:p>
    <w:p>
      <w:r>
        <w:t>The appropriate response shall be selected based on risk level, constitutional criticality, and cost-effectiveness. Response selection shall be documented in the Constitutional Risk Register.</w:t>
      </w:r>
    </w:p>
    <w:p>
      <w:r>
        <w:t>What This Means in Practice:</w:t>
      </w:r>
    </w:p>
    <w:p>
      <w:r>
        <w:t>Multiple response strategies are available</w:t>
      </w:r>
    </w:p>
    <w:p>
      <w:r>
        <w:t>Selection is based on risk characteristics</w:t>
      </w:r>
    </w:p>
    <w:p>
      <w:r>
        <w:t>Responses are documented</w:t>
      </w:r>
    </w:p>
    <w:p>
      <w:r>
        <w:t>Effectiveness is monitored</w:t>
      </w:r>
    </w:p>
    <w:p>
      <w:r>
        <w:t>60.8 Risk Ownership</w:t>
      </w:r>
    </w:p>
    <w:p>
      <w:r>
        <w:t>Constitutional Principle:</w:t>
      </w:r>
    </w:p>
    <w:p>
      <w:r>
        <w:t>Every constitutional risk shall have clearly defined ownership and accountability.</w:t>
      </w:r>
    </w:p>
    <w:p>
      <w:r>
        <w:t>Ownership Requirements:</w:t>
      </w:r>
    </w:p>
    <w:p>
      <w:r>
        <w:t>Ownership Assignment:</w:t>
      </w:r>
    </w:p>
    <w:p>
      <w:r>
        <w:t>What This Means in Practice:</w:t>
      </w:r>
    </w:p>
    <w:p>
      <w:r>
        <w:t>Every risk has an owner</w:t>
      </w:r>
    </w:p>
    <w:p>
      <w:r>
        <w:t>Owners are accountable</w:t>
      </w:r>
    </w:p>
    <w:p>
      <w:r>
        <w:t>Oversight ensures quality</w:t>
      </w:r>
    </w:p>
    <w:p>
      <w:r>
        <w:t>Escalation paths are defined</w:t>
      </w:r>
    </w:p>
    <w:p>
      <w:r>
        <w:t>60.9 Risk Escalation Framework</w:t>
      </w:r>
    </w:p>
    <w:p>
      <w:r>
        <w:t>Constitutional Principle:</w:t>
      </w:r>
    </w:p>
    <w:p>
      <w:r>
        <w:t>Every risk shall include predefined escalation thresholds. Escalation shall occur automatically whenever predefined thresholds are exceeded.</w:t>
      </w:r>
    </w:p>
    <w:p>
      <w:r>
        <w:t>Escalation Hierarchy:</w:t>
      </w:r>
    </w:p>
    <w:p>
      <w:r>
        <w:t>text</w:t>
      </w:r>
    </w:p>
    <w:p>
      <w:r>
        <w:t>Level 1 → Operational Team</w:t>
      </w:r>
    </w:p>
    <w:p>
      <w:r>
        <w:t>│</w:t>
      </w:r>
    </w:p>
    <w:p>
      <w:r>
        <w:t>▼</w:t>
      </w:r>
    </w:p>
    <w:p>
      <w:r>
        <w:t>Level 2 → Committee</w:t>
      </w:r>
    </w:p>
    <w:p>
      <w:r>
        <w:t>│</w:t>
      </w:r>
    </w:p>
    <w:p>
      <w:r>
        <w:t>▼</w:t>
      </w:r>
    </w:p>
    <w:p>
      <w:r>
        <w:t>Level 3 → Executive Leadership</w:t>
      </w:r>
    </w:p>
    <w:p>
      <w:r>
        <w:t>│</w:t>
      </w:r>
    </w:p>
    <w:p>
      <w:r>
        <w:t>▼</w:t>
      </w:r>
    </w:p>
    <w:p>
      <w:r>
        <w:t>Level 4 → Risk Committee</w:t>
      </w:r>
    </w:p>
    <w:p>
      <w:r>
        <w:t>│</w:t>
      </w:r>
    </w:p>
    <w:p>
      <w:r>
        <w:t>▼</w:t>
      </w:r>
    </w:p>
    <w:p>
      <w:r>
        <w:t>Level 5 → Constitutional Council</w:t>
      </w:r>
    </w:p>
    <w:p>
      <w:r>
        <w:t>│</w:t>
      </w:r>
    </w:p>
    <w:p>
      <w:r>
        <w:t>▼</w:t>
      </w:r>
    </w:p>
    <w:p>
      <w:r>
        <w:t>Level 6 → Emergency Governance</w:t>
      </w:r>
    </w:p>
    <w:p>
      <w:r>
        <w:t>│</w:t>
      </w:r>
    </w:p>
    <w:p>
      <w:r>
        <w:t>▼</w:t>
      </w:r>
    </w:p>
    <w:p>
      <w:r>
        <w:t>Level 7 → Constitutional Crisis Procedures</w:t>
      </w:r>
    </w:p>
    <w:p>
      <w:r>
        <w:t>Escalation Triggers:</w:t>
      </w:r>
    </w:p>
    <w:p>
      <w:r>
        <w:t>What This Means in Practice:</w:t>
      </w:r>
    </w:p>
    <w:p>
      <w:r>
        <w:t>Escalation is automatic based on triggers</w:t>
      </w:r>
    </w:p>
    <w:p>
      <w:r>
        <w:t>Each level has defined authority</w:t>
      </w:r>
    </w:p>
    <w:p>
      <w:r>
        <w:t>Existential risks escalate immediately</w:t>
      </w:r>
    </w:p>
    <w:p>
      <w:r>
        <w:t>Timelines are defined</w:t>
      </w:r>
    </w:p>
    <w:p>
      <w:r>
        <w:t>60.10 Emerging Risk Management</w:t>
      </w:r>
    </w:p>
    <w:p>
      <w:r>
        <w:t>Constitutional Principle:</w:t>
      </w:r>
    </w:p>
    <w:p>
      <w:r>
        <w:t>The Institution shall continuously identify emerging risks before they become material threats.</w:t>
      </w:r>
    </w:p>
    <w:p>
      <w:r>
        <w:t>Emerging Risk Sources:</w:t>
      </w:r>
    </w:p>
    <w:p>
      <w:r>
        <w:t>Emerging Risk Process:</w:t>
      </w:r>
    </w:p>
    <w:p>
      <w:r>
        <w:t>What This Means in Practice:</w:t>
      </w:r>
    </w:p>
    <w:p>
      <w:r>
        <w:t>Emerging risks are continuously identified</w:t>
      </w:r>
    </w:p>
    <w:p>
      <w:r>
        <w:t>Sources are systematically monitored</w:t>
      </w:r>
    </w:p>
    <w:p>
      <w:r>
        <w:t>Assessment is ongoing</w:t>
      </w:r>
    </w:p>
    <w:p>
      <w:r>
        <w:t>Framework is updated</w:t>
      </w:r>
    </w:p>
    <w:p>
      <w:r>
        <w:t>60.11 Risk Interdependency Analysis</w:t>
      </w:r>
    </w:p>
    <w:p>
      <w:r>
        <w:t>Constitutional Principle:</w:t>
      </w:r>
    </w:p>
    <w:p>
      <w:r>
        <w:t>Risks rarely occur in isolation. The Institution shall maintain a continuously updated Risk Dependency Map identifying correlations and cascading failures.</w:t>
      </w:r>
    </w:p>
    <w:p>
      <w:r>
        <w:t>Interdependency Types:</w:t>
      </w:r>
    </w:p>
    <w:p>
      <w:r>
        <w:t>Risk Dependency Map Requirements:</w:t>
      </w:r>
    </w:p>
    <w:p>
      <w:r>
        <w:t>What This Means in Practice:</w:t>
      </w:r>
    </w:p>
    <w:p>
      <w:r>
        <w:t>Interdependencies are identified and mapped</w:t>
      </w:r>
    </w:p>
    <w:p>
      <w:r>
        <w:t>Cascading failures are anticipated</w:t>
      </w:r>
    </w:p>
    <w:p>
      <w:r>
        <w:t>Common-mode failures are prevented</w:t>
      </w:r>
    </w:p>
    <w:p>
      <w:r>
        <w:t>Correlations are managed</w:t>
      </w:r>
    </w:p>
    <w:p>
      <w:r>
        <w:t>60.12 Scenario Mapping</w:t>
      </w:r>
    </w:p>
    <w:p>
      <w:r>
        <w:t>Constitutional Principle:</w:t>
      </w:r>
    </w:p>
    <w:p>
      <w:r>
        <w:t>Every Critical and Existential Risk shall be mapped to predefined scenarios in the Constitutional Scenario Library.</w:t>
      </w:r>
    </w:p>
    <w:p>
      <w:r>
        <w:t>Scenario Requirements:</w:t>
      </w:r>
    </w:p>
    <w:p>
      <w:r>
        <w:t>Every scenario shall include:</w:t>
      </w:r>
    </w:p>
    <w:p>
      <w:r>
        <w:t>Scenario Mapping Process:</w:t>
      </w:r>
    </w:p>
    <w:p>
      <w:r>
        <w:t>What This Means in Practice:</w:t>
      </w:r>
    </w:p>
    <w:p>
      <w:r>
        <w:t>Risks are mapped to scenarios</w:t>
      </w:r>
    </w:p>
    <w:p>
      <w:r>
        <w:t>Scenarios are defined and tested</w:t>
      </w:r>
    </w:p>
    <w:p>
      <w:r>
        <w:t>Protections are identified</w:t>
      </w:r>
    </w:p>
    <w:p>
      <w:r>
        <w:t>Recovery is planned</w:t>
      </w:r>
    </w:p>
    <w:p>
      <w:r>
        <w:t>60.13 Quantitative Risk Indicators</w:t>
      </w:r>
    </w:p>
    <w:p>
      <w:r>
        <w:t>Constitutional Principle:</w:t>
      </w:r>
    </w:p>
    <w:p>
      <w:r>
        <w:t>Every material risk shall have measurable indicators. Thresholds shall be defined to trigger escalation before constitutional integrity is threatened.</w:t>
      </w:r>
    </w:p>
    <w:p>
      <w:r>
        <w:t>Quantitative Indicators:</w:t>
      </w:r>
    </w:p>
    <w:p>
      <w:r>
        <w:t>Threshold Application:</w:t>
      </w:r>
    </w:p>
    <w:p>
      <w:r>
        <w:t>What This Means in Practice:</w:t>
      </w:r>
    </w:p>
    <w:p>
      <w:r>
        <w:t>Risks have measurable indicators</w:t>
      </w:r>
    </w:p>
    <w:p>
      <w:r>
        <w:t>Thresholds are defined</w:t>
      </w:r>
    </w:p>
    <w:p>
      <w:r>
        <w:t>Escalation is automatic</w:t>
      </w:r>
    </w:p>
    <w:p>
      <w:r>
        <w:t>Measurement enables tracking</w:t>
      </w:r>
    </w:p>
    <w:p>
      <w:r>
        <w:t>60.14 Risk Governance</w:t>
      </w:r>
    </w:p>
    <w:p>
      <w:r>
        <w:t>Constitutional Principle:</w:t>
      </w:r>
    </w:p>
    <w:p>
      <w:r>
        <w:t>Risk governance shall be distributed across constitutional bodies with clear responsibilities.</w:t>
      </w:r>
    </w:p>
    <w:p>
      <w:r>
        <w:t>Governance Bodies:</w:t>
      </w:r>
    </w:p>
    <w:p>
      <w:r>
        <w:t>Governance Requirements:</w:t>
      </w:r>
    </w:p>
    <w:p>
      <w:r>
        <w:t>60.15 Risk Review Frequency</w:t>
      </w:r>
    </w:p>
    <w:p>
      <w:r>
        <w:t>Constitutional Principle:</w:t>
      </w:r>
    </w:p>
    <w:p>
      <w:r>
        <w:t>Risk reviews shall be risk-based rather than calendar-based. Material events shall trigger immediate reassessment regardless of schedule.</w:t>
      </w:r>
    </w:p>
    <w:p>
      <w:r>
        <w:t>Review Frequency:</w:t>
      </w:r>
    </w:p>
    <w:p>
      <w:r>
        <w:t>Reassessment Triggers:</w:t>
      </w:r>
    </w:p>
    <w:p>
      <w:r>
        <w:t>60.16 Constitutional Risk Register</w:t>
      </w:r>
    </w:p>
    <w:p>
      <w:r>
        <w:t>Constitutional Principle:</w:t>
      </w:r>
    </w:p>
    <w:p>
      <w:r>
        <w:t>The Institution shall maintain a permanent Constitutional Risk Register containing all identified risks, their assessments, controls, and status.</w:t>
      </w:r>
    </w:p>
    <w:p>
      <w:r>
        <w:t>Register Contents:</w:t>
      </w:r>
    </w:p>
    <w:p>
      <w:r>
        <w:t>Register Requirements:</w:t>
      </w:r>
    </w:p>
    <w:p>
      <w:r>
        <w:t>60.17 Risk Assurance</w:t>
      </w:r>
    </w:p>
    <w:p>
      <w:r>
        <w:t>Constitutional Principle:</w:t>
      </w:r>
    </w:p>
    <w:p>
      <w:r>
        <w:t>Risk management effectiveness shall be independently assessed through multiple assurance mechanisms.</w:t>
      </w:r>
    </w:p>
    <w:p>
      <w:r>
        <w:t>Assurance Mechanisms:</w:t>
      </w:r>
    </w:p>
    <w:p>
      <w:r>
        <w:t>Assurance Requirements:</w:t>
      </w:r>
    </w:p>
    <w:p>
      <w:r>
        <w:t>Assurance Feedback Loop:</w:t>
      </w:r>
    </w:p>
    <w:p>
      <w:r>
        <w:t>text</w:t>
      </w:r>
    </w:p>
    <w:p>
      <w:r>
        <w:t>Assurance Activity</w:t>
      </w:r>
    </w:p>
    <w:p>
      <w:r>
        <w:t>│</w:t>
      </w:r>
    </w:p>
    <w:p>
      <w:r>
        <w:t>▼</w:t>
      </w:r>
    </w:p>
    <w:p>
      <w:r>
        <w:t>Findings</w:t>
      </w:r>
    </w:p>
    <w:p>
      <w:r>
        <w:t>│</w:t>
      </w:r>
    </w:p>
    <w:p>
      <w:r>
        <w:t>▼</w:t>
      </w:r>
    </w:p>
    <w:p>
      <w:r>
        <w:t>Recommendations</w:t>
      </w:r>
    </w:p>
    <w:p>
      <w:r>
        <w:t>│</w:t>
      </w:r>
    </w:p>
    <w:p>
      <w:r>
        <w:t>▼</w:t>
      </w:r>
    </w:p>
    <w:p>
      <w:r>
        <w:t>Implementation</w:t>
      </w:r>
    </w:p>
    <w:p>
      <w:r>
        <w:t>│</w:t>
      </w:r>
    </w:p>
    <w:p>
      <w:r>
        <w:t>▼</w:t>
      </w:r>
    </w:p>
    <w:p>
      <w:r>
        <w:t>Verification</w:t>
      </w:r>
    </w:p>
    <w:p>
      <w:r>
        <w:t>│</w:t>
      </w:r>
    </w:p>
    <w:p>
      <w:r>
        <w:t>▼</w:t>
      </w:r>
    </w:p>
    <w:p>
      <w:r>
        <w:t>Continuous Improvement</w:t>
      </w:r>
    </w:p>
    <w:p>
      <w:r>
        <w:t>60.18 Constitutional Risk Verification</w:t>
      </w:r>
    </w:p>
    <w:p>
      <w:r>
        <w:t>text</w:t>
      </w:r>
    </w:p>
    <w:p>
      <w:r>
        <w:t>✓ Constitutional Principle established</w:t>
      </w:r>
    </w:p>
    <w:p>
      <w:r>
        <w:t>✓ Constitutional Objectives defined</w:t>
      </w:r>
    </w:p>
    <w:p>
      <w:r>
        <w:t>✓ Risk Domains expanded (23 domains)</w:t>
      </w:r>
    </w:p>
    <w:p>
      <w:r>
        <w:t>✓ Classification Dimensions strengthened (9 dimensions)</w:t>
      </w:r>
    </w:p>
    <w:p>
      <w:r>
        <w:t>✓ Constitutional Risk Levels established (Levels 1-7)</w:t>
      </w:r>
    </w:p>
    <w:p>
      <w:r>
        <w:t>✓ Risk Appetite Framework defined</w:t>
      </w:r>
    </w:p>
    <w:p>
      <w:r>
        <w:t>✓ Response Strategies expanded (11 strategies)</w:t>
      </w:r>
    </w:p>
    <w:p>
      <w:r>
        <w:t>✓ Risk Ownership required</w:t>
      </w:r>
    </w:p>
    <w:p>
      <w:r>
        <w:t>✓ Escalation Framework established (7 levels)</w:t>
      </w:r>
    </w:p>
    <w:p>
      <w:r>
        <w:t>✓ Emerging Risk Management established</w:t>
      </w:r>
    </w:p>
    <w:p>
      <w:r>
        <w:t>✓ Risk Interdependency Analysis required</w:t>
      </w:r>
    </w:p>
    <w:p>
      <w:r>
        <w:t>✓ Scenario Mapping integrated</w:t>
      </w:r>
    </w:p>
    <w:p>
      <w:r>
        <w:t>✓ Quantitative Risk Indicators required</w:t>
      </w:r>
    </w:p>
    <w:p>
      <w:r>
        <w:t>✓ Risk Governance established</w:t>
      </w:r>
    </w:p>
    <w:p>
      <w:r>
        <w:t>✓ Risk Review Frequency defined</w:t>
      </w:r>
    </w:p>
    <w:p>
      <w:r>
        <w:t>✓ Constitutional Risk Register required</w:t>
      </w:r>
    </w:p>
    <w:p>
      <w:r>
        <w:t>✓ Risk Assurance Framework established</w:t>
      </w:r>
    </w:p>
    <w:p>
      <w:r>
        <w:t>✓ No unmanaged risk may exist</w:t>
      </w:r>
    </w:p>
    <w:p>
      <w:r>
        <w:t>✓ Existential risks defined</w:t>
      </w:r>
    </w:p>
    <w:p>
      <w:r>
        <w:t>✓ Escalation automatic on threshold breach</w:t>
      </w:r>
    </w:p>
    <w:p>
      <w:r>
        <w:t>✓ Register immutable and auditable</w:t>
      </w:r>
    </w:p>
    <w:p>
      <w:r>
        <w:t>60.19 Related Sections</w:t>
      </w:r>
    </w:p>
    <w:p>
      <w:r>
        <w:t>[END OF SECTION 60 — CONSTITUTIONAL RISK TAXONOMY]</w:t>
      </w:r>
    </w:p>
    <w:p>
      <w:r>
        <w:t>SECTION 61 — CONSTITUTIONAL TRUST FRAMEWORK (REGENERATED — FINAL VERSION)</w:t>
      </w:r>
    </w:p>
    <w:p>
      <w:r>
        <w:t>61.1 Constitutional Principle</w:t>
      </w:r>
    </w:p>
    <w:p>
      <w:r>
        <w:t>Constitutional Principle:</w:t>
      </w:r>
    </w:p>
    <w:p>
      <w:r>
        <w:t>Institutional trust is the cumulative outcome of constitutional compliance, deterministic execution, operational integrity, independent verification, and transparent governance.</w:t>
      </w:r>
    </w:p>
    <w:p>
      <w:r>
        <w:t>Trust shall never be asserted, marketed, or presumed. Trust shall be continuously earned through objectively verifiable institutional behavior.</w:t>
      </w:r>
    </w:p>
    <w:p>
      <w:r>
        <w:t>The Institution recognizes that trust cannot be created by reputation, branding, marketing, leadership, or declarations. Trust exists only when independent observers can repeatedly verify that the Institution behaves exactly as the Constitution requires.</w:t>
      </w:r>
    </w:p>
    <w:p>
      <w:r>
        <w:t>What This Means in Practice:</w:t>
      </w:r>
    </w:p>
    <w:p>
      <w:r>
        <w:t>Trust is earned through verifiable behavior, not marketing</w:t>
      </w:r>
    </w:p>
    <w:p>
      <w:r>
        <w:t>Trust is continuous, not a one-time achievement</w:t>
      </w:r>
    </w:p>
    <w:p>
      <w:r>
        <w:t>Trust requires independent verification</w:t>
      </w:r>
    </w:p>
    <w:p>
      <w:r>
        <w:t>Trust is demonstrated through evidence</w:t>
      </w:r>
    </w:p>
    <w:p>
      <w:r>
        <w:t>Why This Matters:</w:t>
      </w:r>
    </w:p>
    <w:p>
      <w:r>
        <w:t>Without verifiable trust, the Institution is indistinguishable from any other financial product</w:t>
      </w:r>
    </w:p>
    <w:p>
      <w:r>
        <w:t>Without verifiable trust, institutions cannot rely on the settlement unit</w:t>
      </w:r>
    </w:p>
    <w:p>
      <w:r>
        <w:t>Without verifiable trust, the Institution's long-term viability is questionable</w:t>
      </w:r>
    </w:p>
    <w:p>
      <w:r>
        <w:t>Trust is the foundation of institutional legitimacy</w:t>
      </w:r>
    </w:p>
    <w:p>
      <w:r>
        <w:t>Relation to Layer 0:</w:t>
      </w:r>
    </w:p>
    <w:p>
      <w:r>
        <w:t>This Section implements the Trust Doctrine (0.3), Evidence Doctrine (0.5), and Institutional Identity (0.1) established in Layer 0. All trust requirements derive their constitutional authority from Layer 0.</w:t>
      </w:r>
    </w:p>
    <w:p>
      <w:r>
        <w:t>61.2 Constitutional Objectives</w:t>
      </w:r>
    </w:p>
    <w:p>
      <w:r>
        <w:t>Constitutional Principle:</w:t>
      </w:r>
    </w:p>
    <w:p>
      <w:r>
        <w:t>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p>
    <w:p>
      <w:r>
        <w:t>Trust shall be treated as an institutional asset requiring continuous preservation.</w:t>
      </w:r>
    </w:p>
    <w:p>
      <w:r>
        <w:t>Objectives:</w:t>
      </w:r>
    </w:p>
    <w:p>
      <w:r>
        <w:t>What This Means in Practice:</w:t>
      </w:r>
    </w:p>
    <w:p>
      <w:r>
        <w:t>Trust is an institutional asset</w:t>
      </w:r>
    </w:p>
    <w:p>
      <w:r>
        <w:t>Trust must be continuously preserved</w:t>
      </w:r>
    </w:p>
    <w:p>
      <w:r>
        <w:t>Trust requires accountability</w:t>
      </w:r>
    </w:p>
    <w:p>
      <w:r>
        <w:t>Trust enables monetary stability</w:t>
      </w:r>
    </w:p>
    <w:p>
      <w:r>
        <w:t>Why This Matters:</w:t>
      </w:r>
    </w:p>
    <w:p>
      <w:r>
        <w:t>Trust is essential to institutional function</w:t>
      </w:r>
    </w:p>
    <w:p>
      <w:r>
        <w:t>Without trust, the Institution cannot serve its purpose</w:t>
      </w:r>
    </w:p>
    <w:p>
      <w:r>
        <w:t>Accountability is the foundation of trust</w:t>
      </w:r>
    </w:p>
    <w:p>
      <w:r>
        <w:t>Evidence demonstrates trustworthiness</w:t>
      </w:r>
    </w:p>
    <w:p>
      <w:r>
        <w:t>61.3 Constitutional Trust Principles</w:t>
      </w:r>
    </w:p>
    <w:p>
      <w:r>
        <w:t>Constitutional Principle:</w:t>
      </w:r>
    </w:p>
    <w:p>
      <w:r>
        <w:t>Every trust activity shall satisfy the following principles.</w:t>
      </w:r>
    </w:p>
    <w:p>
      <w:r>
        <w:t>Principle 1 — Evidence Before Assertion</w:t>
      </w:r>
    </w:p>
    <w:p>
      <w:r>
        <w:t>Every institutional claim shall be supported by independently verifiable evidence. Assertions without evidence possess no constitutional authority.</w:t>
      </w:r>
    </w:p>
    <w:p>
      <w:r>
        <w:t>Principle 2 — Deterministic Behaviour</w:t>
      </w:r>
    </w:p>
    <w:p>
      <w:r>
        <w:t>Equivalent inputs shall always produce equivalent institutional outcomes. Predictability is a constitutional obligation.</w:t>
      </w:r>
    </w:p>
    <w:p>
      <w:r>
        <w:t>Principle 3 — Transparency by Default</w:t>
      </w:r>
    </w:p>
    <w:p>
      <w:r>
        <w:t>Institutional information shall be publicly disclosed unless confidentiality is constitutionally or legally required. Non-disclosure shall always require documented justification.</w:t>
      </w:r>
    </w:p>
    <w:p>
      <w:r>
        <w:t>Principle 4 — Independent Verification</w:t>
      </w:r>
    </w:p>
    <w:p>
      <w:r>
        <w:t>Material institutional claims shall be independently verifiable. Verification shall never rely solely upon institutional statements.</w:t>
      </w:r>
    </w:p>
    <w:p>
      <w:r>
        <w:t>Principle 5 — Accountability</w:t>
      </w:r>
    </w:p>
    <w:p>
      <w:r>
        <w:t>Every constitutional decision shall identify:</w:t>
      </w:r>
    </w:p>
    <w:p>
      <w:r>
        <w:t>Anonymous governance is prohibited.</w:t>
      </w:r>
    </w:p>
    <w:p>
      <w:r>
        <w:t>Principle 6 — Consistency</w:t>
      </w:r>
    </w:p>
    <w:p>
      <w:r>
        <w:t>Equivalent situations shall receive equivalent treatment. Selective application of constitutional rules is prohibited.</w:t>
      </w:r>
    </w:p>
    <w:p>
      <w:r>
        <w:t>Principle 7 — Neutrality</w:t>
      </w:r>
    </w:p>
    <w:p>
      <w:r>
        <w:t>Trust shall never depend upon political alignment, commercial preference, jurisdictional advantage, or discretionary intervention.</w:t>
      </w:r>
    </w:p>
    <w:p>
      <w:r>
        <w:t>Principle 8 — Constitutional Integrity</w:t>
      </w:r>
    </w:p>
    <w:p>
      <w:r>
        <w:t>No operational objective may compromise Constitutional Invariants to preserve reputation. Temporary reputational damage is preferable to constitutional compromise.</w:t>
      </w:r>
    </w:p>
    <w:p>
      <w:r>
        <w:t>What This Means in Practice:</w:t>
      </w:r>
    </w:p>
    <w:p>
      <w:r>
        <w:t>Evidence precedes all claims</w:t>
      </w:r>
    </w:p>
    <w:p>
      <w:r>
        <w:t>Determinism is a constitutional obligation</w:t>
      </w:r>
    </w:p>
    <w:p>
      <w:r>
        <w:t>Transparency is the default</w:t>
      </w:r>
    </w:p>
    <w:p>
      <w:r>
        <w:t>Verification is independent</w:t>
      </w:r>
    </w:p>
    <w:p>
      <w:r>
        <w:t>Accountability is absolute</w:t>
      </w:r>
    </w:p>
    <w:p>
      <w:r>
        <w:t>Consistency is required</w:t>
      </w:r>
    </w:p>
    <w:p>
      <w:r>
        <w:t>Neutrality is essential</w:t>
      </w:r>
    </w:p>
    <w:p>
      <w:r>
        <w:t>Constitutional integrity is paramount</w:t>
      </w:r>
    </w:p>
    <w:p>
      <w:r>
        <w:t>Why This Matters:</w:t>
      </w:r>
    </w:p>
    <w:p>
      <w:r>
        <w:t>Principles guide all trust activities</w:t>
      </w:r>
    </w:p>
    <w:p>
      <w:r>
        <w:t>Evidence-based claims build trust</w:t>
      </w:r>
    </w:p>
    <w:p>
      <w:r>
        <w:t>Determinism enables predictability</w:t>
      </w:r>
    </w:p>
    <w:p>
      <w:r>
        <w:t>Accountability ensures responsibility</w:t>
      </w:r>
    </w:p>
    <w:p>
      <w:r>
        <w:t>Constitutional integrity is non-negotiable</w:t>
      </w:r>
    </w:p>
    <w:p>
      <w:r>
        <w:t>61.4 Constitutional Trust Pillars</w:t>
      </w:r>
    </w:p>
    <w:p>
      <w:r>
        <w:t>Constitutional Principle:</w:t>
      </w:r>
    </w:p>
    <w:p>
      <w:r>
        <w:t>Trust depends upon multiple independent pillars. No pillar shall compensate for failure of another pillar. Trust requires the collective integrity of all pillars.</w:t>
      </w:r>
    </w:p>
    <w:p>
      <w:r>
        <w:t>Pillar Requirements:</w:t>
      </w:r>
    </w:p>
    <w:p>
      <w:r>
        <w:t>What This Means in Practice:</w:t>
      </w:r>
    </w:p>
    <w:p>
      <w:r>
        <w:t>Ten pillars support institutional trust</w:t>
      </w:r>
    </w:p>
    <w:p>
      <w:r>
        <w:t>Each pillar is independently necessary</w:t>
      </w:r>
    </w:p>
    <w:p>
      <w:r>
        <w:t>No pillar can compensate for another</w:t>
      </w:r>
    </w:p>
    <w:p>
      <w:r>
        <w:t>Trust requires collective integrity</w:t>
      </w:r>
    </w:p>
    <w:p>
      <w:r>
        <w:t>Why This Matters:</w:t>
      </w:r>
    </w:p>
    <w:p>
      <w:r>
        <w:t>Multiple pillars create resilience</w:t>
      </w:r>
    </w:p>
    <w:p>
      <w:r>
        <w:t>Independent pillars provide redundancy</w:t>
      </w:r>
    </w:p>
    <w:p>
      <w:r>
        <w:t>All pillars are necessary for trust</w:t>
      </w:r>
    </w:p>
    <w:p>
      <w:r>
        <w:t>Trust depends on the weakest pillar</w:t>
      </w:r>
    </w:p>
    <w:p>
      <w:r>
        <w:t>61.5 Trust Dependency Model</w:t>
      </w:r>
    </w:p>
    <w:p>
      <w:r>
        <w:t>Constitutional Principle:</w:t>
      </w:r>
    </w:p>
    <w:p>
      <w:r>
        <w:t>Institutional trust depends upon the continuous health of multiple constitutional systems. Trust is therefore considered a derived constitutional property rather than an isolated operational objective.</w:t>
      </w:r>
    </w:p>
    <w:p>
      <w:r>
        <w:t>Primary Dependencies:</w:t>
      </w:r>
    </w:p>
    <w:p>
      <w:r>
        <w:t>Dependency Application:</w:t>
      </w:r>
    </w:p>
    <w:p>
      <w:r>
        <w:t>Material degradation of any dependency shall trigger a Trust Impact Assessment.</w:t>
      </w:r>
    </w:p>
    <w:p>
      <w:r>
        <w:t>Trust Impact Assessment:</w:t>
      </w:r>
    </w:p>
    <w:p>
      <w:r>
        <w:t>What This Means in Practice:</w:t>
      </w:r>
    </w:p>
    <w:p>
      <w:r>
        <w:t>Trust depends on multiple systems</w:t>
      </w:r>
    </w:p>
    <w:p>
      <w:r>
        <w:t>System degradation affects trust</w:t>
      </w:r>
    </w:p>
    <w:p>
      <w:r>
        <w:t>Degradation triggers assessment</w:t>
      </w:r>
    </w:p>
    <w:p>
      <w:r>
        <w:t>Restoration is verified</w:t>
      </w:r>
    </w:p>
    <w:p>
      <w:r>
        <w:t>Why This Matters:</w:t>
      </w:r>
    </w:p>
    <w:p>
      <w:r>
        <w:t>Trust is a derived property</w:t>
      </w:r>
    </w:p>
    <w:p>
      <w:r>
        <w:t>System health drives trust</w:t>
      </w:r>
    </w:p>
    <w:p>
      <w:r>
        <w:t>Early detection prevents erosion</w:t>
      </w:r>
    </w:p>
    <w:p>
      <w:r>
        <w:t>Verification ensures restoration</w:t>
      </w:r>
    </w:p>
    <w:p>
      <w:r>
        <w:t>61.6 Trust Lifecycle</w:t>
      </w:r>
    </w:p>
    <w:p>
      <w:r>
        <w:t>Constitutional Principle:</w:t>
      </w:r>
    </w:p>
    <w:p>
      <w:r>
        <w:t>Trust emerges from repeated constitutional success rather than isolated achievements.</w:t>
      </w:r>
    </w:p>
    <w:p>
      <w:r>
        <w:t>Trust Lifecycle:</w:t>
      </w:r>
    </w:p>
    <w:p>
      <w:r>
        <w:t>text</w:t>
      </w:r>
    </w:p>
    <w:p>
      <w:r>
        <w:t>Constitution</w:t>
      </w:r>
    </w:p>
    <w:p>
      <w:r>
        <w:t>│</w:t>
      </w:r>
    </w:p>
    <w:p>
      <w:r>
        <w:t>▼</w:t>
      </w:r>
    </w:p>
    <w:p>
      <w:r>
        <w:t>Implementation</w:t>
      </w:r>
    </w:p>
    <w:p>
      <w:r>
        <w:t>│</w:t>
      </w:r>
    </w:p>
    <w:p>
      <w:r>
        <w:t>▼</w:t>
      </w:r>
    </w:p>
    <w:p>
      <w:r>
        <w:t>Verification</w:t>
      </w:r>
    </w:p>
    <w:p>
      <w:r>
        <w:t>│</w:t>
      </w:r>
    </w:p>
    <w:p>
      <w:r>
        <w:t>▼</w:t>
      </w:r>
    </w:p>
    <w:p>
      <w:r>
        <w:t>Independent Audit</w:t>
      </w:r>
    </w:p>
    <w:p>
      <w:r>
        <w:t>│</w:t>
      </w:r>
    </w:p>
    <w:p>
      <w:r>
        <w:t>▼</w:t>
      </w:r>
    </w:p>
    <w:p>
      <w:r>
        <w:t>Public Transparency</w:t>
      </w:r>
    </w:p>
    <w:p>
      <w:r>
        <w:t>│</w:t>
      </w:r>
    </w:p>
    <w:p>
      <w:r>
        <w:t>▼</w:t>
      </w:r>
    </w:p>
    <w:p>
      <w:r>
        <w:t>Observed Performance</w:t>
      </w:r>
    </w:p>
    <w:p>
      <w:r>
        <w:t>│</w:t>
      </w:r>
    </w:p>
    <w:p>
      <w:r>
        <w:t>▼</w:t>
      </w:r>
    </w:p>
    <w:p>
      <w:r>
        <w:t>Institutional Trust</w:t>
      </w:r>
    </w:p>
    <w:p>
      <w:r>
        <w:t>│</w:t>
      </w:r>
    </w:p>
    <w:p>
      <w:r>
        <w:t>▼</w:t>
      </w:r>
    </w:p>
    <w:p>
      <w:r>
        <w:t>Long-Term Credibility</w:t>
      </w:r>
    </w:p>
    <w:p>
      <w:r>
        <w:t>Lifecycle Requirements:</w:t>
      </w:r>
    </w:p>
    <w:p>
      <w:r>
        <w:t>What This Means in Practice:</w:t>
      </w:r>
    </w:p>
    <w:p>
      <w:r>
        <w:t>Trust emerges from constitutional success</w:t>
      </w:r>
    </w:p>
    <w:p>
      <w:r>
        <w:t>Each stage builds on the previous</w:t>
      </w:r>
    </w:p>
    <w:p>
      <w:r>
        <w:t>Evidence is produced at each stage</w:t>
      </w:r>
    </w:p>
    <w:p>
      <w:r>
        <w:t>Trust is continuously earned</w:t>
      </w:r>
    </w:p>
    <w:p>
      <w:r>
        <w:t>Why This Matters:</w:t>
      </w:r>
    </w:p>
    <w:p>
      <w:r>
        <w:t>Trust is built over time</w:t>
      </w:r>
    </w:p>
    <w:p>
      <w:r>
        <w:t>Each stage is necessary</w:t>
      </w:r>
    </w:p>
    <w:p>
      <w:r>
        <w:t>Evidence accumulates</w:t>
      </w:r>
    </w:p>
    <w:p>
      <w:r>
        <w:t>Trust is earned, not declared</w:t>
      </w:r>
    </w:p>
    <w:p>
      <w:r>
        <w:t>61.7 Trust Building Mechanisms</w:t>
      </w:r>
    </w:p>
    <w:p>
      <w:r>
        <w:t>Constitutional Principle:</w:t>
      </w:r>
    </w:p>
    <w:p>
      <w:r>
        <w:t>The Institution shall continuously reinforce trust through multiple verifiable mechanisms.</w:t>
      </w:r>
    </w:p>
    <w:p>
      <w:r>
        <w:t>Trust Building Mechanisms:</w:t>
      </w:r>
    </w:p>
    <w:p>
      <w:r>
        <w:t>Mechanism Requirements:</w:t>
      </w:r>
    </w:p>
    <w:p>
      <w:r>
        <w:t>What This Means in Practice:</w:t>
      </w:r>
    </w:p>
    <w:p>
      <w:r>
        <w:t>Multiple mechanisms build trust</w:t>
      </w:r>
    </w:p>
    <w:p>
      <w:r>
        <w:t>Each mechanism is verifiable</w:t>
      </w:r>
    </w:p>
    <w:p>
      <w:r>
        <w:t>Outputs are publicly accessible</w:t>
      </w:r>
    </w:p>
    <w:p>
      <w:r>
        <w:t>Trust is continuously reinforced</w:t>
      </w:r>
    </w:p>
    <w:p>
      <w:r>
        <w:t>Why This Matters:</w:t>
      </w:r>
    </w:p>
    <w:p>
      <w:r>
        <w:t>Multiple mechanisms create redundancy</w:t>
      </w:r>
    </w:p>
    <w:p>
      <w:r>
        <w:t>Independent verification ensures integrity</w:t>
      </w:r>
    </w:p>
    <w:p>
      <w:r>
        <w:t>Public access enables verification</w:t>
      </w:r>
    </w:p>
    <w:p>
      <w:r>
        <w:t>Continuous reinforcement maintains trust</w:t>
      </w:r>
    </w:p>
    <w:p>
      <w:r>
        <w:t>61.8 Trust Maintenance</w:t>
      </w:r>
    </w:p>
    <w:p>
      <w:r>
        <w:t>Constitutional Principle:</w:t>
      </w:r>
    </w:p>
    <w:p>
      <w:r>
        <w:t>Trust shall be maintained through continuous constitutional compliance rather than episodic communications.</w:t>
      </w:r>
    </w:p>
    <w:p>
      <w:r>
        <w:t>Maintenance Activities:</w:t>
      </w:r>
    </w:p>
    <w:p>
      <w:r>
        <w:t>Maintenance Requirements:</w:t>
      </w:r>
    </w:p>
    <w:p>
      <w:r>
        <w:t>What This Means in Practice:</w:t>
      </w:r>
    </w:p>
    <w:p>
      <w:r>
        <w:t>Trust is continuously maintained</w:t>
      </w:r>
    </w:p>
    <w:p>
      <w:r>
        <w:t>Maintenance is proactive, not reactive</w:t>
      </w:r>
    </w:p>
    <w:p>
      <w:r>
        <w:t>Issues are addressed early</w:t>
      </w:r>
    </w:p>
    <w:p>
      <w:r>
        <w:t>Activities are documented</w:t>
      </w:r>
    </w:p>
    <w:p>
      <w:r>
        <w:t>Why This Matters:</w:t>
      </w:r>
    </w:p>
    <w:p>
      <w:r>
        <w:t>Continuous maintenance prevents erosion</w:t>
      </w:r>
    </w:p>
    <w:p>
      <w:r>
        <w:t>Proactive action prevents crises</w:t>
      </w:r>
    </w:p>
    <w:p>
      <w:r>
        <w:t>Documentation enables verification</w:t>
      </w:r>
    </w:p>
    <w:p>
      <w:r>
        <w:t>Auditability ensures accountability</w:t>
      </w:r>
    </w:p>
    <w:p>
      <w:r>
        <w:t>61.9 Trust Recovery Framework</w:t>
      </w:r>
    </w:p>
    <w:p>
      <w:r>
        <w:t>Constitutional Principle:</w:t>
      </w:r>
    </w:p>
    <w:p>
      <w:r>
        <w:t>Whenever institutional trust may have been impaired, the Institution shall activate the Constitutional Trust Recovery Process. Recovery shall prioritize restoration of constitutional integrity rather than public perception.</w:t>
      </w:r>
    </w:p>
    <w:p>
      <w:r>
        <w:t>Recovery Process:</w:t>
      </w:r>
    </w:p>
    <w:p>
      <w:r>
        <w:t>text</w:t>
      </w:r>
    </w:p>
    <w:p>
      <w:r>
        <w:t>Trust Event Identified</w:t>
      </w:r>
    </w:p>
    <w:p>
      <w:r>
        <w:t>│</w:t>
      </w:r>
    </w:p>
    <w:p>
      <w:r>
        <w:t>▼</w:t>
      </w:r>
    </w:p>
    <w:p>
      <w:r>
        <w:t>Impact Assessment</w:t>
      </w:r>
    </w:p>
    <w:p>
      <w:r>
        <w:t>│</w:t>
      </w:r>
    </w:p>
    <w:p>
      <w:r>
        <w:t>▼</w:t>
      </w:r>
    </w:p>
    <w:p>
      <w:r>
        <w:t>Root Cause Investigation</w:t>
      </w:r>
    </w:p>
    <w:p>
      <w:r>
        <w:t>│</w:t>
      </w:r>
    </w:p>
    <w:p>
      <w:r>
        <w:t>▼</w:t>
      </w:r>
    </w:p>
    <w:p>
      <w:r>
        <w:t>Immediate Containment</w:t>
      </w:r>
    </w:p>
    <w:p>
      <w:r>
        <w:t>│</w:t>
      </w:r>
    </w:p>
    <w:p>
      <w:r>
        <w:t>▼</w:t>
      </w:r>
    </w:p>
    <w:p>
      <w:r>
        <w:t>Corrective Action</w:t>
      </w:r>
    </w:p>
    <w:p>
      <w:r>
        <w:t>│</w:t>
      </w:r>
    </w:p>
    <w:p>
      <w:r>
        <w:t>▼</w:t>
      </w:r>
    </w:p>
    <w:p>
      <w:r>
        <w:t>Independent Verification</w:t>
      </w:r>
    </w:p>
    <w:p>
      <w:r>
        <w:t>│</w:t>
      </w:r>
    </w:p>
    <w:p>
      <w:r>
        <w:t>▼</w:t>
      </w:r>
    </w:p>
    <w:p>
      <w:r>
        <w:t>Public Disclosure</w:t>
      </w:r>
    </w:p>
    <w:p>
      <w:r>
        <w:t>│</w:t>
      </w:r>
    </w:p>
    <w:p>
      <w:r>
        <w:t>▼</w:t>
      </w:r>
    </w:p>
    <w:p>
      <w:r>
        <w:t>Lessons Learned</w:t>
      </w:r>
    </w:p>
    <w:p>
      <w:r>
        <w:t>│</w:t>
      </w:r>
    </w:p>
    <w:p>
      <w:r>
        <w:t>▼</w:t>
      </w:r>
    </w:p>
    <w:p>
      <w:r>
        <w:t>Trust Restoration Review</w:t>
      </w:r>
    </w:p>
    <w:p>
      <w:r>
        <w:t>Recovery Requirements:</w:t>
      </w:r>
    </w:p>
    <w:p>
      <w:r>
        <w:t>Recovery Record:</w:t>
      </w:r>
    </w:p>
    <w:p>
      <w:r>
        <w:t>Every Trust Recovery Event shall produce a permanent constitutional record including:</w:t>
      </w:r>
    </w:p>
    <w:p>
      <w:r>
        <w:t>What This Means in Practice:</w:t>
      </w:r>
    </w:p>
    <w:p>
      <w:r>
        <w:t>Recovery prioritizes constitutional integrity</w:t>
      </w:r>
    </w:p>
    <w:p>
      <w:r>
        <w:t>Root cause is identified and addressed</w:t>
      </w:r>
    </w:p>
    <w:p>
      <w:r>
        <w:t>Corrective actions are verified</w:t>
      </w:r>
    </w:p>
    <w:p>
      <w:r>
        <w:t>Disclosure is timely and complete</w:t>
      </w:r>
    </w:p>
    <w:p>
      <w:r>
        <w:t>Lessons are captured</w:t>
      </w:r>
    </w:p>
    <w:p>
      <w:r>
        <w:t>Why This Matters:</w:t>
      </w:r>
    </w:p>
    <w:p>
      <w:r>
        <w:t>Recovery restores constitutional integrity</w:t>
      </w:r>
    </w:p>
    <w:p>
      <w:r>
        <w:t>Root cause analysis prevents recurrence</w:t>
      </w:r>
    </w:p>
    <w:p>
      <w:r>
        <w:t>Verification ensures correctness</w:t>
      </w:r>
    </w:p>
    <w:p>
      <w:r>
        <w:t>Lessons enable improvement</w:t>
      </w:r>
    </w:p>
    <w:p>
      <w:r>
        <w:t>61.10 Trust Metrics</w:t>
      </w:r>
    </w:p>
    <w:p>
      <w:r>
        <w:t>Constitutional Principle:</w:t>
      </w:r>
    </w:p>
    <w:p>
      <w:r>
        <w:t>Trust indicators measure institutional health. They shall never become optimization targets.</w:t>
      </w:r>
    </w:p>
    <w:p>
      <w:r>
        <w:t>Trust Metrics:</w:t>
      </w:r>
    </w:p>
    <w:p>
      <w:r>
        <w:t>Metric Requirements:</w:t>
      </w:r>
    </w:p>
    <w:p>
      <w:r>
        <w:t>Trust Index Calculation:</w:t>
      </w:r>
    </w:p>
    <w:p>
      <w:r>
        <w:t>text</w:t>
      </w:r>
    </w:p>
    <w:p>
      <w:r>
        <w:t>Institutional Trust Index = (Transparency × 0.20) + (Audit Health × 0.20) +</w:t>
      </w:r>
    </w:p>
    <w:p>
      <w:r>
        <w:t>(Governance Quality × 0.20) + (Determinism × 0.15) +</w:t>
      </w:r>
    </w:p>
    <w:p>
      <w:r>
        <w:t>(Verification Rate × 0.15) + (Consistency × 0.10)</w:t>
      </w:r>
    </w:p>
    <w:p>
      <w:r>
        <w:t>Public Confidence Indicator:</w:t>
      </w:r>
    </w:p>
    <w:p>
      <w:r>
        <w:t>Public confidence surveys shall complement, but never replace, objective constitutional evidence. Reputation is subjective; evidence is objective.</w:t>
      </w:r>
    </w:p>
    <w:p>
      <w:r>
        <w:t>What This Means in Practice:</w:t>
      </w:r>
    </w:p>
    <w:p>
      <w:r>
        <w:t>Trust metrics are objective and verifiable</w:t>
      </w:r>
    </w:p>
    <w:p>
      <w:r>
        <w:t>Metrics are not optimization targets</w:t>
      </w:r>
    </w:p>
    <w:p>
      <w:r>
        <w:t>Evidence is prioritized over reputation</w:t>
      </w:r>
    </w:p>
    <w:p>
      <w:r>
        <w:t>Surveys complement evidence</w:t>
      </w:r>
    </w:p>
    <w:p>
      <w:r>
        <w:t>Why This Matters:</w:t>
      </w:r>
    </w:p>
    <w:p>
      <w:r>
        <w:t>Objective metrics enable verification</w:t>
      </w:r>
    </w:p>
    <w:p>
      <w:r>
        <w:t>Evidence-based trust is reliable</w:t>
      </w:r>
    </w:p>
    <w:p>
      <w:r>
        <w:t>Reputation can be manipulated</w:t>
      </w:r>
    </w:p>
    <w:p>
      <w:r>
        <w:t>Constitutional evidence is authoritative</w:t>
      </w:r>
    </w:p>
    <w:p>
      <w:r>
        <w:t>61.11 Trust Early-Warning Indicators</w:t>
      </w:r>
    </w:p>
    <w:p>
      <w:r>
        <w:t>Constitutional Principle:</w:t>
      </w:r>
    </w:p>
    <w:p>
      <w:r>
        <w:t>The Institution shall continuously monitor leading indicators of declining trust to enable early intervention before trust failures occur.</w:t>
      </w:r>
    </w:p>
    <w:p>
      <w:r>
        <w:t>Early-Warning Indicators:</w:t>
      </w:r>
    </w:p>
    <w:p>
      <w:r>
        <w:t>Indicator Monitoring:</w:t>
      </w:r>
    </w:p>
    <w:p>
      <w:r>
        <w:t>Warning Levels:</w:t>
      </w:r>
    </w:p>
    <w:p>
      <w:r>
        <w:t>What This Means in Practice:</w:t>
      </w:r>
    </w:p>
    <w:p>
      <w:r>
        <w:t>Early-warning indicators are monitored</w:t>
      </w:r>
    </w:p>
    <w:p>
      <w:r>
        <w:t>Degradation is detected early</w:t>
      </w:r>
    </w:p>
    <w:p>
      <w:r>
        <w:t>Intervention is triggered</w:t>
      </w:r>
    </w:p>
    <w:p>
      <w:r>
        <w:t>Trust is protected</w:t>
      </w:r>
    </w:p>
    <w:p>
      <w:r>
        <w:t>Why This Matters:</w:t>
      </w:r>
    </w:p>
    <w:p>
      <w:r>
        <w:t>Early detection enables early intervention</w:t>
      </w:r>
    </w:p>
    <w:p>
      <w:r>
        <w:t>Early intervention prevents crises</w:t>
      </w:r>
    </w:p>
    <w:p>
      <w:r>
        <w:t>Proactive monitoring protects trust</w:t>
      </w:r>
    </w:p>
    <w:p>
      <w:r>
        <w:t>Accountability ensures action</w:t>
      </w:r>
    </w:p>
    <w:p>
      <w:r>
        <w:t>61.12 Trust Governance</w:t>
      </w:r>
    </w:p>
    <w:p>
      <w:r>
        <w:t>Constitutional Principle:</w:t>
      </w:r>
    </w:p>
    <w:p>
      <w:r>
        <w:t>Trust governance shall remain independent of commercial objectives. Trust is a constitutional asset, not a commercial objective.</w:t>
      </w:r>
    </w:p>
    <w:p>
      <w:r>
        <w:t>Governance Responsibilities:</w:t>
      </w:r>
    </w:p>
    <w:p>
      <w:r>
        <w:t>Governance Requirements:</w:t>
      </w:r>
    </w:p>
    <w:p>
      <w:r>
        <w:t>What This Means in Practice:</w:t>
      </w:r>
    </w:p>
    <w:p>
      <w:r>
        <w:t>Trust is governed by constitutional bodies</w:t>
      </w:r>
    </w:p>
    <w:p>
      <w:r>
        <w:t>Independence is maintained</w:t>
      </w:r>
    </w:p>
    <w:p>
      <w:r>
        <w:t>Oversight is continuous</w:t>
      </w:r>
    </w:p>
    <w:p>
      <w:r>
        <w:t>Reporting is regular</w:t>
      </w:r>
    </w:p>
    <w:p>
      <w:r>
        <w:t>Why This Matters:</w:t>
      </w:r>
    </w:p>
    <w:p>
      <w:r>
        <w:t>Governance ensures accountability</w:t>
      </w:r>
    </w:p>
    <w:p>
      <w:r>
        <w:t>Independence ensures objectivity</w:t>
      </w:r>
    </w:p>
    <w:p>
      <w:r>
        <w:t>Oversight prevents degradation</w:t>
      </w:r>
    </w:p>
    <w:p>
      <w:r>
        <w:t>Reporting enables visibility</w:t>
      </w:r>
    </w:p>
    <w:p>
      <w:r>
        <w:t>61.13 Independent Trust Assurance</w:t>
      </w:r>
    </w:p>
    <w:p>
      <w:r>
        <w:t>Constitutional Principle:</w:t>
      </w:r>
    </w:p>
    <w:p>
      <w:r>
        <w:t>At least annually the Institution shall commission an independent constitutional trust assessment.</w:t>
      </w:r>
    </w:p>
    <w:p>
      <w:r>
        <w:t>Assessment Scope:</w:t>
      </w:r>
    </w:p>
    <w:p>
      <w:r>
        <w:t>Assessment Requirements:</w:t>
      </w:r>
    </w:p>
    <w:p>
      <w:r>
        <w:t>Assessment Publication:</w:t>
      </w:r>
    </w:p>
    <w:p>
      <w:r>
        <w:t>Results shall be published unless prohibited by law. Publication demonstrates commitment to transparency and accountability.</w:t>
      </w:r>
    </w:p>
    <w:p>
      <w:r>
        <w:t>What This Means in Practice:</w:t>
      </w:r>
    </w:p>
    <w:p>
      <w:r>
        <w:t>Annual independent trust assessment</w:t>
      </w:r>
    </w:p>
    <w:p>
      <w:r>
        <w:t>Comprehensive coverage</w:t>
      </w:r>
    </w:p>
    <w:p>
      <w:r>
        <w:t>Published results</w:t>
      </w:r>
    </w:p>
    <w:p>
      <w:r>
        <w:t>Recommendations are addressed</w:t>
      </w:r>
    </w:p>
    <w:p>
      <w:r>
        <w:t>Why This Matters:</w:t>
      </w:r>
    </w:p>
    <w:p>
      <w:r>
        <w:t>Independent assessment provides assurance</w:t>
      </w:r>
    </w:p>
    <w:p>
      <w:r>
        <w:t>Comprehensive coverage prevents gaps</w:t>
      </w:r>
    </w:p>
    <w:p>
      <w:r>
        <w:t>Publication demonstrates transparency</w:t>
      </w:r>
    </w:p>
    <w:p>
      <w:r>
        <w:t>Recommendations drive improvement</w:t>
      </w:r>
    </w:p>
    <w:p>
      <w:r>
        <w:t>61.14 Trust Maturity Model</w:t>
      </w:r>
    </w:p>
    <w:p>
      <w:r>
        <w:t>Constitutional Principle:</w:t>
      </w:r>
    </w:p>
    <w:p>
      <w:r>
        <w:t>Institutional trust shall evolve through progressive maturity. The objective is continual improvement rather than permanent certification.</w:t>
      </w:r>
    </w:p>
    <w:p>
      <w:r>
        <w:t>Maturity Levels:</w:t>
      </w:r>
    </w:p>
    <w:p>
      <w:r>
        <w:t>Maturity Progression:</w:t>
      </w:r>
    </w:p>
    <w:p>
      <w:r>
        <w:t>Maturity Assessment:</w:t>
      </w:r>
    </w:p>
    <w:p>
      <w:r>
        <w:t>What This Means in Practice:</w:t>
      </w:r>
    </w:p>
    <w:p>
      <w:r>
        <w:t>Trust evolves through maturity levels</w:t>
      </w:r>
    </w:p>
    <w:p>
      <w:r>
        <w:t>Each level builds on the previous</w:t>
      </w:r>
    </w:p>
    <w:p>
      <w:r>
        <w:t>Improvement is continuous</w:t>
      </w:r>
    </w:p>
    <w:p>
      <w:r>
        <w:t>Recognition is earned</w:t>
      </w:r>
    </w:p>
    <w:p>
      <w:r>
        <w:t>Why This Matters:</w:t>
      </w:r>
    </w:p>
    <w:p>
      <w:r>
        <w:t>Maturity provides a roadmap</w:t>
      </w:r>
    </w:p>
    <w:p>
      <w:r>
        <w:t>Improvement is measurable</w:t>
      </w:r>
    </w:p>
    <w:p>
      <w:r>
        <w:t>Recognition demonstrates achievement</w:t>
      </w:r>
    </w:p>
    <w:p>
      <w:r>
        <w:t>Continuous improvement is the goal</w:t>
      </w:r>
    </w:p>
    <w:p>
      <w:r>
        <w:t>61.15 Trust Incidents</w:t>
      </w:r>
    </w:p>
    <w:p>
      <w:r>
        <w:t>Constitutional Principle:</w:t>
      </w:r>
    </w:p>
    <w:p>
      <w:r>
        <w:t>Trust incidents shall be treated with the same constitutional seriousness as operational incidents. Trust degradation is a constitutional risk requiring formal governance response.</w:t>
      </w:r>
    </w:p>
    <w:p>
      <w:r>
        <w:t>Trust Incident Definition:</w:t>
      </w:r>
    </w:p>
    <w:p>
      <w:r>
        <w:t>A Trust Incident occurs when:</w:t>
      </w:r>
    </w:p>
    <w:p>
      <w:r>
        <w:t>Constitutional compliance is questioned</w:t>
      </w:r>
    </w:p>
    <w:p>
      <w:r>
        <w:t>Verification mechanisms fail</w:t>
      </w:r>
    </w:p>
    <w:p>
      <w:r>
        <w:t>Material inconsistency is identified</w:t>
      </w:r>
    </w:p>
    <w:p>
      <w:r>
        <w:t>Governance integrity is challenged</w:t>
      </w:r>
    </w:p>
    <w:p>
      <w:r>
        <w:t>Public confidence is materially affected</w:t>
      </w:r>
    </w:p>
    <w:p>
      <w:r>
        <w:t>Trust Incident Response:</w:t>
      </w:r>
    </w:p>
    <w:p>
      <w:r>
        <w:t>What This Means in Practice:</w:t>
      </w:r>
    </w:p>
    <w:p>
      <w:r>
        <w:t>Trust incidents are formally managed</w:t>
      </w:r>
    </w:p>
    <w:p>
      <w:r>
        <w:t>Response is proportional to severity</w:t>
      </w:r>
    </w:p>
    <w:p>
      <w:r>
        <w:t>Root cause is identified</w:t>
      </w:r>
    </w:p>
    <w:p>
      <w:r>
        <w:t>Lessons are captured</w:t>
      </w:r>
    </w:p>
    <w:p>
      <w:r>
        <w:t>Why This Matters:</w:t>
      </w:r>
    </w:p>
    <w:p>
      <w:r>
        <w:t>Trust incidents can erode confidence</w:t>
      </w:r>
    </w:p>
    <w:p>
      <w:r>
        <w:t>Formal response ensures accountability</w:t>
      </w:r>
    </w:p>
    <w:p>
      <w:r>
        <w:t>Root cause analysis prevents recurrence</w:t>
      </w:r>
    </w:p>
    <w:p>
      <w:r>
        <w:t>Lessons improve resilience</w:t>
      </w:r>
    </w:p>
    <w:p>
      <w:r>
        <w:t>61.16 Constitutional Verification</w:t>
      </w:r>
    </w:p>
    <w:p>
      <w:r>
        <w:t>text</w:t>
      </w:r>
    </w:p>
    <w:p>
      <w:r>
        <w:t>✓ Constitutional Principle established</w:t>
      </w:r>
    </w:p>
    <w:p>
      <w:r>
        <w:t>✓ Constitutional Objectives defined</w:t>
      </w:r>
    </w:p>
    <w:p>
      <w:r>
        <w:t>✓ Constitutional Trust Principles established (8 principles)</w:t>
      </w:r>
    </w:p>
    <w:p>
      <w:r>
        <w:t>✓ Constitutional Trust Pillars defined (10 pillars)</w:t>
      </w:r>
    </w:p>
    <w:p>
      <w:r>
        <w:t>✓ Trust Dependency Model established</w:t>
      </w:r>
    </w:p>
    <w:p>
      <w:r>
        <w:t>✓ Trust Lifecycle defined</w:t>
      </w:r>
    </w:p>
    <w:p>
      <w:r>
        <w:t>✓ Trust Building Mechanisms defined (10 mechanisms)</w:t>
      </w:r>
    </w:p>
    <w:p>
      <w:r>
        <w:t>✓ Trust Maintenance established</w:t>
      </w:r>
    </w:p>
    <w:p>
      <w:r>
        <w:t>✓ Trust Recovery Framework defined</w:t>
      </w:r>
    </w:p>
    <w:p>
      <w:r>
        <w:t>✓ Trust Metrics defined</w:t>
      </w:r>
    </w:p>
    <w:p>
      <w:r>
        <w:t>✓ Trust Early-Warning Indicators established</w:t>
      </w:r>
    </w:p>
    <w:p>
      <w:r>
        <w:t>✓ Trust Governance established</w:t>
      </w:r>
    </w:p>
    <w:p>
      <w:r>
        <w:t>✓ Independent Trust Assurance required</w:t>
      </w:r>
    </w:p>
    <w:p>
      <w:r>
        <w:t>✓ Trust Maturity Model defined</w:t>
      </w:r>
    </w:p>
    <w:p>
      <w:r>
        <w:t>✓ Trust Incidents defined</w:t>
      </w:r>
    </w:p>
    <w:p>
      <w:r>
        <w:t>✓ No assertion without evidence</w:t>
      </w:r>
    </w:p>
    <w:p>
      <w:r>
        <w:t>✓ Trust requires collective integrity of all pillars</w:t>
      </w:r>
    </w:p>
    <w:p>
      <w:r>
        <w:t>✓ Reputation does not create trust</w:t>
      </w:r>
    </w:p>
    <w:p>
      <w:r>
        <w:t>✓ Evidence precedes all trust claims</w:t>
      </w:r>
    </w:p>
    <w:p>
      <w:r>
        <w:t>✓ Trust is continuously earned, not declared</w:t>
      </w:r>
    </w:p>
    <w:p>
      <w:r>
        <w:t>✓ Recovery prioritizes constitutional integrity</w:t>
      </w:r>
    </w:p>
    <w:p>
      <w:r>
        <w:t>✓ Objective evidence prioritized over subjective reputation</w:t>
      </w:r>
    </w:p>
    <w:p>
      <w:r>
        <w:t>61.17 Related Sections</w:t>
      </w:r>
    </w:p>
    <w:p>
      <w:r>
        <w:t>[END OF SECTION 61 — CONSTITUTIONAL TRUST FRAMEWORK]</w:t>
      </w:r>
    </w:p>
    <w:p>
      <w:r>
        <w:t>SECTION 62 — CONSTITUTIONAL EVIDENCE STANDARD (REGENERATED — FINAL VERSION)</w:t>
      </w:r>
    </w:p>
    <w:p>
      <w:r>
        <w:t>62.1 Constitutional Principle</w:t>
      </w:r>
    </w:p>
    <w:p>
      <w:r>
        <w:t>Constitutional Principle:</w:t>
      </w:r>
    </w:p>
    <w:p>
      <w:r>
        <w:t>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p>
    <w:p>
      <w:r>
        <w:t>Institutional authority derives from evidence rather than assertion.</w:t>
      </w:r>
    </w:p>
    <w:p>
      <w:r>
        <w:t>Prohibited Evidence Bases:</w:t>
      </w:r>
    </w:p>
    <w:p>
      <w:r>
        <w:t>No constitutional claim shall rely solely upon:</w:t>
      </w:r>
    </w:p>
    <w:p>
      <w:r>
        <w:t>Constitutional Statement:</w:t>
      </w:r>
    </w:p>
    <w:p>
      <w:r>
        <w:t>Evidence constitutes the constitutional foundation of institutional legitimacy. Every claim must be supported by evidence. Every assertion must be verifiable. Every decision must be attributable and auditable.</w:t>
      </w:r>
    </w:p>
    <w:p>
      <w:r>
        <w:t>What This Means in Practice:</w:t>
      </w:r>
    </w:p>
    <w:p>
      <w:r>
        <w:t>All claims require supporting evidence</w:t>
      </w:r>
    </w:p>
    <w:p>
      <w:r>
        <w:t>Evidence must be objective and verifiable</w:t>
      </w:r>
    </w:p>
    <w:p>
      <w:r>
        <w:t>Evidence must be independently assessable</w:t>
      </w:r>
    </w:p>
    <w:p>
      <w:r>
        <w:t>No claim rests solely on assertion</w:t>
      </w:r>
    </w:p>
    <w:p>
      <w:r>
        <w:t>Why This Matters:</w:t>
      </w:r>
    </w:p>
    <w:p>
      <w:r>
        <w:t>Without evidence, claims are indistinguishable from assertions</w:t>
      </w:r>
    </w:p>
    <w:p>
      <w:r>
        <w:t>Without verification, trust is based on faith</w:t>
      </w:r>
    </w:p>
    <w:p>
      <w:r>
        <w:t>Without auditability, accountability is impossible</w:t>
      </w:r>
    </w:p>
    <w:p>
      <w:r>
        <w:t>Evidence is the foundation of institutional legitimacy</w:t>
      </w:r>
    </w:p>
    <w:p>
      <w:r>
        <w:t>Relation to Layer 0:</w:t>
      </w:r>
    </w:p>
    <w:p>
      <w:r>
        <w:t>This Section implements the Evidence Doctrine (0.5), Trust Doctrine (0.3), and Constitutional Integrity established in Layer 0. All evidence requirements derive their constitutional authority from Layer 0.</w:t>
      </w:r>
    </w:p>
    <w:p>
      <w:r>
        <w:t>62.2 Constitutional Objectives</w:t>
      </w:r>
    </w:p>
    <w:p>
      <w:r>
        <w:t>Constitutional Principle:</w:t>
      </w:r>
    </w:p>
    <w:p>
      <w:r>
        <w:t>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p>
    <w:p>
      <w:r>
        <w:t>Evidence shall support every constitutional process.</w:t>
      </w:r>
    </w:p>
    <w:p>
      <w:r>
        <w:t>Objectives:</w:t>
      </w:r>
    </w:p>
    <w:p>
      <w:r>
        <w:t>What This Means in Practice:</w:t>
      </w:r>
    </w:p>
    <w:p>
      <w:r>
        <w:t>All constitutional processes are evidence-based</w:t>
      </w:r>
    </w:p>
    <w:p>
      <w:r>
        <w:t>Evidence enables objective decision-making</w:t>
      </w:r>
    </w:p>
    <w:p>
      <w:r>
        <w:t>Evidence supports independent verification</w:t>
      </w:r>
    </w:p>
    <w:p>
      <w:r>
        <w:t>Evidence preserves accountability</w:t>
      </w:r>
    </w:p>
    <w:p>
      <w:r>
        <w:t>Why This Matters:</w:t>
      </w:r>
    </w:p>
    <w:p>
      <w:r>
        <w:t>Evidence is the foundation of constitutional governance</w:t>
      </w:r>
    </w:p>
    <w:p>
      <w:r>
        <w:t>Objectivity prevents arbitrary decisions</w:t>
      </w:r>
    </w:p>
    <w:p>
      <w:r>
        <w:t>Verification enables trust</w:t>
      </w:r>
    </w:p>
    <w:p>
      <w:r>
        <w:t>Accountability ensures responsibility</w:t>
      </w:r>
    </w:p>
    <w:p>
      <w:r>
        <w:t>62.3 Constitutional Evidence Principles</w:t>
      </w:r>
    </w:p>
    <w:p>
      <w:r>
        <w:t>Constitutional Principle:</w:t>
      </w:r>
    </w:p>
    <w:p>
      <w:r>
        <w:t>Every evidence item shall satisfy the following constitutional principles.</w:t>
      </w:r>
    </w:p>
    <w:p>
      <w:r>
        <w:t>Principle 1 — Objectivity</w:t>
      </w:r>
    </w:p>
    <w:p>
      <w:r>
        <w:t>Evidence shall describe observable facts rather than opinions. Subjective interpretation shall be clearly distinguished from factual evidence.</w:t>
      </w:r>
    </w:p>
    <w:p>
      <w:r>
        <w:t>Principle 2 — Verifiability</w:t>
      </w:r>
    </w:p>
    <w:p>
      <w:r>
        <w:t>Evidence shall be independently reproducible. Independent reviewers shall be capable of reaching substantially identical conclusions using identical methodologies.</w:t>
      </w:r>
    </w:p>
    <w:p>
      <w:r>
        <w:t>Principle 3 — Authenticity</w:t>
      </w:r>
    </w:p>
    <w:p>
      <w:r>
        <w:t>Evidence shall possess documented provenance demonstrating:</w:t>
      </w:r>
    </w:p>
    <w:p>
      <w:r>
        <w:t>Principle 4 — Traceability</w:t>
      </w:r>
    </w:p>
    <w:p>
      <w:r>
        <w:t>Every evidence item shall be traceable to:</w:t>
      </w:r>
    </w:p>
    <w:p>
      <w:r>
        <w:t>Principle 5 — Integrity</w:t>
      </w:r>
    </w:p>
    <w:p>
      <w:r>
        <w:t>Evidence shall remain protected against unauthorized alteration. Tamper-evident mechanisms shall be used whenever technically practical.</w:t>
      </w:r>
    </w:p>
    <w:p>
      <w:r>
        <w:t>Principle 6 — Sufficiency</w:t>
      </w:r>
    </w:p>
    <w:p>
      <w:r>
        <w:t>Evidence shall be sufficient to support the constitutional claim being made. Incomplete evidence shall not justify constitutional decisions.</w:t>
      </w:r>
    </w:p>
    <w:p>
      <w:r>
        <w:t>Principle 7 — Independence</w:t>
      </w:r>
    </w:p>
    <w:p>
      <w:r>
        <w:t>Material constitutional evidence shall be independently reviewable. Verification shall remain organizationally independent from evidence creation.</w:t>
      </w:r>
    </w:p>
    <w:p>
      <w:r>
        <w:t>Principle 8 — Reproducibility</w:t>
      </w:r>
    </w:p>
    <w:p>
      <w:r>
        <w:t>Equivalent evidence shall produce equivalent conclusions when evaluated using identical methodologies.</w:t>
      </w:r>
    </w:p>
    <w:p>
      <w:r>
        <w:t>Principle 9 — Preservation</w:t>
      </w:r>
    </w:p>
    <w:p>
      <w:r>
        <w:t>Evidence shall remain accessible, verifiable, and interpretable throughout its constitutional retention period.</w:t>
      </w:r>
    </w:p>
    <w:p>
      <w:r>
        <w:t>What This Means in Practice:</w:t>
      </w:r>
    </w:p>
    <w:p>
      <w:r>
        <w:t>Evidence must be objective, not subjective</w:t>
      </w:r>
    </w:p>
    <w:p>
      <w:r>
        <w:t>Evidence must be verifiable by independent parties</w:t>
      </w:r>
    </w:p>
    <w:p>
      <w:r>
        <w:t>Evidence must be authentic and traceable</w:t>
      </w:r>
    </w:p>
    <w:p>
      <w:r>
        <w:t>Evidence must be preserved and protected</w:t>
      </w:r>
    </w:p>
    <w:p>
      <w:r>
        <w:t>Why This Matters:</w:t>
      </w:r>
    </w:p>
    <w:p>
      <w:r>
        <w:t>Principles ensure evidence quality</w:t>
      </w:r>
    </w:p>
    <w:p>
      <w:r>
        <w:t>Objectivity prevents bias</w:t>
      </w:r>
    </w:p>
    <w:p>
      <w:r>
        <w:t>Verifiability enables trust</w:t>
      </w:r>
    </w:p>
    <w:p>
      <w:r>
        <w:t>Integrity preserves reliability</w:t>
      </w:r>
    </w:p>
    <w:p>
      <w:r>
        <w:t>62.4 Constitutional Evidence Hierarchy</w:t>
      </w:r>
    </w:p>
    <w:p>
      <w:r>
        <w:t>Constitutional Principle:</w:t>
      </w:r>
    </w:p>
    <w:p>
      <w:r>
        <w:t>Evidence possesses differing constitutional authority. Higher levels supersede lower levels whenever conflict exists.</w:t>
      </w:r>
    </w:p>
    <w:p>
      <w:r>
        <w:t>Evidence Hierarchy:</w:t>
      </w:r>
    </w:p>
    <w:p>
      <w:r>
        <w:t>Hierarchy Application:</w:t>
      </w:r>
    </w:p>
    <w:p>
      <w:r>
        <w:t>What This Means in Practice:</w:t>
      </w:r>
    </w:p>
    <w:p>
      <w:r>
        <w:t>Evidence has different authority levels</w:t>
      </w:r>
    </w:p>
    <w:p>
      <w:r>
        <w:t>Higher levels are more authoritative</w:t>
      </w:r>
    </w:p>
    <w:p>
      <w:r>
        <w:t>Conflicts are resolved by hierarchy</w:t>
      </w:r>
    </w:p>
    <w:p>
      <w:r>
        <w:t>Level 8 is insufficient for constitutional decisions</w:t>
      </w:r>
    </w:p>
    <w:p>
      <w:r>
        <w:t>Why This Matters:</w:t>
      </w:r>
    </w:p>
    <w:p>
      <w:r>
        <w:t>Hierarchy enables consistent evaluation</w:t>
      </w:r>
    </w:p>
    <w:p>
      <w:r>
        <w:t>Higher levels provide stronger assurance</w:t>
      </w:r>
    </w:p>
    <w:p>
      <w:r>
        <w:t>Conflicts are resolved consistently</w:t>
      </w:r>
    </w:p>
    <w:p>
      <w:r>
        <w:t>Institutional assertion is not sufficient</w:t>
      </w:r>
    </w:p>
    <w:p>
      <w:r>
        <w:t>62.5 Evidence Requirements by Claim Type</w:t>
      </w:r>
    </w:p>
    <w:p>
      <w:r>
        <w:t>Constitutional Principle:</w:t>
      </w:r>
    </w:p>
    <w:p>
      <w:r>
        <w:t>Different constitutional claims require different evidence types and verification standards.</w:t>
      </w:r>
    </w:p>
    <w:p>
      <w:r>
        <w:t>Evidence Requirements:</w:t>
      </w:r>
    </w:p>
    <w:p>
      <w:r>
        <w:t>What This Means in Practice:</w:t>
      </w:r>
    </w:p>
    <w:p>
      <w:r>
        <w:t>Each claim type has specified evidence requirements</w:t>
      </w:r>
    </w:p>
    <w:p>
      <w:r>
        <w:t>Independent verification is required for all material claims</w:t>
      </w:r>
    </w:p>
    <w:p>
      <w:r>
        <w:t>Evidence must meet minimum standards</w:t>
      </w:r>
    </w:p>
    <w:p>
      <w:r>
        <w:t>Verification must be independent</w:t>
      </w:r>
    </w:p>
    <w:p>
      <w:r>
        <w:t>Why This Matters:</w:t>
      </w:r>
    </w:p>
    <w:p>
      <w:r>
        <w:t>Requirements ensure completeness</w:t>
      </w:r>
    </w:p>
    <w:p>
      <w:r>
        <w:t>Independent verification ensures objectivity</w:t>
      </w:r>
    </w:p>
    <w:p>
      <w:r>
        <w:t>Minimum standards ensure quality</w:t>
      </w:r>
    </w:p>
    <w:p>
      <w:r>
        <w:t>Accountability is maintained</w:t>
      </w:r>
    </w:p>
    <w:p>
      <w:r>
        <w:t>62.6 Evidence Requirements by Constitutional Decision</w:t>
      </w:r>
    </w:p>
    <w:p>
      <w:r>
        <w:t>Constitutional Principle:</w:t>
      </w:r>
    </w:p>
    <w:p>
      <w:r>
        <w:t>Evidence requirements shall increase according to constitutional significance.</w:t>
      </w:r>
    </w:p>
    <w:p>
      <w:r>
        <w:t>Decision-Based Evidence Standards:</w:t>
      </w:r>
    </w:p>
    <w:p>
      <w:r>
        <w:t>What This Means in Practice:</w:t>
      </w:r>
    </w:p>
    <w:p>
      <w:r>
        <w:t>Evidence requirements scale with decision significance</w:t>
      </w:r>
    </w:p>
    <w:p>
      <w:r>
        <w:t>Constitutional decisions require the most evidence</w:t>
      </w:r>
    </w:p>
    <w:p>
      <w:r>
        <w:t>Multiple review types are required for constitutional decisions</w:t>
      </w:r>
    </w:p>
    <w:p>
      <w:r>
        <w:t>Approval authority is appropriate to the decision</w:t>
      </w:r>
    </w:p>
    <w:p>
      <w:r>
        <w:t>Why This Matters:</w:t>
      </w:r>
    </w:p>
    <w:p>
      <w:r>
        <w:t>Significant decisions require more evidence</w:t>
      </w:r>
    </w:p>
    <w:p>
      <w:r>
        <w:t>Constitutional decisions require comprehensive evidence</w:t>
      </w:r>
    </w:p>
    <w:p>
      <w:r>
        <w:t>Multiple review types ensure completeness</w:t>
      </w:r>
    </w:p>
    <w:p>
      <w:r>
        <w:t>Approval authority ensures accountability</w:t>
      </w:r>
    </w:p>
    <w:p>
      <w:r>
        <w:t>62.7 Constitutional Burden of Proof</w:t>
      </w:r>
    </w:p>
    <w:p>
      <w:r>
        <w:t>Constitutional Principle:</w:t>
      </w:r>
    </w:p>
    <w:p>
      <w:r>
        <w:t>The burden of proof rests upon the party proposing constitutional changes, modifications, or exceptions.</w:t>
      </w:r>
    </w:p>
    <w:p>
      <w:r>
        <w:t>Burden of Proof Application:</w:t>
      </w:r>
    </w:p>
    <w:p>
      <w:r>
        <w:t>Burden of Proof Rules:</w:t>
      </w:r>
    </w:p>
    <w:p>
      <w:r>
        <w:t>What This Means in Practice:</w:t>
      </w:r>
    </w:p>
    <w:p>
      <w:r>
        <w:t>Those proposing change bear the burden of proof</w:t>
      </w:r>
    </w:p>
    <w:p>
      <w:r>
        <w:t>Objectors are not required to disprove</w:t>
      </w:r>
    </w:p>
    <w:p>
      <w:r>
        <w:t>Insufficient evidence results in rejection</w:t>
      </w:r>
    </w:p>
    <w:p>
      <w:r>
        <w:t>The status quo is presumed</w:t>
      </w:r>
    </w:p>
    <w:p>
      <w:r>
        <w:t>Why This Matters:</w:t>
      </w:r>
    </w:p>
    <w:p>
      <w:r>
        <w:t>Burden of proof prevents arbitrary changes</w:t>
      </w:r>
    </w:p>
    <w:p>
      <w:r>
        <w:t>Proposers must justify their proposals</w:t>
      </w:r>
    </w:p>
    <w:p>
      <w:r>
        <w:t>Objectors are not disadvantaged</w:t>
      </w:r>
    </w:p>
    <w:p>
      <w:r>
        <w:t>The status quo provides stability</w:t>
      </w:r>
    </w:p>
    <w:p>
      <w:r>
        <w:t>62.8 Evidence Documentation Standard</w:t>
      </w:r>
    </w:p>
    <w:p>
      <w:r>
        <w:t>Constitutional Principle:</w:t>
      </w:r>
    </w:p>
    <w:p>
      <w:r>
        <w:t>Every evidence package shall be comprehensively documented to permit complete independent reconstruction.</w:t>
      </w:r>
    </w:p>
    <w:p>
      <w:r>
        <w:t>Evidence Package Contents:</w:t>
      </w:r>
    </w:p>
    <w:p>
      <w:r>
        <w:t>What This Means in Practice:</w:t>
      </w:r>
    </w:p>
    <w:p>
      <w:r>
        <w:t>Evidence packages are comprehensive</w:t>
      </w:r>
    </w:p>
    <w:p>
      <w:r>
        <w:t>All elements are documented</w:t>
      </w:r>
    </w:p>
    <w:p>
      <w:r>
        <w:t>Complete reconstruction is possible</w:t>
      </w:r>
    </w:p>
    <w:p>
      <w:r>
        <w:t>Integrity is protected</w:t>
      </w:r>
    </w:p>
    <w:p>
      <w:r>
        <w:t>Why This Matters:</w:t>
      </w:r>
    </w:p>
    <w:p>
      <w:r>
        <w:t>Comprehensive documentation enables verification</w:t>
      </w:r>
    </w:p>
    <w:p>
      <w:r>
        <w:t>Complete reconstruction ensures reproducibility</w:t>
      </w:r>
    </w:p>
    <w:p>
      <w:r>
        <w:t>Integrity protection prevents alteration</w:t>
      </w:r>
    </w:p>
    <w:p>
      <w:r>
        <w:t>Auditability is maintained</w:t>
      </w:r>
    </w:p>
    <w:p>
      <w:r>
        <w:t>62.9 Evidence Quality Assessment</w:t>
      </w:r>
    </w:p>
    <w:p>
      <w:r>
        <w:t>Constitutional Principle:</w:t>
      </w:r>
    </w:p>
    <w:p>
      <w:r>
        <w:t>Evidence quality shall be evaluated using standardized dimensions to ensure consistent assessment.</w:t>
      </w:r>
    </w:p>
    <w:p>
      <w:r>
        <w:t>Quality Dimensions:</w:t>
      </w:r>
    </w:p>
    <w:p>
      <w:r>
        <w:t>Quality Application:</w:t>
      </w:r>
    </w:p>
    <w:p>
      <w:r>
        <w:t>Material Decisions Constraint:</w:t>
      </w:r>
    </w:p>
    <w:p>
      <w:r>
        <w:t>Material constitutional decisions shall not rely upon evidence assessed as materially deficient (Low score in critical dimensions).</w:t>
      </w:r>
    </w:p>
    <w:p>
      <w:r>
        <w:t>What This Means in Practice:</w:t>
      </w:r>
    </w:p>
    <w:p>
      <w:r>
        <w:t>Evidence quality is assessed systematically</w:t>
      </w:r>
    </w:p>
    <w:p>
      <w:r>
        <w:t>Multiple dimensions are evaluated</w:t>
      </w:r>
    </w:p>
    <w:p>
      <w:r>
        <w:t>Deficiencies are identified</w:t>
      </w:r>
    </w:p>
    <w:p>
      <w:r>
        <w:t>Deficient evidence is not used for material decisions</w:t>
      </w:r>
    </w:p>
    <w:p>
      <w:r>
        <w:t>Why This Matters:</w:t>
      </w:r>
    </w:p>
    <w:p>
      <w:r>
        <w:t>Quality assessment ensures reliability</w:t>
      </w:r>
    </w:p>
    <w:p>
      <w:r>
        <w:t>Multiple dimensions provide comprehensive evaluation</w:t>
      </w:r>
    </w:p>
    <w:p>
      <w:r>
        <w:t>Deficiency identification prevents errors</w:t>
      </w:r>
    </w:p>
    <w:p>
      <w:r>
        <w:t>Accountability is maintained</w:t>
      </w:r>
    </w:p>
    <w:p>
      <w:r>
        <w:t>62.10 Independent Evidence Verification</w:t>
      </w:r>
    </w:p>
    <w:p>
      <w:r>
        <w:t>Constitutional Principle:</w:t>
      </w:r>
    </w:p>
    <w:p>
      <w:r>
        <w:t>Every material constitutional evidence package shall undergo independent verification.</w:t>
      </w:r>
    </w:p>
    <w:p>
      <w:r>
        <w:t>Verification Scope:</w:t>
      </w:r>
    </w:p>
    <w:p>
      <w:r>
        <w:t>Verification Independence:</w:t>
      </w:r>
    </w:p>
    <w:p>
      <w:r>
        <w:t>What This Means in Practice:</w:t>
      </w:r>
    </w:p>
    <w:p>
      <w:r>
        <w:t>Independent verification is required</w:t>
      </w:r>
    </w:p>
    <w:p>
      <w:r>
        <w:t>Verification is comprehensive</w:t>
      </w:r>
    </w:p>
    <w:p>
      <w:r>
        <w:t>Independence is maintained</w:t>
      </w:r>
    </w:p>
    <w:p>
      <w:r>
        <w:t>Issues are escalated</w:t>
      </w:r>
    </w:p>
    <w:p>
      <w:r>
        <w:t>Why This Matters:</w:t>
      </w:r>
    </w:p>
    <w:p>
      <w:r>
        <w:t>Independent verification ensures objectivity</w:t>
      </w:r>
    </w:p>
    <w:p>
      <w:r>
        <w:t>Comprehensive verification prevents gaps</w:t>
      </w:r>
    </w:p>
    <w:p>
      <w:r>
        <w:t>Independence prevents bias</w:t>
      </w:r>
    </w:p>
    <w:p>
      <w:r>
        <w:t>Escalation ensures accountability</w:t>
      </w:r>
    </w:p>
    <w:p>
      <w:r>
        <w:t>62.11 Evidence Conflict Resolution</w:t>
      </w:r>
    </w:p>
    <w:p>
      <w:r>
        <w:t>Constitutional Principle:</w:t>
      </w:r>
    </w:p>
    <w:p>
      <w:r>
        <w:t>Where evidence conflicts, the following resolution hierarchy shall apply.</w:t>
      </w:r>
    </w:p>
    <w:p>
      <w:r>
        <w:t>Conflict Resolution Hierarchy:</w:t>
      </w:r>
    </w:p>
    <w:p>
      <w:r>
        <w:t>Conflict Handling:</w:t>
      </w:r>
    </w:p>
    <w:p>
      <w:r>
        <w:t>What This Means in Practice:</w:t>
      </w:r>
    </w:p>
    <w:p>
      <w:r>
        <w:t>Evidence conflicts are resolved by hierarchy</w:t>
      </w:r>
    </w:p>
    <w:p>
      <w:r>
        <w:t>Formal proof has highest authority</w:t>
      </w:r>
    </w:p>
    <w:p>
      <w:r>
        <w:t>Unresolved conflicts block decisions</w:t>
      </w:r>
    </w:p>
    <w:p>
      <w:r>
        <w:t>Resolution is documented</w:t>
      </w:r>
    </w:p>
    <w:p>
      <w:r>
        <w:t>Why This Matters:</w:t>
      </w:r>
    </w:p>
    <w:p>
      <w:r>
        <w:t>Hierarchy ensures consistent resolution</w:t>
      </w:r>
    </w:p>
    <w:p>
      <w:r>
        <w:t>Unresolved conflicts cannot be ignored</w:t>
      </w:r>
    </w:p>
    <w:p>
      <w:r>
        <w:t>Documentation preserves reasoning</w:t>
      </w:r>
    </w:p>
    <w:p>
      <w:r>
        <w:t>Accountability is maintained</w:t>
      </w:r>
    </w:p>
    <w:p>
      <w:r>
        <w:t>62.12 Evidence Lifecycle</w:t>
      </w:r>
    </w:p>
    <w:p>
      <w:r>
        <w:t>Constitutional Principle:</w:t>
      </w:r>
    </w:p>
    <w:p>
      <w:r>
        <w:t>Every evidence item shall follow a defined lifecycle from creation through preservation or lawful disposal.</w:t>
      </w:r>
    </w:p>
    <w:p>
      <w:r>
        <w:t>Evidence Lifecycle:</w:t>
      </w:r>
    </w:p>
    <w:p>
      <w:r>
        <w:t>text</w:t>
      </w:r>
    </w:p>
    <w:p>
      <w:r>
        <w:t>Evidence Generated</w:t>
      </w:r>
    </w:p>
    <w:p>
      <w:r>
        <w:t>│</w:t>
      </w:r>
    </w:p>
    <w:p>
      <w:r>
        <w:t>▼</w:t>
      </w:r>
    </w:p>
    <w:p>
      <w:r>
        <w:t>Classification</w:t>
      </w:r>
    </w:p>
    <w:p>
      <w:r>
        <w:t>│</w:t>
      </w:r>
    </w:p>
    <w:p>
      <w:r>
        <w:t>▼</w:t>
      </w:r>
    </w:p>
    <w:p>
      <w:r>
        <w:t>Validation</w:t>
      </w:r>
    </w:p>
    <w:p>
      <w:r>
        <w:t>│</w:t>
      </w:r>
    </w:p>
    <w:p>
      <w:r>
        <w:t>▼</w:t>
      </w:r>
    </w:p>
    <w:p>
      <w:r>
        <w:t>Independent Verification</w:t>
      </w:r>
    </w:p>
    <w:p>
      <w:r>
        <w:t>│</w:t>
      </w:r>
    </w:p>
    <w:p>
      <w:r>
        <w:t>▼</w:t>
      </w:r>
    </w:p>
    <w:p>
      <w:r>
        <w:t>Approval</w:t>
      </w:r>
    </w:p>
    <w:p>
      <w:r>
        <w:t>│</w:t>
      </w:r>
    </w:p>
    <w:p>
      <w:r>
        <w:t>▼</w:t>
      </w:r>
    </w:p>
    <w:p>
      <w:r>
        <w:t>Constitutional Use</w:t>
      </w:r>
    </w:p>
    <w:p>
      <w:r>
        <w:t>│</w:t>
      </w:r>
    </w:p>
    <w:p>
      <w:r>
        <w:t>▼</w:t>
      </w:r>
    </w:p>
    <w:p>
      <w:r>
        <w:t>Archival</w:t>
      </w:r>
    </w:p>
    <w:p>
      <w:r>
        <w:t>│</w:t>
      </w:r>
    </w:p>
    <w:p>
      <w:r>
        <w:t>▼</w:t>
      </w:r>
    </w:p>
    <w:p>
      <w:r>
        <w:t>Periodic Review</w:t>
      </w:r>
    </w:p>
    <w:p>
      <w:r>
        <w:t>│</w:t>
      </w:r>
    </w:p>
    <w:p>
      <w:r>
        <w:t>▼</w:t>
      </w:r>
    </w:p>
    <w:p>
      <w:r>
        <w:t>Permanent Preservation / Lawful Disposal</w:t>
      </w:r>
    </w:p>
    <w:p>
      <w:r>
        <w:t>Lifecycle Requirements:</w:t>
      </w:r>
    </w:p>
    <w:p>
      <w:r>
        <w:t>Lifecycle Documentation:</w:t>
      </w:r>
    </w:p>
    <w:p>
      <w:r>
        <w:t>Every lifecycle stage shall be documented and auditable. Documentation shall include:</w:t>
      </w:r>
    </w:p>
    <w:p>
      <w:r>
        <w:t>What This Means in Practice:</w:t>
      </w:r>
    </w:p>
    <w:p>
      <w:r>
        <w:t>Evidence follows a defined lifecycle</w:t>
      </w:r>
    </w:p>
    <w:p>
      <w:r>
        <w:t>Each stage is documented</w:t>
      </w:r>
    </w:p>
    <w:p>
      <w:r>
        <w:t>Documentation is auditable</w:t>
      </w:r>
    </w:p>
    <w:p>
      <w:r>
        <w:t>Accountability is maintained</w:t>
      </w:r>
    </w:p>
    <w:p>
      <w:r>
        <w:t>Why This Matters:</w:t>
      </w:r>
    </w:p>
    <w:p>
      <w:r>
        <w:t>Lifecycle governance ensures consistency</w:t>
      </w:r>
    </w:p>
    <w:p>
      <w:r>
        <w:t>Documentation enables audit</w:t>
      </w:r>
    </w:p>
    <w:p>
      <w:r>
        <w:t>Accountability ensures responsibility</w:t>
      </w:r>
    </w:p>
    <w:p>
      <w:r>
        <w:t>Preservation protects institutional memory</w:t>
      </w:r>
    </w:p>
    <w:p>
      <w:r>
        <w:t>62.13 Evidence Retention</w:t>
      </w:r>
    </w:p>
    <w:p>
      <w:r>
        <w:t>Constitutional Principle:</w:t>
      </w:r>
    </w:p>
    <w:p>
      <w:r>
        <w:t>Evidence shall be retained for periods appropriate to its constitutional significance.</w:t>
      </w:r>
    </w:p>
    <w:p>
      <w:r>
        <w:t>Retention Requirements:</w:t>
      </w:r>
    </w:p>
    <w:p>
      <w:r>
        <w:t>Retention Rules:</w:t>
      </w:r>
    </w:p>
    <w:p>
      <w:r>
        <w:t>What This Means in Practice:</w:t>
      </w:r>
    </w:p>
    <w:p>
      <w:r>
        <w:t>Constitutional records are permanent</w:t>
      </w:r>
    </w:p>
    <w:p>
      <w:r>
        <w:t>Legal requirements are met</w:t>
      </w:r>
    </w:p>
    <w:p>
      <w:r>
        <w:t>Retention is auditable</w:t>
      </w:r>
    </w:p>
    <w:p>
      <w:r>
        <w:t>Records remain accessible</w:t>
      </w:r>
    </w:p>
    <w:p>
      <w:r>
        <w:t>Why This Matters:</w:t>
      </w:r>
    </w:p>
    <w:p>
      <w:r>
        <w:t>Permanent records preserve institutional memory</w:t>
      </w:r>
    </w:p>
    <w:p>
      <w:r>
        <w:t>Legal compliance is maintained</w:t>
      </w:r>
    </w:p>
    <w:p>
      <w:r>
        <w:t>Auditability ensures accountability</w:t>
      </w:r>
    </w:p>
    <w:p>
      <w:r>
        <w:t>Accessibility enables use</w:t>
      </w:r>
    </w:p>
    <w:p>
      <w:r>
        <w:t>62.14 Evidence Governance</w:t>
      </w:r>
    </w:p>
    <w:p>
      <w:r>
        <w:t>Constitutional Principle:</w:t>
      </w:r>
    </w:p>
    <w:p>
      <w:r>
        <w:t>Evidence governance shall be distributed across constitutional bodies with clear responsibilities.</w:t>
      </w:r>
    </w:p>
    <w:p>
      <w:r>
        <w:t>Governance Responsibilities:</w:t>
      </w:r>
    </w:p>
    <w:p>
      <w:r>
        <w:t>Governance Requirements:</w:t>
      </w:r>
    </w:p>
    <w:p>
      <w:r>
        <w:t>What This Means in Practice:</w:t>
      </w:r>
    </w:p>
    <w:p>
      <w:r>
        <w:t>Governance is distributed</w:t>
      </w:r>
    </w:p>
    <w:p>
      <w:r>
        <w:t>Responsibilities are segregated</w:t>
      </w:r>
    </w:p>
    <w:p>
      <w:r>
        <w:t>Independence is maintained</w:t>
      </w:r>
    </w:p>
    <w:p>
      <w:r>
        <w:t>Oversight is continuous</w:t>
      </w:r>
    </w:p>
    <w:p>
      <w:r>
        <w:t>Why This Matters:</w:t>
      </w:r>
    </w:p>
    <w:p>
      <w:r>
        <w:t>Distribution prevents concentration</w:t>
      </w:r>
    </w:p>
    <w:p>
      <w:r>
        <w:t>Segregation ensures independence</w:t>
      </w:r>
    </w:p>
    <w:p>
      <w:r>
        <w:t>Oversight maintains quality</w:t>
      </w:r>
    </w:p>
    <w:p>
      <w:r>
        <w:t>Reporting enables visibility</w:t>
      </w:r>
    </w:p>
    <w:p>
      <w:r>
        <w:t>62.15 Independent Evidence Assurance</w:t>
      </w:r>
    </w:p>
    <w:p>
      <w:r>
        <w:t>Constitutional Principle:</w:t>
      </w:r>
    </w:p>
    <w:p>
      <w:r>
        <w:t>At least annually, the Institution shall commission an independent review of the Constitutional Evidence Framework.</w:t>
      </w:r>
    </w:p>
    <w:p>
      <w:r>
        <w:t>Assessment Scope:</w:t>
      </w:r>
    </w:p>
    <w:p>
      <w:r>
        <w:t>Assessment Requirements:</w:t>
      </w:r>
    </w:p>
    <w:p>
      <w:r>
        <w:t>Assessment Output:</w:t>
      </w:r>
    </w:p>
    <w:p>
      <w:r>
        <w:t>Constitutional Record:</w:t>
      </w:r>
    </w:p>
    <w:p>
      <w:r>
        <w:t>Recommendations shall become part of the permanent constitutional archive.</w:t>
      </w:r>
    </w:p>
    <w:p>
      <w:r>
        <w:t>What This Means in Practice:</w:t>
      </w:r>
    </w:p>
    <w:p>
      <w:r>
        <w:t>Annual independent evidence assurance</w:t>
      </w:r>
    </w:p>
    <w:p>
      <w:r>
        <w:t>Comprehensive coverage</w:t>
      </w:r>
    </w:p>
    <w:p>
      <w:r>
        <w:t>Published results</w:t>
      </w:r>
    </w:p>
    <w:p>
      <w:r>
        <w:t>Actions tracked</w:t>
      </w:r>
    </w:p>
    <w:p>
      <w:r>
        <w:t>Why This Matters:</w:t>
      </w:r>
    </w:p>
    <w:p>
      <w:r>
        <w:t>Independent assurance provides verification</w:t>
      </w:r>
    </w:p>
    <w:p>
      <w:r>
        <w:t>Comprehensive coverage prevents gaps</w:t>
      </w:r>
    </w:p>
    <w:p>
      <w:r>
        <w:t>Publication demonstrates transparency</w:t>
      </w:r>
    </w:p>
    <w:p>
      <w:r>
        <w:t>Actions ensure improvement</w:t>
      </w:r>
    </w:p>
    <w:p>
      <w:r>
        <w:t>62.16 Constitutional Evidence Maturity Model</w:t>
      </w:r>
    </w:p>
    <w:p>
      <w:r>
        <w:t>Constitutional Principle:</w:t>
      </w:r>
    </w:p>
    <w:p>
      <w:r>
        <w:t>Evidence capability shall evolve according to constitutional maturity. Continuous improvement shall be pursued while preserving Constitutional Invariants.</w:t>
      </w:r>
    </w:p>
    <w:p>
      <w:r>
        <w:t>Maturity Levels:</w:t>
      </w:r>
    </w:p>
    <w:p>
      <w:r>
        <w:t>Maturity Progression:</w:t>
      </w:r>
    </w:p>
    <w:p>
      <w:r>
        <w:t>Maturity Assessment:</w:t>
      </w:r>
    </w:p>
    <w:p>
      <w:r>
        <w:t>What This Means in Practice:</w:t>
      </w:r>
    </w:p>
    <w:p>
      <w:r>
        <w:t>Evidence capability evolves</w:t>
      </w:r>
    </w:p>
    <w:p>
      <w:r>
        <w:t>Maturity levels are defined</w:t>
      </w:r>
    </w:p>
    <w:p>
      <w:r>
        <w:t>Improvement is continuous</w:t>
      </w:r>
    </w:p>
    <w:p>
      <w:r>
        <w:t>Standards are achieved</w:t>
      </w:r>
    </w:p>
    <w:p>
      <w:r>
        <w:t>Why This Matters:</w:t>
      </w:r>
    </w:p>
    <w:p>
      <w:r>
        <w:t>Maturity provides a roadmap</w:t>
      </w:r>
    </w:p>
    <w:p>
      <w:r>
        <w:t>Improvement is measurable</w:t>
      </w:r>
    </w:p>
    <w:p>
      <w:r>
        <w:t>Standards ensure quality</w:t>
      </w:r>
    </w:p>
    <w:p>
      <w:r>
        <w:t>Continuous improvement is the goal</w:t>
      </w:r>
    </w:p>
    <w:p>
      <w:r>
        <w:t>62.17 Constitutional Verification</w:t>
      </w:r>
    </w:p>
    <w:p>
      <w:r>
        <w:t>text</w:t>
      </w:r>
    </w:p>
    <w:p>
      <w:r>
        <w:t>✓ Constitutional Principle established</w:t>
      </w:r>
    </w:p>
    <w:p>
      <w:r>
        <w:t>✓ Constitutional Objectives defined</w:t>
      </w:r>
    </w:p>
    <w:p>
      <w:r>
        <w:t>✓ Evidence Principles established (9 principles)</w:t>
      </w:r>
    </w:p>
    <w:p>
      <w:r>
        <w:t>✓ Constitutional Evidence Hierarchy defined (8 levels)</w:t>
      </w:r>
    </w:p>
    <w:p>
      <w:r>
        <w:t>✓ Evidence Requirements by Claim Type defined</w:t>
      </w:r>
    </w:p>
    <w:p>
      <w:r>
        <w:t>✓ Evidence Requirements by Decision Category defined</w:t>
      </w:r>
    </w:p>
    <w:p>
      <w:r>
        <w:t>✓ Constitutional Burden of Proof established</w:t>
      </w:r>
    </w:p>
    <w:p>
      <w:r>
        <w:t>✓ Evidence Documentation Standard defined</w:t>
      </w:r>
    </w:p>
    <w:p>
      <w:r>
        <w:t>✓ Evidence Quality Assessment established</w:t>
      </w:r>
    </w:p>
    <w:p>
      <w:r>
        <w:t>✓ Independent Evidence Verification required</w:t>
      </w:r>
    </w:p>
    <w:p>
      <w:r>
        <w:t>✓ Evidence Conflict Resolution established</w:t>
      </w:r>
    </w:p>
    <w:p>
      <w:r>
        <w:t>✓ Evidence Lifecycle defined</w:t>
      </w:r>
    </w:p>
    <w:p>
      <w:r>
        <w:t>✓ Evidence Retention requirements defined</w:t>
      </w:r>
    </w:p>
    <w:p>
      <w:r>
        <w:t>✓ Evidence Governance established</w:t>
      </w:r>
    </w:p>
    <w:p>
      <w:r>
        <w:t>✓ Independent Evidence Assurance required</w:t>
      </w:r>
    </w:p>
    <w:p>
      <w:r>
        <w:t>✓ Constitutional Evidence Maturity Model defined</w:t>
      </w:r>
    </w:p>
    <w:p>
      <w:r>
        <w:t>✓ No assertion without evidence</w:t>
      </w:r>
    </w:p>
    <w:p>
      <w:r>
        <w:t>✓ Higher-level evidence prevails</w:t>
      </w:r>
    </w:p>
    <w:p>
      <w:r>
        <w:t>✓ Burden of proof on proposers</w:t>
      </w:r>
    </w:p>
    <w:p>
      <w:r>
        <w:t>✓ Constitutional records permanent</w:t>
      </w:r>
    </w:p>
    <w:p>
      <w:r>
        <w:t>✓ Independent verification required</w:t>
      </w:r>
    </w:p>
    <w:p>
      <w:r>
        <w:t>62.18 Related Sections</w:t>
      </w:r>
    </w:p>
    <w:p>
      <w:r>
        <w:t>62.19 Final Architectural Assessment</w:t>
      </w:r>
    </w:p>
    <w:p>
      <w:r>
        <w:t>This version is significantly stronger than the original. Key architectural improvements include:</w:t>
      </w:r>
    </w:p>
    <w:p>
      <w:r>
        <w:t>These additions transform the Evidence Standard from a simple list of requirements into a comprehensive constitutional governance mechanism suitable for a long-lived monetary institution.</w:t>
      </w:r>
    </w:p>
    <w:p>
      <w:r>
        <w:t>[END OF SECTION 62 — CONSTITUTIONAL EVIDENCE STANDARD]</w:t>
      </w:r>
    </w:p>
    <w:p>
      <w:r>
        <w:t>SECTION 63 — CONSTITUTIONAL DATA GOVERNANCE (REGENERATED — FINAL VERSION)</w:t>
      </w:r>
    </w:p>
    <w:p>
      <w:r>
        <w:t>63.1 Constitutional Principle</w:t>
      </w:r>
    </w:p>
    <w:p>
      <w:r>
        <w:t>Constitutional Principle:</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shall be governed according to constitutional principles of ownership, integrity, availability, confidentiality, classification, retention, evidence, traceability, recoverability, interoperability, minimal disclosure, and technology neutrality.</w:t>
      </w:r>
    </w:p>
    <w:p>
      <w:r>
        <w:t>The Institution shall maintain constitutional control over all institutional data. No jurisdiction, vendor, service provider, or third party shall gain unilateral control over institutional data.</w:t>
      </w:r>
    </w:p>
    <w:p>
      <w:r>
        <w:t>What This Means in Practice:</w:t>
      </w:r>
    </w:p>
    <w:p>
      <w:r>
        <w:t>Data is constitutional infrastructure</w:t>
      </w:r>
    </w:p>
    <w:p>
      <w:r>
        <w:t>Data governance preserves institutional integrity</w:t>
      </w:r>
    </w:p>
    <w:p>
      <w:r>
        <w:t>Constitutional principles govern all data</w:t>
      </w:r>
    </w:p>
    <w:p>
      <w:r>
        <w:t>Data sovereignty is maintained</w:t>
      </w:r>
    </w:p>
    <w:p>
      <w:r>
        <w:t>Why This Matters:</w:t>
      </w:r>
    </w:p>
    <w:p>
      <w:r>
        <w:t>Without data governance, data integrity is uncertain</w:t>
      </w:r>
    </w:p>
    <w:p>
      <w:r>
        <w:t>Without data governance, institutional memory is at risk</w:t>
      </w:r>
    </w:p>
    <w:p>
      <w:r>
        <w:t>Without data sovereignty, the Institution is vulnerable</w:t>
      </w:r>
    </w:p>
    <w:p>
      <w:r>
        <w:t>Data governance is essential to institutional continuity</w:t>
      </w:r>
    </w:p>
    <w:p>
      <w:r>
        <w:t>Relation to Layer 0:</w:t>
      </w:r>
    </w:p>
    <w:p>
      <w:r>
        <w:t>This Section implements the Evidence Doctrine (0.5), Trust Doctrine (0.3), Dependency Doctrine (0.6), and Technology-Agnostic Design Principles (0.7) established in Layer 0. All data governance requirements derive their constitutional authority from Layer 0.</w:t>
      </w:r>
    </w:p>
    <w:p>
      <w:r>
        <w:t>63.2 Constitutional Data Ownership Hierarchy</w:t>
      </w:r>
    </w:p>
    <w:p>
      <w:r>
        <w:t>Constitutional Principle:</w:t>
      </w:r>
    </w:p>
    <w:p>
      <w:r>
        <w:t>Data ownership shall be constitutionally defined. Ownership determines control, responsibility, and accountability for institutional data.</w:t>
      </w:r>
    </w:p>
    <w:p>
      <w:r>
        <w:t>Ownership Categories:</w:t>
      </w:r>
    </w:p>
    <w:p>
      <w:r>
        <w:t>Ownership Clarifications:</w:t>
      </w:r>
    </w:p>
    <w:p>
      <w:r>
        <w:t>Ownership Rights:</w:t>
      </w:r>
    </w:p>
    <w:p>
      <w:r>
        <w:t>What This Means in Practice:</w:t>
      </w:r>
    </w:p>
    <w:p>
      <w:r>
        <w:t>Data ownership is constitutionally defined</w:t>
      </w:r>
    </w:p>
    <w:p>
      <w:r>
        <w:t>Owners have defined rights and responsibilities</w:t>
      </w:r>
    </w:p>
    <w:p>
      <w:r>
        <w:t>Service providers are not owners</w:t>
      </w:r>
    </w:p>
    <w:p>
      <w:r>
        <w:t>Ownership is distinct from custody or processing</w:t>
      </w:r>
    </w:p>
    <w:p>
      <w:r>
        <w:t>Why This Matters:</w:t>
      </w:r>
    </w:p>
    <w:p>
      <w:r>
        <w:t>Ownership defines control</w:t>
      </w:r>
    </w:p>
    <w:p>
      <w:r>
        <w:t>Clear ownership prevents disputes</w:t>
      </w:r>
    </w:p>
    <w:p>
      <w:r>
        <w:t>Service providers cannot claim ownership</w:t>
      </w:r>
    </w:p>
    <w:p>
      <w:r>
        <w:t>Constitutional control is maintained</w:t>
      </w:r>
    </w:p>
    <w:p>
      <w:r>
        <w:t>63.3 Constitutional Data Classification</w:t>
      </w:r>
    </w:p>
    <w:p>
      <w:r>
        <w:t>Constitutional Principle:</w:t>
      </w:r>
    </w:p>
    <w:p>
      <w:r>
        <w:t>Data shall be classified according to sensitivity and constitutional importance.</w:t>
      </w:r>
    </w:p>
    <w:p>
      <w:r>
        <w:t>Classification Levels:</w:t>
      </w:r>
    </w:p>
    <w:p>
      <w:r>
        <w:t>Classification Requirements:</w:t>
      </w:r>
    </w:p>
    <w:p>
      <w:r>
        <w:t>What This Means in Practice:</w:t>
      </w:r>
    </w:p>
    <w:p>
      <w:r>
        <w:t>All data is classified</w:t>
      </w:r>
    </w:p>
    <w:p>
      <w:r>
        <w:t>Classification determines handling</w:t>
      </w:r>
    </w:p>
    <w:p>
      <w:r>
        <w:t>Classification is reviewed and updated</w:t>
      </w:r>
    </w:p>
    <w:p>
      <w:r>
        <w:t>Classification is enforced</w:t>
      </w:r>
    </w:p>
    <w:p>
      <w:r>
        <w:t>63.4 Constitutional Data Principles</w:t>
      </w:r>
    </w:p>
    <w:p>
      <w:r>
        <w:t>Constitutional Principle:</w:t>
      </w:r>
    </w:p>
    <w:p>
      <w:r>
        <w:t>All data governance activities shall satisfy the following constitutional principles.</w:t>
      </w:r>
    </w:p>
    <w:p>
      <w:r>
        <w:t>Data Governance Principles:</w:t>
      </w:r>
    </w:p>
    <w:p>
      <w:r>
        <w:t>What This Means in Practice:</w:t>
      </w:r>
    </w:p>
    <w:p>
      <w:r>
        <w:t>All data governance follows constitutional principles</w:t>
      </w:r>
    </w:p>
    <w:p>
      <w:r>
        <w:t>Principles guide all data decisions</w:t>
      </w:r>
    </w:p>
    <w:p>
      <w:r>
        <w:t>No principle is compromised for convenience</w:t>
      </w:r>
    </w:p>
    <w:p>
      <w:r>
        <w:t>Constitutional principles are supreme</w:t>
      </w:r>
    </w:p>
    <w:p>
      <w:r>
        <w:t>63.5 Constitutional Data Lineage</w:t>
      </w:r>
    </w:p>
    <w:p>
      <w:r>
        <w:t>Constitutional Principle:</w:t>
      </w:r>
    </w:p>
    <w:p>
      <w:r>
        <w:t>Every constitutional dataset shall maintain complete lineage documenting origin, modification, validation, and transformation history.</w:t>
      </w:r>
    </w:p>
    <w:p>
      <w:r>
        <w:t>Lineage Requirements:</w:t>
      </w:r>
    </w:p>
    <w:p>
      <w:r>
        <w:t>Lineage Preservation:</w:t>
      </w:r>
    </w:p>
    <w:p>
      <w:r>
        <w:t>What This Means in Practice:</w:t>
      </w:r>
    </w:p>
    <w:p>
      <w:r>
        <w:t>Data lineage is documented</w:t>
      </w:r>
    </w:p>
    <w:p>
      <w:r>
        <w:t>Origin and modifications are tracked</w:t>
      </w:r>
    </w:p>
    <w:p>
      <w:r>
        <w:t>Integrity is verified</w:t>
      </w:r>
    </w:p>
    <w:p>
      <w:r>
        <w:t>Lineage is preserved</w:t>
      </w:r>
    </w:p>
    <w:p>
      <w:r>
        <w:t>Why This Matters:</w:t>
      </w:r>
    </w:p>
    <w:p>
      <w:r>
        <w:t>Lineage enables verification</w:t>
      </w:r>
    </w:p>
    <w:p>
      <w:r>
        <w:t>Lineage supports audit</w:t>
      </w:r>
    </w:p>
    <w:p>
      <w:r>
        <w:t>Lineage prevents data corruption</w:t>
      </w:r>
    </w:p>
    <w:p>
      <w:r>
        <w:t>Lineage preserves institutional memory</w:t>
      </w:r>
    </w:p>
    <w:p>
      <w:r>
        <w:t>63.6 Constitutional Data Integrity Framework</w:t>
      </w:r>
    </w:p>
    <w:p>
      <w:r>
        <w:t>Constitutional Principle:</w:t>
      </w:r>
    </w:p>
    <w:p>
      <w:r>
        <w:t>Data integrity shall be protected through multiple mechanisms. Integrity failures shall trigger incident procedures.</w:t>
      </w:r>
    </w:p>
    <w:p>
      <w:r>
        <w:t>Integrity Mechanisms:</w:t>
      </w:r>
    </w:p>
    <w:p>
      <w:r>
        <w:t>Integrity Requirements:</w:t>
      </w:r>
    </w:p>
    <w:p>
      <w:r>
        <w:t>Integrity Failure Response:</w:t>
      </w:r>
    </w:p>
    <w:p>
      <w:r>
        <w:t>What This Means in Practice:</w:t>
      </w:r>
    </w:p>
    <w:p>
      <w:r>
        <w:t>Data integrity is continuously protected</w:t>
      </w:r>
    </w:p>
    <w:p>
      <w:r>
        <w:t>Multiple mechanisms ensure integrity</w:t>
      </w:r>
    </w:p>
    <w:p>
      <w:r>
        <w:t>Integrity failures trigger incident response</w:t>
      </w:r>
    </w:p>
    <w:p>
      <w:r>
        <w:t>Recovery is verified</w:t>
      </w:r>
    </w:p>
    <w:p>
      <w:r>
        <w:t>63.7 Master Data Governance</w:t>
      </w:r>
    </w:p>
    <w:p>
      <w:r>
        <w:t>Constitutional Principle:</w:t>
      </w:r>
    </w:p>
    <w:p>
      <w:r>
        <w:t>The Institution shall maintain constitutional master records as the single source of truth for all institutional data.</w:t>
      </w:r>
    </w:p>
    <w:p>
      <w:r>
        <w:t>Master Data Categories:</w:t>
      </w:r>
    </w:p>
    <w:p>
      <w:r>
        <w:t>Master Data Requirements:</w:t>
      </w:r>
    </w:p>
    <w:p>
      <w:r>
        <w:t>What This Means in Practice:</w:t>
      </w:r>
    </w:p>
    <w:p>
      <w:r>
        <w:t>Master records are the single source of truth</w:t>
      </w:r>
    </w:p>
    <w:p>
      <w:r>
        <w:t>All other records derive from master records</w:t>
      </w:r>
    </w:p>
    <w:p>
      <w:r>
        <w:t>Master records are authoritative and auditable</w:t>
      </w:r>
    </w:p>
    <w:p>
      <w:r>
        <w:t>Master records preserve institutional consistency</w:t>
      </w:r>
    </w:p>
    <w:p>
      <w:r>
        <w:t>Why This Matters:</w:t>
      </w:r>
    </w:p>
    <w:p>
      <w:r>
        <w:t>Master records prevent inconsistency</w:t>
      </w:r>
    </w:p>
    <w:p>
      <w:r>
        <w:t>Single source of truth eliminates disputes</w:t>
      </w:r>
    </w:p>
    <w:p>
      <w:r>
        <w:t>Authoritative records ensure accuracy</w:t>
      </w:r>
    </w:p>
    <w:p>
      <w:r>
        <w:t>Auditable records ensure accountability</w:t>
      </w:r>
    </w:p>
    <w:p>
      <w:r>
        <w:t>63.8 Constitutional Metadata Governance</w:t>
      </w:r>
    </w:p>
    <w:p>
      <w:r>
        <w:t>Constitutional Principle:</w:t>
      </w:r>
    </w:p>
    <w:p>
      <w:r>
        <w:t>Every constitutional record shall include mandatory metadata to enable discovery, audit, and governance.</w:t>
      </w:r>
    </w:p>
    <w:p>
      <w:r>
        <w:t>Mandatory Metadata:</w:t>
      </w:r>
    </w:p>
    <w:p>
      <w:r>
        <w:t>Metadata Requirements:</w:t>
      </w:r>
    </w:p>
    <w:p>
      <w:r>
        <w:t>What This Means in Practice:</w:t>
      </w:r>
    </w:p>
    <w:p>
      <w:r>
        <w:t>All records include metadata</w:t>
      </w:r>
    </w:p>
    <w:p>
      <w:r>
        <w:t>Metadata enables discovery and audit</w:t>
      </w:r>
    </w:p>
    <w:p>
      <w:r>
        <w:t>Metadata is maintained and accurate</w:t>
      </w:r>
    </w:p>
    <w:p>
      <w:r>
        <w:t>Metadata supports governance</w:t>
      </w:r>
    </w:p>
    <w:p>
      <w:r>
        <w:t>63.9 Constitutional Data Quality Framework</w:t>
      </w:r>
    </w:p>
    <w:p>
      <w:r>
        <w:t>Constitutional Principle:</w:t>
      </w:r>
    </w:p>
    <w:p>
      <w:r>
        <w:t>Data quality shall be continuously measured and maintained. Data quality deficiencies shall be identified and addressed.</w:t>
      </w:r>
    </w:p>
    <w:p>
      <w:r>
        <w:t>Quality Dimensions:</w:t>
      </w:r>
    </w:p>
    <w:p>
      <w:r>
        <w:t>Quality Requirements:</w:t>
      </w:r>
    </w:p>
    <w:p>
      <w:r>
        <w:t>What This Means in Practice:</w:t>
      </w:r>
    </w:p>
    <w:p>
      <w:r>
        <w:t>Data quality is continuously measured</w:t>
      </w:r>
    </w:p>
    <w:p>
      <w:r>
        <w:t>Multiple dimensions are assessed</w:t>
      </w:r>
    </w:p>
    <w:p>
      <w:r>
        <w:t>Deficiencies are identified and addressed</w:t>
      </w:r>
    </w:p>
    <w:p>
      <w:r>
        <w:t>Quality is reported</w:t>
      </w:r>
    </w:p>
    <w:p>
      <w:r>
        <w:t>63.10 Constitutional Data Lifecycle</w:t>
      </w:r>
    </w:p>
    <w:p>
      <w:r>
        <w:t>Constitutional Principle:</w:t>
      </w:r>
    </w:p>
    <w:p>
      <w:r>
        <w:t>Data shall follow a defined lifecycle from creation through disposition.</w:t>
      </w:r>
    </w:p>
    <w:p>
      <w:r>
        <w:t>Data Lifecycle:</w:t>
      </w:r>
    </w:p>
    <w:p>
      <w:r>
        <w:t>text</w:t>
      </w:r>
    </w:p>
    <w:p>
      <w:r>
        <w:t>Creation</w:t>
      </w:r>
    </w:p>
    <w:p>
      <w:r>
        <w:t>│</w:t>
      </w:r>
    </w:p>
    <w:p>
      <w:r>
        <w:t>▼</w:t>
      </w:r>
    </w:p>
    <w:p>
      <w:r>
        <w:t>Validation</w:t>
      </w:r>
    </w:p>
    <w:p>
      <w:r>
        <w:t>│</w:t>
      </w:r>
    </w:p>
    <w:p>
      <w:r>
        <w:t>▼</w:t>
      </w:r>
    </w:p>
    <w:p>
      <w:r>
        <w:t>Classification</w:t>
      </w:r>
    </w:p>
    <w:p>
      <w:r>
        <w:t>│</w:t>
      </w:r>
    </w:p>
    <w:p>
      <w:r>
        <w:t>▼</w:t>
      </w:r>
    </w:p>
    <w:p>
      <w:r>
        <w:t>Use</w:t>
      </w:r>
    </w:p>
    <w:p>
      <w:r>
        <w:t>│</w:t>
      </w:r>
    </w:p>
    <w:p>
      <w:r>
        <w:t>▼</w:t>
      </w:r>
    </w:p>
    <w:p>
      <w:r>
        <w:t>Storage</w:t>
      </w:r>
    </w:p>
    <w:p>
      <w:r>
        <w:t>│</w:t>
      </w:r>
    </w:p>
    <w:p>
      <w:r>
        <w:t>▼</w:t>
      </w:r>
    </w:p>
    <w:p>
      <w:r>
        <w:t>Archive</w:t>
      </w:r>
    </w:p>
    <w:p>
      <w:r>
        <w:t>│</w:t>
      </w:r>
    </w:p>
    <w:p>
      <w:r>
        <w:t>▼</w:t>
      </w:r>
    </w:p>
    <w:p>
      <w:r>
        <w:t>Retention</w:t>
      </w:r>
    </w:p>
    <w:p>
      <w:r>
        <w:t>│</w:t>
      </w:r>
    </w:p>
    <w:p>
      <w:r>
        <w:t>▼</w:t>
      </w:r>
    </w:p>
    <w:p>
      <w:r>
        <w:t>Disposition</w:t>
      </w:r>
    </w:p>
    <w:p>
      <w:r>
        <w:t>│</w:t>
      </w:r>
    </w:p>
    <w:p>
      <w:r>
        <w:t>▼</w:t>
      </w:r>
    </w:p>
    <w:p>
      <w:r>
        <w:t>Permanent Evidence (if required)</w:t>
      </w:r>
    </w:p>
    <w:p>
      <w:r>
        <w:t>Lifecycle Requirements:</w:t>
      </w:r>
    </w:p>
    <w:p>
      <w:r>
        <w:t>Lifecycle Documentation:</w:t>
      </w:r>
    </w:p>
    <w:p>
      <w:r>
        <w:t>Every lifecycle stage shall be documented and auditable.</w:t>
      </w:r>
    </w:p>
    <w:p>
      <w:r>
        <w:t>What This Means in Practice:</w:t>
      </w:r>
    </w:p>
    <w:p>
      <w:r>
        <w:t>Data follows a defined lifecycle</w:t>
      </w:r>
    </w:p>
    <w:p>
      <w:r>
        <w:t>Each stage is documented</w:t>
      </w:r>
    </w:p>
    <w:p>
      <w:r>
        <w:t>Accountability is maintained</w:t>
      </w:r>
    </w:p>
    <w:p>
      <w:r>
        <w:t>Data is properly preserved or disposed</w:t>
      </w:r>
    </w:p>
    <w:p>
      <w:r>
        <w:t>63.11 Constitutional Data Sovereignty</w:t>
      </w:r>
    </w:p>
    <w:p>
      <w:r>
        <w:t>Constitutional Principle:</w:t>
      </w:r>
    </w:p>
    <w:p>
      <w:r>
        <w:t>The Institution shall maintain constitutional control over data sovereignty. No jurisdiction shall gain unilateral control over institutional data.</w:t>
      </w:r>
    </w:p>
    <w:p>
      <w:r>
        <w:t>Sovereignty Requirements:</w:t>
      </w:r>
    </w:p>
    <w:p>
      <w:r>
        <w:t>Sovereignty Principles:</w:t>
      </w:r>
    </w:p>
    <w:p>
      <w:r>
        <w:t>What This Means in Practice:</w:t>
      </w:r>
    </w:p>
    <w:p>
      <w:r>
        <w:t>Data sovereignty is maintained</w:t>
      </w:r>
    </w:p>
    <w:p>
      <w:r>
        <w:t>No jurisdiction controls institutional data</w:t>
      </w:r>
    </w:p>
    <w:p>
      <w:r>
        <w:t>Cross-border transfers are governed</w:t>
      </w:r>
    </w:p>
    <w:p>
      <w:r>
        <w:t>Legal compliance is maintained</w:t>
      </w:r>
    </w:p>
    <w:p>
      <w:r>
        <w:t>63.12 Constitutional Cryptographic Key Governance</w:t>
      </w:r>
    </w:p>
    <w:p>
      <w:r>
        <w:t>Constitutional Principle:</w:t>
      </w:r>
    </w:p>
    <w:p>
      <w:r>
        <w:t>Cryptographic keys shall be governed according to constitutional principles. Key governance is essential to data security and integrity.</w:t>
      </w:r>
    </w:p>
    <w:p>
      <w:r>
        <w:t>Key Governance Elements:</w:t>
      </w:r>
    </w:p>
    <w:p>
      <w:r>
        <w:t>Key Governance Requirements:</w:t>
      </w:r>
    </w:p>
    <w:p>
      <w:r>
        <w:t>What This Means in Practice:</w:t>
      </w:r>
    </w:p>
    <w:p>
      <w:r>
        <w:t>Cryptographic keys are governed</w:t>
      </w:r>
    </w:p>
    <w:p>
      <w:r>
        <w:t>Keys are generated, rotated, and destroyed securely</w:t>
      </w:r>
    </w:p>
    <w:p>
      <w:r>
        <w:t>Post-quantum migration is planned</w:t>
      </w:r>
    </w:p>
    <w:p>
      <w:r>
        <w:t>Governance is audited and independent</w:t>
      </w:r>
    </w:p>
    <w:p>
      <w:r>
        <w:t>63.13 Constitutional Data Access Governance</w:t>
      </w:r>
    </w:p>
    <w:p>
      <w:r>
        <w:t>Constitutional Principle:</w:t>
      </w:r>
    </w:p>
    <w:p>
      <w:r>
        <w:t>Data access shall be governed according to constitutional principles. Access shall be granted on a need-to-know, least-privilege basis.</w:t>
      </w:r>
    </w:p>
    <w:p>
      <w:r>
        <w:t>Access Principles:</w:t>
      </w:r>
    </w:p>
    <w:p>
      <w:r>
        <w:t>Access Requirements:</w:t>
      </w:r>
    </w:p>
    <w:p>
      <w:r>
        <w:t>What This Means in Practice:</w:t>
      </w:r>
    </w:p>
    <w:p>
      <w:r>
        <w:t>Access is governed by principles</w:t>
      </w:r>
    </w:p>
    <w:p>
      <w:r>
        <w:t>Need-to-know and least privilege apply</w:t>
      </w:r>
    </w:p>
    <w:p>
      <w:r>
        <w:t>Emergency access is defined</w:t>
      </w:r>
    </w:p>
    <w:p>
      <w:r>
        <w:t>Access is reviewed and revoked</w:t>
      </w:r>
    </w:p>
    <w:p>
      <w:r>
        <w:t>63.14 Constitutional Evidence Data Chain</w:t>
      </w:r>
    </w:p>
    <w:p>
      <w:r>
        <w:t>Constitutional Principle:</w:t>
      </w:r>
    </w:p>
    <w:p>
      <w:r>
        <w:t>Every evidence record shall maintain a complete chain of custody and evidence governance.</w:t>
      </w:r>
    </w:p>
    <w:p>
      <w:r>
        <w:t>Evidence Chain Elements:</w:t>
      </w:r>
    </w:p>
    <w:p>
      <w:r>
        <w:t>Evidence Chain Requirements:</w:t>
      </w:r>
    </w:p>
    <w:p>
      <w:r>
        <w:t>What This Means in Practice:</w:t>
      </w:r>
    </w:p>
    <w:p>
      <w:r>
        <w:t>Evidence records are complete and traceable</w:t>
      </w:r>
    </w:p>
    <w:p>
      <w:r>
        <w:t>Cryptographic integrity is maintained</w:t>
      </w:r>
    </w:p>
    <w:p>
      <w:r>
        <w:t>Constitutional links are documented</w:t>
      </w:r>
    </w:p>
    <w:p>
      <w:r>
        <w:t>Verification is tracked</w:t>
      </w:r>
    </w:p>
    <w:p>
      <w:r>
        <w:t>63.15 Constitutional Data Recovery Governance</w:t>
      </w:r>
    </w:p>
    <w:p>
      <w:r>
        <w:t>Constitutional Principle:</w:t>
      </w:r>
    </w:p>
    <w:p>
      <w:r>
        <w:t>Data shall be recoverable following failure or corruption. Recovery capabilities shall be regularly tested and verified.</w:t>
      </w:r>
    </w:p>
    <w:p>
      <w:r>
        <w:t>Recovery Requirements:</w:t>
      </w:r>
    </w:p>
    <w:p>
      <w:r>
        <w:t>Recovery Testing:</w:t>
      </w:r>
    </w:p>
    <w:p>
      <w:r>
        <w:t>What This Means in Practice:</w:t>
      </w:r>
    </w:p>
    <w:p>
      <w:r>
        <w:t>Data is recoverable</w:t>
      </w:r>
    </w:p>
    <w:p>
      <w:r>
        <w:t>Backups are maintained and tested</w:t>
      </w:r>
    </w:p>
    <w:p>
      <w:r>
        <w:t>Recovery is verified</w:t>
      </w:r>
    </w:p>
    <w:p>
      <w:r>
        <w:t>Testing is documented</w:t>
      </w:r>
    </w:p>
    <w:p>
      <w:r>
        <w:t>63.16 Constitutional Data Disposal Governance</w:t>
      </w:r>
    </w:p>
    <w:p>
      <w:r>
        <w:t>Constitutional Principle:</w:t>
      </w:r>
    </w:p>
    <w:p>
      <w:r>
        <w:t>Data shall be disposed of securely when retention periods expire. Disposal shall be documented and verified.</w:t>
      </w:r>
    </w:p>
    <w:p>
      <w:r>
        <w:t>Disposal Requirements:</w:t>
      </w:r>
    </w:p>
    <w:p>
      <w:r>
        <w:t>Disposal Documentation:</w:t>
      </w:r>
    </w:p>
    <w:p>
      <w:r>
        <w:t>What This Means in Practice:</w:t>
      </w:r>
    </w:p>
    <w:p>
      <w:r>
        <w:t>Data is disposed of securely</w:t>
      </w:r>
    </w:p>
    <w:p>
      <w:r>
        <w:t>Disposal is documented and certified</w:t>
      </w:r>
    </w:p>
    <w:p>
      <w:r>
        <w:t>Legal holds are respected</w:t>
      </w:r>
    </w:p>
    <w:p>
      <w:r>
        <w:t>Evidence is preserved</w:t>
      </w:r>
    </w:p>
    <w:p>
      <w:r>
        <w:t>63.17 Constitutional AI Data Governance</w:t>
      </w:r>
    </w:p>
    <w:p>
      <w:r>
        <w:t>Constitutional Principle:</w:t>
      </w:r>
    </w:p>
    <w:p>
      <w:r>
        <w:t>AI data governance shall comply with constitutional data principles. Training data, inference logs, model outputs, and AI evidence shall be governed.</w:t>
      </w:r>
    </w:p>
    <w:p>
      <w:r>
        <w:t>AI Data Governance Elements:</w:t>
      </w:r>
    </w:p>
    <w:p>
      <w:r>
        <w:t>AI Data Requirements:</w:t>
      </w:r>
    </w:p>
    <w:p>
      <w:r>
        <w:t>What This Means in Practice:</w:t>
      </w:r>
    </w:p>
    <w:p>
      <w:r>
        <w:t>AI data is governed</w:t>
      </w:r>
    </w:p>
    <w:p>
      <w:r>
        <w:t>Training data is documented</w:t>
      </w:r>
    </w:p>
    <w:p>
      <w:r>
        <w:t>Outputs are tracked</w:t>
      </w:r>
    </w:p>
    <w:p>
      <w:r>
        <w:t>Audit trails are maintained</w:t>
      </w:r>
    </w:p>
    <w:p>
      <w:r>
        <w:t>63.18 Constitutional Data Governance Metrics</w:t>
      </w:r>
    </w:p>
    <w:p>
      <w:r>
        <w:t>Constitutional Principle:</w:t>
      </w:r>
    </w:p>
    <w:p>
      <w:r>
        <w:t>Data governance effectiveness shall be measured through defined metrics.</w:t>
      </w:r>
    </w:p>
    <w:p>
      <w:r>
        <w:t>Data Governance Metrics:</w:t>
      </w:r>
    </w:p>
    <w:p>
      <w:r>
        <w:t>What This Means in Practice:</w:t>
      </w:r>
    </w:p>
    <w:p>
      <w:r>
        <w:t>Data governance is measured</w:t>
      </w:r>
    </w:p>
    <w:p>
      <w:r>
        <w:t>Metrics are tracked</w:t>
      </w:r>
    </w:p>
    <w:p>
      <w:r>
        <w:t>Targets are defined</w:t>
      </w:r>
    </w:p>
    <w:p>
      <w:r>
        <w:t>Performance is reported</w:t>
      </w:r>
    </w:p>
    <w:p>
      <w:r>
        <w:t>63.19 Constitutional Data Governance Audit Trail</w:t>
      </w:r>
    </w:p>
    <w:p>
      <w:r>
        <w:t>Constitutional Principle:</w:t>
      </w:r>
    </w:p>
    <w:p>
      <w:r>
        <w:t>All data governance activities shall be auditable through a complete audit trail.</w:t>
      </w:r>
    </w:p>
    <w:p>
      <w:r>
        <w:t>Audit Trail Elements:</w:t>
      </w:r>
    </w:p>
    <w:p>
      <w:r>
        <w:t>Audit Trail Requirements:</w:t>
      </w:r>
    </w:p>
    <w:p>
      <w:r>
        <w:t>What This Means in Practice:</w:t>
      </w:r>
    </w:p>
    <w:p>
      <w:r>
        <w:t>All data governance is auditable</w:t>
      </w:r>
    </w:p>
    <w:p>
      <w:r>
        <w:t>Complete audit trails are maintained</w:t>
      </w:r>
    </w:p>
    <w:p>
      <w:r>
        <w:t>Audit trails are immutable</w:t>
      </w:r>
    </w:p>
    <w:p>
      <w:r>
        <w:t>Verification is possible</w:t>
      </w:r>
    </w:p>
    <w:p>
      <w:r>
        <w:t>63.20 Section Verification</w:t>
      </w:r>
    </w:p>
    <w:p>
      <w:r>
        <w:t>text</w:t>
      </w:r>
    </w:p>
    <w:p>
      <w:r>
        <w:t>✓ Constitutional Data Ownership Hierarchy established</w:t>
      </w:r>
    </w:p>
    <w:p>
      <w:r>
        <w:t>✓ Data classification established</w:t>
      </w:r>
    </w:p>
    <w:p>
      <w:r>
        <w:t>✓ Data governance principles expanded (12 principles)</w:t>
      </w:r>
    </w:p>
    <w:p>
      <w:r>
        <w:t>✓ Constitutional Data Lineage established</w:t>
      </w:r>
    </w:p>
    <w:p>
      <w:r>
        <w:t>✓ Data integrity framework established</w:t>
      </w:r>
    </w:p>
    <w:p>
      <w:r>
        <w:t>✓ Master Data Governance established</w:t>
      </w:r>
    </w:p>
    <w:p>
      <w:r>
        <w:t>✓ Metadata governance established</w:t>
      </w:r>
    </w:p>
    <w:p>
      <w:r>
        <w:t>✓ Data quality framework established</w:t>
      </w:r>
    </w:p>
    <w:p>
      <w:r>
        <w:t>✓ Constitutional Data Lifecycle established</w:t>
      </w:r>
    </w:p>
    <w:p>
      <w:r>
        <w:t>✓ Data sovereignty requirements established</w:t>
      </w:r>
    </w:p>
    <w:p>
      <w:r>
        <w:t>✓ Cryptographic key governance established</w:t>
      </w:r>
    </w:p>
    <w:p>
      <w:r>
        <w:t>✓ Data access governance established</w:t>
      </w:r>
    </w:p>
    <w:p>
      <w:r>
        <w:t>✓ Evidence data chain established</w:t>
      </w:r>
    </w:p>
    <w:p>
      <w:r>
        <w:t>✓ Data recovery governance established</w:t>
      </w:r>
    </w:p>
    <w:p>
      <w:r>
        <w:t>✓ Data disposal governance established</w:t>
      </w:r>
    </w:p>
    <w:p>
      <w:r>
        <w:t>✓ AI data governance established</w:t>
      </w:r>
    </w:p>
    <w:p>
      <w:r>
        <w:t>✓ Data governance metrics defined</w:t>
      </w:r>
    </w:p>
    <w:p>
      <w:r>
        <w:t>✓ Audit trail established</w:t>
      </w:r>
    </w:p>
    <w:p>
      <w:r>
        <w:t>✓ Technology-neutral wording used</w:t>
      </w:r>
    </w:p>
    <w:p>
      <w:r>
        <w:t>✓ Custodian ≠ Owner clarified</w:t>
      </w:r>
    </w:p>
    <w:p>
      <w:r>
        <w:t>✓ No unilateral jurisdictional control</w:t>
      </w:r>
    </w:p>
    <w:p>
      <w:r>
        <w:t>✓ Integrity failures trigger incident procedures</w:t>
      </w:r>
    </w:p>
    <w:p>
      <w:r>
        <w:t>✓ Disposal is documented and certified</w:t>
      </w:r>
    </w:p>
    <w:p>
      <w:r>
        <w:t>✓ Recovery is regularly tested</w:t>
      </w:r>
    </w:p>
    <w:p>
      <w:r>
        <w:t>✓ Data governance metrics are tracked</w:t>
      </w:r>
    </w:p>
    <w:p>
      <w:r>
        <w:t>63.21 Related Sections</w:t>
      </w:r>
    </w:p>
    <w:p>
      <w:r>
        <w:t>63.22 Constitutional Statement</w:t>
      </w:r>
    </w:p>
    <w:p>
      <w:r>
        <w:t>Constitutional Statement:</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p>
    <w:p>
      <w:r>
        <w:t>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p>
    <w:p>
      <w:r>
        <w:t>63.23 Final Architectural Assessment</w:t>
      </w:r>
    </w:p>
    <w:p>
      <w:r>
        <w:t>This version is significantly stronger than the original. Key architectural improvements include:</w:t>
      </w:r>
    </w:p>
    <w:p>
      <w:r>
        <w:t>These additions transform the Data Governance Standard from a simple list of requirements into a comprehensive constitutional governance mechanism suitable for a long-lived monetary institution.</w:t>
      </w:r>
    </w:p>
    <w:p>
      <w:r>
        <w:t>[END OF SECTION 63 — CONSTITUTIONAL DATA GOVERNANCE]</w:t>
      </w:r>
    </w:p>
    <w:p>
      <w:r>
        <w:t>SECTION 64 — INSTITUTIONAL AI GOVERNANCE (REGENERATED — FINAL VERSION)</w:t>
      </w:r>
    </w:p>
    <w:p>
      <w:r>
        <w:t>64.1 Constitutional Principle</w:t>
      </w:r>
    </w:p>
    <w:p>
      <w:r>
        <w:t>Constitutional Principle:</w:t>
      </w:r>
    </w:p>
    <w:p>
      <w:r>
        <w:t>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What This Means in Practice:</w:t>
      </w:r>
    </w:p>
    <w:p>
      <w:r>
        <w:t>AI augments human expertise, never replaces it</w:t>
      </w:r>
    </w:p>
    <w:p>
      <w:r>
        <w:t>AI is advisory, never authoritative</w:t>
      </w:r>
    </w:p>
    <w:p>
      <w:r>
        <w:t>Constitutional authority remains human</w:t>
      </w:r>
    </w:p>
    <w:p>
      <w:r>
        <w:t>No AI can exercise constitutional authority</w:t>
      </w:r>
    </w:p>
    <w:p>
      <w:r>
        <w:t>Why This Matters:</w:t>
      </w:r>
    </w:p>
    <w:p>
      <w:r>
        <w:t>Without clear boundaries, AI could acquire unconstitutional influence</w:t>
      </w:r>
    </w:p>
    <w:p>
      <w:r>
        <w:t>Without human supremacy, constitutional authority is compromised</w:t>
      </w:r>
    </w:p>
    <w:p>
      <w:r>
        <w:t>Without governance, AI decisions are unaccountable</w:t>
      </w:r>
    </w:p>
    <w:p>
      <w:r>
        <w:t>Constitutional legitimacy requires human governance</w:t>
      </w:r>
    </w:p>
    <w:p>
      <w:r>
        <w:t>Relation to Layer 0:</w:t>
      </w:r>
    </w:p>
    <w:p>
      <w:r>
        <w:t>This Section implements the Human Governance Doctrine (0.10), Trust Doctrine (0.3), and Evidence Doctrine (0.5) established in Layer 0. All AI governance requirements derive their constitutional authority from Layer 0.</w:t>
      </w:r>
    </w:p>
    <w:p>
      <w:r>
        <w:t>64.2 Constitutional AI Invariants</w:t>
      </w:r>
    </w:p>
    <w:p>
      <w:r>
        <w:t>Constitutional Principle:</w:t>
      </w:r>
    </w:p>
    <w:p>
      <w:r>
        <w:t>The following shall never be delegated to AI under any circumstances.</w:t>
      </w:r>
    </w:p>
    <w:p>
      <w:r>
        <w:t>AI Invariants:</w:t>
      </w:r>
    </w:p>
    <w:p>
      <w:r>
        <w:t>Invariant Protection:</w:t>
      </w:r>
    </w:p>
    <w:p>
      <w:r>
        <w:t>What This Means in Practice:</w:t>
      </w:r>
    </w:p>
    <w:p>
      <w:r>
        <w:t>AI Invariants are absolute</w:t>
      </w:r>
    </w:p>
    <w:p>
      <w:r>
        <w:t>AI cannot exercise constitutional authority</w:t>
      </w:r>
    </w:p>
    <w:p>
      <w:r>
        <w:t>Human governance remains supreme</w:t>
      </w:r>
    </w:p>
    <w:p>
      <w:r>
        <w:t>No AI can override human authority</w:t>
      </w:r>
    </w:p>
    <w:p>
      <w:r>
        <w:t>Why This Matters:</w:t>
      </w:r>
    </w:p>
    <w:p>
      <w:r>
        <w:t>Invariants protect constitutional authority</w:t>
      </w:r>
    </w:p>
    <w:p>
      <w:r>
        <w:t>Human governance is preserved</w:t>
      </w:r>
    </w:p>
    <w:p>
      <w:r>
        <w:t>AI is constrained to advisory roles</w:t>
      </w:r>
    </w:p>
    <w:p>
      <w:r>
        <w:t>Constitutional legitimacy is protected</w:t>
      </w:r>
    </w:p>
    <w:p>
      <w:r>
        <w:t>64.3 AI Classification Framework</w:t>
      </w:r>
    </w:p>
    <w:p>
      <w:r>
        <w:t>Constitutional Principle:</w:t>
      </w:r>
    </w:p>
    <w:p>
      <w:r>
        <w:t>AI systems shall be classified according to their constitutional risk and authority level.</w:t>
      </w:r>
    </w:p>
    <w:p>
      <w:r>
        <w:t>AI Classifications:</w:t>
      </w:r>
    </w:p>
    <w:p>
      <w:r>
        <w:t>Classification Rule:</w:t>
      </w:r>
    </w:p>
    <w:p>
      <w:r>
        <w:t>What This Means in Practice:</w:t>
      </w:r>
    </w:p>
    <w:p>
      <w:r>
        <w:t>All AI systems are classified</w:t>
      </w:r>
    </w:p>
    <w:p>
      <w:r>
        <w:t>Constitutional AI is prohibited</w:t>
      </w:r>
    </w:p>
    <w:p>
      <w:r>
        <w:t>Classification determines governance</w:t>
      </w:r>
    </w:p>
    <w:p>
      <w:r>
        <w:t>Risk determines approval level</w:t>
      </w:r>
    </w:p>
    <w:p>
      <w:r>
        <w:t>Why This Matters:</w:t>
      </w:r>
    </w:p>
    <w:p>
      <w:r>
        <w:t>Classification enables proportional governance</w:t>
      </w:r>
    </w:p>
    <w:p>
      <w:r>
        <w:t>Prohibition prevents constitutional AI</w:t>
      </w:r>
    </w:p>
    <w:p>
      <w:r>
        <w:t>Risk assessment guides oversight</w:t>
      </w:r>
    </w:p>
    <w:p>
      <w:r>
        <w:t>Clear classification prevents ambiguity</w:t>
      </w:r>
    </w:p>
    <w:p>
      <w:r>
        <w:t>64.4 AI Decision Boundary</w:t>
      </w:r>
    </w:p>
    <w:p>
      <w:r>
        <w:t>Constitutional Principle:</w:t>
      </w:r>
    </w:p>
    <w:p>
      <w:r>
        <w:t>The boundary between AI recommendation and constitutional execution shall be clearly defined and enforced.</w:t>
      </w:r>
    </w:p>
    <w:p>
      <w:r>
        <w:t>Decision Boundary Flow:</w:t>
      </w:r>
    </w:p>
    <w:p>
      <w:r>
        <w:t>text</w:t>
      </w:r>
    </w:p>
    <w:p>
      <w:r>
        <w:t>AI may recommend</w:t>
      </w:r>
    </w:p>
    <w:p>
      <w:r>
        <w:t>│</w:t>
      </w:r>
    </w:p>
    <w:p>
      <w:r>
        <w:t>▼</w:t>
      </w:r>
    </w:p>
    <w:p>
      <w:r>
        <w:t>Human reviews</w:t>
      </w:r>
    </w:p>
    <w:p>
      <w:r>
        <w:t>│</w:t>
      </w:r>
    </w:p>
    <w:p>
      <w:r>
        <w:t>▼</w:t>
      </w:r>
    </w:p>
    <w:p>
      <w:r>
        <w:t>Human approves</w:t>
      </w:r>
    </w:p>
    <w:p>
      <w:r>
        <w:t>│</w:t>
      </w:r>
    </w:p>
    <w:p>
      <w:r>
        <w:t>▼</w:t>
      </w:r>
    </w:p>
    <w:p>
      <w:r>
        <w:t>Deterministic engine executes</w:t>
      </w:r>
    </w:p>
    <w:p>
      <w:r>
        <w:t>│</w:t>
      </w:r>
    </w:p>
    <w:p>
      <w:r>
        <w:t>▼</w:t>
      </w:r>
    </w:p>
    <w:p>
      <w:r>
        <w:t>Audit records</w:t>
      </w:r>
    </w:p>
    <w:p>
      <w:r>
        <w:t>Prohibited Flow:</w:t>
      </w:r>
    </w:p>
    <w:p>
      <w:r>
        <w:t>text</w:t>
      </w:r>
    </w:p>
    <w:p>
      <w:r>
        <w:t>AI → Execution → Money</w:t>
      </w:r>
    </w:p>
    <w:p>
      <w:r>
        <w:t>Boundary Requirements:</w:t>
      </w:r>
    </w:p>
    <w:p>
      <w:r>
        <w:t>What This Means in Practice:</w:t>
      </w:r>
    </w:p>
    <w:p>
      <w:r>
        <w:t>AI stops at recommendation</w:t>
      </w:r>
    </w:p>
    <w:p>
      <w:r>
        <w:t>Human review and approval are required</w:t>
      </w:r>
    </w:p>
    <w:p>
      <w:r>
        <w:t>Execution is deterministic</w:t>
      </w:r>
    </w:p>
    <w:p>
      <w:r>
        <w:t>Audit trails are maintained</w:t>
      </w:r>
    </w:p>
    <w:p>
      <w:r>
        <w:t>Why This Matters:</w:t>
      </w:r>
    </w:p>
    <w:p>
      <w:r>
        <w:t>The boundary prevents AI from executing constitutional actions</w:t>
      </w:r>
    </w:p>
    <w:p>
      <w:r>
        <w:t>Human review ensures accountability</w:t>
      </w:r>
    </w:p>
    <w:p>
      <w:r>
        <w:t>Deterministic execution preserves constitutional integrity</w:t>
      </w:r>
    </w:p>
    <w:p>
      <w:r>
        <w:t>Audit trails enable verification</w:t>
      </w:r>
    </w:p>
    <w:p>
      <w:r>
        <w:t>64.5 AI Permitted Activities</w:t>
      </w:r>
    </w:p>
    <w:p>
      <w:r>
        <w:t>Constitutional Principle:</w:t>
      </w:r>
    </w:p>
    <w:p>
      <w:r>
        <w:t>AI may be used for the following activities under human supervision and constitutional governance.</w:t>
      </w:r>
    </w:p>
    <w:p>
      <w:r>
        <w:t>Permitted Activities:</w:t>
      </w:r>
    </w:p>
    <w:p>
      <w:r>
        <w:t>Permitted Activity Constraints:</w:t>
      </w:r>
    </w:p>
    <w:p>
      <w:r>
        <w:t>What This Means in Practice:</w:t>
      </w:r>
    </w:p>
    <w:p>
      <w:r>
        <w:t>AI is used for advisory and analytical activities</w:t>
      </w:r>
    </w:p>
    <w:p>
      <w:r>
        <w:t>Human supervision is required</w:t>
      </w:r>
    </w:p>
    <w:p>
      <w:r>
        <w:t>Audit trails are maintained</w:t>
      </w:r>
    </w:p>
    <w:p>
      <w:r>
        <w:t>Constitutional compliance is assured</w:t>
      </w:r>
    </w:p>
    <w:p>
      <w:r>
        <w:t>64.6 AI Prohibited Activities</w:t>
      </w:r>
    </w:p>
    <w:p>
      <w:r>
        <w:t>Constitutional Principle:</w:t>
      </w:r>
    </w:p>
    <w:p>
      <w:r>
        <w:t>AI shall never be used for the following activities under any circumstances.</w:t>
      </w:r>
    </w:p>
    <w:p>
      <w:r>
        <w:t>Prohibited Activities:</w:t>
      </w:r>
    </w:p>
    <w:p>
      <w:r>
        <w:t>Prohibited Activity Constraint:</w:t>
      </w:r>
    </w:p>
    <w:p>
      <w:r>
        <w:t>What This Means in Practice:</w:t>
      </w:r>
    </w:p>
    <w:p>
      <w:r>
        <w:t>Prohibited activities are absolute</w:t>
      </w:r>
    </w:p>
    <w:p>
      <w:r>
        <w:t>No exceptions are permitted</w:t>
      </w:r>
    </w:p>
    <w:p>
      <w:r>
        <w:t>Compliance is audited</w:t>
      </w:r>
    </w:p>
    <w:p>
      <w:r>
        <w:t>Enforcement is assured</w:t>
      </w:r>
    </w:p>
    <w:p>
      <w:r>
        <w:t>64.7 Human Override Principle</w:t>
      </w:r>
    </w:p>
    <w:p>
      <w:r>
        <w:t>Constitutional Principle:</w:t>
      </w:r>
    </w:p>
    <w:p>
      <w:r>
        <w:t>Human constitutional authority may override any AI recommendation. AI may never override human authority. This principle is immutable.</w:t>
      </w:r>
    </w:p>
    <w:p>
      <w:r>
        <w:t>Human Override Requirements:</w:t>
      </w:r>
    </w:p>
    <w:p>
      <w:r>
        <w:t>Override Documentation:</w:t>
      </w:r>
    </w:p>
    <w:p>
      <w:r>
        <w:t>What This Means in Practice:</w:t>
      </w:r>
    </w:p>
    <w:p>
      <w:r>
        <w:t>Human authority is absolute</w:t>
      </w:r>
    </w:p>
    <w:p>
      <w:r>
        <w:t>AI cannot override human decisions</w:t>
      </w:r>
    </w:p>
    <w:p>
      <w:r>
        <w:t>Overrides are documented</w:t>
      </w:r>
    </w:p>
    <w:p>
      <w:r>
        <w:t>Overrides are auditable</w:t>
      </w:r>
    </w:p>
    <w:p>
      <w:r>
        <w:t>Why This Matters:</w:t>
      </w:r>
    </w:p>
    <w:p>
      <w:r>
        <w:t>Human supremacy is preserved</w:t>
      </w:r>
    </w:p>
    <w:p>
      <w:r>
        <w:t>AI cannot usurp constitutional authority</w:t>
      </w:r>
    </w:p>
    <w:p>
      <w:r>
        <w:t>Accountability is maintained</w:t>
      </w:r>
    </w:p>
    <w:p>
      <w:r>
        <w:t>Constitutional legitimacy is protected</w:t>
      </w:r>
    </w:p>
    <w:p>
      <w:r>
        <w:t>64.8 AI Explainability</w:t>
      </w:r>
    </w:p>
    <w:p>
      <w:r>
        <w:t>Constitutional Principle:</w:t>
      </w:r>
    </w:p>
    <w:p>
      <w:r>
        <w:t>Every AI recommendation shall be explainable. Human reviewers must understand why the AI recommended a particular course of action.</w:t>
      </w:r>
    </w:p>
    <w:p>
      <w:r>
        <w:t>Explainability Requirements:</w:t>
      </w:r>
    </w:p>
    <w:p>
      <w:r>
        <w:t>Explainability Standards:</w:t>
      </w:r>
    </w:p>
    <w:p>
      <w:r>
        <w:t>What This Means in Practice:</w:t>
      </w:r>
    </w:p>
    <w:p>
      <w:r>
        <w:t>AI recommendations are explainable</w:t>
      </w:r>
    </w:p>
    <w:p>
      <w:r>
        <w:t>Reasoning, evidence, and confidence are provided</w:t>
      </w:r>
    </w:p>
    <w:p>
      <w:r>
        <w:t>Limitations and assumptions are disclosed</w:t>
      </w:r>
    </w:p>
    <w:p>
      <w:r>
        <w:t>Human reviewers understand the recommendation</w:t>
      </w:r>
    </w:p>
    <w:p>
      <w:r>
        <w:t>64.9 AI Model Governance</w:t>
      </w:r>
    </w:p>
    <w:p>
      <w:r>
        <w:t>Constitutional Principle:</w:t>
      </w:r>
    </w:p>
    <w:p>
      <w:r>
        <w:t>AI models shall be governed through a defined lifecycle from proposal through retirement.</w:t>
      </w:r>
    </w:p>
    <w:p>
      <w:r>
        <w:t>Model Governance Elements:</w:t>
      </w:r>
    </w:p>
    <w:p>
      <w:r>
        <w:t>Model Governance Process:</w:t>
      </w:r>
    </w:p>
    <w:p>
      <w:r>
        <w:t>What This Means in Practice:</w:t>
      </w:r>
    </w:p>
    <w:p>
      <w:r>
        <w:t>AI models are governed</w:t>
      </w:r>
    </w:p>
    <w:p>
      <w:r>
        <w:t>Models are approved, validated, and monitored</w:t>
      </w:r>
    </w:p>
    <w:p>
      <w:r>
        <w:t>Version control and rollback are maintained</w:t>
      </w:r>
    </w:p>
    <w:p>
      <w:r>
        <w:t>Independent review is required</w:t>
      </w:r>
    </w:p>
    <w:p>
      <w:r>
        <w:t>64.10 AI Lifecycle</w:t>
      </w:r>
    </w:p>
    <w:p>
      <w:r>
        <w:t>Constitutional Principle:</w:t>
      </w:r>
    </w:p>
    <w:p>
      <w:r>
        <w:t>Every institutional AI shall follow a defined lifecycle from proposal through retirement.</w:t>
      </w:r>
    </w:p>
    <w:p>
      <w:r>
        <w:t>AI Lifecycle:</w:t>
      </w:r>
    </w:p>
    <w:p>
      <w:r>
        <w:t>text</w:t>
      </w:r>
    </w:p>
    <w:p>
      <w:r>
        <w:t>Proposal</w:t>
      </w:r>
    </w:p>
    <w:p>
      <w:r>
        <w:t>│</w:t>
      </w:r>
    </w:p>
    <w:p>
      <w:r>
        <w:t>▼</w:t>
      </w:r>
    </w:p>
    <w:p>
      <w:r>
        <w:t>Approval</w:t>
      </w:r>
    </w:p>
    <w:p>
      <w:r>
        <w:t>│</w:t>
      </w:r>
    </w:p>
    <w:p>
      <w:r>
        <w:t>▼</w:t>
      </w:r>
    </w:p>
    <w:p>
      <w:r>
        <w:t>Training</w:t>
      </w:r>
    </w:p>
    <w:p>
      <w:r>
        <w:t>│</w:t>
      </w:r>
    </w:p>
    <w:p>
      <w:r>
        <w:t>▼</w:t>
      </w:r>
    </w:p>
    <w:p>
      <w:r>
        <w:t>Validation</w:t>
      </w:r>
    </w:p>
    <w:p>
      <w:r>
        <w:t>│</w:t>
      </w:r>
    </w:p>
    <w:p>
      <w:r>
        <w:t>▼</w:t>
      </w:r>
    </w:p>
    <w:p>
      <w:r>
        <w:t>Testing</w:t>
      </w:r>
    </w:p>
    <w:p>
      <w:r>
        <w:t>│</w:t>
      </w:r>
    </w:p>
    <w:p>
      <w:r>
        <w:t>▼</w:t>
      </w:r>
    </w:p>
    <w:p>
      <w:r>
        <w:t>Deployment</w:t>
      </w:r>
    </w:p>
    <w:p>
      <w:r>
        <w:t>│</w:t>
      </w:r>
    </w:p>
    <w:p>
      <w:r>
        <w:t>▼</w:t>
      </w:r>
    </w:p>
    <w:p>
      <w:r>
        <w:t>Monitoring</w:t>
      </w:r>
    </w:p>
    <w:p>
      <w:r>
        <w:t>│</w:t>
      </w:r>
    </w:p>
    <w:p>
      <w:r>
        <w:t>▼</w:t>
      </w:r>
    </w:p>
    <w:p>
      <w:r>
        <w:t>Periodic Review</w:t>
      </w:r>
    </w:p>
    <w:p>
      <w:r>
        <w:t>│</w:t>
      </w:r>
    </w:p>
    <w:p>
      <w:r>
        <w:t>▼</w:t>
      </w:r>
    </w:p>
    <w:p>
      <w:r>
        <w:t>Retirement</w:t>
      </w:r>
    </w:p>
    <w:p>
      <w:r>
        <w:t>Lifecycle Requirements:</w:t>
      </w:r>
    </w:p>
    <w:p>
      <w:r>
        <w:t>Lifecycle Documentation:</w:t>
      </w:r>
    </w:p>
    <w:p>
      <w:r>
        <w:t>Every lifecycle stage shall be documented and auditable.</w:t>
      </w:r>
    </w:p>
    <w:p>
      <w:r>
        <w:t>64.11 AI Validation Requirements</w:t>
      </w:r>
    </w:p>
    <w:p>
      <w:r>
        <w:t>Constitutional Principle:</w:t>
      </w:r>
    </w:p>
    <w:p>
      <w:r>
        <w:t>Before deployment, every AI shall demonstrate validation across multiple dimensions.</w:t>
      </w:r>
    </w:p>
    <w:p>
      <w:r>
        <w:t>Validation Dimensions:</w:t>
      </w:r>
    </w:p>
    <w:p>
      <w:r>
        <w:t>Validation Documentation:</w:t>
      </w:r>
    </w:p>
    <w:p>
      <w:r>
        <w:t>64.12 AI Risk Taxonomy</w:t>
      </w:r>
    </w:p>
    <w:p>
      <w:r>
        <w:t>Constitutional Principle:</w:t>
      </w:r>
    </w:p>
    <w:p>
      <w:r>
        <w:t>AI risks shall be systematically identified, classified, and managed.</w:t>
      </w:r>
    </w:p>
    <w:p>
      <w:r>
        <w:t>AI Risk Categories:</w:t>
      </w:r>
    </w:p>
    <w:p>
      <w:r>
        <w:t>Risk Integration:</w:t>
      </w:r>
    </w:p>
    <w:p>
      <w:r>
        <w:t>All AI risks shall be mapped to Section 60 (Constitutional Risk Taxonomy) for consistent risk management.</w:t>
      </w:r>
    </w:p>
    <w:p>
      <w:r>
        <w:t>What This Means in Practice:</w:t>
      </w:r>
    </w:p>
    <w:p>
      <w:r>
        <w:t>AI risks are systematically identified</w:t>
      </w:r>
    </w:p>
    <w:p>
      <w:r>
        <w:t>Risks are mapped to the Risk Taxonomy</w:t>
      </w:r>
    </w:p>
    <w:p>
      <w:r>
        <w:t>Mitigations are defined</w:t>
      </w:r>
    </w:p>
    <w:p>
      <w:r>
        <w:t>Monitoring is continuous</w:t>
      </w:r>
    </w:p>
    <w:p>
      <w:r>
        <w:t>64.13 AI Incident Governance</w:t>
      </w:r>
    </w:p>
    <w:p>
      <w:r>
        <w:t>Constitutional Principle:</w:t>
      </w:r>
    </w:p>
    <w:p>
      <w:r>
        <w:t>AI incidents shall be governed through a defined incident response process.</w:t>
      </w:r>
    </w:p>
    <w:p>
      <w:r>
        <w:t>AI Incident Process:</w:t>
      </w:r>
    </w:p>
    <w:p>
      <w:r>
        <w:t>text</w:t>
      </w:r>
    </w:p>
    <w:p>
      <w:r>
        <w:t>AI Anomaly Detected</w:t>
      </w:r>
    </w:p>
    <w:p>
      <w:r>
        <w:t>│</w:t>
      </w:r>
    </w:p>
    <w:p>
      <w:r>
        <w:t>▼</w:t>
      </w:r>
    </w:p>
    <w:p>
      <w:r>
        <w:t>Suspend AI Output</w:t>
      </w:r>
    </w:p>
    <w:p>
      <w:r>
        <w:t>│</w:t>
      </w:r>
    </w:p>
    <w:p>
      <w:r>
        <w:t>▼</w:t>
      </w:r>
    </w:p>
    <w:p>
      <w:r>
        <w:t>Human Review</w:t>
      </w:r>
    </w:p>
    <w:p>
      <w:r>
        <w:t>│</w:t>
      </w:r>
    </w:p>
    <w:p>
      <w:r>
        <w:t>▼</w:t>
      </w:r>
    </w:p>
    <w:p>
      <w:r>
        <w:t>Root Cause Analysis</w:t>
      </w:r>
    </w:p>
    <w:p>
      <w:r>
        <w:t>│</w:t>
      </w:r>
    </w:p>
    <w:p>
      <w:r>
        <w:t>▼</w:t>
      </w:r>
    </w:p>
    <w:p>
      <w:r>
        <w:t>Correction</w:t>
      </w:r>
    </w:p>
    <w:p>
      <w:r>
        <w:t>│</w:t>
      </w:r>
    </w:p>
    <w:p>
      <w:r>
        <w:t>▼</w:t>
      </w:r>
    </w:p>
    <w:p>
      <w:r>
        <w:t>Independent Verification</w:t>
      </w:r>
    </w:p>
    <w:p>
      <w:r>
        <w:t>│</w:t>
      </w:r>
    </w:p>
    <w:p>
      <w:r>
        <w:t>▼</w:t>
      </w:r>
    </w:p>
    <w:p>
      <w:r>
        <w:t>Restart</w:t>
      </w:r>
    </w:p>
    <w:p>
      <w:r>
        <w:t>Incident Requirements:</w:t>
      </w:r>
    </w:p>
    <w:p>
      <w:r>
        <w:t>Incident Documentation:</w:t>
      </w:r>
    </w:p>
    <w:p>
      <w:r>
        <w:t>64.14 AI Performance Monitoring</w:t>
      </w:r>
    </w:p>
    <w:p>
      <w:r>
        <w:t>Constitutional Principle:</w:t>
      </w:r>
    </w:p>
    <w:p>
      <w:r>
        <w:t>AI performance shall be continuously monitored to ensure quality and reliability.</w:t>
      </w:r>
    </w:p>
    <w:p>
      <w:r>
        <w:t>Performance Metrics:</w:t>
      </w:r>
    </w:p>
    <w:p>
      <w:r>
        <w:t>Monitoring Requirements:</w:t>
      </w:r>
    </w:p>
    <w:p>
      <w:r>
        <w:t>64.15 AI Transparency Requirements</w:t>
      </w:r>
    </w:p>
    <w:p>
      <w:r>
        <w:t>Constitutional Principle:</w:t>
      </w:r>
    </w:p>
    <w:p>
      <w:r>
        <w:t>Every AI output shall include transparency metadata enabling verification and audit.</w:t>
      </w:r>
    </w:p>
    <w:p>
      <w:r>
        <w:t>Transparency Metadata:</w:t>
      </w:r>
    </w:p>
    <w:p>
      <w:r>
        <w:t>Transparency Requirements:</w:t>
      </w:r>
    </w:p>
    <w:p>
      <w:r>
        <w:t>What This Means in Practice:</w:t>
      </w:r>
    </w:p>
    <w:p>
      <w:r>
        <w:t>All AI outputs include transparency metadata</w:t>
      </w:r>
    </w:p>
    <w:p>
      <w:r>
        <w:t>Users know exactly where the recommendation came from</w:t>
      </w:r>
    </w:p>
    <w:p>
      <w:r>
        <w:t>Audit trails are maintained</w:t>
      </w:r>
    </w:p>
    <w:p>
      <w:r>
        <w:t>Verification is possible</w:t>
      </w:r>
    </w:p>
    <w:p>
      <w:r>
        <w:t>64.16 AI Security Requirements</w:t>
      </w:r>
    </w:p>
    <w:p>
      <w:r>
        <w:t>Constitutional Principle:</w:t>
      </w:r>
    </w:p>
    <w:p>
      <w:r>
        <w:t>AI systems shall be secured against unauthorized access, manipulation, and compromise.</w:t>
      </w:r>
    </w:p>
    <w:p>
      <w:r>
        <w:t>Security Requirements:</w:t>
      </w:r>
    </w:p>
    <w:p>
      <w:r>
        <w:t>Security Governance:</w:t>
      </w:r>
    </w:p>
    <w:p>
      <w:r>
        <w:t>64.17 External AI Governance</w:t>
      </w:r>
    </w:p>
    <w:p>
      <w:r>
        <w:t>Constitutional Principle:</w:t>
      </w:r>
    </w:p>
    <w:p>
      <w:r>
        <w:t>Third-party AI systems shall be governed through defined approval, audit, and replacement processes.</w:t>
      </w:r>
    </w:p>
    <w:p>
      <w:r>
        <w:t>External AI Requirements:</w:t>
      </w:r>
    </w:p>
    <w:p>
      <w:r>
        <w:t>External AI Constraint:</w:t>
      </w:r>
    </w:p>
    <w:p>
      <w:r>
        <w:t>64.18 AI Ethics Principles</w:t>
      </w:r>
    </w:p>
    <w:p>
      <w:r>
        <w:t>Constitutional Principle:</w:t>
      </w:r>
    </w:p>
    <w:p>
      <w:r>
        <w:t>AI shall operate according to constitutional ethics principles.</w:t>
      </w:r>
    </w:p>
    <w:p>
      <w:r>
        <w:t>Ethics Principles:</w:t>
      </w:r>
    </w:p>
    <w:p>
      <w:r>
        <w:t>Ethics Application:</w:t>
      </w:r>
    </w:p>
    <w:p>
      <w:r>
        <w:t>64.19 Constitutional AI Verification</w:t>
      </w:r>
    </w:p>
    <w:p>
      <w:r>
        <w:t>text</w:t>
      </w:r>
    </w:p>
    <w:p>
      <w:r>
        <w:t>✓ Constitutional Principle established</w:t>
      </w:r>
    </w:p>
    <w:p>
      <w:r>
        <w:t>✓ AI Classification established</w:t>
      </w:r>
    </w:p>
    <w:p>
      <w:r>
        <w:t>✓ Constitutional AI Invariants established</w:t>
      </w:r>
    </w:p>
    <w:p>
      <w:r>
        <w:t>✓ AI Decision Boundary defined</w:t>
      </w:r>
    </w:p>
    <w:p>
      <w:r>
        <w:t>✓ Permitted Activities defined</w:t>
      </w:r>
    </w:p>
    <w:p>
      <w:r>
        <w:t>✓ Prohibited Activities defined</w:t>
      </w:r>
    </w:p>
    <w:p>
      <w:r>
        <w:t>✓ Human Override Principle established</w:t>
      </w:r>
    </w:p>
    <w:p>
      <w:r>
        <w:t>✓ AI Explainability required</w:t>
      </w:r>
    </w:p>
    <w:p>
      <w:r>
        <w:t>✓ AI Model Governance established</w:t>
      </w:r>
    </w:p>
    <w:p>
      <w:r>
        <w:t>✓ AI Lifecycle defined</w:t>
      </w:r>
    </w:p>
    <w:p>
      <w:r>
        <w:t>✓ AI Validation Requirements established</w:t>
      </w:r>
    </w:p>
    <w:p>
      <w:r>
        <w:t>✓ AI Risk Taxonomy established</w:t>
      </w:r>
    </w:p>
    <w:p>
      <w:r>
        <w:t>✓ AI Incident Governance established</w:t>
      </w:r>
    </w:p>
    <w:p>
      <w:r>
        <w:t>✓ AI Performance Monitoring established</w:t>
      </w:r>
    </w:p>
    <w:p>
      <w:r>
        <w:t>✓ AI Transparency Requirements established</w:t>
      </w:r>
    </w:p>
    <w:p>
      <w:r>
        <w:t>✓ AI Security Requirements established</w:t>
      </w:r>
    </w:p>
    <w:p>
      <w:r>
        <w:t>✓ External AI Governance established</w:t>
      </w:r>
    </w:p>
    <w:p>
      <w:r>
        <w:t>✓ AI Ethics Principles established</w:t>
      </w:r>
    </w:p>
    <w:p>
      <w:r>
        <w:t>✓ Human authority is preserved</w:t>
      </w:r>
    </w:p>
    <w:p>
      <w:r>
        <w:t>✓ AI is advisory, never authoritative</w:t>
      </w:r>
    </w:p>
    <w:p>
      <w:r>
        <w:t>✓ Constitutional AI is prohibited</w:t>
      </w:r>
    </w:p>
    <w:p>
      <w:r>
        <w:t>✓ AI cannot override human authority</w:t>
      </w:r>
    </w:p>
    <w:p>
      <w:r>
        <w:t>✓ All AI recommendations require human approval</w:t>
      </w:r>
    </w:p>
    <w:p>
      <w:r>
        <w:t>✓ AI outputs are explainable and transparent</w:t>
      </w:r>
    </w:p>
    <w:p>
      <w:r>
        <w:t>✓ AI incidents trigger defined response</w:t>
      </w:r>
    </w:p>
    <w:p>
      <w:r>
        <w:t>✓ AI performance is continuously monitored</w:t>
      </w:r>
    </w:p>
    <w:p>
      <w:r>
        <w:t>✓ External AI is governed and replaceable</w:t>
      </w:r>
    </w:p>
    <w:p>
      <w:r>
        <w:t>64.20 Related Sections</w:t>
      </w:r>
    </w:p>
    <w:p>
      <w:r>
        <w:t>64.21 Constitutional Statement</w:t>
      </w:r>
    </w:p>
    <w:p>
      <w:r>
        <w:t>Constitutional Statement:</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p>
    <w:p>
      <w:r>
        <w:t>AI exists to serve the Institution. The Institution does not exist to serve AI. Constitutional supremacy, human governance, and institutional integrity shall always prevail over technological capability. This principle is immutable.</w:t>
      </w:r>
    </w:p>
    <w:p>
      <w:r>
        <w:t>64.22 Final Architectural Assessment</w:t>
      </w:r>
    </w:p>
    <w:p>
      <w:r>
        <w:t>This version is significantly stronger than the original. Key architectural improvements include:</w:t>
      </w:r>
    </w:p>
    <w:p>
      <w:r>
        <w:t>These additions transform the AI Governance section from a simple set of rules into a comprehensive constitutional governance mechanism suitable for a long-lived monetary institution.</w:t>
      </w:r>
    </w:p>
    <w:p>
      <w:r>
        <w:t>[END OF SECTION 64 — INSTITUTIONAL AI GOVERNANCE]</w:t>
      </w:r>
    </w:p>
    <w:p>
      <w:r>
        <w:t>SECTION 65 — CONSTITUTIONAL DIGITAL PRESERVATION FRAMEWORK (REGENERATED — FINAL VERSION)</w:t>
      </w:r>
    </w:p>
    <w:p>
      <w:r>
        <w:t>65.1 Constitutional Principle</w:t>
      </w:r>
    </w:p>
    <w:p>
      <w:r>
        <w:t>Constitutional Principle:</w:t>
      </w:r>
    </w:p>
    <w:p>
      <w:r>
        <w:t>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p>
    <w:p>
      <w:r>
        <w:t>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p>
    <w:p>
      <w:r>
        <w:t>What This Means in Practice:</w:t>
      </w:r>
    </w:p>
    <w:p>
      <w:r>
        <w:t>Preservation is a constitutional obligation</w:t>
      </w:r>
    </w:p>
    <w:p>
      <w:r>
        <w:t>Records remain accessible and verifiable</w:t>
      </w:r>
    </w:p>
    <w:p>
      <w:r>
        <w:t>Technological change does not compromise preservation</w:t>
      </w:r>
    </w:p>
    <w:p>
      <w:r>
        <w:t>Constitutional identity is preserved across generations</w:t>
      </w:r>
    </w:p>
    <w:p>
      <w:r>
        <w:t>Why This Matters:</w:t>
      </w:r>
    </w:p>
    <w:p>
      <w:r>
        <w:t>Without preservation, institutional memory is lost</w:t>
      </w:r>
    </w:p>
    <w:p>
      <w:r>
        <w:t>Without preservation, constitutional evidence becomes inaccessible</w:t>
      </w:r>
    </w:p>
    <w:p>
      <w:r>
        <w:t>Without preservation, future governance cannot verify historical decisions</w:t>
      </w:r>
    </w:p>
    <w:p>
      <w:r>
        <w:t>Preservation is essential to institutional continuity</w:t>
      </w:r>
    </w:p>
    <w:p>
      <w:r>
        <w:t>Relation to Layer 0:</w:t>
      </w:r>
    </w:p>
    <w:p>
      <w:r>
        <w:t>This Section implements the Longevity Doctrine (0.9), Evidence Doctrine (0.5), and Knowledge Preservation Doctrine (0.11) established in Layer 0. All preservation requirements derive their constitutional authority from Layer 0.</w:t>
      </w:r>
    </w:p>
    <w:p>
      <w:r>
        <w:t>65.2 Constitutional Preservation Principles</w:t>
      </w:r>
    </w:p>
    <w:p>
      <w:r>
        <w:t>Constitutional Principle:</w:t>
      </w:r>
    </w:p>
    <w:p>
      <w:r>
        <w:t>Digital preservation shall be governed by constitutional principles that ensure records remain authentic, accessible, and verifiable across generations.</w:t>
      </w:r>
    </w:p>
    <w:p>
      <w:r>
        <w:t>Preservation Principles:</w:t>
      </w:r>
    </w:p>
    <w:p>
      <w:r>
        <w:t>Principle Application:</w:t>
      </w:r>
    </w:p>
    <w:p>
      <w:r>
        <w:t>65.3 Preservation Scope</w:t>
      </w:r>
    </w:p>
    <w:p>
      <w:r>
        <w:t>Constitutional Principle:</w:t>
      </w:r>
    </w:p>
    <w:p>
      <w:r>
        <w:t>All constitutional records and institutional knowledge shall be preserved indefinitely.</w:t>
      </w:r>
    </w:p>
    <w:p>
      <w:r>
        <w:t>Preservation Scope:</w:t>
      </w:r>
    </w:p>
    <w:p>
      <w:r>
        <w:t>Scope Rule:</w:t>
      </w:r>
    </w:p>
    <w:p>
      <w:r>
        <w:t>The Institution shall preserve why decisions were made, not only what was decided. Context, rationale, assumptions, and dissenting opinions are essential to constitutional understanding.</w:t>
      </w:r>
    </w:p>
    <w:p>
      <w:r>
        <w:t>65.4 Preservation Classification</w:t>
      </w:r>
    </w:p>
    <w:p>
      <w:r>
        <w:t>Constitutional Principle:</w:t>
      </w:r>
    </w:p>
    <w:p>
      <w:r>
        <w:t>Different records shall receive different preservation levels based on constitutional significance.</w:t>
      </w:r>
    </w:p>
    <w:p>
      <w:r>
        <w:t>Preservation Classes:</w:t>
      </w:r>
    </w:p>
    <w:p>
      <w:r>
        <w:t>Class Requirements:</w:t>
      </w:r>
    </w:p>
    <w:p>
      <w:r>
        <w:t>65.5 Preservation Lifecycle</w:t>
      </w:r>
    </w:p>
    <w:p>
      <w:r>
        <w:t>Constitutional Principle:</w:t>
      </w:r>
    </w:p>
    <w:p>
      <w:r>
        <w:t>Digital preservation shall follow a defined lifecycle ensuring continuous integrity and accessibility.</w:t>
      </w:r>
    </w:p>
    <w:p>
      <w:r>
        <w:t>Preservation Lifecycle:</w:t>
      </w:r>
    </w:p>
    <w:p>
      <w:r>
        <w:t>text</w:t>
      </w:r>
    </w:p>
    <w:p>
      <w:r>
        <w:t>Creation</w:t>
      </w:r>
    </w:p>
    <w:p>
      <w:r>
        <w:t>│</w:t>
      </w:r>
    </w:p>
    <w:p>
      <w:r>
        <w:t>▼</w:t>
      </w:r>
    </w:p>
    <w:p>
      <w:r>
        <w:t>Verification</w:t>
      </w:r>
    </w:p>
    <w:p>
      <w:r>
        <w:t>│</w:t>
      </w:r>
    </w:p>
    <w:p>
      <w:r>
        <w:t>▼</w:t>
      </w:r>
    </w:p>
    <w:p>
      <w:r>
        <w:t>Classification</w:t>
      </w:r>
    </w:p>
    <w:p>
      <w:r>
        <w:t>│</w:t>
      </w:r>
    </w:p>
    <w:p>
      <w:r>
        <w:t>▼</w:t>
      </w:r>
    </w:p>
    <w:p>
      <w:r>
        <w:t>Archival</w:t>
      </w:r>
    </w:p>
    <w:p>
      <w:r>
        <w:t>│</w:t>
      </w:r>
    </w:p>
    <w:p>
      <w:r>
        <w:t>▼</w:t>
      </w:r>
    </w:p>
    <w:p>
      <w:r>
        <w:t>Integrity Monitoring</w:t>
      </w:r>
    </w:p>
    <w:p>
      <w:r>
        <w:t>│</w:t>
      </w:r>
    </w:p>
    <w:p>
      <w:r>
        <w:t>▼</w:t>
      </w:r>
    </w:p>
    <w:p>
      <w:r>
        <w:t>Migration</w:t>
      </w:r>
    </w:p>
    <w:p>
      <w:r>
        <w:t>│</w:t>
      </w:r>
    </w:p>
    <w:p>
      <w:r>
        <w:t>▼</w:t>
      </w:r>
    </w:p>
    <w:p>
      <w:r>
        <w:t>Verification</w:t>
      </w:r>
    </w:p>
    <w:p>
      <w:r>
        <w:t>│</w:t>
      </w:r>
    </w:p>
    <w:p>
      <w:r>
        <w:t>▼</w:t>
      </w:r>
    </w:p>
    <w:p>
      <w:r>
        <w:t>Long-Term Preservation</w:t>
      </w:r>
    </w:p>
    <w:p>
      <w:r>
        <w:t>Lifecycle Requirements:</w:t>
      </w:r>
    </w:p>
    <w:p>
      <w:r>
        <w:t>Lifecycle Documentation:</w:t>
      </w:r>
    </w:p>
    <w:p>
      <w:r>
        <w:t>Every lifecycle stage shall be documented and auditable.</w:t>
      </w:r>
    </w:p>
    <w:p>
      <w:r>
        <w:t>65.6 Provenance Requirements</w:t>
      </w:r>
    </w:p>
    <w:p>
      <w:r>
        <w:t>Constitutional Principle:</w:t>
      </w:r>
    </w:p>
    <w:p>
      <w:r>
        <w:t>Every preserved record shall maintain complete provenance documenting origin, modification, and custody.</w:t>
      </w:r>
    </w:p>
    <w:p>
      <w:r>
        <w:t>Provenance Elements:</w:t>
      </w:r>
    </w:p>
    <w:p>
      <w:r>
        <w:t>Provenance Requirements:</w:t>
      </w:r>
    </w:p>
    <w:p>
      <w:r>
        <w:t>Provenance Rule:</w:t>
      </w:r>
    </w:p>
    <w:p>
      <w:r>
        <w:t>Without provenance, archives lose evidentiary value. All preserved records shall maintain complete provenance.</w:t>
      </w:r>
    </w:p>
    <w:p>
      <w:r>
        <w:t>65.7 Format Standards</w:t>
      </w:r>
    </w:p>
    <w:p>
      <w:r>
        <w:t>Constitutional Principle:</w:t>
      </w:r>
    </w:p>
    <w:p>
      <w:r>
        <w:t>Preserved records shall use formats that remain accessible, verifiable, and interpretable over long time horizons.</w:t>
      </w:r>
    </w:p>
    <w:p>
      <w:r>
        <w:t>Format Requirements:</w:t>
      </w:r>
    </w:p>
    <w:p>
      <w:r>
        <w:t>Format Examples:</w:t>
      </w:r>
    </w:p>
    <w:p>
      <w:r>
        <w:t>65.8 Cryptographic Preservation</w:t>
      </w:r>
    </w:p>
    <w:p>
      <w:r>
        <w:t>Constitutional Principle:</w:t>
      </w:r>
    </w:p>
    <w:p>
      <w:r>
        <w:t>Cryptographic preservation ensures that preserved records remain verifiable despite cryptographic evolution.</w:t>
      </w:r>
    </w:p>
    <w:p>
      <w:r>
        <w:t>Cryptographic Preservation Requirements:</w:t>
      </w:r>
    </w:p>
    <w:p>
      <w:r>
        <w:t>Migration Process:</w:t>
      </w:r>
    </w:p>
    <w:p>
      <w:r>
        <w:t>Integration:</w:t>
      </w:r>
    </w:p>
    <w:p>
      <w:r>
        <w:t>This section links directly to Section 39 (Constitutional Cryptographic Framework) for cryptographic standards and Section 48J (Cryptographic Agility Framework) for post-quantum migration.</w:t>
      </w:r>
    </w:p>
    <w:p>
      <w:r>
        <w:t>65.9 Media Diversity</w:t>
      </w:r>
    </w:p>
    <w:p>
      <w:r>
        <w:t>Constitutional Principle:</w:t>
      </w:r>
    </w:p>
    <w:p>
      <w:r>
        <w:t>Preserved records shall be maintained across diverse media and geographic locations to reduce correlated failure risk.</w:t>
      </w:r>
    </w:p>
    <w:p>
      <w:r>
        <w:t>Media Requirements:</w:t>
      </w:r>
    </w:p>
    <w:p>
      <w:r>
        <w:t>Geographic Requirements:</w:t>
      </w:r>
    </w:p>
    <w:p>
      <w:r>
        <w:t>65.10 Preservation Governance</w:t>
      </w:r>
    </w:p>
    <w:p>
      <w:r>
        <w:t>Constitutional Principle:</w:t>
      </w:r>
    </w:p>
    <w:p>
      <w:r>
        <w:t>Preservation governance shall be distributed across constitutional bodies with clear responsibilities.</w:t>
      </w:r>
    </w:p>
    <w:p>
      <w:r>
        <w:t>Governance Responsibilities:</w:t>
      </w:r>
    </w:p>
    <w:p>
      <w:r>
        <w:t>Governance Requirements:</w:t>
      </w:r>
    </w:p>
    <w:p>
      <w:r>
        <w:t>65.11 Preservation Audits</w:t>
      </w:r>
    </w:p>
    <w:p>
      <w:r>
        <w:t>Constitutional Principle:</w:t>
      </w:r>
    </w:p>
    <w:p>
      <w:r>
        <w:t>Preservation itself shall be audited to ensure records remain accessible, authentic, and verifiable.</w:t>
      </w:r>
    </w:p>
    <w:p>
      <w:r>
        <w:t>Audit Requirements:</w:t>
      </w:r>
    </w:p>
    <w:p>
      <w:r>
        <w:t>Audit Documentation:</w:t>
      </w:r>
    </w:p>
    <w:p>
      <w:r>
        <w:t>65.12 Restoration Testing</w:t>
      </w:r>
    </w:p>
    <w:p>
      <w:r>
        <w:t>Constitutional Principle:</w:t>
      </w:r>
    </w:p>
    <w:p>
      <w:r>
        <w:t>Preserved records shall be regularly restored from archival storage to verify integrity and accessibility.</w:t>
      </w:r>
    </w:p>
    <w:p>
      <w:r>
        <w:t>Restoration Requirements:</w:t>
      </w:r>
    </w:p>
    <w:p>
      <w:r>
        <w:t>Restoration Process:</w:t>
      </w:r>
    </w:p>
    <w:p>
      <w:r>
        <w:t>65.13 Metadata Preservation</w:t>
      </w:r>
    </w:p>
    <w:p>
      <w:r>
        <w:t>Constitutional Principle:</w:t>
      </w:r>
    </w:p>
    <w:p>
      <w:r>
        <w:t>Every preserved record shall include mandatory metadata to enable discovery, verification, and governance.</w:t>
      </w:r>
    </w:p>
    <w:p>
      <w:r>
        <w:t>Mandatory Metadata:</w:t>
      </w:r>
    </w:p>
    <w:p>
      <w:r>
        <w:t>Metadata Requirements:</w:t>
      </w:r>
    </w:p>
    <w:p>
      <w:r>
        <w:t>65.14 Technology Obsolescence Management</w:t>
      </w:r>
    </w:p>
    <w:p>
      <w:r>
        <w:t>Constitutional Principle:</w:t>
      </w:r>
    </w:p>
    <w:p>
      <w:r>
        <w:t>The Institution shall monitor technological obsolescence and migrate preserved records before formats, media, or cryptographic mechanisms become unreadable or insecure.</w:t>
      </w:r>
    </w:p>
    <w:p>
      <w:r>
        <w:t>Obsolescence Monitoring:</w:t>
      </w:r>
    </w:p>
    <w:p>
      <w:r>
        <w:t>Migration Triggers:</w:t>
      </w:r>
    </w:p>
    <w:p>
      <w:r>
        <w:t>Migration Principle:</w:t>
      </w:r>
    </w:p>
    <w:p>
      <w:r>
        <w:t>Migration shall be performed before obsolescence occurs, not after. Proactive migration prevents loss of access.</w:t>
      </w:r>
    </w:p>
    <w:p>
      <w:r>
        <w:t>65.15 Authenticity Verification</w:t>
      </w:r>
    </w:p>
    <w:p>
      <w:r>
        <w:t>Constitutional Principle:</w:t>
      </w:r>
    </w:p>
    <w:p>
      <w:r>
        <w:t>Preserved records shall periodically verify authenticity through multiple mechanisms.</w:t>
      </w:r>
    </w:p>
    <w:p>
      <w:r>
        <w:t>Verification Mechanisms:</w:t>
      </w:r>
    </w:p>
    <w:p>
      <w:r>
        <w:t>Verification Process:</w:t>
      </w:r>
    </w:p>
    <w:p>
      <w:r>
        <w:t>65.16 Preservation Metrics</w:t>
      </w:r>
    </w:p>
    <w:p>
      <w:r>
        <w:t>Constitutional Principle:</w:t>
      </w:r>
    </w:p>
    <w:p>
      <w:r>
        <w:t>Preservation effectiveness shall be measured through defined metrics.</w:t>
      </w:r>
    </w:p>
    <w:p>
      <w:r>
        <w:t>Preservation Metrics:</w:t>
      </w:r>
    </w:p>
    <w:p>
      <w:r>
        <w:t>Metric Integration:</w:t>
      </w:r>
    </w:p>
    <w:p>
      <w:r>
        <w:t>These metrics shall be integrated with Section 59 (Institutional Metrics Framework) for comprehensive institutional health monitoring.</w:t>
      </w:r>
    </w:p>
    <w:p>
      <w:r>
        <w:t>65.17 Legal Preservation</w:t>
      </w:r>
    </w:p>
    <w:p>
      <w:r>
        <w:t>Constitutional Principle:</w:t>
      </w:r>
    </w:p>
    <w:p>
      <w:r>
        <w:t>Legal records shall be preserved to maintain institutional legitimacy and legal continuity.</w:t>
      </w:r>
    </w:p>
    <w:p>
      <w:r>
        <w:t>Legal Preservation Scope:</w:t>
      </w:r>
    </w:p>
    <w:p>
      <w:r>
        <w:t>Legal Preservation Requirements:</w:t>
      </w:r>
    </w:p>
    <w:p>
      <w:r>
        <w:t>65.18 Historical Context Preservation</w:t>
      </w:r>
    </w:p>
    <w:p>
      <w:r>
        <w:t>Constitutional Principle:</w:t>
      </w:r>
    </w:p>
    <w:p>
      <w:r>
        <w:t>The Institution shall preserve not only documents but also the context in which decisions were made.</w:t>
      </w:r>
    </w:p>
    <w:p>
      <w:r>
        <w:t>Context Preservation Scope:</w:t>
      </w:r>
    </w:p>
    <w:p>
      <w:r>
        <w:t>Context Preservation Requirement:</w:t>
      </w:r>
    </w:p>
    <w:p>
      <w:r>
        <w:t>Future generations should understand the reasoning, debates, and circumstances that shaped institutional decisions. Without context, records are incomplete.</w:t>
      </w:r>
    </w:p>
    <w:p>
      <w:r>
        <w:t>65.19 Preservation Risk Management</w:t>
      </w:r>
    </w:p>
    <w:p>
      <w:r>
        <w:t>Constitutional Principle:</w:t>
      </w:r>
    </w:p>
    <w:p>
      <w:r>
        <w:t>Preservation risks shall be systematically identified and managed.</w:t>
      </w:r>
    </w:p>
    <w:p>
      <w:r>
        <w:t>Preservation Risks:</w:t>
      </w:r>
    </w:p>
    <w:p>
      <w:r>
        <w:t>Risk Integration:</w:t>
      </w:r>
    </w:p>
    <w:p>
      <w:r>
        <w:t>All preservation risks shall be mapped to Section 60 (Constitutional Risk Taxonomy) for consistent risk management.</w:t>
      </w:r>
    </w:p>
    <w:p>
      <w:r>
        <w:t>65.20 Section Verification</w:t>
      </w:r>
    </w:p>
    <w:p>
      <w:r>
        <w:t>text</w:t>
      </w:r>
    </w:p>
    <w:p>
      <w:r>
        <w:t>✓ Preservation Principles established (8 principles)</w:t>
      </w:r>
    </w:p>
    <w:p>
      <w:r>
        <w:t>✓ Preservation Scope defined (18 record types)</w:t>
      </w:r>
    </w:p>
    <w:p>
      <w:r>
        <w:t>✓ Preservation Classification established (6 classes)</w:t>
      </w:r>
    </w:p>
    <w:p>
      <w:r>
        <w:t>✓ Preservation Lifecycle defined (8 stages)</w:t>
      </w:r>
    </w:p>
    <w:p>
      <w:r>
        <w:t>✓ Provenance Requirements established (9 elements)</w:t>
      </w:r>
    </w:p>
    <w:p>
      <w:r>
        <w:t>✓ Format Standards established</w:t>
      </w:r>
    </w:p>
    <w:p>
      <w:r>
        <w:t>✓ Cryptographic Preservation established</w:t>
      </w:r>
    </w:p>
    <w:p>
      <w:r>
        <w:t>✓ Media Diversity Requirements established</w:t>
      </w:r>
    </w:p>
    <w:p>
      <w:r>
        <w:t>✓ Preservation Governance established</w:t>
      </w:r>
    </w:p>
    <w:p>
      <w:r>
        <w:t>✓ Preservation Audits required</w:t>
      </w:r>
    </w:p>
    <w:p>
      <w:r>
        <w:t>✓ Restoration Testing required</w:t>
      </w:r>
    </w:p>
    <w:p>
      <w:r>
        <w:t>✓ Metadata Preservation established</w:t>
      </w:r>
    </w:p>
    <w:p>
      <w:r>
        <w:t>✓ Technology Obsolescence Management established</w:t>
      </w:r>
    </w:p>
    <w:p>
      <w:r>
        <w:t>✓ Authenticity Verification established</w:t>
      </w:r>
    </w:p>
    <w:p>
      <w:r>
        <w:t>✓ Preservation Metrics defined</w:t>
      </w:r>
    </w:p>
    <w:p>
      <w:r>
        <w:t>✓ Legal Preservation established</w:t>
      </w:r>
    </w:p>
    <w:p>
      <w:r>
        <w:t>✓ Historical Context Preservation established</w:t>
      </w:r>
    </w:p>
    <w:p>
      <w:r>
        <w:t>✓ Preservation Risk Management established</w:t>
      </w:r>
    </w:p>
    <w:p>
      <w:r>
        <w:t>✓ Constitutional records are permanent</w:t>
      </w:r>
    </w:p>
    <w:p>
      <w:r>
        <w:t>✓ Preservation is independent of vendors</w:t>
      </w:r>
    </w:p>
    <w:p>
      <w:r>
        <w:t>✓ Migration occurs before obsolescence</w:t>
      </w:r>
    </w:p>
    <w:p>
      <w:r>
        <w:t>✓ Records are geographically distributed</w:t>
      </w:r>
    </w:p>
    <w:p>
      <w:r>
        <w:t>✓ Authenticity is periodically verified</w:t>
      </w:r>
    </w:p>
    <w:p>
      <w:r>
        <w:t>✓ Preservation is audited</w:t>
      </w:r>
    </w:p>
    <w:p>
      <w:r>
        <w:t>✓ Restoration is tested</w:t>
      </w:r>
    </w:p>
    <w:p>
      <w:r>
        <w:t>65.21 Related Sections</w:t>
      </w:r>
    </w:p>
    <w:p>
      <w:r>
        <w:t>65.22 Constitutional Statement</w:t>
      </w:r>
    </w:p>
    <w:p>
      <w:r>
        <w:t>Constitutional Statement:</w:t>
      </w:r>
    </w:p>
    <w:p>
      <w:r>
        <w:t>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p>
    <w:p>
      <w:r>
        <w:t>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p>
    <w:p>
      <w:r>
        <w:t>Preservation is constitutional infrastructure. Preservation is institutional continuity. Preservation is the guarantee that the Institution of today and the Institution of a century from now are constitutionally identical.</w:t>
      </w:r>
    </w:p>
    <w:p>
      <w:r>
        <w:t>65.23 Final Architectural Assessment</w:t>
      </w:r>
    </w:p>
    <w:p>
      <w:r>
        <w:t>This version is significantly stronger than the original. Key architectural improvements include:</w:t>
      </w:r>
    </w:p>
    <w:p>
      <w:r>
        <w:t>These additions transform the Digital Preservation section from a simple archiving policy into a comprehensive constitutional preservation framework suitable for a long-lived monetary institution.</w:t>
      </w:r>
    </w:p>
    <w:p>
      <w:r>
        <w:t>[END OF SECTION 65 — CONSTITUTIONAL DIGITAL PRESERVATION FRAMEWORK]</w:t>
      </w:r>
    </w:p>
    <w:p>
      <w:r>
        <w:t>[END OF PART VI — GOVERNANCE &amp; CONSTITUTIONAL FRAMEWORK]</w:t>
      </w:r>
    </w:p>
    <w:p>
      <w:r>
        <w:t>MITHQAL v19.0 — CONSTITUTIONAL MONETARY INFRASTRUCTURE SPECIFICATION</w:t>
      </w:r>
    </w:p>
    <w:p>
      <w:r>
        <w:t>Document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Completion Summary</w:t>
      </w:r>
    </w:p>
    <w:p>
      <w:r>
        <w:t>Constitutional Invariants Summary</w:t>
      </w:r>
    </w:p>
    <w:p>
      <w:r>
        <w:t>Constitutional Features Summary</w:t>
      </w:r>
    </w:p>
    <w:p>
      <w:r>
        <w:t>✅ Constitutional Language Standards adopted</w:t>
      </w:r>
    </w:p>
    <w:p>
      <w:r>
        <w:t>✅ Constitutional Constants Registry centralized</w:t>
      </w:r>
    </w:p>
    <w:p>
      <w:r>
        <w:t>✅ Canonical Mathematical Engine defined</w:t>
      </w:r>
    </w:p>
    <w:p>
      <w:r>
        <w:t>✅ Deterministic Algorithms specified</w:t>
      </w:r>
    </w:p>
    <w:p>
      <w:r>
        <w:t>✅ Three-Layer Reserve Model implemented</w:t>
      </w:r>
    </w:p>
    <w:p>
      <w:r>
        <w:t>✅ Constitutional Currency Engine defined</w:t>
      </w:r>
    </w:p>
    <w:p>
      <w:r>
        <w:t>✅ Gold as Constitutional Monetary Anchor — immutable</w:t>
      </w:r>
    </w:p>
    <w:p>
      <w:r>
        <w:t>✅ Dynamic Bullion Allocation Framework defined</w:t>
      </w:r>
    </w:p>
    <w:p>
      <w:r>
        <w:t>✅ Constitutional Liquidity Framework defined</w:t>
      </w:r>
    </w:p>
    <w:p>
      <w:r>
        <w:t>✅ Constitutional Risk Framework defined</w:t>
      </w:r>
    </w:p>
    <w:p>
      <w:r>
        <w:t>✅ Constitutional Oracle Framework defined</w:t>
      </w:r>
    </w:p>
    <w:p>
      <w:r>
        <w:t>✅ Zero-Knowledge Proof Framework defined</w:t>
      </w:r>
    </w:p>
    <w:p>
      <w:r>
        <w:t>✅ Formal Verification Framework defined</w:t>
      </w:r>
    </w:p>
    <w:p>
      <w:r>
        <w:t>✅ Constitutional Governance Framework defined</w:t>
      </w:r>
    </w:p>
    <w:p>
      <w:r>
        <w:t>✅ Ten-Stage Amendment Process defined</w:t>
      </w:r>
    </w:p>
    <w:p>
      <w:r>
        <w:t>✅ Constitutional Continuity Framework defined</w:t>
      </w:r>
    </w:p>
    <w:p>
      <w:r>
        <w:t>✅ US Regulatory Design Framework included</w:t>
      </w:r>
    </w:p>
    <w:p>
      <w:r>
        <w:t>✅ Sharia Governance Framework included</w:t>
      </w:r>
    </w:p>
    <w:p>
      <w:r>
        <w:t>[END OF MITHQAL v19.0 — CONSTITUTIONAL MONETARY INFRASTRUCTURE SPECIFICATION]</w:t>
      </w:r>
    </w:p>
    <w:p>
      <w:r>
        <w:t>MITHQAL v19 — FINAL CONSOLIDATED IMPLEMENTATION SPECIFICATION</w:t>
      </w:r>
    </w:p>
    <w:p>
      <w:r>
        <w:t>Part 1: Layer 1 — Institutional Constitution</w:t>
      </w:r>
    </w:p>
    <w:p>
      <w:r>
        <w:t>Preamble — The Constitutional Mandate</w:t>
      </w:r>
    </w:p>
    <w:p>
      <w:r>
        <w:t>Identity</w:t>
      </w:r>
    </w:p>
    <w:p>
      <w:r>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r>
        <w:t>What This Means in Practice:</w:t>
      </w:r>
    </w:p>
    <w:p>
      <w:r>
        <w:t>The Institution is not a software project</w:t>
      </w:r>
    </w:p>
    <w:p>
      <w:r>
        <w:t>The Institution is not a blockchain application</w:t>
      </w:r>
    </w:p>
    <w:p>
      <w:r>
        <w:t>The Institution is not dependent on any specific technology stack</w:t>
      </w:r>
    </w:p>
    <w:p>
      <w:r>
        <w:t>If blockchain technology becomes obsolete, the Institution continues through other means</w:t>
      </w:r>
    </w:p>
    <w:p>
      <w:r>
        <w:t>If smart contracts are replaced by new technology, the Institution continues</w:t>
      </w:r>
    </w:p>
    <w:p>
      <w:r>
        <w:t>The legal, governance, and monetary structure is permanent; the implementation is temporary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Mission</w:t>
      </w:r>
    </w:p>
    <w:p>
      <w:r>
        <w:t>To provide a constitutional, neutral, resilient, and fully reserved settlement infrastructure for international trade.</w:t>
      </w:r>
    </w:p>
    <w:p>
      <w:r>
        <w:t>What This Means in Practice:</w:t>
      </w:r>
    </w:p>
    <w:p>
      <w:r>
        <w:t>"Constitutional" means governed by immutable principles that cannot be changed by any single actor</w:t>
      </w:r>
    </w:p>
    <w:p>
      <w:r>
        <w:t>"Neutral" means no political, economic, or jurisdictional alignment</w:t>
      </w:r>
    </w:p>
    <w:p>
      <w:r>
        <w:t>"Resilient" means designed to survive stress, crisis, and failure</w:t>
      </w:r>
    </w:p>
    <w:p>
      <w:r>
        <w:t>"Fully reserved" means every unit is backed by real assets at all times</w:t>
      </w:r>
    </w:p>
    <w:p>
      <w:r>
        <w:t>"Settlement infrastructure" means the Institution exists to facilitate value transfer, not speculation</w:t>
      </w:r>
    </w:p>
    <w:p>
      <w:r>
        <w:t>Institutional Humility</w:t>
      </w:r>
    </w:p>
    <w:p>
      <w:r>
        <w:t>The Institution makes no claim of superiority over sovereign currencies, central banks, or existing payment systems. Its objective is to complement international trade settlement through constitutional stability, transparency, and prudence.</w:t>
      </w:r>
    </w:p>
    <w:p>
      <w:r>
        <w:t>What This Means in Practice:</w:t>
      </w:r>
    </w:p>
    <w:p>
      <w:r>
        <w:t>No "world reserve currency" claims</w:t>
      </w:r>
    </w:p>
    <w:p>
      <w:r>
        <w:t>No "replacement of the dollar" claims</w:t>
      </w:r>
    </w:p>
    <w:p>
      <w:r>
        <w:t>No "superior to fiat" rhetoric</w:t>
      </w:r>
    </w:p>
    <w:p>
      <w:r>
        <w:t>Recognition that sovereign currencies are legitimate and necessary</w:t>
      </w:r>
    </w:p>
    <w:p>
      <w:r>
        <w:t>Recognition that central banks are legitimate and necessary</w:t>
      </w:r>
    </w:p>
    <w:p>
      <w:r>
        <w:t>Positioning as complementary infrastructure, not competitive alternative</w:t>
      </w:r>
    </w:p>
    <w:p>
      <w:r>
        <w:t>Example:</w:t>
      </w:r>
    </w:p>
    <w:p>
      <w:r>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r>
        <w:t>What It Is Not</w:t>
      </w:r>
    </w:p>
    <w:p>
      <w:r>
        <w:t>The Institution is:</w:t>
      </w:r>
    </w:p>
    <w:p>
      <w:r>
        <w:t>Not a bank</w:t>
      </w:r>
    </w:p>
    <w:p>
      <w:r>
        <w:t>Not a lending platform</w:t>
      </w:r>
    </w:p>
    <w:p>
      <w:r>
        <w:t>Not a payment processor</w:t>
      </w:r>
    </w:p>
    <w:p>
      <w:r>
        <w:t>Not a marketplace</w:t>
      </w:r>
    </w:p>
    <w:p>
      <w:r>
        <w:t>Not a DeFi protocol</w:t>
      </w:r>
    </w:p>
    <w:p>
      <w:r>
        <w:t>Not a speculative asset</w:t>
      </w:r>
    </w:p>
    <w:p>
      <w:r>
        <w:t>Not a platform of any kind</w:t>
      </w:r>
    </w:p>
    <w:p>
      <w:r>
        <w:t>What This Means in Practice:</w:t>
      </w:r>
    </w:p>
    <w:p>
      <w:r>
        <w:t>The Institution does not accept deposits in the banking sense</w:t>
      </w:r>
    </w:p>
    <w:p>
      <w:r>
        <w:t>The Institution does not originate loans or extend credit</w:t>
      </w:r>
    </w:p>
    <w:p>
      <w:r>
        <w:t>The Institution does not process payments (it settles value)</w:t>
      </w:r>
    </w:p>
    <w:p>
      <w:r>
        <w:t>The Institution does not match buyers and sellers</w:t>
      </w:r>
    </w:p>
    <w:p>
      <w:r>
        <w:t>The Institution does not offer yield, interest, or returns</w:t>
      </w:r>
    </w:p>
    <w:p>
      <w:r>
        <w:t>The Institution does not engage in decentralized finance activities</w:t>
      </w:r>
    </w:p>
    <w:p>
      <w:r>
        <w:t>The Institution does not operate any commercial platform</w:t>
      </w:r>
    </w:p>
    <w:p>
      <w:r>
        <w:t>Example:</w:t>
      </w:r>
    </w:p>
    <w:p>
      <w:r>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r>
        <w:t>Article I: Constitutional Objectives</w:t>
      </w:r>
    </w:p>
    <w:p>
      <w:r>
        <w:t>The Institution exists to preserve:</w:t>
      </w:r>
    </w:p>
    <w:p>
      <w:pPr>
        <w:pStyle w:val="ListNumber"/>
        <w:ind w:left="425"/>
      </w:pPr>
      <w:r>
        <w:t>Monetary Integrity</w:t>
      </w:r>
    </w:p>
    <w:p>
      <w:r>
        <w:t>The purchasing power and reliability of the settlement unit.</w:t>
      </w:r>
    </w:p>
    <w:p>
      <w:r>
        <w:t>What This Means in Practice:</w:t>
      </w:r>
    </w:p>
    <w:p>
      <w:r>
        <w:t>The settlement unit maintains stable purchasing power over time</w:t>
      </w:r>
    </w:p>
    <w:p>
      <w:r>
        <w:t>The unit is not subject to discretionary monetary expansion</w:t>
      </w:r>
    </w:p>
    <w:p>
      <w:r>
        <w:t>The unit's value is anchored to a diversified basket of real assets</w:t>
      </w:r>
    </w:p>
    <w:p>
      <w:r>
        <w:t>The unit's value is not manipulated for political or economic purposes</w:t>
      </w:r>
    </w:p>
    <w:p>
      <w:r>
        <w:t>Example:</w:t>
      </w:r>
    </w:p>
    <w:p>
      <w:r>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r>
        <w:t>Why This Matters:</w:t>
      </w:r>
    </w:p>
    <w:p>
      <w:r>
        <w:t>Without monetary integrity, the settlement unit cannot serve as a reliable store of value</w:t>
      </w:r>
    </w:p>
    <w:p>
      <w:r>
        <w:t>Without monetary integrity, participants cannot price goods and services with confidence</w:t>
      </w:r>
    </w:p>
    <w:p>
      <w:r>
        <w:t>Without monetary integrity, the Institution fails its constitutional purpose</w:t>
      </w:r>
    </w:p>
    <w:p>
      <w:pPr>
        <w:pStyle w:val="ListNumber"/>
        <w:ind w:left="425"/>
      </w:pPr>
      <w:r>
        <w:t>Full Redeemability</w:t>
      </w:r>
    </w:p>
    <w:p>
      <w:r>
        <w:t>Every unit is fully backed and redeemable.</w:t>
      </w:r>
    </w:p>
    <w:p>
      <w:r>
        <w:t>What This Means in Practice:</w:t>
      </w:r>
    </w:p>
    <w:p>
      <w:r>
        <w:t>Every MTQ in circulation has corresponding reserve assets</w:t>
      </w:r>
    </w:p>
    <w:p>
      <w:r>
        <w:t>Holders can redeem MTQ for proportional reserves at any time</w:t>
      </w:r>
    </w:p>
    <w:p>
      <w:r>
        <w:t>Redemption is not subject to discretionary approval</w:t>
      </w:r>
    </w:p>
    <w:p>
      <w:r>
        <w:t>Redemption is not suspended except in constitutional emergency</w:t>
      </w:r>
    </w:p>
    <w:p>
      <w:r>
        <w:t>Example:</w:t>
      </w:r>
    </w:p>
    <w:p>
      <w:r>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r>
        <w:t>Why This Matters:</w:t>
      </w:r>
    </w:p>
    <w:p>
      <w:r>
        <w:t>Without full redeemability, the settlement unit is a promise, not an asset</w:t>
      </w:r>
    </w:p>
    <w:p>
      <w:r>
        <w:t>Without full redeemability, trust is based on declaration, not verifiable fact</w:t>
      </w:r>
    </w:p>
    <w:p>
      <w:r>
        <w:t>Without full redeemability, the Institution is no different from fractional reserve banking</w:t>
      </w:r>
    </w:p>
    <w:p>
      <w:pPr>
        <w:pStyle w:val="ListNumber"/>
        <w:ind w:left="425"/>
      </w:pPr>
      <w:r>
        <w:t>Reserve Solvency</w:t>
      </w:r>
    </w:p>
    <w:p>
      <w:r>
        <w:t>Reserves always equal or exceed supply.</w:t>
      </w:r>
    </w:p>
    <w:p>
      <w:r>
        <w:t>What This Means in Practice:</w:t>
      </w:r>
    </w:p>
    <w:p>
      <w:r>
        <w:t>The reserve ratio never falls below 100%</w:t>
      </w:r>
    </w:p>
    <w:p>
      <w:r>
        <w:t>Reserves are held in custody, not lent or rehypothecated</w:t>
      </w:r>
    </w:p>
    <w:p>
      <w:r>
        <w:t>Reserves are audited and verified regularly</w:t>
      </w:r>
    </w:p>
    <w:p>
      <w:r>
        <w:t>Minting is permitted only upon verified deposit of equivalent value</w:t>
      </w:r>
    </w:p>
    <w:p>
      <w:r>
        <w:t>Example:</w:t>
      </w:r>
    </w:p>
    <w:p>
      <w:r>
        <w:t>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p>
    <w:p>
      <w:r>
        <w:t>Why This Matters:</w:t>
      </w:r>
    </w:p>
    <w:p>
      <w:r>
        <w:t>Without reserve solvency, the Institution is vulnerable to bank runs</w:t>
      </w:r>
    </w:p>
    <w:p>
      <w:r>
        <w:t>Without reserve solvency, the Institution cannot honor redemption obligations</w:t>
      </w:r>
    </w:p>
    <w:p>
      <w:r>
        <w:t>Without reserve solvency, the Institution is indistinguishable from leveraged financial institutions</w:t>
      </w:r>
    </w:p>
    <w:p>
      <w:pPr>
        <w:pStyle w:val="ListNumber"/>
        <w:ind w:left="425"/>
      </w:pPr>
      <w:r>
        <w:t>Neutral Cross-border Settlement</w:t>
      </w:r>
    </w:p>
    <w:p>
      <w:r>
        <w:t>No political alignment in settlement.</w:t>
      </w:r>
    </w:p>
    <w:p>
      <w:r>
        <w:t>What This Means in Practice:</w:t>
      </w:r>
    </w:p>
    <w:p>
      <w:r>
        <w:t>All eligible participants are treated equally</w:t>
      </w:r>
    </w:p>
    <w:p>
      <w:r>
        <w:t>No jurisdiction receives preferential treatment</w:t>
      </w:r>
    </w:p>
    <w:p>
      <w:r>
        <w:t>No currency receives preferential weight</w:t>
      </w:r>
    </w:p>
    <w:p>
      <w:r>
        <w:t>Settlement rules apply uniformly</w:t>
      </w:r>
    </w:p>
    <w:p>
      <w:r>
        <w:t>Political and economic disputes do not affect settlement operations</w:t>
      </w:r>
    </w:p>
    <w:p>
      <w:r>
        <w:t>Example:</w:t>
      </w:r>
    </w:p>
    <w:p>
      <w:r>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r>
        <w:t>Why This Matters:</w:t>
      </w:r>
    </w:p>
    <w:p>
      <w:r>
        <w:t>Without neutrality, the Institution becomes a political instrument</w:t>
      </w:r>
    </w:p>
    <w:p>
      <w:r>
        <w:t>Without neutrality, the Institution cannot serve as a genuinely global settlement infrastructure</w:t>
      </w:r>
    </w:p>
    <w:p>
      <w:r>
        <w:t>Without neutrality, the Institution reproduces the problems it was created to solve</w:t>
      </w:r>
    </w:p>
    <w:p>
      <w:pPr>
        <w:pStyle w:val="ListNumber"/>
        <w:ind w:left="425"/>
      </w:pPr>
      <w:r>
        <w:t>Institutional Trust</w:t>
      </w:r>
    </w:p>
    <w:p>
      <w:r>
        <w:t>Earned through transparency, not declared.</w:t>
      </w:r>
    </w:p>
    <w:p>
      <w:r>
        <w:t>What This Means in Practice:</w:t>
      </w:r>
    </w:p>
    <w:p>
      <w:r>
        <w:t>Trust is built through verifiable operations</w:t>
      </w:r>
    </w:p>
    <w:p>
      <w:r>
        <w:t>Trust is earned through consistent performance</w:t>
      </w:r>
    </w:p>
    <w:p>
      <w:r>
        <w:t>Trust is maintained through constitutional stability</w:t>
      </w:r>
    </w:p>
    <w:p>
      <w:r>
        <w:t>Trust is not claimed, promised, or marketed</w:t>
      </w:r>
    </w:p>
    <w:p>
      <w:r>
        <w:t>Example:</w:t>
      </w:r>
    </w:p>
    <w:p>
      <w:r>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r>
        <w:t>Why This Matters:</w:t>
      </w:r>
    </w:p>
    <w:p>
      <w:r>
        <w:t>Without verifiable trust, the Institution is indistinguishable from any other financial product</w:t>
      </w:r>
    </w:p>
    <w:p>
      <w:r>
        <w:t>Without verifiable trust, institutions cannot rely on the settlement unit for critical operations</w:t>
      </w:r>
    </w:p>
    <w:p>
      <w:r>
        <w:t>Without verifiable trust, the Institution's long-term viability is questionable</w:t>
      </w:r>
    </w:p>
    <w:p>
      <w:pPr>
        <w:pStyle w:val="ListNumber"/>
        <w:ind w:left="425"/>
      </w:pPr>
      <w:r>
        <w:t>Constitutional Stability</w:t>
      </w:r>
    </w:p>
    <w:p>
      <w:r>
        <w:t>The framework endures beyond technology, markets, and founders.</w:t>
      </w:r>
    </w:p>
    <w:p>
      <w:r>
        <w:t>What This Means in Practice:</w:t>
      </w:r>
    </w:p>
    <w:p>
      <w:r>
        <w:t>The Constitution is designed to last decades</w:t>
      </w:r>
    </w:p>
    <w:p>
      <w:r>
        <w:t>The Constitution does not reference specific technologies</w:t>
      </w:r>
    </w:p>
    <w:p>
      <w:r>
        <w:t>The Constitution does not reference specific individuals</w:t>
      </w:r>
    </w:p>
    <w:p>
      <w:r>
        <w:t>The Constitution is amendable only through supermajority processes</w:t>
      </w:r>
    </w:p>
    <w:p>
      <w:r>
        <w:t>The Constitution survives changes in technology, personnel, and markets</w:t>
      </w:r>
    </w:p>
    <w:p>
      <w:r>
        <w:t>Example:</w:t>
      </w:r>
    </w:p>
    <w:p>
      <w:r>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r>
        <w:t>Why This Matters:</w:t>
      </w:r>
    </w:p>
    <w:p>
      <w:r>
        <w:t>Without constitutional stability, the Institution cannot provide long-term certainty</w:t>
      </w:r>
    </w:p>
    <w:p>
      <w:r>
        <w:t>Without constitutional stability, the Institution's rules can change arbitrarily</w:t>
      </w:r>
    </w:p>
    <w:p>
      <w:r>
        <w:t>Without constitutional stability, the Institution cannot serve as a permanent infrastructure</w:t>
      </w:r>
    </w:p>
    <w:p>
      <w:r>
        <w:t>Summary Table</w:t>
      </w:r>
    </w:p>
    <w:p>
      <w:r>
        <w:t>Constitutional Interpretation</w:t>
      </w:r>
    </w:p>
    <w:p>
      <w:r>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
        <w:t>The six objectives are not ranked. Each is essential to the Institution's constitutional purpose. They form a coherent framework that defines what the Institution is and what it must preserve.</w:t>
      </w:r>
    </w:p>
    <w:p>
      <w:r>
        <w:t>[END OF ARTICLE I — CONSTITUTIONAL OBJECTIVES]</w:t>
      </w:r>
    </w:p>
    <w:p>
      <w:r>
        <w:t>Article II: Constitutional Principles</w:t>
      </w:r>
    </w:p>
    <w:p>
      <w:r>
        <w:t>Where ambiguity exists, interpretation shall be guided by the following principles:</w:t>
      </w:r>
    </w:p>
    <w:p>
      <w:pPr>
        <w:pStyle w:val="ListNumber"/>
        <w:ind w:left="425"/>
      </w:pPr>
      <w:r>
        <w:t>Prudence</w:t>
      </w:r>
    </w:p>
    <w:p>
      <w:r>
        <w:t>Caution over speculation.</w:t>
      </w:r>
    </w:p>
    <w:p>
      <w:r>
        <w:t>What This Means in Practice:</w:t>
      </w:r>
    </w:p>
    <w:p>
      <w:r>
        <w:t>Conservative assumptions in all planning</w:t>
      </w:r>
    </w:p>
    <w:p>
      <w:r>
        <w:t>Stress testing against worst-case scenarios</w:t>
      </w:r>
    </w:p>
    <w:p>
      <w:r>
        <w:t>Preservation of capital over pursuit of returns</w:t>
      </w:r>
    </w:p>
    <w:p>
      <w:r>
        <w:t>Risk avoidance over risk seeking</w:t>
      </w:r>
    </w:p>
    <w:p>
      <w:r>
        <w:t>Deliberation over speed</w:t>
      </w:r>
    </w:p>
    <w:p>
      <w:r>
        <w:t>Example:</w:t>
      </w:r>
    </w:p>
    <w:p>
      <w:r>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r>
        <w:t>Why This Matters:</w:t>
      </w:r>
    </w:p>
    <w:p>
      <w:r>
        <w:t>Without prudence, the Institution would chase returns and expose itself to unnecessary risk</w:t>
      </w:r>
    </w:p>
    <w:p>
      <w:r>
        <w:t>Without prudence, the Institution would prioritize short-term gains over long-term stability</w:t>
      </w:r>
    </w:p>
    <w:p>
      <w:r>
        <w:t>Without prudence, the Institution would fail in its constitutional duty to preserve value</w:t>
      </w:r>
    </w:p>
    <w:p>
      <w:r>
        <w:t>Application:</w:t>
      </w:r>
    </w:p>
    <w:p>
      <w:r>
        <w:t>All Council decisions shall be evaluated against the question: "Is this prudent?"</w:t>
      </w:r>
    </w:p>
    <w:p>
      <w:r>
        <w:t>The burden of proof is on those proposing higher-risk approaches to demonstrate prudence</w:t>
      </w:r>
    </w:p>
    <w:p>
      <w:r>
        <w:t>When in doubt, the prudent course of action is chosen</w:t>
      </w:r>
    </w:p>
    <w:p>
      <w:pPr>
        <w:pStyle w:val="ListNumber"/>
        <w:ind w:left="425"/>
      </w:pPr>
      <w:r>
        <w:t>Neutrality</w:t>
      </w:r>
    </w:p>
    <w:p>
      <w:r>
        <w:t>No political, economic, or jurisdictional preference.</w:t>
      </w:r>
    </w:p>
    <w:p>
      <w:r>
        <w:t>What This Means in Practice:</w:t>
      </w:r>
    </w:p>
    <w:p>
      <w:r>
        <w:t>All eligible jurisdictions are treated equally</w:t>
      </w:r>
    </w:p>
    <w:p>
      <w:r>
        <w:t>All eligible currencies are treated equally</w:t>
      </w:r>
    </w:p>
    <w:p>
      <w:r>
        <w:t>All eligible participants are treated equally</w:t>
      </w:r>
    </w:p>
    <w:p>
      <w:r>
        <w:t>No political or economic ideology is embedded in the framework</w:t>
      </w:r>
    </w:p>
    <w:p>
      <w:r>
        <w:t>The Institution serves trade, not any particular bloc or interest</w:t>
      </w:r>
    </w:p>
    <w:p>
      <w:r>
        <w:t>Example:</w:t>
      </w:r>
    </w:p>
    <w:p>
      <w:r>
        <w:t>The basket composition algorithm does not favor the United States, China, Europe, or any other jurisdiction. It weights currencies based on objective data from COFER and SWIFT, without political adjustment. The Institution is neutral by design, not by declaration.</w:t>
      </w:r>
    </w:p>
    <w:p>
      <w:r>
        <w:t>Why This Matters:</w:t>
      </w:r>
    </w:p>
    <w:p>
      <w:r>
        <w:t>Without neutrality, the Institution becomes a tool of political influence</w:t>
      </w:r>
    </w:p>
    <w:p>
      <w:r>
        <w:t>Without neutrality, the Institution cannot be trusted by all participants</w:t>
      </w:r>
    </w:p>
    <w:p>
      <w:r>
        <w:t>Without neutrality, the Institution reproduces the problems of existing systems</w:t>
      </w:r>
    </w:p>
    <w:p>
      <w:r>
        <w:t>Application:</w:t>
      </w:r>
    </w:p>
    <w:p>
      <w:r>
        <w:t>All decisions shall be evaluated against the question: "Is this neutral?"</w:t>
      </w:r>
    </w:p>
    <w:p>
      <w:r>
        <w:t>No decision shall favor any jurisdiction, currency, or participant</w:t>
      </w:r>
    </w:p>
    <w:p>
      <w:r>
        <w:t>Neutrality is demonstrated through verifiable, non-discretionary processes</w:t>
      </w:r>
    </w:p>
    <w:p>
      <w:pPr>
        <w:pStyle w:val="ListNumber"/>
        <w:ind w:left="425"/>
      </w:pPr>
      <w:r>
        <w:t>Transparency</w:t>
      </w:r>
    </w:p>
    <w:p>
      <w:r>
        <w:t>Everything auditable, nothing hidden.</w:t>
      </w:r>
    </w:p>
    <w:p>
      <w:r>
        <w:t>What This Means in Practice:</w:t>
      </w:r>
    </w:p>
    <w:p>
      <w:r>
        <w:t>All material information is published</w:t>
      </w:r>
    </w:p>
    <w:p>
      <w:r>
        <w:t>All operations are verifiable</w:t>
      </w:r>
    </w:p>
    <w:p>
      <w:r>
        <w:t>All decisions are documented</w:t>
      </w:r>
    </w:p>
    <w:p>
      <w:r>
        <w:t>All exceptions are disclosed</w:t>
      </w:r>
    </w:p>
    <w:p>
      <w:r>
        <w:t>All assumptions are made explicit</w:t>
      </w:r>
    </w:p>
    <w:p>
      <w:r>
        <w:t>Example:</w:t>
      </w:r>
    </w:p>
    <w:p>
      <w:r>
        <w:t>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p>
      <w:r>
        <w:t>Why This Matters:</w:t>
      </w:r>
    </w:p>
    <w:p>
      <w:r>
        <w:t>Without transparency, trust is based on faith, not verifiable fact</w:t>
      </w:r>
    </w:p>
    <w:p>
      <w:r>
        <w:t>Without transparency, participants cannot verify the Institution's claims</w:t>
      </w:r>
    </w:p>
    <w:p>
      <w:r>
        <w:t>Without transparency, the Institution is indistinguishable from opaque financial systems</w:t>
      </w:r>
    </w:p>
    <w:p>
      <w:r>
        <w:t>Application:</w:t>
      </w:r>
    </w:p>
    <w:p>
      <w:r>
        <w:t>All decisions shall be evaluated against the question: "Is this transparent?"</w:t>
      </w:r>
    </w:p>
    <w:p>
      <w:r>
        <w:t>No decision shall be made without documented rationale</w:t>
      </w:r>
    </w:p>
    <w:p>
      <w:r>
        <w:t>No operation shall be conducted without audit trail</w:t>
      </w:r>
    </w:p>
    <w:p>
      <w:pPr>
        <w:pStyle w:val="ListNumber"/>
        <w:ind w:left="425"/>
      </w:pPr>
      <w:r>
        <w:t>Proportionality</w:t>
      </w:r>
    </w:p>
    <w:p>
      <w:r>
        <w:t>Responses match risks.</w:t>
      </w:r>
    </w:p>
    <w:p>
      <w:r>
        <w:t>What This Means in Practice:</w:t>
      </w:r>
    </w:p>
    <w:p>
      <w:r>
        <w:t>Small risks receive appropriate attention</w:t>
      </w:r>
    </w:p>
    <w:p>
      <w:r>
        <w:t>Large risks receive heightened attention</w:t>
      </w:r>
    </w:p>
    <w:p>
      <w:r>
        <w:t>Resources are allocated to the most significant risks</w:t>
      </w:r>
    </w:p>
    <w:p>
      <w:r>
        <w:t>Control measures are commensurate with potential impact</w:t>
      </w:r>
    </w:p>
    <w:p>
      <w:r>
        <w:t>No over-reaction to minor issues, no under-reaction to major issues</w:t>
      </w:r>
    </w:p>
    <w:p>
      <w:r>
        <w:t>Example:</w:t>
      </w:r>
    </w:p>
    <w:p>
      <w:r>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r>
        <w:t>Why This Matters:</w:t>
      </w:r>
    </w:p>
    <w:p>
      <w:r>
        <w:t>Without proportionality, resources are misallocated to minor risks while major risks are neglected</w:t>
      </w:r>
    </w:p>
    <w:p>
      <w:r>
        <w:t>Without proportionality, the Institution would be paralyzed by over-reaction or vulnerable due to under-reaction</w:t>
      </w:r>
    </w:p>
    <w:p>
      <w:r>
        <w:t>Without proportionality, risk management is inefficient and ineffective</w:t>
      </w:r>
    </w:p>
    <w:p>
      <w:r>
        <w:t>Application:</w:t>
      </w:r>
    </w:p>
    <w:p>
      <w:r>
        <w:t>All responses shall be evaluated against the question: "Is this proportional?"</w:t>
      </w:r>
    </w:p>
    <w:p>
      <w:r>
        <w:t>Resources shall be allocated in proportion to risk significance</w:t>
      </w:r>
    </w:p>
    <w:p>
      <w:r>
        <w:t>Escalation shall be calibrated to risk severity</w:t>
      </w:r>
    </w:p>
    <w:p>
      <w:pPr>
        <w:pStyle w:val="ListNumber"/>
        <w:ind w:left="425"/>
      </w:pPr>
      <w:r>
        <w:t>Simplicity</w:t>
      </w:r>
    </w:p>
    <w:p>
      <w:r>
        <w:t>Complexity is a liability.</w:t>
      </w:r>
    </w:p>
    <w:p>
      <w:r>
        <w:t>What This Means in Practice:</w:t>
      </w:r>
    </w:p>
    <w:p>
      <w:r>
        <w:t>Constitutional provisions are clear and direct</w:t>
      </w:r>
    </w:p>
    <w:p>
      <w:r>
        <w:t>Governance structures are as simple as possible</w:t>
      </w:r>
    </w:p>
    <w:p>
      <w:r>
        <w:t>Operational procedures are straightforward</w:t>
      </w:r>
    </w:p>
    <w:p>
      <w:r>
        <w:t>Technical architecture is not over-engineered</w:t>
      </w:r>
    </w:p>
    <w:p>
      <w:r>
        <w:t>Complexity is justified when necessary, avoided when possible</w:t>
      </w:r>
    </w:p>
    <w:p>
      <w:r>
        <w:t>Example:</w:t>
      </w:r>
    </w:p>
    <w:p>
      <w:r>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r>
        <w:t>Why This Matters:</w:t>
      </w:r>
    </w:p>
    <w:p>
      <w:r>
        <w:t>Without simplicity, the Institution becomes difficult to understand and audit</w:t>
      </w:r>
    </w:p>
    <w:p>
      <w:r>
        <w:t>Without simplicity, the Institution becomes vulnerable to unintended consequences</w:t>
      </w:r>
    </w:p>
    <w:p>
      <w:r>
        <w:t>Without simplicity, the Institution's governance becomes opaque and unaccountable</w:t>
      </w:r>
    </w:p>
    <w:p>
      <w:r>
        <w:t>Application:</w:t>
      </w:r>
    </w:p>
    <w:p>
      <w:r>
        <w:t>All designs shall be evaluated against the question: "Is this as simple as possible?"</w:t>
      </w:r>
    </w:p>
    <w:p>
      <w:r>
        <w:t>Complexity shall be justified through demonstrated necessity</w:t>
      </w:r>
    </w:p>
    <w:p>
      <w:r>
        <w:t>Simplicity shall be preserved as a primary design goal</w:t>
      </w:r>
    </w:p>
    <w:p>
      <w:pPr>
        <w:pStyle w:val="ListNumber"/>
        <w:ind w:left="425"/>
      </w:pPr>
      <w:r>
        <w:t>Auditability</w:t>
      </w:r>
    </w:p>
    <w:p>
      <w:r>
        <w:t>Every claim verifiable.</w:t>
      </w:r>
    </w:p>
    <w:p>
      <w:r>
        <w:t>What This Means in Practice:</w:t>
      </w:r>
    </w:p>
    <w:p>
      <w:r>
        <w:t>All mathematical claims can be independently verified</w:t>
      </w:r>
    </w:p>
    <w:p>
      <w:r>
        <w:t>All reserve claims can be independently audited</w:t>
      </w:r>
    </w:p>
    <w:p>
      <w:r>
        <w:t>All governance claims can be independently reviewed</w:t>
      </w:r>
    </w:p>
    <w:p>
      <w:r>
        <w:t>All technical claims can be independently tested</w:t>
      </w:r>
    </w:p>
    <w:p>
      <w:r>
        <w:t>No claim rests solely on institutional assertion</w:t>
      </w:r>
    </w:p>
    <w:p>
      <w:r>
        <w:t>Example:</w:t>
      </w:r>
    </w:p>
    <w:p>
      <w:r>
        <w:t>The Institution claims 100%+ reserve backing. This is not simply asserted; it is verified through daily cryptographic proofs and quarterly independent physical audits. Anyone with sufficient technical capability can verify the reserve proof independently.</w:t>
      </w:r>
    </w:p>
    <w:p>
      <w:r>
        <w:t>Why This Matters:</w:t>
      </w:r>
    </w:p>
    <w:p>
      <w:r>
        <w:t>Without auditability, claims are indistinguishable from assertions</w:t>
      </w:r>
    </w:p>
    <w:p>
      <w:r>
        <w:t>Without auditability, participants must rely on trust alone</w:t>
      </w:r>
    </w:p>
    <w:p>
      <w:r>
        <w:t>Without auditability, the Institution is not verifiably different from non-transparent systems</w:t>
      </w:r>
    </w:p>
    <w:p>
      <w:r>
        <w:t>Application:</w:t>
      </w:r>
    </w:p>
    <w:p>
      <w:r>
        <w:t>All claims shall be evaluated against the question: "Is this auditable?"</w:t>
      </w:r>
    </w:p>
    <w:p>
      <w:r>
        <w:t>Auditability shall be designed in from the beginning, not added later</w:t>
      </w:r>
    </w:p>
    <w:p>
      <w:r>
        <w:t>Independent verification shall be the standard for all material claims</w:t>
      </w:r>
    </w:p>
    <w:p>
      <w:pPr>
        <w:pStyle w:val="ListNumber"/>
        <w:ind w:left="425"/>
      </w:pPr>
      <w:r>
        <w:t>Resilience</w:t>
      </w:r>
    </w:p>
    <w:p>
      <w:r>
        <w:t>Survival through stress.</w:t>
      </w:r>
    </w:p>
    <w:p>
      <w:r>
        <w:t>What This Means in Practice:</w:t>
      </w:r>
    </w:p>
    <w:p>
      <w:r>
        <w:t>Systems survive failure</w:t>
      </w:r>
    </w:p>
    <w:p>
      <w:r>
        <w:t>Operations continue during disruption</w:t>
      </w:r>
    </w:p>
    <w:p>
      <w:r>
        <w:t>Institutions persist through crisis</w:t>
      </w:r>
    </w:p>
    <w:p>
      <w:r>
        <w:t>Failure is assumed, not avoided</w:t>
      </w:r>
    </w:p>
    <w:p>
      <w:r>
        <w:t>Recovery is designed, not improvised</w:t>
      </w:r>
    </w:p>
    <w:p>
      <w:r>
        <w:t>Example:</w:t>
      </w:r>
    </w:p>
    <w:p>
      <w:r>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r>
        <w:t>Why This Matters:</w:t>
      </w:r>
    </w:p>
    <w:p>
      <w:r>
        <w:t>Without resilience, the Institution is fragile and vulnerable to disruption</w:t>
      </w:r>
    </w:p>
    <w:p>
      <w:r>
        <w:t>Without resilience, the Institution cannot be relied upon in crisis</w:t>
      </w:r>
    </w:p>
    <w:p>
      <w:r>
        <w:t>Without resilience, the Institution fails in its constitutional duty to provide stable settlement infrastructure</w:t>
      </w:r>
    </w:p>
    <w:p>
      <w:r>
        <w:t>Application:</w:t>
      </w:r>
    </w:p>
    <w:p>
      <w:r>
        <w:t>All designs shall be evaluated against the question: "Is this resilient?"</w:t>
      </w:r>
    </w:p>
    <w:p>
      <w:r>
        <w:t>Redundancy shall be built into all critical systems</w:t>
      </w:r>
    </w:p>
    <w:p>
      <w:r>
        <w:t>Failure scenarios shall be planned for in advance</w:t>
      </w:r>
    </w:p>
    <w:p>
      <w:pPr>
        <w:pStyle w:val="ListNumber"/>
        <w:ind w:left="425"/>
      </w:pPr>
      <w:r>
        <w:t>Interoperability</w:t>
      </w:r>
    </w:p>
    <w:p>
      <w:r>
        <w:t>Compatibility with existing systems.</w:t>
      </w:r>
    </w:p>
    <w:p>
      <w:r>
        <w:t>What This Means in Practice:</w:t>
      </w:r>
    </w:p>
    <w:p>
      <w:r>
        <w:t>Integration with existing financial messaging (ISO 20022)</w:t>
      </w:r>
    </w:p>
    <w:p>
      <w:r>
        <w:t>Compatibility with existing custody arrangements</w:t>
      </w:r>
    </w:p>
    <w:p>
      <w:r>
        <w:t>Integration with existing settlement systems</w:t>
      </w:r>
    </w:p>
    <w:p>
      <w:r>
        <w:t>Support for existing regulatory frameworks</w:t>
      </w:r>
    </w:p>
    <w:p>
      <w:r>
        <w:t>Use of existing standards where possible</w:t>
      </w:r>
    </w:p>
    <w:p>
      <w:r>
        <w:t>Example:</w:t>
      </w:r>
    </w:p>
    <w:p>
      <w:r>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r>
        <w:t>Why This Matters:</w:t>
      </w:r>
    </w:p>
    <w:p>
      <w:r>
        <w:t>Without interoperability, the Institution faces significant adoption barriers</w:t>
      </w:r>
    </w:p>
    <w:p>
      <w:r>
        <w:t>Without interoperability, the Institution requires costly system replacements</w:t>
      </w:r>
    </w:p>
    <w:p>
      <w:r>
        <w:t>Without interoperability, the Institution serves a limited, niche function</w:t>
      </w:r>
    </w:p>
    <w:p>
      <w:r>
        <w:t>Application:</w:t>
      </w:r>
    </w:p>
    <w:p>
      <w:r>
        <w:t>All designs shall be evaluated against the question: "Is this interoperable?"</w:t>
      </w:r>
    </w:p>
    <w:p>
      <w:r>
        <w:t>Existing standards shall be used where appropriate</w:t>
      </w:r>
    </w:p>
    <w:p>
      <w:r>
        <w:t>Integration costs shall be minimized for participants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blockchain</w:t>
      </w:r>
    </w:p>
    <w:p>
      <w:r>
        <w:t>The Institution is not married to any specific implementation</w:t>
      </w:r>
    </w:p>
    <w:p>
      <w:r>
        <w:t>Technology decisions are made in service of institutional objectives</w:t>
      </w:r>
    </w:p>
    <w:p>
      <w:r>
        <w:t>Technology is evaluated against institutional needs, not the reverse</w:t>
      </w:r>
    </w:p>
    <w:p>
      <w:r>
        <w:t>Example:</w:t>
      </w:r>
    </w:p>
    <w:p>
      <w:r>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r>
        <w:t>Why This Matters:</w:t>
      </w:r>
    </w:p>
    <w:p>
      <w:r>
        <w:t>Without technological neutrality, the Institution becomes obsolete as technology evolves</w:t>
      </w:r>
    </w:p>
    <w:p>
      <w:r>
        <w:t>Without technological neutrality, technology decisions are made for technology's sake</w:t>
      </w:r>
    </w:p>
    <w:p>
      <w:r>
        <w:t>Without technological neutrality, the Institution is dependent on technology providers</w:t>
      </w:r>
    </w:p>
    <w:p>
      <w:r>
        <w:t>Application:</w:t>
      </w:r>
    </w:p>
    <w:p>
      <w:r>
        <w:t>All technology decisions shall be evaluated against the question: "Does this serve the Institution?"</w:t>
      </w:r>
    </w:p>
    <w:p>
      <w:r>
        <w:t>No technology decision shall be made without considering alternatives</w:t>
      </w:r>
    </w:p>
    <w:p>
      <w:r>
        <w:t>Technology shall be evaluated on its ability to fulfill constitutional objectives</w:t>
      </w:r>
    </w:p>
    <w:p>
      <w:pPr>
        <w:pStyle w:val="ListNumber"/>
        <w:ind w:left="425"/>
      </w:pPr>
      <w:r>
        <w:t>Legal Adaptability</w:t>
      </w:r>
    </w:p>
    <w:p>
      <w:r>
        <w:t>Compliance without invariant compromise.</w:t>
      </w:r>
    </w:p>
    <w:p>
      <w:r>
        <w:t>What This Means in Practice:</w:t>
      </w:r>
    </w:p>
    <w:p>
      <w:r>
        <w:t>The Institution complies with applicable laws</w:t>
      </w:r>
    </w:p>
    <w:p>
      <w:r>
        <w:t>The Institution adapts to regulatory changes</w:t>
      </w:r>
    </w:p>
    <w:p>
      <w:r>
        <w:t>The Institution maintains constitutional integrity while adapting</w:t>
      </w:r>
    </w:p>
    <w:p>
      <w:r>
        <w:t>The Institution does not violate constitutional invariants for regulatory convenience</w:t>
      </w:r>
    </w:p>
    <w:p>
      <w:r>
        <w:t>The Institution seeks solutions that satisfy both legal and constitutional requirements</w:t>
      </w:r>
    </w:p>
    <w:p>
      <w:r>
        <w:t>Example:</w:t>
      </w:r>
    </w:p>
    <w:p>
      <w:r>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r>
        <w:t>Why This Matters:</w:t>
      </w:r>
    </w:p>
    <w:p>
      <w:r>
        <w:t>Without legal adaptability, the Institution is vulnerable to regulatory action</w:t>
      </w:r>
    </w:p>
    <w:p>
      <w:r>
        <w:t>Without legal adaptability, the Institution cannot operate globally</w:t>
      </w:r>
    </w:p>
    <w:p>
      <w:r>
        <w:t>Without legal adaptability, the Institution cannot maintain compliance while preserving constitutional integrity</w:t>
      </w:r>
    </w:p>
    <w:p>
      <w:r>
        <w:t>Application:</w:t>
      </w:r>
    </w:p>
    <w:p>
      <w:r>
        <w:t>All compliance decisions shall be evaluated against the question: "Does this preserve constitutional invariants?"</w:t>
      </w:r>
    </w:p>
    <w:p>
      <w:r>
        <w:t>Compliance shall be achieved through operational adaptation, not constitutional compromise</w:t>
      </w:r>
    </w:p>
    <w:p>
      <w:r>
        <w:t>Legal adaptation shall never violate constitutional principles</w:t>
      </w:r>
    </w:p>
    <w:p>
      <w:r>
        <w:t>Summary Table</w:t>
      </w:r>
    </w:p>
    <w:p>
      <w:r>
        <w:t>Constitutional Interpretation</w:t>
      </w:r>
    </w:p>
    <w:p>
      <w:r>
        <w:t>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p>
    <w:p>
      <w:r>
        <w:t>The ten principles are not ranked. Each is essential to the Institution's constitutional integrity. They form a coherent framework for interpretation and decision-making.</w:t>
      </w:r>
    </w:p>
    <w:p>
      <w:r>
        <w:t>[END OF ARTICLE II — CONSTITUTIONAL PRINCIPLES]</w:t>
      </w:r>
    </w:p>
    <w:p>
      <w:r>
        <w:t>Article III: Decision Hierarchy</w:t>
      </w:r>
    </w:p>
    <w:p>
      <w:r>
        <w:t>When constitutional objectives conflict, the following hierarchy governs:</w:t>
      </w:r>
    </w:p>
    <w:p>
      <w:r>
        <w:t>Priority 1: Constitutional Invariants</w:t>
      </w:r>
    </w:p>
    <w:p>
      <w:r>
        <w:t>Never violated. Never compromised. Never amended without supermajority.</w:t>
      </w:r>
    </w:p>
    <w:p>
      <w:r>
        <w:t>What This Means in Practice:</w:t>
      </w:r>
    </w:p>
    <w:p>
      <w:r>
        <w:t>The 100% reserve mandate is absolute</w:t>
      </w:r>
    </w:p>
    <w:p>
      <w:r>
        <w:t>The no-discretionary-minting rule is absolute</w:t>
      </w:r>
    </w:p>
    <w:p>
      <w:r>
        <w:t>The no-lending-of-reserves rule is absolute</w:t>
      </w:r>
    </w:p>
    <w:p>
      <w:r>
        <w:t>The no-commingling rule is absolute</w:t>
      </w:r>
    </w:p>
    <w:p>
      <w:r>
        <w:t>These are not subject to override by any other consideration</w:t>
      </w:r>
    </w:p>
    <w:p>
      <w:r>
        <w:t>Example:</w:t>
      </w:r>
    </w:p>
    <w:p>
      <w:r>
        <w:t>A proposal to lend 5% of reserves to earn yield is rejected immediately, regardless of the potential revenue, because lending reserves violates a constitutional invariant. No Council vote, no token holder referendum, no emergency exception can override this prohibition.</w:t>
      </w:r>
    </w:p>
    <w:p>
      <w:r>
        <w:t>Why This Matters:</w:t>
      </w:r>
    </w:p>
    <w:p>
      <w:r>
        <w:t>Without absolute protection, invariants are not truly invariant</w:t>
      </w:r>
    </w:p>
    <w:p>
      <w:r>
        <w:t>Without absolute protection, the Institution is vulnerable to pressure and compromise</w:t>
      </w:r>
    </w:p>
    <w:p>
      <w:r>
        <w:t>Without absolute protection, the Institution cannot provide constitutional certainty</w:t>
      </w:r>
    </w:p>
    <w:p>
      <w:r>
        <w:t>Application:</w:t>
      </w:r>
    </w:p>
    <w:p>
      <w:r>
        <w:t>All decisions shall be evaluated against the question: "Does this violate a constitutional invariant?"</w:t>
      </w:r>
    </w:p>
    <w:p>
      <w:r>
        <w:t>If the answer is yes, the decision is rejected immediately</w:t>
      </w:r>
    </w:p>
    <w:p>
      <w:r>
        <w:t>No further analysis is required</w:t>
      </w:r>
    </w:p>
    <w:p>
      <w:r>
        <w:t>Priority 2: Solvency and Reserve Integrity</w:t>
      </w:r>
    </w:p>
    <w:p>
      <w:r>
        <w:t>Reserves must always equal or exceed supply.</w:t>
      </w:r>
    </w:p>
    <w:p>
      <w:r>
        <w:t>What This Means in Practice:</w:t>
      </w:r>
    </w:p>
    <w:p>
      <w:r>
        <w:t>Solvency is never compromised</w:t>
      </w:r>
    </w:p>
    <w:p>
      <w:r>
        <w:t>Reserve integrity is never compromised</w:t>
      </w:r>
    </w:p>
    <w:p>
      <w:r>
        <w:t>Full redeemability is never compromised</w:t>
      </w:r>
    </w:p>
    <w:p>
      <w:r>
        <w:t>All other considerations are secondary</w:t>
      </w:r>
    </w:p>
    <w:p>
      <w:r>
        <w:t>Example:</w:t>
      </w:r>
    </w:p>
    <w:p>
      <w:r>
        <w:t>During a severe market shock, the Institution may need to pause minting, activate emergency liquidity facilities, or adjust asset allocation. These actions are taken to preserve solvency and reserve integrity, even if they cause temporary operational inconvenience.</w:t>
      </w:r>
    </w:p>
    <w:p>
      <w:r>
        <w:t>Why This Matters:</w:t>
      </w:r>
    </w:p>
    <w:p>
      <w:r>
        <w:t>Without solvency, the Institution cannot honor redemption obligations</w:t>
      </w:r>
    </w:p>
    <w:p>
      <w:r>
        <w:t>Without solvency, the Institution is indistinguishable from failed financial institutions</w:t>
      </w:r>
    </w:p>
    <w:p>
      <w:r>
        <w:t>Without solvency, trust is permanently destroyed</w:t>
      </w:r>
    </w:p>
    <w:p>
      <w:r>
        <w:t>Application:</w:t>
      </w:r>
    </w:p>
    <w:p>
      <w:r>
        <w:t>All decisions shall be evaluated against the question: "Does this preserve solvency?"</w:t>
      </w:r>
    </w:p>
    <w:p>
      <w:r>
        <w:t>Solvency shall never be sacrificed for efficiency, innovation, or any other objective</w:t>
      </w:r>
    </w:p>
    <w:p>
      <w:r>
        <w:t>Reserve integrity shall be maintained even during crisis</w:t>
      </w:r>
    </w:p>
    <w:p>
      <w:r>
        <w:t>Priority 3: Redemption Certainty</w:t>
      </w:r>
    </w:p>
    <w:p>
      <w:r>
        <w:t>Every unit is redeemable at all times.</w:t>
      </w:r>
    </w:p>
    <w:p>
      <w:r>
        <w:t>What This Means in Practice:</w:t>
      </w:r>
    </w:p>
    <w:p>
      <w:r>
        <w:t>Redemption is never suspended</w:t>
      </w:r>
    </w:p>
    <w:p>
      <w:r>
        <w:t>Redemption is never subject to discretionary approval</w:t>
      </w:r>
    </w:p>
    <w:p>
      <w:r>
        <w:t>Redemption is never delayed beyond operational timeframes</w:t>
      </w:r>
    </w:p>
    <w:p>
      <w:r>
        <w:t>Redemption is never compromised for any other objective</w:t>
      </w:r>
    </w:p>
    <w:p>
      <w:r>
        <w:t>Example:</w:t>
      </w:r>
    </w:p>
    <w:p>
      <w:r>
        <w:t>Even in a crisis, redemption requests are honored. The Institution may apply dynamic congestion fees to manage redemption volume, but redemption itself is never suspended. The right to redeem is absolute.</w:t>
      </w:r>
    </w:p>
    <w:p>
      <w:r>
        <w:t>Why This Matters:</w:t>
      </w:r>
    </w:p>
    <w:p>
      <w:r>
        <w:t>Without redemption certainty, the settlement unit is a promise, not an asset</w:t>
      </w:r>
    </w:p>
    <w:p>
      <w:r>
        <w:t>Without redemption certainty, participants cannot rely on the Institution</w:t>
      </w:r>
    </w:p>
    <w:p>
      <w:r>
        <w:t>Without redemption certainty, the Institution fails its constitutional purpose</w:t>
      </w:r>
    </w:p>
    <w:p>
      <w:r>
        <w:t>Application:</w:t>
      </w:r>
    </w:p>
    <w:p>
      <w:r>
        <w:t>All decisions shall be evaluated against the question: "Does this preserve redemption certainty?"</w:t>
      </w:r>
    </w:p>
    <w:p>
      <w:r>
        <w:t>Redemption shall never be suspended</w:t>
      </w:r>
    </w:p>
    <w:p>
      <w:r>
        <w:t>Operational adjustments shall never compromise redemption rights</w:t>
      </w:r>
    </w:p>
    <w:p>
      <w:r>
        <w:t>Priority 4: Legal Compliance</w:t>
      </w:r>
    </w:p>
    <w:p>
      <w:r>
        <w:t>The Institution operates within applicable law.</w:t>
      </w:r>
    </w:p>
    <w:p>
      <w:r>
        <w:t>What This Means in Practice:</w:t>
      </w:r>
    </w:p>
    <w:p>
      <w:r>
        <w:t>Compliance is mandatory, not optional</w:t>
      </w:r>
    </w:p>
    <w:p>
      <w:r>
        <w:t>Violations are prevented, not remediated</w:t>
      </w:r>
    </w:p>
    <w:p>
      <w:r>
        <w:t>Legal obligations are met, not interpreted away</w:t>
      </w:r>
    </w:p>
    <w:p>
      <w:r>
        <w:t>Sanctions compliance is absolute</w:t>
      </w:r>
    </w:p>
    <w:p>
      <w:r>
        <w:t>Example:</w:t>
      </w:r>
    </w:p>
    <w:p>
      <w:r>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r>
        <w:t>Why This Matters:</w:t>
      </w:r>
    </w:p>
    <w:p>
      <w:r>
        <w:t>Without legal compliance, the Institution is subject to enforcement action</w:t>
      </w:r>
    </w:p>
    <w:p>
      <w:r>
        <w:t>Without legal compliance, the Institution cannot operate globally</w:t>
      </w:r>
    </w:p>
    <w:p>
      <w:r>
        <w:t>Without legal compliance, the Institution threatens its participants</w:t>
      </w:r>
    </w:p>
    <w:p>
      <w:r>
        <w:t>Application:</w:t>
      </w:r>
    </w:p>
    <w:p>
      <w:r>
        <w:t>All decisions shall be evaluated against the question: "Is this legally compliant?"</w:t>
      </w:r>
    </w:p>
    <w:p>
      <w:r>
        <w:t>Legal compliance shall be achieved through operational adaptation</w:t>
      </w:r>
    </w:p>
    <w:p>
      <w:r>
        <w:t>Compliance shall never require violation of higher priorities</w:t>
      </w:r>
    </w:p>
    <w:p>
      <w:r>
        <w:t>Priority 5: Institutional Stability</w:t>
      </w:r>
    </w:p>
    <w:p>
      <w:r>
        <w:t>The Institution survives stress and crisis.</w:t>
      </w:r>
    </w:p>
    <w:p>
      <w:r>
        <w:t>What This Means in Practice:</w:t>
      </w:r>
    </w:p>
    <w:p>
      <w:r>
        <w:t>Stability is preserved through prudent management</w:t>
      </w:r>
    </w:p>
    <w:p>
      <w:r>
        <w:t>Stability is maintained through constitutional governance</w:t>
      </w:r>
    </w:p>
    <w:p>
      <w:r>
        <w:t>Stability is supported through operational resilience</w:t>
      </w:r>
    </w:p>
    <w:p>
      <w:r>
        <w:t>Short-term adjustments do not compromise long-term stability</w:t>
      </w:r>
    </w:p>
    <w:p>
      <w:r>
        <w:t>Example:</w:t>
      </w:r>
    </w:p>
    <w:p>
      <w:r>
        <w:t>During high redemption volume, the Institution applies dynamic congestion fees to manage liquidity, but these fees are adjusted in service of stability, not revenue. The fee structure serves operational stability; operational stability does not serve the fee structure.</w:t>
      </w:r>
    </w:p>
    <w:p>
      <w:r>
        <w:t>Why This Matters:</w:t>
      </w:r>
    </w:p>
    <w:p>
      <w:r>
        <w:t>Without stability, the Institution cannot provide long-term certainty</w:t>
      </w:r>
    </w:p>
    <w:p>
      <w:r>
        <w:t>Without stability, the Institution is vulnerable to disruption</w:t>
      </w:r>
    </w:p>
    <w:p>
      <w:r>
        <w:t>Without stability, the Institution cannot fulfill its constitutional purpose</w:t>
      </w:r>
    </w:p>
    <w:p>
      <w:r>
        <w:t>Application:</w:t>
      </w:r>
    </w:p>
    <w:p>
      <w:r>
        <w:t>All decisions shall be evaluated against the question: "Does this preserve institutional stability?"</w:t>
      </w:r>
    </w:p>
    <w:p>
      <w:r>
        <w:t>Stability shall be prioritized over short-term optimization</w:t>
      </w:r>
    </w:p>
    <w:p>
      <w:r>
        <w:t>Stability shall be maintained through constitutional governance</w:t>
      </w:r>
    </w:p>
    <w:p>
      <w:r>
        <w:t>Priority 6: Operational Efficiency</w:t>
      </w:r>
    </w:p>
    <w:p>
      <w:r>
        <w:t>Operations are efficient and effective.</w:t>
      </w:r>
    </w:p>
    <w:p>
      <w:r>
        <w:t>What This Means in Practice:</w:t>
      </w:r>
    </w:p>
    <w:p>
      <w:r>
        <w:t>Costs are controlled</w:t>
      </w:r>
    </w:p>
    <w:p>
      <w:r>
        <w:t>Processes are streamlined</w:t>
      </w:r>
    </w:p>
    <w:p>
      <w:r>
        <w:t>Services are delivered effectively</w:t>
      </w:r>
    </w:p>
    <w:p>
      <w:r>
        <w:t>Efficiency does not compromise higher priorities</w:t>
      </w:r>
    </w:p>
    <w:p>
      <w:r>
        <w:t>Example:</w:t>
      </w:r>
    </w:p>
    <w:p>
      <w:r>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r>
        <w:t>Why This Matters:</w:t>
      </w:r>
    </w:p>
    <w:p>
      <w:r>
        <w:t>Without efficiency, the Institution is expensive and slow</w:t>
      </w:r>
    </w:p>
    <w:p>
      <w:r>
        <w:t>Without efficiency, the Institution cannot compete effectively</w:t>
      </w:r>
    </w:p>
    <w:p>
      <w:r>
        <w:t>Without efficiency, participants bear unnecessary costs</w:t>
      </w:r>
    </w:p>
    <w:p>
      <w:r>
        <w:t>Application:</w:t>
      </w:r>
    </w:p>
    <w:p>
      <w:r>
        <w:t>All decisions shall be evaluated against the question: "Is this efficient?"</w:t>
      </w:r>
    </w:p>
    <w:p>
      <w:r>
        <w:t>Efficiency shall be pursued within constitutional constraints</w:t>
      </w:r>
    </w:p>
    <w:p>
      <w:r>
        <w:t>Efficiency shall never compromise higher priorities</w:t>
      </w:r>
    </w:p>
    <w:p>
      <w:r>
        <w:t>Priority 7: Innovation</w:t>
      </w:r>
    </w:p>
    <w:p>
      <w:r>
        <w:t>The Institution evolves and improves.</w:t>
      </w:r>
    </w:p>
    <w:p>
      <w:r>
        <w:t>What This Means in Practice:</w:t>
      </w:r>
    </w:p>
    <w:p>
      <w:r>
        <w:t>Innovation is pursued when it improves institutional objectives</w:t>
      </w:r>
    </w:p>
    <w:p>
      <w:r>
        <w:t>Innovation is evaluated through constitutional filters</w:t>
      </w:r>
    </w:p>
    <w:p>
      <w:r>
        <w:t>Innovation does not compromise higher priorities</w:t>
      </w:r>
    </w:p>
    <w:p>
      <w:r>
        <w:t>Innovation is incremental, not destabilizing</w:t>
      </w:r>
    </w:p>
    <w:p>
      <w:r>
        <w:t>Example:</w:t>
      </w:r>
    </w:p>
    <w:p>
      <w:r>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r>
        <w:t>Why This Matters:</w:t>
      </w:r>
    </w:p>
    <w:p>
      <w:r>
        <w:t>Without innovation, the Institution becomes obsolete</w:t>
      </w:r>
    </w:p>
    <w:p>
      <w:r>
        <w:t>Without innovation, the Institution cannot adapt to changing conditions</w:t>
      </w:r>
    </w:p>
    <w:p>
      <w:r>
        <w:t>Without innovation, the Institution fails to improve over time</w:t>
      </w:r>
    </w:p>
    <w:p>
      <w:r>
        <w:t>Application:</w:t>
      </w:r>
    </w:p>
    <w:p>
      <w:r>
        <w:t>All innovations shall be evaluated against the question: "Does this serve the Institution?"</w:t>
      </w:r>
    </w:p>
    <w:p>
      <w:r>
        <w:t>Innovation shall be pursued within constitutional constraints</w:t>
      </w:r>
    </w:p>
    <w:p>
      <w:r>
        <w:t>Innovation shall never compromise higher priorities</w:t>
      </w:r>
    </w:p>
    <w:p>
      <w:r>
        <w:t>Governing Principle</w:t>
      </w:r>
    </w:p>
    <w:p>
      <w:r>
        <w:t>No lower-priority objective may override a higher-priority objective.</w:t>
      </w:r>
    </w:p>
    <w:p>
      <w:r>
        <w:t>What This Means in Practice:</w:t>
      </w:r>
    </w:p>
    <w:p>
      <w:r>
        <w:t>Efficiency cannot justify compromising solvency</w:t>
      </w:r>
    </w:p>
    <w:p>
      <w:r>
        <w:t>Innovation cannot justify violating invariants</w:t>
      </w:r>
    </w:p>
    <w:p>
      <w:r>
        <w:t>Stability cannot justify suspending redemption</w:t>
      </w:r>
    </w:p>
    <w:p>
      <w:r>
        <w:t>Legal compliance cannot justify lending reserves</w:t>
      </w:r>
    </w:p>
    <w:p>
      <w:r>
        <w:t>No lower priority can ever override a higher priority</w:t>
      </w:r>
    </w:p>
    <w:p>
      <w:r>
        <w:t>Example:</w:t>
      </w:r>
    </w:p>
    <w:p>
      <w:r>
        <w:t>A proposal to improve efficiency by reducing reserve coverage to 90% is rejected because efficiency (Priority 6) cannot override solvency (Priority 2). The proposal would violate a higher priority and is therefore invalid regardless of the efficiency benefits.</w:t>
      </w:r>
    </w:p>
    <w:p>
      <w:r>
        <w:t>Application:</w:t>
      </w:r>
    </w:p>
    <w:p>
      <w:r>
        <w:t>All decisions are evaluated against the hierarchy</w:t>
      </w:r>
    </w:p>
    <w:p>
      <w:r>
        <w:t>If a decision would satisfy a lower priority but violate a higher priority, it is rejected</w:t>
      </w:r>
    </w:p>
    <w:p>
      <w:r>
        <w:t>If a decision would satisfy a higher priority but violate a lower priority, it is accepted (subject to other constraints)</w:t>
      </w:r>
    </w:p>
    <w:p>
      <w:r>
        <w:t>Summary Table</w:t>
      </w:r>
    </w:p>
    <w:p>
      <w:r>
        <w:t>Decision-Making Process</w:t>
      </w:r>
    </w:p>
    <w:p>
      <w:r>
        <w:t>When evaluating any decision, the Council shall apply the following process:</w:t>
      </w:r>
    </w:p>
    <w:p>
      <w:r>
        <w:t>Step 1: Check Constitutional Invariants</w:t>
      </w:r>
    </w:p>
    <w:p>
      <w:r>
        <w:t>Does this decision violate any constitutional invariant?</w:t>
      </w:r>
    </w:p>
    <w:p>
      <w:r>
        <w:t>If yes: Reject immediately. No further analysis.</w:t>
      </w:r>
    </w:p>
    <w:p>
      <w:r>
        <w:t>Step 2: Check Solvency and Reserve Integrity</w:t>
      </w:r>
    </w:p>
    <w:p>
      <w:r>
        <w:t>Does this decision compromise solvency or reserve integrity?</w:t>
      </w:r>
    </w:p>
    <w:p>
      <w:r>
        <w:t>If yes: Reject immediately. No further analysis.</w:t>
      </w:r>
    </w:p>
    <w:p>
      <w:r>
        <w:t>Step 3: Check Redemption Certainty</w:t>
      </w:r>
    </w:p>
    <w:p>
      <w:r>
        <w:t>Does this decision compromise redemption certainty?</w:t>
      </w:r>
    </w:p>
    <w:p>
      <w:r>
        <w:t>If yes: Reject immediately. No further analysis.</w:t>
      </w:r>
    </w:p>
    <w:p>
      <w:r>
        <w:t>Step 4: Check Legal Compliance</w:t>
      </w:r>
    </w:p>
    <w:p>
      <w:r>
        <w:t>Is this decision legally compliant?</w:t>
      </w:r>
    </w:p>
    <w:p>
      <w:r>
        <w:t>If no: Can it be adapted to achieve legal compliance while preserving higher priorities?</w:t>
      </w:r>
    </w:p>
    <w:p>
      <w:r>
        <w:t>If no adaptation possible: Reject.</w:t>
      </w:r>
    </w:p>
    <w:p>
      <w:r>
        <w:t>Step 5: Check Institutional Stability</w:t>
      </w:r>
    </w:p>
    <w:p>
      <w:r>
        <w:t>Does this decision preserve institutional stability?</w:t>
      </w:r>
    </w:p>
    <w:p>
      <w:r>
        <w:t>If no: Can it be adapted to preserve stability?</w:t>
      </w:r>
    </w:p>
    <w:p>
      <w:r>
        <w:t>If no adaptation possible: Reject.</w:t>
      </w:r>
    </w:p>
    <w:p>
      <w:r>
        <w:t>Step 6: Check Operational Efficiency</w:t>
      </w:r>
    </w:p>
    <w:p>
      <w:r>
        <w:t>Is this decision operationally efficient?</w:t>
      </w:r>
    </w:p>
    <w:p>
      <w:r>
        <w:t>If no: Can it be adapted to improve efficiency?</w:t>
      </w:r>
    </w:p>
    <w:p>
      <w:r>
        <w:t>If no adaptation possible: Reject.</w:t>
      </w:r>
    </w:p>
    <w:p>
      <w:r>
        <w:t>Step 7: Check Innovation</w:t>
      </w:r>
    </w:p>
    <w:p>
      <w:r>
        <w:t>Does this decision advance the Institution through innovation?</w:t>
      </w:r>
    </w:p>
    <w:p>
      <w:r>
        <w:t>If no: Reconsider whether the decision is necessary.</w:t>
      </w:r>
    </w:p>
    <w:p>
      <w:r>
        <w:t>Step 8: Decision</w:t>
      </w:r>
    </w:p>
    <w:p>
      <w:r>
        <w:t>If the decision passes all steps, proceed.</w:t>
      </w:r>
    </w:p>
    <w:p>
      <w:r>
        <w:t>If the decision fails any step, reject or adapt.</w:t>
      </w:r>
    </w:p>
    <w:p>
      <w:r>
        <w:t>[END OF ARTICLE III — DECISION HIERARCHY]</w:t>
      </w:r>
    </w:p>
    <w:p>
      <w:r>
        <w:t>Article IV: Institutional Neutrality</w:t>
      </w:r>
    </w:p>
    <w:p>
      <w:r>
        <w:t>Institutional Neutrality means:</w:t>
      </w:r>
    </w:p>
    <w:p>
      <w:r>
        <w:t>No Political Alignment</w:t>
      </w:r>
    </w:p>
    <w:p>
      <w:r>
        <w:t>The Institution does not take sides in political disputes.</w:t>
      </w:r>
    </w:p>
    <w:p>
      <w:r>
        <w:t>What This Means in Practice:</w:t>
      </w:r>
    </w:p>
    <w:p>
      <w:r>
        <w:t>All political disputes are irrelevant to settlement operations</w:t>
      </w:r>
    </w:p>
    <w:p>
      <w:r>
        <w:t>The Institution does not favor any political ideology</w:t>
      </w:r>
    </w:p>
    <w:p>
      <w:r>
        <w:t>The Institution does not endorse any political position</w:t>
      </w:r>
    </w:p>
    <w:p>
      <w:r>
        <w:t>The Institution does not align with any geopolitical bloc</w:t>
      </w:r>
    </w:p>
    <w:p>
      <w:r>
        <w:t>Example:</w:t>
      </w:r>
    </w:p>
    <w:p>
      <w:r>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r>
        <w:t>Why This Matters:</w:t>
      </w:r>
    </w:p>
    <w:p>
      <w:r>
        <w:t>Without political neutrality, the Institution becomes a tool of geopolitical influence</w:t>
      </w:r>
    </w:p>
    <w:p>
      <w:r>
        <w:t>Without political neutrality, the Institution cannot be trusted by all nations</w:t>
      </w:r>
    </w:p>
    <w:p>
      <w:r>
        <w:t>Without political neutrality, the Institution reproduces the problems of existing systems</w:t>
      </w:r>
    </w:p>
    <w:p>
      <w:r>
        <w:t>Application:</w:t>
      </w:r>
    </w:p>
    <w:p>
      <w:r>
        <w:t>All decisions shall be evaluated against the question: "Does this demonstrate political neutrality?"</w:t>
      </w:r>
    </w:p>
    <w:p>
      <w:r>
        <w:t>No decision shall favor any political position or geopolitical alignment</w:t>
      </w:r>
    </w:p>
    <w:p>
      <w:r>
        <w:t>Political disputes shall not affect settlement operations</w:t>
      </w:r>
    </w:p>
    <w:p>
      <w:r>
        <w:t>No Monetary Policy Beyond Reserve Management</w:t>
      </w:r>
    </w:p>
    <w:p>
      <w:r>
        <w:t>The Institution does not implement discretionary monetary policy.</w:t>
      </w:r>
    </w:p>
    <w:p>
      <w:r>
        <w:t>What This Means in Practice:</w:t>
      </w:r>
    </w:p>
    <w:p>
      <w:r>
        <w:t>The Institution does not set interest rates</w:t>
      </w:r>
    </w:p>
    <w:p>
      <w:r>
        <w:t>The Institution does not print money</w:t>
      </w:r>
    </w:p>
    <w:p>
      <w:r>
        <w:t>The Institution does not engage in quantitative easing</w:t>
      </w:r>
    </w:p>
    <w:p>
      <w:r>
        <w:t>The Institution does not target inflation</w:t>
      </w:r>
    </w:p>
    <w:p>
      <w:r>
        <w:t>The Institution's only monetary function is reserve management</w:t>
      </w:r>
    </w:p>
    <w:p>
      <w:r>
        <w:t>Example:</w:t>
      </w:r>
    </w:p>
    <w:p>
      <w:r>
        <w:t>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p>
      <w:r>
        <w:t>Why This Matters:</w:t>
      </w:r>
    </w:p>
    <w:p>
      <w:r>
        <w:t>Without this restriction, the Institution would become a central bank</w:t>
      </w:r>
    </w:p>
    <w:p>
      <w:r>
        <w:t>Without this restriction, the Institution would be subject to political pressure</w:t>
      </w:r>
    </w:p>
    <w:p>
      <w:r>
        <w:t>Without this restriction, the Institution would lose its constitutional neutrality</w:t>
      </w:r>
    </w:p>
    <w:p>
      <w:r>
        <w:t>Application:</w:t>
      </w:r>
    </w:p>
    <w:p>
      <w:r>
        <w:t>All decisions shall be evaluated against the question: "Is this beyond reserve management?"</w:t>
      </w:r>
    </w:p>
    <w:p>
      <w:r>
        <w:t>No decision shall constitute discretionary monetary policy</w:t>
      </w:r>
    </w:p>
    <w:p>
      <w:r>
        <w:t>Reserve management shall be the sole monetary function</w:t>
      </w:r>
    </w:p>
    <w:p>
      <w:r>
        <w:t>No Speculation</w:t>
      </w:r>
    </w:p>
    <w:p>
      <w:r>
        <w:t>The Institution does not engage in speculative activity.</w:t>
      </w:r>
    </w:p>
    <w:p>
      <w:r>
        <w:t>What This Means in Practice:</w:t>
      </w:r>
    </w:p>
    <w:p>
      <w:r>
        <w:t>The Institution does not trade reserves for profit</w:t>
      </w:r>
    </w:p>
    <w:p>
      <w:r>
        <w:t>The Institution does not take speculative positions</w:t>
      </w:r>
    </w:p>
    <w:p>
      <w:r>
        <w:t>The Institution does not engage in arbitrage</w:t>
      </w:r>
    </w:p>
    <w:p>
      <w:r>
        <w:t>The Institution does not seek yield from reserve assets</w:t>
      </w:r>
    </w:p>
    <w:p>
      <w:r>
        <w:t>The Institution does not participate in financial markets</w:t>
      </w:r>
    </w:p>
    <w:p>
      <w:r>
        <w:t>Example:</w:t>
      </w:r>
    </w:p>
    <w:p>
      <w:r>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r>
        <w:t>Why This Matters:</w:t>
      </w:r>
    </w:p>
    <w:p>
      <w:r>
        <w:t>Without this restriction, the Institution would become a hedge fund</w:t>
      </w:r>
    </w:p>
    <w:p>
      <w:r>
        <w:t>Without this restriction, the Institution would expose reserves to unnecessary risk</w:t>
      </w:r>
    </w:p>
    <w:p>
      <w:r>
        <w:t>Without this restriction, the Institution would lose its constitutional purpose</w:t>
      </w:r>
    </w:p>
    <w:p>
      <w:r>
        <w:t>Application:</w:t>
      </w:r>
    </w:p>
    <w:p>
      <w:r>
        <w:t>All decisions shall be evaluated against the question: "Is this speculative?"</w:t>
      </w:r>
    </w:p>
    <w:p>
      <w:r>
        <w:t>No decision shall expose reserves to speculative risk</w:t>
      </w:r>
    </w:p>
    <w:p>
      <w:r>
        <w:t>Safety and redemption shall be the sole objectives of reserve management</w:t>
      </w:r>
    </w:p>
    <w:p>
      <w:r>
        <w:t>No Economic Intervention</w:t>
      </w:r>
    </w:p>
    <w:p>
      <w:r>
        <w:t>The Institution does not intervene in markets.</w:t>
      </w:r>
    </w:p>
    <w:p>
      <w:r>
        <w:t>What This Means in Practice:</w:t>
      </w:r>
    </w:p>
    <w:p>
      <w:r>
        <w:t>The Institution does not buy or sell currencies</w:t>
      </w:r>
    </w:p>
    <w:p>
      <w:r>
        <w:t>The Institution does not manage exchange rates</w:t>
      </w:r>
    </w:p>
    <w:p>
      <w:r>
        <w:t>The Institution does not provide liquidity to markets</w:t>
      </w:r>
    </w:p>
    <w:p>
      <w:r>
        <w:t>The Institution does not stabilize asset prices</w:t>
      </w:r>
    </w:p>
    <w:p>
      <w:r>
        <w:t>The Institution does not act as a market maker</w:t>
      </w:r>
    </w:p>
    <w:p>
      <w:r>
        <w:t>Example:</w:t>
      </w:r>
    </w:p>
    <w:p>
      <w:r>
        <w:t>The Institution does not intervene in currency markets to stabilize MTQ value. The value of MTQ is determined by its NAV, which is a function of reserve composition and algorithm. The Institution does not attempt to manage MTQ price through market operations.</w:t>
      </w:r>
    </w:p>
    <w:p>
      <w:r>
        <w:t>Why This Matters:</w:t>
      </w:r>
    </w:p>
    <w:p>
      <w:r>
        <w:t>Without this restriction, the Institution would become a market participant</w:t>
      </w:r>
    </w:p>
    <w:p>
      <w:r>
        <w:t>Without this restriction, the Institution would distort markets</w:t>
      </w:r>
    </w:p>
    <w:p>
      <w:r>
        <w:t>Without this restriction, the Institution would lose its neutrality</w:t>
      </w:r>
    </w:p>
    <w:p>
      <w:r>
        <w:t>Application:</w:t>
      </w:r>
    </w:p>
    <w:p>
      <w:r>
        <w:t>All decisions shall be evaluated against the question: "Does this constitute market intervention?"</w:t>
      </w:r>
    </w:p>
    <w:p>
      <w:r>
        <w:t>No decision shall intervene in markets</w:t>
      </w:r>
    </w:p>
    <w:p>
      <w:r>
        <w:t>Market prices shall be determined by participants, not the Institution</w:t>
      </w:r>
    </w:p>
    <w:p>
      <w:r>
        <w:t>No Preferential Jurisdiction</w:t>
      </w:r>
    </w:p>
    <w:p>
      <w:r>
        <w:t>All eligible jurisdictions are treated equally.</w:t>
      </w:r>
    </w:p>
    <w:p>
      <w:r>
        <w:t>What This Means in Practice:</w:t>
      </w:r>
    </w:p>
    <w:p>
      <w:r>
        <w:t>No jurisdiction receives privileged access</w:t>
      </w:r>
    </w:p>
    <w:p>
      <w:r>
        <w:t>No jurisdiction receives preferential treatment</w:t>
      </w:r>
    </w:p>
    <w:p>
      <w:r>
        <w:t>No jurisdiction is excluded without legal basis</w:t>
      </w:r>
    </w:p>
    <w:p>
      <w:r>
        <w:t>Jurisdictional differences are managed through operational compliance</w:t>
      </w:r>
    </w:p>
    <w:p>
      <w:r>
        <w:t>The Institution does not favor any jurisdiction in its operations</w:t>
      </w:r>
    </w:p>
    <w:p>
      <w:r>
        <w:t>Example:</w:t>
      </w:r>
    </w:p>
    <w:p>
      <w:r>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r>
        <w:t>Why This Matters:</w:t>
      </w:r>
    </w:p>
    <w:p>
      <w:r>
        <w:t>Without this restriction, the Institution would favor certain jurisdictions</w:t>
      </w:r>
    </w:p>
    <w:p>
      <w:r>
        <w:t>Without this restriction, the Institution would lose its global legitimacy</w:t>
      </w:r>
    </w:p>
    <w:p>
      <w:r>
        <w:t>Without this restriction, the Institution would reproduce colonial financial structures</w:t>
      </w:r>
    </w:p>
    <w:p>
      <w:r>
        <w:t>Application:</w:t>
      </w:r>
    </w:p>
    <w:p>
      <w:r>
        <w:t>All decisions shall be evaluated against the question: "Does this favor any jurisdiction?"</w:t>
      </w:r>
    </w:p>
    <w:p>
      <w:r>
        <w:t>No decision shall grant preferential treatment to any jurisdiction</w:t>
      </w:r>
    </w:p>
    <w:p>
      <w:r>
        <w:t>Jurisdictional differences shall be managed through compliance, not privilege</w:t>
      </w:r>
    </w:p>
    <w:p>
      <w:r>
        <w:t>Equal Treatment of All Eligible Participants</w:t>
      </w:r>
    </w:p>
    <w:p>
      <w:r>
        <w:t>All participants who meet objective criteria are treated equally.</w:t>
      </w:r>
    </w:p>
    <w:p>
      <w:r>
        <w:t>What This Means in Practice:</w:t>
      </w:r>
    </w:p>
    <w:p>
      <w:r>
        <w:t>Same fees for all participants</w:t>
      </w:r>
    </w:p>
    <w:p>
      <w:r>
        <w:t>Same redemption rights for all participants</w:t>
      </w:r>
    </w:p>
    <w:p>
      <w:r>
        <w:t>Same settlement rules for all participants</w:t>
      </w:r>
    </w:p>
    <w:p>
      <w:r>
        <w:t>Same access conditions for all participants</w:t>
      </w:r>
    </w:p>
    <w:p>
      <w:r>
        <w:t>No special treatment for any participant</w:t>
      </w:r>
    </w:p>
    <w:p>
      <w:r>
        <w:t>Example:</w:t>
      </w:r>
    </w:p>
    <w:p>
      <w:r>
        <w:t>A small trade finance platform and a large global bank pay the same fees, have the same redemption rights, and follow the same settlement rules. There are no volume discounts, preferential access, or special arrangements for any participant.</w:t>
      </w:r>
    </w:p>
    <w:p>
      <w:r>
        <w:t>Why This Matters:</w:t>
      </w:r>
    </w:p>
    <w:p>
      <w:r>
        <w:t>Without equal treatment, the Institution would favor larger participants</w:t>
      </w:r>
    </w:p>
    <w:p>
      <w:r>
        <w:t>Without equal treatment, the Institution would be captured by special interests</w:t>
      </w:r>
    </w:p>
    <w:p>
      <w:r>
        <w:t>Without equal treatment, the Institution would lose its neutrality</w:t>
      </w:r>
    </w:p>
    <w:p>
      <w:r>
        <w:t>Application:</w:t>
      </w:r>
    </w:p>
    <w:p>
      <w:r>
        <w:t>All decisions shall be evaluated against the question: "Does this treat all eligible participants equally?"</w:t>
      </w:r>
    </w:p>
    <w:p>
      <w:r>
        <w:t>No decision shall grant preferential treatment to any participant</w:t>
      </w:r>
    </w:p>
    <w:p>
      <w:r>
        <w:t>Fees, rights, and rules shall apply uniformly</w:t>
      </w:r>
    </w:p>
    <w:p>
      <w:r>
        <w:t>No Discrimination</w:t>
      </w:r>
    </w:p>
    <w:p>
      <w:r>
        <w:t>The Institution does not discriminate on any basis except objective eligibility criteria.</w:t>
      </w:r>
    </w:p>
    <w:p>
      <w:r>
        <w:t>What This Means in Practice:</w:t>
      </w:r>
    </w:p>
    <w:p>
      <w:r>
        <w:t>No discrimination by nationality</w:t>
      </w:r>
    </w:p>
    <w:p>
      <w:r>
        <w:t>No discrimination by jurisdiction</w:t>
      </w:r>
    </w:p>
    <w:p>
      <w:r>
        <w:t>No discrimination by size</w:t>
      </w:r>
    </w:p>
    <w:p>
      <w:r>
        <w:t>No discrimination by industry</w:t>
      </w:r>
    </w:p>
    <w:p>
      <w:r>
        <w:t>Objective eligibility criteria applied uniformly</w:t>
      </w:r>
    </w:p>
    <w:p>
      <w:r>
        <w:t>Example:</w:t>
      </w:r>
    </w:p>
    <w:p>
      <w:r>
        <w:t>A participant from any jurisdiction that meets objective eligibility criteria is treated equally. A participant of any size that meets objective criteria is treated equally. Eligibility is based on objective criteria, not political or subjective factors.</w:t>
      </w:r>
    </w:p>
    <w:p>
      <w:r>
        <w:t>Why This Matters:</w:t>
      </w:r>
    </w:p>
    <w:p>
      <w:r>
        <w:t>Without non-discrimination, the Institution would be discriminatory</w:t>
      </w:r>
    </w:p>
    <w:p>
      <w:r>
        <w:t>Without non-discrimination, the Institution would be legally vulnerable</w:t>
      </w:r>
    </w:p>
    <w:p>
      <w:r>
        <w:t>Without non-discrimination, the Institution would violate its constitutional principles</w:t>
      </w:r>
    </w:p>
    <w:p>
      <w:r>
        <w:t>Application:</w:t>
      </w:r>
    </w:p>
    <w:p>
      <w:r>
        <w:t>All decisions shall be evaluated against the question: "Is this discriminatory?"</w:t>
      </w:r>
    </w:p>
    <w:p>
      <w:r>
        <w:t>No decision shall discriminate on any basis except objective criteria</w:t>
      </w:r>
    </w:p>
    <w:p>
      <w:r>
        <w:t>Eligibility criteria shall be objective and applied uniformly</w:t>
      </w:r>
    </w:p>
    <w:p>
      <w:r>
        <w:t>Institutional Neutrality vs. Legal Compliance</w:t>
      </w:r>
    </w:p>
    <w:p>
      <w:r>
        <w:t>Institutional neutrality does not mean lawlessness.</w:t>
      </w:r>
    </w:p>
    <w:p>
      <w:r>
        <w:t>What This Means in Practice:</w:t>
      </w:r>
    </w:p>
    <w:p>
      <w:r>
        <w:t>The Institution complies with all applicable laws and sanctions</w:t>
      </w:r>
    </w:p>
    <w:p>
      <w:r>
        <w:t>Compliance does not constitute political alignment</w:t>
      </w:r>
    </w:p>
    <w:p>
      <w:r>
        <w:t>Sanctions compliance is mandatory and neutral</w:t>
      </w:r>
    </w:p>
    <w:p>
      <w:r>
        <w:t>Legal compliance is consistent with neutrality</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legal compliance, the Institution is vulnerable to enforcement action</w:t>
      </w:r>
    </w:p>
    <w:p>
      <w:r>
        <w:t>Without legal compliance, the Institution threatens its participants</w:t>
      </w:r>
    </w:p>
    <w:p>
      <w:r>
        <w:t>Legal compliance is consistent with institutional neutrality</w:t>
      </w:r>
    </w:p>
    <w:p>
      <w:r>
        <w:t>Application:</w:t>
      </w:r>
    </w:p>
    <w:p>
      <w:r>
        <w:t>All compliance decisions shall be evaluated against the question: "Does this preserve neutrality?"</w:t>
      </w:r>
    </w:p>
    <w:p>
      <w:r>
        <w:t>Compliance shall be achieved through operational adaptation</w:t>
      </w:r>
    </w:p>
    <w:p>
      <w:r>
        <w:t>Legal compliance shall not be conflated with political alignment</w:t>
      </w:r>
    </w:p>
    <w:p>
      <w:r>
        <w:t>Summary Table</w:t>
      </w:r>
    </w:p>
    <w:p>
      <w:r>
        <w:t>Constitutional Interpretation</w:t>
      </w:r>
    </w:p>
    <w:p>
      <w:r>
        <w:t>The Institution is neutral. This means:</w:t>
      </w:r>
    </w:p>
    <w:p>
      <w:r>
        <w:t>It does not take sides in political disputes</w:t>
      </w:r>
    </w:p>
    <w:p>
      <w:r>
        <w:t>It does not implement discretionary monetary policy</w:t>
      </w:r>
    </w:p>
    <w:p>
      <w:r>
        <w:t>It does not speculate with reserves</w:t>
      </w:r>
    </w:p>
    <w:p>
      <w:r>
        <w:t>It does not intervene in markets</w:t>
      </w:r>
    </w:p>
    <w:p>
      <w:r>
        <w:t>It does not favor any jurisdiction</w:t>
      </w:r>
    </w:p>
    <w:p>
      <w:r>
        <w:t>It treats all eligible participants equally</w:t>
      </w:r>
    </w:p>
    <w:p>
      <w:r>
        <w:t>It does not discriminate except on objective criteria</w:t>
      </w:r>
    </w:p>
    <w:p>
      <w:r>
        <w:t>Neutrality is absolute, except where legal compliance requires operational adjustments. Legal compliance shall not be construed as political alignment.</w:t>
      </w:r>
    </w:p>
    <w:p>
      <w:r>
        <w:t>[END OF ARTICLE IV — INSTITUTIONAL NEUTRALITY]</w:t>
      </w:r>
    </w:p>
    <w:p>
      <w:r>
        <w:t>Article V: Anti-Platform / No Constitutional Drift</w:t>
      </w:r>
    </w:p>
    <w:p>
      <w:r>
        <w:t>Permanent Prohibition on Expansion Beyond Constitutional Purpose</w:t>
      </w:r>
    </w:p>
    <w:p>
      <w:r>
        <w:t>The Institution shall not expand beyond its constitutional purpose. It shall not engage in:</w:t>
      </w:r>
    </w:p>
    <w:p>
      <w:r>
        <w:t>Lending</w:t>
      </w:r>
    </w:p>
    <w:p>
      <w:r>
        <w:t>Exchange operations</w:t>
      </w:r>
    </w:p>
    <w:p>
      <w:r>
        <w:t>Brokerage</w:t>
      </w:r>
    </w:p>
    <w:p>
      <w:r>
        <w:t>Asset management</w:t>
      </w:r>
    </w:p>
    <w:p>
      <w:r>
        <w:t>Retail banking</w:t>
      </w:r>
    </w:p>
    <w:p>
      <w:r>
        <w:t>Investment banking</w:t>
      </w:r>
    </w:p>
    <w:p>
      <w:r>
        <w:t>Derivatives issuance</w:t>
      </w:r>
    </w:p>
    <w:p>
      <w:r>
        <w:t>Decentralized finance protocols</w:t>
      </w:r>
    </w:p>
    <w:p>
      <w:r>
        <w:t>Platform services of any kind</w:t>
      </w:r>
    </w:p>
    <w:p>
      <w:r>
        <w:t>What This Means in Practice:</w:t>
      </w:r>
    </w:p>
    <w:p>
      <w:r>
        <w:t>The Institution's activities are limited to those explicitly authorized by the Constitution</w:t>
      </w:r>
    </w:p>
    <w:p>
      <w:r>
        <w:t>Any new activity must be clearly within the constitutional purpose</w:t>
      </w:r>
    </w:p>
    <w:p>
      <w:r>
        <w:t>Activity that could be interpreted as expanding beyond the purpose is prohibited</w:t>
      </w:r>
    </w:p>
    <w:p>
      <w:r>
        <w:t>The prohibition is permanent and not subject to amendment</w:t>
      </w:r>
    </w:p>
    <w:p>
      <w:r>
        <w:t>Example:</w:t>
      </w:r>
    </w:p>
    <w:p>
      <w:r>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r>
        <w:t>Why This Matters:</w:t>
      </w:r>
    </w:p>
    <w:p>
      <w:r>
        <w:t>Without this prohibition, the Institution would drift into commercial activities</w:t>
      </w:r>
    </w:p>
    <w:p>
      <w:r>
        <w:t>Without this prohibition, the Institution would compete with its participants</w:t>
      </w:r>
    </w:p>
    <w:p>
      <w:r>
        <w:t>Without this prohibition, the Institution would lose its neutrality</w:t>
      </w:r>
    </w:p>
    <w:p>
      <w:r>
        <w:t>Without this prohibition, the Institution would become a platform, not a monetary institution</w:t>
      </w:r>
    </w:p>
    <w:p>
      <w:r>
        <w:t>Application:</w:t>
      </w:r>
    </w:p>
    <w:p>
      <w:r>
        <w:t>All proposed activities shall be evaluated against the question: "Is this within the constitutional purpose?"</w:t>
      </w:r>
    </w:p>
    <w:p>
      <w:r>
        <w:t>Any activity that could be characterized as commercial platform services is prohibited</w:t>
      </w:r>
    </w:p>
    <w:p>
      <w:r>
        <w:t>The burden of proof is on those proposing new activities to demonstrate they are constitutional</w:t>
      </w:r>
    </w:p>
    <w:p>
      <w:r>
        <w:t>No Constitutional Drift</w:t>
      </w:r>
    </w:p>
    <w:p>
      <w:r>
        <w:t>The Constitution Shall Not Be Amended to Enable Prohibited Activities</w:t>
      </w:r>
    </w:p>
    <w:p>
      <w:r>
        <w:t>What This Means in Practice:</w:t>
      </w:r>
    </w:p>
    <w:p>
      <w:r>
        <w:t>No amendment may authorize lending, exchange operations, brokerage, asset management, retail banking, investment banking, derivatives issuance, decentralized finance protocols, or platform services of any kind</w:t>
      </w:r>
    </w:p>
    <w:p>
      <w:r>
        <w:t>Such amendments are constitutionally invalid regardless of vote count</w:t>
      </w:r>
    </w:p>
    <w:p>
      <w:r>
        <w:t>The prohibition on platform activities is permanent and not subject to amendment</w:t>
      </w:r>
    </w:p>
    <w:p>
      <w:r>
        <w:t>Example:</w:t>
      </w:r>
    </w:p>
    <w:p>
      <w:r>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r>
        <w:t>Why This Matters:</w:t>
      </w:r>
    </w:p>
    <w:p>
      <w:r>
        <w:t>Without this protection, the Constitution could be amended to enable prohibited activities</w:t>
      </w:r>
    </w:p>
    <w:p>
      <w:r>
        <w:t>Without this protection, the Institution could drift away from its constitutional purpose over time</w:t>
      </w:r>
    </w:p>
    <w:p>
      <w:r>
        <w:t>Without this protection, the Institution's constitutional integrity would be compromised</w:t>
      </w:r>
    </w:p>
    <w:p>
      <w:r>
        <w:t>Application:</w:t>
      </w:r>
    </w:p>
    <w:p>
      <w:r>
        <w:t>All proposed amendments shall be evaluated against the question: "Does this enable prohibited activities?"</w:t>
      </w:r>
    </w:p>
    <w:p>
      <w:r>
        <w:t>Any amendment that enables prohibited activities is invalid</w:t>
      </w:r>
    </w:p>
    <w:p>
      <w:r>
        <w:t>The prohibition is permanent and not subject to amendment</w:t>
      </w:r>
    </w:p>
    <w:p>
      <w:r>
        <w:t>The Constitution Shall Not Be Interpreted to Enable Prohibited Activities</w:t>
      </w:r>
    </w:p>
    <w:p>
      <w:r>
        <w:t>What This Means in Practice:</w:t>
      </w:r>
    </w:p>
    <w:p>
      <w:r>
        <w:t>The Constitution shall be interpreted narrowly with respect to permitted activities</w:t>
      </w:r>
    </w:p>
    <w:p>
      <w:r>
        <w:t>Any ambiguity shall be resolved against expansion beyond the constitutional purpose</w:t>
      </w:r>
    </w:p>
    <w:p>
      <w:r>
        <w:t>Broad interpretations that enable prohibited activities are rejected</w:t>
      </w:r>
    </w:p>
    <w:p>
      <w:r>
        <w:t>Example:</w:t>
      </w:r>
    </w:p>
    <w:p>
      <w:r>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r>
        <w:t>Why This Matters:</w:t>
      </w:r>
    </w:p>
    <w:p>
      <w:r>
        <w:t>Without this protection, interpretation could be used to enable prohibited activities</w:t>
      </w:r>
    </w:p>
    <w:p>
      <w:r>
        <w:t>Without this protection, the Institution could drift through interpretive expansion</w:t>
      </w:r>
    </w:p>
    <w:p>
      <w:r>
        <w:t>Without this protection, constitutional constraints could be circumvented</w:t>
      </w:r>
    </w:p>
    <w:p>
      <w:r>
        <w:t>Application:</w:t>
      </w:r>
    </w:p>
    <w:p>
      <w:r>
        <w:t>All interpretations shall be evaluated against the question: "Does this enable prohibited activities?"</w:t>
      </w:r>
    </w:p>
    <w:p>
      <w:r>
        <w:t>Narrow interpretations shall be preferred</w:t>
      </w:r>
    </w:p>
    <w:p>
      <w:r>
        <w:t>Broad interpretations that enable prohibited activities are rejected</w:t>
      </w:r>
    </w:p>
    <w:p>
      <w:r>
        <w:t>The Constitution Shall Not Be Diluted Through Incremental Expansion</w:t>
      </w:r>
    </w:p>
    <w:p>
      <w:r>
        <w:t>What This Means in Practice:</w:t>
      </w:r>
    </w:p>
    <w:p>
      <w:r>
        <w:t>Small expansions that collectively drift away from constitutional purpose are prohibited</w:t>
      </w:r>
    </w:p>
    <w:p>
      <w:r>
        <w:t>Each expansion is evaluated against the constitutional purpose, not just against previous expansions</w:t>
      </w:r>
    </w:p>
    <w:p>
      <w:r>
        <w:t>Incremental expansion is recognized as a threat to constitutional integrity</w:t>
      </w:r>
    </w:p>
    <w:p>
      <w:r>
        <w:t>Example:</w:t>
      </w:r>
    </w:p>
    <w:p>
      <w:r>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r>
        <w:t>Why This Matters:</w:t>
      </w:r>
    </w:p>
    <w:p>
      <w:r>
        <w:t>Without this protection, the Institution could drift through many small expansions</w:t>
      </w:r>
    </w:p>
    <w:p>
      <w:r>
        <w:t>Without this protection, the constitutional purpose could be gradually abandoned</w:t>
      </w:r>
    </w:p>
    <w:p>
      <w:r>
        <w:t>Without this protection, the Institution could become what it was never meant to be</w:t>
      </w:r>
    </w:p>
    <w:p>
      <w:r>
        <w:t>Application:</w:t>
      </w:r>
    </w:p>
    <w:p>
      <w:r>
        <w:t>All expansions shall be evaluated against the question: "Does this represent incremental drift?"</w:t>
      </w:r>
    </w:p>
    <w:p>
      <w:r>
        <w:t>Incremental expansion toward prohibited activities is rejected</w:t>
      </w:r>
    </w:p>
    <w:p>
      <w:r>
        <w:t>The constitutional purpose shall be preserved intact</w:t>
      </w:r>
    </w:p>
    <w:p>
      <w:r>
        <w:t>The Anti-Platform Provisions Are Permanently Frozen</w:t>
      </w:r>
    </w:p>
    <w:p>
      <w:r>
        <w:t>What This Means in Practice:</w:t>
      </w:r>
    </w:p>
    <w:p>
      <w:r>
        <w:t>The anti-platform provisions cannot be amended</w:t>
      </w:r>
    </w:p>
    <w:p>
      <w:r>
        <w:t>The anti-platform provisions cannot be interpreted away</w:t>
      </w:r>
    </w:p>
    <w:p>
      <w:r>
        <w:t>The anti-platform provisions protect the Institution's identity in perpetuity</w:t>
      </w:r>
    </w:p>
    <w:p>
      <w:r>
        <w:t>Example:</w:t>
      </w:r>
    </w:p>
    <w:p>
      <w:r>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r>
        <w:t>Why This Matters:</w:t>
      </w:r>
    </w:p>
    <w:p>
      <w:r>
        <w:t>Without permanent protection, the anti-platform provisions could be eliminated over time</w:t>
      </w:r>
    </w:p>
    <w:p>
      <w:r>
        <w:t>Without permanent protection, the Institution's identity could be fundamentally changed</w:t>
      </w:r>
    </w:p>
    <w:p>
      <w:r>
        <w:t>Without permanent protection, the Institution's constitutional integrity would be compromised</w:t>
      </w:r>
    </w:p>
    <w:p>
      <w:r>
        <w:t>Application:</w:t>
      </w:r>
    </w:p>
    <w:p>
      <w:r>
        <w:t>All proposed changes shall be evaluated against the question: "Does this affect the anti-platform provisions?"</w:t>
      </w:r>
    </w:p>
    <w:p>
      <w:r>
        <w:t>Any change that affects the anti-platform provisions is invalid</w:t>
      </w:r>
    </w:p>
    <w:p>
      <w:r>
        <w:t>The anti-platform provisions are permanently frozen</w:t>
      </w:r>
    </w:p>
    <w:p>
      <w:r>
        <w:t>Permitted Activities</w:t>
      </w:r>
    </w:p>
    <w:p>
      <w:r>
        <w:t>The Institution is permitted to:</w:t>
      </w:r>
    </w:p>
    <w:p>
      <w:pPr>
        <w:pStyle w:val="ListNumber"/>
        <w:ind w:left="425"/>
      </w:pPr>
      <w:r>
        <w:t>Issue Settlement Units</w:t>
      </w:r>
    </w:p>
    <w:p>
      <w:r>
        <w:t>Mint settlement units upon verified deposit of equivalent value</w:t>
      </w:r>
    </w:p>
    <w:p>
      <w:r>
        <w:t>Redeem settlement units upon verified burn</w:t>
      </w:r>
    </w:p>
    <w:p>
      <w:pPr>
        <w:pStyle w:val="ListNumber"/>
        <w:ind w:left="425"/>
      </w:pPr>
      <w:r>
        <w:t>Maintain Reserves</w:t>
      </w:r>
    </w:p>
    <w:p>
      <w:r>
        <w:t>Hold reserves in custody</w:t>
      </w:r>
    </w:p>
    <w:p>
      <w:r>
        <w:t>Manage reserve composition within constitutional ranges</w:t>
      </w:r>
    </w:p>
    <w:p>
      <w:r>
        <w:t>Ensure 100%+ reserve coverage at all times</w:t>
      </w:r>
    </w:p>
    <w:p>
      <w:pPr>
        <w:pStyle w:val="ListNumber"/>
        <w:ind w:left="425"/>
      </w:pPr>
      <w:r>
        <w:t>Govern the Institution</w:t>
      </w:r>
    </w:p>
    <w:p>
      <w:r>
        <w:t>Make policy decisions within constitutional constraints</w:t>
      </w:r>
    </w:p>
    <w:p>
      <w:r>
        <w:t>Appoint committees and officers</w:t>
      </w:r>
    </w:p>
    <w:p>
      <w:r>
        <w:t>Oversee operations</w:t>
      </w:r>
    </w:p>
    <w:p>
      <w:pPr>
        <w:pStyle w:val="ListNumber"/>
        <w:ind w:left="425"/>
      </w:pPr>
      <w:r>
        <w:t>Publish Transparency Data</w:t>
      </w:r>
    </w:p>
    <w:p>
      <w:r>
        <w:t>Publish proof of reserves</w:t>
      </w:r>
    </w:p>
    <w:p>
      <w:r>
        <w:t>Publish NAV calculations</w:t>
      </w:r>
    </w:p>
    <w:p>
      <w:r>
        <w:t>Publish governance decisions</w:t>
      </w:r>
    </w:p>
    <w:p>
      <w:r>
        <w:t>Publish audit reports</w:t>
      </w:r>
    </w:p>
    <w:p>
      <w:pPr>
        <w:pStyle w:val="ListNumber"/>
        <w:ind w:left="425"/>
      </w:pPr>
      <w:r>
        <w:t>Support Interoperability</w:t>
      </w:r>
    </w:p>
    <w:p>
      <w:r>
        <w:t>Publish open technical standards</w:t>
      </w:r>
    </w:p>
    <w:p>
      <w:r>
        <w:t>Support ISO 20022 messaging</w:t>
      </w:r>
    </w:p>
    <w:p>
      <w:r>
        <w:t>Enable integration with existing systems</w:t>
      </w:r>
    </w:p>
    <w:p>
      <w:pPr>
        <w:pStyle w:val="ListNumber"/>
        <w:ind w:left="425"/>
      </w:pPr>
      <w:r>
        <w:t>Develop Technical Infrastructure</w:t>
      </w:r>
    </w:p>
    <w:p>
      <w:r>
        <w:t>Develop and maintain settlement infrastructure</w:t>
      </w:r>
    </w:p>
    <w:p>
      <w:r>
        <w:t>Develop and maintain security infrastructure</w:t>
      </w:r>
    </w:p>
    <w:p>
      <w:r>
        <w:t>Develop and maintain governance infrastructure</w:t>
      </w:r>
    </w:p>
    <w:p>
      <w:pPr>
        <w:pStyle w:val="ListNumber"/>
        <w:ind w:left="425"/>
      </w:pPr>
      <w:r>
        <w:t>Ensure Legal Compliance</w:t>
      </w:r>
    </w:p>
    <w:p>
      <w:r>
        <w:t>Comply with applicable laws</w:t>
      </w:r>
    </w:p>
    <w:p>
      <w:r>
        <w:t>Comply with sanctions regimes</w:t>
      </w:r>
    </w:p>
    <w:p>
      <w:r>
        <w:t>Engage with regulators</w:t>
      </w:r>
    </w:p>
    <w:p>
      <w:pPr>
        <w:pStyle w:val="ListNumber"/>
        <w:ind w:left="425"/>
      </w:pPr>
      <w:r>
        <w:t>Protect the Institution</w:t>
      </w:r>
    </w:p>
    <w:p>
      <w:r>
        <w:t>Maintain emergency protocols</w:t>
      </w:r>
    </w:p>
    <w:p>
      <w:r>
        <w:t>Maintain insurance</w:t>
      </w:r>
    </w:p>
    <w:p>
      <w:r>
        <w:t>Maintain security</w:t>
      </w:r>
    </w:p>
    <w:p>
      <w:r>
        <w:t>Prohibited Activities (Detailed List)</w:t>
      </w:r>
    </w:p>
    <w:p>
      <w:r>
        <w:t>The Institution Shall Not:</w:t>
      </w:r>
    </w:p>
    <w:p>
      <w:r>
        <w:t>Financial Services:</w:t>
      </w:r>
    </w:p>
    <w:p>
      <w:r>
        <w:t>Accept deposits</w:t>
      </w:r>
    </w:p>
    <w:p>
      <w:r>
        <w:t>Make loans</w:t>
      </w:r>
    </w:p>
    <w:p>
      <w:r>
        <w:t>Extend credit</w:t>
      </w:r>
    </w:p>
    <w:p>
      <w:r>
        <w:t>Underwrite debt</w:t>
      </w:r>
    </w:p>
    <w:p>
      <w:r>
        <w:t>Issue bonds</w:t>
      </w:r>
    </w:p>
    <w:p>
      <w:r>
        <w:t>Provide trade finance</w:t>
      </w:r>
    </w:p>
    <w:p>
      <w:r>
        <w:t>Provide factoring</w:t>
      </w:r>
    </w:p>
    <w:p>
      <w:r>
        <w:t>Provide invoice discounting</w:t>
      </w:r>
    </w:p>
    <w:p>
      <w:r>
        <w:t>Provide any financing</w:t>
      </w:r>
    </w:p>
    <w:p>
      <w:r>
        <w:t>Trading and Exchange:</w:t>
      </w:r>
    </w:p>
    <w:p>
      <w:r>
        <w:t>Operate an exchange</w:t>
      </w:r>
    </w:p>
    <w:p>
      <w:r>
        <w:t>Match buyers and sellers</w:t>
      </w:r>
    </w:p>
    <w:p>
      <w:r>
        <w:t>Execute trades</w:t>
      </w:r>
    </w:p>
    <w:p>
      <w:r>
        <w:t>Provide order books</w:t>
      </w:r>
    </w:p>
    <w:p>
      <w:r>
        <w:t>Provide market making</w:t>
      </w:r>
    </w:p>
    <w:p>
      <w:r>
        <w:t>Provide brokerage services</w:t>
      </w:r>
    </w:p>
    <w:p>
      <w:r>
        <w:t>Provide custody of participant funds</w:t>
      </w:r>
    </w:p>
    <w:p>
      <w:r>
        <w:t>Asset Management:</w:t>
      </w:r>
    </w:p>
    <w:p>
      <w:r>
        <w:t>Manage assets on behalf of participants</w:t>
      </w:r>
    </w:p>
    <w:p>
      <w:r>
        <w:t>Provide investment advice</w:t>
      </w:r>
    </w:p>
    <w:p>
      <w:r>
        <w:t>Provide portfolio management</w:t>
      </w:r>
    </w:p>
    <w:p>
      <w:r>
        <w:t>Provide wealth management</w:t>
      </w:r>
    </w:p>
    <w:p>
      <w:r>
        <w:t>Provide pension management</w:t>
      </w:r>
    </w:p>
    <w:p>
      <w:r>
        <w:t>Decentralized Finance:</w:t>
      </w:r>
    </w:p>
    <w:p>
      <w:r>
        <w:t>Operate DeFi protocols</w:t>
      </w:r>
    </w:p>
    <w:p>
      <w:r>
        <w:t>Provide liquidity pools (except constitutionally authorized settlement pools)</w:t>
      </w:r>
    </w:p>
    <w:p>
      <w:r>
        <w:t>Engage in yield farming</w:t>
      </w:r>
    </w:p>
    <w:p>
      <w:r>
        <w:t>Engage in staking</w:t>
      </w:r>
    </w:p>
    <w:p>
      <w:r>
        <w:t>Engage in lending protocols</w:t>
      </w:r>
    </w:p>
    <w:p>
      <w:r>
        <w:t>Engage in derivatives</w:t>
      </w:r>
    </w:p>
    <w:p>
      <w:r>
        <w:t>Platform Services:</w:t>
      </w:r>
    </w:p>
    <w:p>
      <w:r>
        <w:t>Operate any commercial platform</w:t>
      </w:r>
    </w:p>
    <w:p>
      <w:r>
        <w:t>Provide trade matching</w:t>
      </w:r>
    </w:p>
    <w:p>
      <w:r>
        <w:t>Provide logistics services</w:t>
      </w:r>
    </w:p>
    <w:p>
      <w:r>
        <w:t>Provide customs services</w:t>
      </w:r>
    </w:p>
    <w:p>
      <w:r>
        <w:t>Provide credit scoring</w:t>
      </w:r>
    </w:p>
    <w:p>
      <w:r>
        <w:t>Provide identity verification services</w:t>
      </w:r>
    </w:p>
    <w:p>
      <w:r>
        <w:t>Provide compliance monitoring services</w:t>
      </w:r>
    </w:p>
    <w:p>
      <w:r>
        <w:t>Dispute Resolution:</w:t>
      </w:r>
    </w:p>
    <w:p>
      <w:r>
        <w:t>Provide dispute resolution services</w:t>
      </w:r>
    </w:p>
    <w:p>
      <w:r>
        <w:t>Provide arbitration services</w:t>
      </w:r>
    </w:p>
    <w:p>
      <w:r>
        <w:t>Provide trade dispute resolution</w:t>
      </w:r>
    </w:p>
    <w:p>
      <w:r>
        <w:t>Provide any adjudication of commercial disputes</w:t>
      </w:r>
    </w:p>
    <w:p>
      <w:r>
        <w:t>The Anti-Platform Principle in Constitutional Context</w:t>
      </w:r>
    </w:p>
    <w:p>
      <w:r>
        <w:t>The Institution is a monetary authority, not a commercial platform.</w:t>
      </w:r>
    </w:p>
    <w:p>
      <w:r>
        <w:t>What This Means in Practice:</w:t>
      </w:r>
    </w:p>
    <w:p>
      <w:r>
        <w:t>The Institution's role is limited to issuing, redeeming, and governing the settlement unit</w:t>
      </w:r>
    </w:p>
    <w:p>
      <w:r>
        <w:t>All commercial services are provided by independent participants</w:t>
      </w:r>
    </w:p>
    <w:p>
      <w:r>
        <w:t>The Institution does not compete with participants</w:t>
      </w:r>
    </w:p>
    <w:p>
      <w:r>
        <w:t>The Institution does not favor any participant</w:t>
      </w:r>
    </w:p>
    <w:p>
      <w:r>
        <w:t>The Institution remains neutral and above commercial interests</w:t>
      </w:r>
    </w:p>
    <w:p>
      <w:r>
        <w:t>Example:</w:t>
      </w:r>
    </w:p>
    <w:p>
      <w:r>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r>
        <w:t>Why This Matters:</w:t>
      </w:r>
    </w:p>
    <w:p>
      <w:r>
        <w:t>Without this separation, the Institution would compete with participants</w:t>
      </w:r>
    </w:p>
    <w:p>
      <w:r>
        <w:t>Without this separation, the Institution would be a commercial entity</w:t>
      </w:r>
    </w:p>
    <w:p>
      <w:r>
        <w:t>Without this separation, the Institution would lose its neutrality</w:t>
      </w:r>
    </w:p>
    <w:p>
      <w:r>
        <w:t>Without this separation, the Institution would be subject to commercial pressures</w:t>
      </w:r>
    </w:p>
    <w:p>
      <w:r>
        <w:t>Summary Table</w:t>
      </w:r>
    </w:p>
    <w:p>
      <w:r>
        <w:t>Constitutional Interpretation</w:t>
      </w:r>
    </w:p>
    <w:p>
      <w:r>
        <w:t>The Institution is a monetary authority, not a commercial platform. It exists to issue, redeem, and govern the settlement unit. It does not:</w:t>
      </w:r>
    </w:p>
    <w:p>
      <w:r>
        <w:t>Provide financial services</w:t>
      </w:r>
    </w:p>
    <w:p>
      <w:r>
        <w:t>Operate exchanges</w:t>
      </w:r>
    </w:p>
    <w:p>
      <w:r>
        <w:t>Manage assets</w:t>
      </w:r>
    </w:p>
    <w:p>
      <w:r>
        <w:t>Provide platform services</w:t>
      </w:r>
    </w:p>
    <w:p>
      <w:r>
        <w:t>Engage in DeFi</w:t>
      </w:r>
    </w:p>
    <w:p>
      <w:r>
        <w:t>Resolve commercial disputes</w:t>
      </w:r>
    </w:p>
    <w:p>
      <w:r>
        <w:t>The anti-platform prohibition is permanent. It is not subject to amendment. It is not subject to interpretive expansion. It is permanently frozen as a core element of the Institution's identity.</w:t>
      </w:r>
    </w:p>
    <w:p>
      <w:r>
        <w:t>[END OF ARTICLE V — ANTI-PLATFORM / NO CONSTITUTIONAL DRIFT]</w:t>
      </w:r>
    </w:p>
    <w:p>
      <w:r>
        <w:t>Article VI: Predictably Adaptive</w:t>
      </w:r>
    </w:p>
    <w:p>
      <w:r>
        <w:t>Definition</w:t>
      </w:r>
    </w:p>
    <w:p>
      <w:r>
        <w:t>The Institution is Predictably Adaptive. Every adaptation shall follow:</w:t>
      </w:r>
    </w:p>
    <w:p>
      <w:r>
        <w:t>Defined process</w:t>
      </w:r>
    </w:p>
    <w:p>
      <w:r>
        <w:t>Defined data inputs</w:t>
      </w:r>
    </w:p>
    <w:p>
      <w:r>
        <w:t>Defined governance thresholds</w:t>
      </w:r>
    </w:p>
    <w:p>
      <w:r>
        <w:t>Defined publication requirements</w:t>
      </w:r>
    </w:p>
    <w:p>
      <w:r>
        <w:t>Defined review cycles</w:t>
      </w:r>
    </w:p>
    <w:p>
      <w:r>
        <w:t>What This Means in Practice:</w:t>
      </w:r>
    </w:p>
    <w:p>
      <w:r>
        <w:t>Adaptation is not arbitrary or secret</w:t>
      </w:r>
    </w:p>
    <w:p>
      <w:r>
        <w:t>Adaptation follows documented procedures</w:t>
      </w:r>
    </w:p>
    <w:p>
      <w:r>
        <w:t>Adaptation is predictable in advance</w:t>
      </w:r>
    </w:p>
    <w:p>
      <w:r>
        <w:t>Adaptation is not subject to discretionary whim</w:t>
      </w:r>
    </w:p>
    <w:p>
      <w:r>
        <w:t>Adaptation is transparent and auditable</w:t>
      </w:r>
    </w:p>
    <w:p>
      <w:r>
        <w:t>Example:</w:t>
      </w:r>
    </w:p>
    <w:p>
      <w:r>
        <w:t>The Monetary Engine may be adjusted according to a defined governance process that requires documented analysis, Council review, and public consultation. Participants know in advance how changes will be made and when. There is no secret or discretionary adjustment.</w:t>
      </w:r>
    </w:p>
    <w:p>
      <w:r>
        <w:t>Why This Matters:</w:t>
      </w:r>
    </w:p>
    <w:p>
      <w:r>
        <w:t>Without predictable adaptation, the Institution is either rigid or arbitrary</w:t>
      </w:r>
    </w:p>
    <w:p>
      <w:r>
        <w:t>Without predictable adaptation, participants cannot plan for change</w:t>
      </w:r>
    </w:p>
    <w:p>
      <w:r>
        <w:t>Without predictable adaptation, the Institution's governance is opaque</w:t>
      </w:r>
    </w:p>
    <w:p>
      <w:r>
        <w:t>Without predictable adaptation, trust is undermined by uncertainty</w:t>
      </w:r>
    </w:p>
    <w:p>
      <w:r>
        <w:t>The Predictability Principle</w:t>
      </w:r>
    </w:p>
    <w:p>
      <w:r>
        <w:t>All Adaptations Are Announced in Advance</w:t>
      </w:r>
    </w:p>
    <w:p>
      <w:r>
        <w:t>What This Means in Practice:</w:t>
      </w:r>
    </w:p>
    <w:p>
      <w:r>
        <w:t>All material changes are published before implementation</w:t>
      </w:r>
    </w:p>
    <w:p>
      <w:r>
        <w:t>Publication includes rationale, data, and expected impact</w:t>
      </w:r>
    </w:p>
    <w:p>
      <w:r>
        <w:t>Publication allows participants to prepare for change</w:t>
      </w:r>
    </w:p>
    <w:p>
      <w:r>
        <w:t>Publication enables review and feedback</w:t>
      </w:r>
    </w:p>
    <w:p>
      <w:r>
        <w:t>Example:</w:t>
      </w:r>
    </w:p>
    <w:p>
      <w:r>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r>
        <w:t>Why This Matters:</w:t>
      </w:r>
    </w:p>
    <w:p>
      <w:r>
        <w:t>Without advance notice, participants are surprised by change</w:t>
      </w:r>
    </w:p>
    <w:p>
      <w:r>
        <w:t>Without advance notice, the Institution appears arbitrary</w:t>
      </w:r>
    </w:p>
    <w:p>
      <w:r>
        <w:t>Without advance notice, trust is damaged</w:t>
      </w:r>
    </w:p>
    <w:p>
      <w:r>
        <w:t>All Adaptations Are Data-Driven</w:t>
      </w:r>
    </w:p>
    <w:p>
      <w:r>
        <w:t>What This Means in Practice:</w:t>
      </w:r>
    </w:p>
    <w:p>
      <w:r>
        <w:t>Adaptation is based on verifiable data</w:t>
      </w:r>
    </w:p>
    <w:p>
      <w:r>
        <w:t>Data inputs are defined and documented</w:t>
      </w:r>
    </w:p>
    <w:p>
      <w:r>
        <w:t>Data sources are transparent and auditable</w:t>
      </w:r>
    </w:p>
    <w:p>
      <w:r>
        <w:t>Data quality is assured</w:t>
      </w:r>
    </w:p>
    <w:p>
      <w:r>
        <w:t>Example:</w:t>
      </w:r>
    </w:p>
    <w:p>
      <w:r>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r>
        <w:t>Why This Matters:</w:t>
      </w:r>
    </w:p>
    <w:p>
      <w:r>
        <w:t>Without data-driven decisions, adaptation is arbitrary</w:t>
      </w:r>
    </w:p>
    <w:p>
      <w:r>
        <w:t>Without data-driven decisions, the Institution is subject to capture</w:t>
      </w:r>
    </w:p>
    <w:p>
      <w:r>
        <w:t>Without data-driven decisions, adaptation cannot be audited</w:t>
      </w:r>
    </w:p>
    <w:p>
      <w:r>
        <w:t>All Adaptations Follow Defined Governance Thresholds</w:t>
      </w:r>
    </w:p>
    <w:p>
      <w:r>
        <w:t>What This Means in Practice:</w:t>
      </w:r>
    </w:p>
    <w:p>
      <w:r>
        <w:t>Different types of adaptation have different governance thresholds</w:t>
      </w:r>
    </w:p>
    <w:p>
      <w:r>
        <w:t>Thresholds are defined in advance</w:t>
      </w:r>
    </w:p>
    <w:p>
      <w:r>
        <w:t>Thresholds are not adjusted for individual decisions</w:t>
      </w:r>
    </w:p>
    <w:p>
      <w:r>
        <w:t>Thresholds ensure appropriate scrutiny</w:t>
      </w:r>
    </w:p>
    <w:p>
      <w:r>
        <w:t>Example:</w:t>
      </w:r>
    </w:p>
    <w:p>
      <w:r>
        <w:t>A technical parameter adjustment requires Technical Committee approval. A policy parameter adjustment requires Council approval. A constitutional change requires supermajority approval. The threshold is determined by the type of change, not by the Council's discretion.</w:t>
      </w:r>
    </w:p>
    <w:p>
      <w:r>
        <w:t>Why This Matters:</w:t>
      </w:r>
    </w:p>
    <w:p>
      <w:r>
        <w:t>Without defined thresholds, governance is arbitrary</w:t>
      </w:r>
    </w:p>
    <w:p>
      <w:r>
        <w:t>Without defined thresholds, the wrong body makes the wrong decisions</w:t>
      </w:r>
    </w:p>
    <w:p>
      <w:r>
        <w:t>Without defined thresholds, accountability is compromised</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parameter for the Monetary Engine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The Adaptive Process</w:t>
      </w:r>
    </w:p>
    <w:p>
      <w:r>
        <w:t>Step 1: Trigger Identification</w:t>
      </w:r>
    </w:p>
    <w:p>
      <w:r>
        <w:t>A trigger event or condition is identified</w:t>
      </w:r>
    </w:p>
    <w:p>
      <w:r>
        <w:t>Triggers are defined in advance</w:t>
      </w:r>
    </w:p>
    <w:p>
      <w:r>
        <w:t>Examples: data thresholds, time-based reviews, performance metrics</w:t>
      </w:r>
    </w:p>
    <w:p>
      <w:r>
        <w:t>Step 2: Analysis and Proposal</w:t>
      </w:r>
    </w:p>
    <w:p>
      <w:r>
        <w:t>Data is analyzed</w:t>
      </w:r>
    </w:p>
    <w:p>
      <w:r>
        <w:t>Options are evaluated</w:t>
      </w:r>
    </w:p>
    <w:p>
      <w:r>
        <w:t>A proposal is developed</w:t>
      </w:r>
    </w:p>
    <w:p>
      <w:r>
        <w:t>Rationale is documented</w:t>
      </w:r>
    </w:p>
    <w:p>
      <w:r>
        <w:t>Step 3: Consultation</w:t>
      </w:r>
    </w:p>
    <w:p>
      <w:r>
        <w:t>Proposal is published</w:t>
      </w:r>
    </w:p>
    <w:p>
      <w:r>
        <w:t>Feedback is solicited</w:t>
      </w:r>
    </w:p>
    <w:p>
      <w:r>
        <w:t>Consultation period is defined</w:t>
      </w:r>
    </w:p>
    <w:p>
      <w:r>
        <w:t>Feedback is considered</w:t>
      </w:r>
    </w:p>
    <w:p>
      <w:r>
        <w:t>Step 4: Decision</w:t>
      </w:r>
    </w:p>
    <w:p>
      <w:r>
        <w:t>Decision is made by the appropriate governance body</w:t>
      </w:r>
    </w:p>
    <w:p>
      <w:r>
        <w:t>Decision is documented</w:t>
      </w:r>
    </w:p>
    <w:p>
      <w:r>
        <w:t>Rationale is published</w:t>
      </w:r>
    </w:p>
    <w:p>
      <w:r>
        <w:t>Step 5: Publication</w:t>
      </w:r>
    </w:p>
    <w:p>
      <w:r>
        <w:t>Decision is published</w:t>
      </w:r>
    </w:p>
    <w:p>
      <w:r>
        <w:t>Implementation timeline is published</w:t>
      </w:r>
    </w:p>
    <w:p>
      <w:r>
        <w:t>Expected impact is published</w:t>
      </w:r>
    </w:p>
    <w:p>
      <w:r>
        <w:t>Step 6: Implementation</w:t>
      </w:r>
    </w:p>
    <w:p>
      <w:r>
        <w:t>Adaptation is implemented</w:t>
      </w:r>
    </w:p>
    <w:p>
      <w:r>
        <w:t>Implementation is monitored</w:t>
      </w:r>
    </w:p>
    <w:p>
      <w:r>
        <w:t>Implementation is documented</w:t>
      </w:r>
    </w:p>
    <w:p>
      <w:r>
        <w:t>Step 7: Review</w:t>
      </w:r>
    </w:p>
    <w:p>
      <w:r>
        <w:t>Adaptation is reviewed</w:t>
      </w:r>
    </w:p>
    <w:p>
      <w:r>
        <w:t>Effectiveness is assessed</w:t>
      </w:r>
    </w:p>
    <w:p>
      <w:r>
        <w:t>Unintended consequences are identified</w:t>
      </w:r>
    </w:p>
    <w:p>
      <w:r>
        <w:t>Adjustments are made if necessary</w:t>
      </w:r>
    </w:p>
    <w:p>
      <w:r>
        <w:t>No Implementation Without Prior Publication</w:t>
      </w:r>
    </w:p>
    <w:p>
      <w:r>
        <w:t>The Principle:</w:t>
      </w:r>
    </w:p>
    <w:p>
      <w:r>
        <w:t>No adaptation shall be implemented without prior publication.</w:t>
      </w:r>
    </w:p>
    <w:p>
      <w:r>
        <w:t>What This Means in Practice:</w:t>
      </w:r>
    </w:p>
    <w:p>
      <w:r>
        <w:t>All adaptations must be published in advance</w:t>
      </w:r>
    </w:p>
    <w:p>
      <w:r>
        <w:t>All adaptations must include the rationale</w:t>
      </w:r>
    </w:p>
    <w:p>
      <w:r>
        <w:t>All adaptations must include the expected impact</w:t>
      </w:r>
    </w:p>
    <w:p>
      <w:r>
        <w:t>All adaptations must include the implementation timeline</w:t>
      </w:r>
    </w:p>
    <w:p>
      <w:r>
        <w:t>All adaptations must include the review mechanism</w:t>
      </w:r>
    </w:p>
    <w:p>
      <w:r>
        <w:t>Example:</w:t>
      </w:r>
    </w:p>
    <w:p>
      <w:r>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r>
        <w:t>Why This Matters:</w:t>
      </w:r>
    </w:p>
    <w:p>
      <w:r>
        <w:t>Without prior publication, participants cannot prepare</w:t>
      </w:r>
    </w:p>
    <w:p>
      <w:r>
        <w:t>Without prior publication, the Institution appears secretive</w:t>
      </w:r>
    </w:p>
    <w:p>
      <w:r>
        <w:t>Without prior publication, trust is undermined</w:t>
      </w:r>
    </w:p>
    <w:p>
      <w:r>
        <w:t>No Implementation Without Opportunity for Review</w:t>
      </w:r>
    </w:p>
    <w:p>
      <w:r>
        <w:t>What This Means in Practice:</w:t>
      </w:r>
    </w:p>
    <w:p>
      <w:r>
        <w:t>All adaptations must allow for review</w:t>
      </w:r>
    </w:p>
    <w:p>
      <w:r>
        <w:t>Review period is defined in advance</w:t>
      </w:r>
    </w:p>
    <w:p>
      <w:r>
        <w:t>Review period is of sufficient duration</w:t>
      </w:r>
    </w:p>
    <w:p>
      <w:r>
        <w:t>Feedback is considered before implementation</w:t>
      </w:r>
    </w:p>
    <w:p>
      <w:r>
        <w:t>Example:</w:t>
      </w:r>
    </w:p>
    <w:p>
      <w:r>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r>
        <w:t>Why This Matters:</w:t>
      </w:r>
    </w:p>
    <w:p>
      <w:r>
        <w:t>Without review, participants have no voice</w:t>
      </w:r>
    </w:p>
    <w:p>
      <w:r>
        <w:t>Without review, important concerns may be missed</w:t>
      </w:r>
    </w:p>
    <w:p>
      <w:r>
        <w:t>Without review, the Institution appears autocratic</w:t>
      </w:r>
    </w:p>
    <w:p>
      <w:r>
        <w:t>No Implementation Without Defined Review</w:t>
      </w:r>
    </w:p>
    <w:p>
      <w:r>
        <w:t>The Principle:</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Monetary Engine parameter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What Is Subject to Adaptation</w:t>
      </w:r>
    </w:p>
    <w:p>
      <w:r>
        <w:t>Adaptation Governance Thresholds</w:t>
      </w:r>
    </w:p>
    <w:p>
      <w:r>
        <w:t>Constitutional Interpretation</w:t>
      </w:r>
    </w:p>
    <w:p>
      <w:r>
        <w:t>The Institution is Predictably Adaptive. This means:</w:t>
      </w:r>
    </w:p>
    <w:p>
      <w:r>
        <w:t>Adaptation is transparent</w:t>
      </w:r>
    </w:p>
    <w:p>
      <w:r>
        <w:t>Adaptation is data-driven</w:t>
      </w:r>
    </w:p>
    <w:p>
      <w:r>
        <w:t>Adaptation follows defined processes</w:t>
      </w:r>
    </w:p>
    <w:p>
      <w:r>
        <w:t>Adaptation is subject to review</w:t>
      </w:r>
    </w:p>
    <w:p>
      <w:r>
        <w:t>Adaptation is governed by defined thresholds</w:t>
      </w:r>
    </w:p>
    <w:p>
      <w:r>
        <w:t>Adaptation is predictable in advance</w:t>
      </w:r>
    </w:p>
    <w:p>
      <w:r>
        <w:t>Adaptation is never secret or arbitrary</w:t>
      </w:r>
    </w:p>
    <w:p>
      <w:r>
        <w:t>Predictable adaptation is how the Institution evolves while maintaining constitutional stability. It is the mechanism for change without drift.</w:t>
      </w:r>
    </w:p>
    <w:p>
      <w:r>
        <w:t>[END OF ARTICLE VI — PREDICTABLY ADAPTIVE]</w:t>
      </w:r>
    </w:p>
    <w:p>
      <w:r>
        <w:t>Article VII: Failure Definition</w:t>
      </w:r>
    </w:p>
    <w:p>
      <w:r>
        <w:t>Definition of Failure</w:t>
      </w:r>
    </w:p>
    <w:p>
      <w:r>
        <w:t>Failure means any event that prevents:</w:t>
      </w:r>
    </w:p>
    <w:p>
      <w:pPr>
        <w:pStyle w:val="ListNumber"/>
        <w:ind w:left="425"/>
      </w:pPr>
      <w:r>
        <w:t>Honoring redemption requests</w:t>
      </w:r>
    </w:p>
    <w:p>
      <w:r>
        <w:t>What This Means in Practice:</w:t>
      </w:r>
    </w:p>
    <w:p>
      <w:r>
        <w:t>Redemption is the most fundamental right of any holder</w:t>
      </w:r>
    </w:p>
    <w:p>
      <w:r>
        <w:t>If redemption cannot be honored, the Institution has failed</w:t>
      </w:r>
    </w:p>
    <w:p>
      <w:r>
        <w:t>Failure includes complete suspension, partial suspension, or material delay</w:t>
      </w:r>
    </w:p>
    <w:p>
      <w:r>
        <w:t>Failure includes inability to determine NAV for redemption</w:t>
      </w:r>
    </w:p>
    <w:p>
      <w:r>
        <w:t>Failure includes inability to access reserves for redemption</w:t>
      </w:r>
    </w:p>
    <w:p>
      <w:r>
        <w:t>Example:</w:t>
      </w:r>
    </w:p>
    <w:p>
      <w:r>
        <w:t>A major custody breach prevents access to 100% of reserves. Redemption requests cannot be honored. The Institution has failed. Emergency protocols are activated to restore access, but failure has occurred.</w:t>
      </w:r>
    </w:p>
    <w:p>
      <w:r>
        <w:t>Why This Matters:</w:t>
      </w:r>
    </w:p>
    <w:p>
      <w:r>
        <w:t>Without redemption, the settlement unit is worthless</w:t>
      </w:r>
    </w:p>
    <w:p>
      <w:r>
        <w:t>Without redemption, the Institution has no purpose</w:t>
      </w:r>
    </w:p>
    <w:p>
      <w:r>
        <w:t>Redemption is the ultimate test of institutional integrity</w:t>
      </w:r>
    </w:p>
    <w:p>
      <w:r>
        <w:t>Application:</w:t>
      </w:r>
    </w:p>
    <w:p>
      <w:r>
        <w:t>All decisions shall be evaluated against the question: "Does this protect redemption?"</w:t>
      </w:r>
    </w:p>
    <w:p>
      <w:r>
        <w:t>Redemption shall never be suspended</w:t>
      </w:r>
    </w:p>
    <w:p>
      <w:r>
        <w:t>Redemption capacity shall be maintained at all times</w:t>
      </w:r>
    </w:p>
    <w:p>
      <w:pPr>
        <w:pStyle w:val="ListNumber"/>
        <w:ind w:left="425"/>
      </w:pPr>
      <w:r>
        <w:t>Publishing proof of reserves</w:t>
      </w:r>
    </w:p>
    <w:p>
      <w:r>
        <w:t>What This Means in Practice:</w:t>
      </w:r>
    </w:p>
    <w:p>
      <w:r>
        <w:t>Proof of reserves is the Institution's primary transparency mechanism</w:t>
      </w:r>
    </w:p>
    <w:p>
      <w:r>
        <w:t>If proof cannot be published, the Institution cannot demonstrate solvency</w:t>
      </w:r>
    </w:p>
    <w:p>
      <w:r>
        <w:t>Failure includes inability to generate proof, inability to verify proof, or proof showing insolvency</w:t>
      </w:r>
    </w:p>
    <w:p>
      <w:r>
        <w:t>Failure includes inability to publish proof for more than 24 hours</w:t>
      </w:r>
    </w:p>
    <w:p>
      <w:r>
        <w:t>Example:</w:t>
      </w:r>
    </w:p>
    <w:p>
      <w:r>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r>
        <w:t>Why This Matters:</w:t>
      </w:r>
    </w:p>
    <w:p>
      <w:r>
        <w:t>Without proof of reserves, the Institution's solvency is unverifiable</w:t>
      </w:r>
    </w:p>
    <w:p>
      <w:r>
        <w:t>Without proof of reserves, trust depends on assertion</w:t>
      </w:r>
    </w:p>
    <w:p>
      <w:r>
        <w:t>Without proof of reserves, the Institution is indistinguishable from opaque financial systems</w:t>
      </w:r>
    </w:p>
    <w:p>
      <w:r>
        <w:t>Application:</w:t>
      </w:r>
    </w:p>
    <w:p>
      <w:r>
        <w:t>All decisions shall be evaluated against the question: "Does this protect proof of reserves?"</w:t>
      </w:r>
    </w:p>
    <w:p>
      <w:r>
        <w:t>Proof of reserves shall be published daily</w:t>
      </w:r>
    </w:p>
    <w:p>
      <w:r>
        <w:t>Failure to publish proof within 24 hours constitutes failure</w:t>
      </w:r>
    </w:p>
    <w:p>
      <w:pPr>
        <w:pStyle w:val="ListNumber"/>
        <w:ind w:left="425"/>
      </w:pPr>
      <w:r>
        <w:t>Maintaining constitutional solvency</w:t>
      </w:r>
    </w:p>
    <w:p>
      <w:r>
        <w:t>What This Means in Practice:</w:t>
      </w:r>
    </w:p>
    <w:p>
      <w:r>
        <w:t>Solvency means reserves ≥ supply at all times</w:t>
      </w:r>
    </w:p>
    <w:p>
      <w:r>
        <w:t>If reserves fall below supply, the Institution has failed</w:t>
      </w:r>
    </w:p>
    <w:p>
      <w:r>
        <w:t>Failure includes any period of insolvency</w:t>
      </w:r>
    </w:p>
    <w:p>
      <w:r>
        <w:t>Failure includes inability to restore solvency within defined timeframes</w:t>
      </w:r>
    </w:p>
    <w:p>
      <w:r>
        <w:t>Example:</w:t>
      </w:r>
    </w:p>
    <w:p>
      <w:r>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r>
        <w:t>Why This Matters:</w:t>
      </w:r>
    </w:p>
    <w:p>
      <w:r>
        <w:t>Without solvency, the Institution cannot honor redemption obligations</w:t>
      </w:r>
    </w:p>
    <w:p>
      <w:r>
        <w:t>Without solvency, the Institution is a fractional reserve system</w:t>
      </w:r>
    </w:p>
    <w:p>
      <w:r>
        <w:t>Without solvency, the Institution violates its constitutional purpose</w:t>
      </w:r>
    </w:p>
    <w:p>
      <w:r>
        <w:t>Application:</w:t>
      </w:r>
    </w:p>
    <w:p>
      <w:r>
        <w:t>All decisions shall be evaluated against the question: "Does this maintain solvency?"</w:t>
      </w:r>
    </w:p>
    <w:p>
      <w:r>
        <w:t>Solvency shall be maintained at all times</w:t>
      </w:r>
    </w:p>
    <w:p>
      <w:r>
        <w:t>Temporary deviations shall be resolved within defined timeframes</w:t>
      </w:r>
    </w:p>
    <w:p>
      <w:pPr>
        <w:pStyle w:val="ListNumber"/>
        <w:ind w:left="425"/>
      </w:pPr>
      <w:r>
        <w:t>Executing settlement finality</w:t>
      </w:r>
    </w:p>
    <w:p>
      <w:r>
        <w:t>What This Means in Practice:</w:t>
      </w:r>
    </w:p>
    <w:p>
      <w:r>
        <w:t>Settlement finality is the Institution's core function</w:t>
      </w:r>
    </w:p>
    <w:p>
      <w:r>
        <w:t>If settlement cannot be finalized, the Institution cannot serve trade</w:t>
      </w:r>
    </w:p>
    <w:p>
      <w:r>
        <w:t>Failure includes inability to process settlements, inability to achieve finality, or material delays in settlement</w:t>
      </w:r>
    </w:p>
    <w:p>
      <w:r>
        <w:t>Example:</w:t>
      </w:r>
    </w:p>
    <w:p>
      <w:r>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r>
        <w:t>Why This Matters:</w:t>
      </w:r>
    </w:p>
    <w:p>
      <w:r>
        <w:t>Without settlement finality, the Institution has no function</w:t>
      </w:r>
    </w:p>
    <w:p>
      <w:r>
        <w:t>Without settlement finality, trade cannot occur</w:t>
      </w:r>
    </w:p>
    <w:p>
      <w:r>
        <w:t>Settlement finality is the Institution's reason for existence</w:t>
      </w:r>
    </w:p>
    <w:p>
      <w:r>
        <w:t>Application:</w:t>
      </w:r>
    </w:p>
    <w:p>
      <w:r>
        <w:t>All decisions shall be evaluated against the question: "Does this protect settlement finality?"</w:t>
      </w:r>
    </w:p>
    <w:p>
      <w:r>
        <w:t>Settlement finality shall be maintained at all times</w:t>
      </w:r>
    </w:p>
    <w:p>
      <w:r>
        <w:t>Material delays in settlement constitute failure</w:t>
      </w:r>
    </w:p>
    <w:p>
      <w:r>
        <w:t>Degradation</w:t>
      </w:r>
    </w:p>
    <w:p>
      <w:r>
        <w:t>All other adverse events constitute degradation:</w:t>
      </w:r>
    </w:p>
    <w:p>
      <w:r>
        <w:t>Performance degradation</w:t>
      </w:r>
    </w:p>
    <w:p>
      <w:r>
        <w:t>Service degradation</w:t>
      </w:r>
    </w:p>
    <w:p>
      <w:r>
        <w:t>Reliability degradation</w:t>
      </w:r>
    </w:p>
    <w:p>
      <w:r>
        <w:t>Efficiency degradation</w:t>
      </w:r>
    </w:p>
    <w:p>
      <w:r>
        <w:t>Technical degradation</w:t>
      </w:r>
    </w:p>
    <w:p>
      <w:r>
        <w:t>What This Means in Practice:</w:t>
      </w:r>
    </w:p>
    <w:p>
      <w:r>
        <w:t>Degradation is managed through ordinary governance</w:t>
      </w:r>
    </w:p>
    <w:p>
      <w:r>
        <w:t>Degradation is addressed through Policy and Operations</w:t>
      </w:r>
    </w:p>
    <w:p>
      <w:r>
        <w:t>Degradation does not trigger constitutional failure protocols</w:t>
      </w:r>
    </w:p>
    <w:p>
      <w:r>
        <w:t>Degradation is resolved through established processes</w:t>
      </w:r>
    </w:p>
    <w:p>
      <w:r>
        <w:t>Example:</w:t>
      </w:r>
    </w:p>
    <w:p>
      <w:r>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r>
        <w:t>Why This Matters:</w:t>
      </w:r>
    </w:p>
    <w:p>
      <w:r>
        <w:t>Without degradation classification, every issue is a crisis</w:t>
      </w:r>
    </w:p>
    <w:p>
      <w:r>
        <w:t>Without degradation classification, resources are misallocated</w:t>
      </w:r>
    </w:p>
    <w:p>
      <w:r>
        <w:t>Without degradation classification, the Institution is paralyzed by over-reaction</w:t>
      </w:r>
    </w:p>
    <w:p>
      <w:r>
        <w:t>Application:</w:t>
      </w:r>
    </w:p>
    <w:p>
      <w:r>
        <w:t>All adverse events shall be classified as failure or degradation</w:t>
      </w:r>
    </w:p>
    <w:p>
      <w:r>
        <w:t>Degradation shall be managed through ordinary processes</w:t>
      </w:r>
    </w:p>
    <w:p>
      <w:r>
        <w:t>Failure shall trigger emergency protocols</w:t>
      </w:r>
    </w:p>
    <w:p>
      <w:r>
        <w:t>Failure vs. Degradation: Distinguishing Criteria</w:t>
      </w:r>
    </w:p>
    <w:p>
      <w:r>
        <w:t>Failure Scenarios (Illustrative)</w:t>
      </w:r>
    </w:p>
    <w:p>
      <w:r>
        <w:t>Scenario 1: Complete Custody Loss</w:t>
      </w:r>
    </w:p>
    <w:p>
      <w:r>
        <w:t>Event: All reserves stolen or frozen</w:t>
      </w:r>
    </w:p>
    <w:p>
      <w:r>
        <w:t>Impact: Cannot honor redemptions</w:t>
      </w:r>
    </w:p>
    <w:p>
      <w:r>
        <w:t>Classification: Failure</w:t>
      </w:r>
    </w:p>
    <w:p>
      <w:r>
        <w:t>Response: Emergency protocols, insurance claims, legal action</w:t>
      </w:r>
    </w:p>
    <w:p>
      <w:r>
        <w:t>Scenario 2: Cryptographic Failure</w:t>
      </w:r>
    </w:p>
    <w:p>
      <w:r>
        <w:t>Event: Cannot generate proof of reserves</w:t>
      </w:r>
    </w:p>
    <w:p>
      <w:r>
        <w:t>Impact: Cannot publish proof within 24 hours</w:t>
      </w:r>
    </w:p>
    <w:p>
      <w:r>
        <w:t>Classification: Failure (if exceeds 24 hours)</w:t>
      </w:r>
    </w:p>
    <w:p>
      <w:r>
        <w:t>Response: Emergency technical response, manual verification</w:t>
      </w:r>
    </w:p>
    <w:p>
      <w:r>
        <w:t>Scenario 3: Market Crash</w:t>
      </w:r>
    </w:p>
    <w:p>
      <w:r>
        <w:t>Event: Reserves fall below supply</w:t>
      </w:r>
    </w:p>
    <w:p>
      <w:r>
        <w:t>Impact: Insolvency</w:t>
      </w:r>
    </w:p>
    <w:p>
      <w:r>
        <w:t>Classification: Failure (if not restored within timeframe)</w:t>
      </w:r>
    </w:p>
    <w:p>
      <w:r>
        <w:t>Response: Emergency liquidity facilities, reserve rebalancing</w:t>
      </w:r>
    </w:p>
    <w:p>
      <w:r>
        <w:t>Scenario 4: Network Outage</w:t>
      </w:r>
    </w:p>
    <w:p>
      <w:r>
        <w:t>Event: Settlement processing disrupted</w:t>
      </w:r>
    </w:p>
    <w:p>
      <w:r>
        <w:t>Impact: Delayed finality</w:t>
      </w:r>
    </w:p>
    <w:p>
      <w:r>
        <w:t>Classification: Degradation (if finality ultimately achieved)</w:t>
      </w:r>
    </w:p>
    <w:p>
      <w:r>
        <w:t>Response: Technical investigation, backup systems</w:t>
      </w:r>
    </w:p>
    <w:p>
      <w:r>
        <w:t>Scenario 5: Oracle Failure</w:t>
      </w:r>
    </w:p>
    <w:p>
      <w:r>
        <w:t>Event: NAV cannot be calculated</w:t>
      </w:r>
    </w:p>
    <w:p>
      <w:r>
        <w:t>Impact: Redemption cannot be processed</w:t>
      </w:r>
    </w:p>
    <w:p>
      <w:r>
        <w:t>Classification: Failure (if exceeds timeframe)</w:t>
      </w:r>
    </w:p>
    <w:p>
      <w:r>
        <w:t>Response: Backup oracle activation, manual NAV calculation</w:t>
      </w:r>
    </w:p>
    <w:p>
      <w:r>
        <w:t>Recovery from Failure</w:t>
      </w:r>
    </w:p>
    <w:p>
      <w:r>
        <w:t>The Institution Is Designed to Recover</w:t>
      </w:r>
    </w:p>
    <w:p>
      <w:r>
        <w:t>What This Means in Practice:</w:t>
      </w:r>
    </w:p>
    <w:p>
      <w:r>
        <w:t>Failure is not permanent unless constitutional invariants are permanently breached</w:t>
      </w:r>
    </w:p>
    <w:p>
      <w:r>
        <w:t>The Institution has defined recovery protocols</w:t>
      </w:r>
    </w:p>
    <w:p>
      <w:r>
        <w:t>Recovery is possible unless the Institution is permanently insolvent</w:t>
      </w:r>
    </w:p>
    <w:p>
      <w:r>
        <w:t>Example:</w:t>
      </w:r>
    </w:p>
    <w:p>
      <w:r>
        <w:t>A custody loss causes failure. The Institution activates insurance claims, legal action, and backup custody arrangements. Reserves are restored within 30 days. The Institution recovers from failure.</w:t>
      </w:r>
    </w:p>
    <w:p>
      <w:r>
        <w:t>Why This Matters:</w:t>
      </w:r>
    </w:p>
    <w:p>
      <w:r>
        <w:t>Without recovery capability, failure is permanent</w:t>
      </w:r>
    </w:p>
    <w:p>
      <w:r>
        <w:t>Without recovery capability, the Institution cannot survive disruption</w:t>
      </w:r>
    </w:p>
    <w:p>
      <w:r>
        <w:t>Recovery capability is essential to resilience</w:t>
      </w:r>
    </w:p>
    <w:p>
      <w:r>
        <w:t>Recovery Requires Restoration of All Four Conditions</w:t>
      </w:r>
    </w:p>
    <w:p>
      <w:r>
        <w:t>What This Means in Practice:</w:t>
      </w:r>
    </w:p>
    <w:p>
      <w:r>
        <w:t>Redemption must be restored</w:t>
      </w:r>
    </w:p>
    <w:p>
      <w:r>
        <w:t>Proof of reserves must be published</w:t>
      </w:r>
    </w:p>
    <w:p>
      <w:r>
        <w:t>Solvency must be restored</w:t>
      </w:r>
    </w:p>
    <w:p>
      <w:r>
        <w:t>Settlement finality must be restored</w:t>
      </w:r>
    </w:p>
    <w:p>
      <w:r>
        <w:t>Example:</w:t>
      </w:r>
    </w:p>
    <w:p>
      <w:r>
        <w:t>After a custody loss, the Institution restores reserves, publishes proof, resumes redemption, and resumes settlement. All four conditions are restored. The Institution has recovered.</w:t>
      </w:r>
    </w:p>
    <w:p>
      <w:r>
        <w:t>Why This Matters:</w:t>
      </w:r>
    </w:p>
    <w:p>
      <w:r>
        <w:t>Partial restoration is not recovery</w:t>
      </w:r>
    </w:p>
    <w:p>
      <w:r>
        <w:t>All four conditions are essential to constitutional function</w:t>
      </w:r>
    </w:p>
    <w:p>
      <w:r>
        <w:t>Recovery is complete only when all conditions are met</w:t>
      </w:r>
    </w:p>
    <w:p>
      <w:r>
        <w:t>Resolution and Wind-Down</w:t>
      </w:r>
    </w:p>
    <w:p>
      <w:r>
        <w:t>If Failure Cannot Be Resolved, the Institution Enters Resolution</w:t>
      </w:r>
    </w:p>
    <w:p>
      <w:r>
        <w:t>What This Means in Practice:</w:t>
      </w:r>
    </w:p>
    <w:p>
      <w:r>
        <w:t>Resolution is an orderly wind-down</w:t>
      </w:r>
    </w:p>
    <w:p>
      <w:r>
        <w:t>Resolution preserves maximum value for holders</w:t>
      </w:r>
    </w:p>
    <w:p>
      <w:r>
        <w:t>Resolution is defined by the Constitution</w:t>
      </w:r>
    </w:p>
    <w:p>
      <w:r>
        <w:t>Example:</w:t>
      </w:r>
    </w:p>
    <w:p>
      <w:r>
        <w:t>A permanent insolvency cannot be resolved. The Institution enters Resolution. Reserves are distributed to holders proportionally. The Institution is wound down.</w:t>
      </w:r>
    </w:p>
    <w:p>
      <w:r>
        <w:t>Why This Matters:</w:t>
      </w:r>
    </w:p>
    <w:p>
      <w:r>
        <w:t>Without resolution, failure is chaotic</w:t>
      </w:r>
    </w:p>
    <w:p>
      <w:r>
        <w:t>Without resolution, holders are left uncertain</w:t>
      </w:r>
    </w:p>
    <w:p>
      <w:r>
        <w:t>Resolution protects holders even in failure</w:t>
      </w:r>
    </w:p>
    <w:p>
      <w:r>
        <w:t>Resolution Includes:</w:t>
      </w:r>
    </w:p>
    <w:p>
      <w:pPr>
        <w:pStyle w:val="ListNumber"/>
        <w:ind w:left="425"/>
      </w:pPr>
      <w:r>
        <w:t>Final Redemption</w:t>
      </w:r>
    </w:p>
    <w:p>
      <w:r>
        <w:t>All remaining units are redeemed</w:t>
      </w:r>
    </w:p>
    <w:p>
      <w:r>
        <w:t>Reserves are distributed proportionally</w:t>
      </w:r>
    </w:p>
    <w:p>
      <w:pPr>
        <w:pStyle w:val="ListNumber"/>
        <w:ind w:left="425"/>
      </w:pPr>
      <w:r>
        <w:t>Reserve Distribution</w:t>
      </w:r>
    </w:p>
    <w:p>
      <w:r>
        <w:t>All reserve assets are distributed</w:t>
      </w:r>
    </w:p>
    <w:p>
      <w:r>
        <w:t>Distribution follows constitutional priority</w:t>
      </w:r>
    </w:p>
    <w:p>
      <w:pPr>
        <w:pStyle w:val="ListNumber"/>
        <w:ind w:left="425"/>
      </w:pPr>
      <w:r>
        <w:t>Dissolution</w:t>
      </w:r>
    </w:p>
    <w:p>
      <w:r>
        <w:t>The Institution is dissolved</w:t>
      </w:r>
    </w:p>
    <w:p>
      <w:r>
        <w:t>Records are preserved</w:t>
      </w:r>
    </w:p>
    <w:p>
      <w:r>
        <w:t>Priority in Resolution</w:t>
      </w:r>
    </w:p>
    <w:p>
      <w:r>
        <w:t>This priority is constitutional. It cannot be changed. It protects holders.</w:t>
      </w:r>
    </w:p>
    <w:p>
      <w:r>
        <w:t>Constitutional Interpretation</w:t>
      </w:r>
    </w:p>
    <w:p>
      <w:r>
        <w:t>Failure is defined as any event that prevents:</w:t>
      </w:r>
    </w:p>
    <w:p>
      <w:r>
        <w:t>Honoring redemption requests</w:t>
      </w:r>
    </w:p>
    <w:p>
      <w:r>
        <w:t>Publishing proof of reserves</w:t>
      </w:r>
    </w:p>
    <w:p>
      <w:r>
        <w:t>Maintaining constitutional solvency</w:t>
      </w:r>
    </w:p>
    <w:p>
      <w:r>
        <w:t>Executing settlement finality</w:t>
      </w:r>
    </w:p>
    <w:p>
      <w:r>
        <w:t>All other adverse events constitute degradation.</w:t>
      </w:r>
    </w:p>
    <w:p>
      <w:r>
        <w:t>If any of the four failure conditions occurs, the Institution has failed. Failure triggers emergency protocols. If failure cannot be resolved, the Institution enters Resolution. The Constitution defines the process so courts do not have to.</w:t>
      </w:r>
    </w:p>
    <w:p>
      <w:r>
        <w:t>[END OF ARTICLE VII — FAILURE DEFINITION]</w:t>
      </w:r>
    </w:p>
    <w:p>
      <w:r>
        <w:t>Article VIII: Governance</w:t>
      </w:r>
    </w:p>
    <w:p>
      <w:r>
        <w:t>Governance Structure</w:t>
      </w:r>
    </w:p>
    <w:p>
      <w:r>
        <w:t>The Institution is governed through a system of independent committees, each with defined responsibilities, authority, and accountability. This structure ensures:</w:t>
      </w:r>
    </w:p>
    <w:p>
      <w:r>
        <w:t>Separation of powers</w:t>
      </w:r>
    </w:p>
    <w:p>
      <w:r>
        <w:t>Checks and balances</w:t>
      </w:r>
    </w:p>
    <w:p>
      <w:r>
        <w:t>Expert decision-making</w:t>
      </w:r>
    </w:p>
    <w:p>
      <w:r>
        <w:t>Institutional continuity</w:t>
      </w:r>
    </w:p>
    <w:p>
      <w:r>
        <w:t>Constitutional compliance</w:t>
      </w:r>
    </w:p>
    <w:p>
      <w:r>
        <w:t>The Monetary Council</w:t>
      </w:r>
    </w:p>
    <w:p>
      <w:r>
        <w:t>Primary Decision-Making Body</w:t>
      </w:r>
    </w:p>
    <w:p>
      <w:r>
        <w:t>What This Means in Practice:</w:t>
      </w:r>
    </w:p>
    <w:p>
      <w:r>
        <w:t>The Council is the ultimate decision-making body within constitutional constraints</w:t>
      </w:r>
    </w:p>
    <w:p>
      <w:r>
        <w:t>The Council's authority is defined by the Constitution</w:t>
      </w:r>
    </w:p>
    <w:p>
      <w:r>
        <w:t>The Council's power is constrained by constitutional invariants</w:t>
      </w:r>
    </w:p>
    <w:p>
      <w:r>
        <w:t>The Council is accountable to constitutional principles</w:t>
      </w:r>
    </w:p>
    <w:p>
      <w:r>
        <w:t>Example:</w:t>
      </w:r>
    </w:p>
    <w:p>
      <w:r>
        <w:t>The Council approves policy frameworks, appoints committee members, and oversees institutional operations. However, the Council cannot change constitutional invariants. The Council's power is limited by the Constitution it serves.</w:t>
      </w:r>
    </w:p>
    <w:p>
      <w:r>
        <w:t>Why This Matters:</w:t>
      </w:r>
    </w:p>
    <w:p>
      <w:r>
        <w:t>Without a primary decision-making body, governance is fragmented</w:t>
      </w:r>
    </w:p>
    <w:p>
      <w:r>
        <w:t>Without accountability, the Council could exceed its authority</w:t>
      </w:r>
    </w:p>
    <w:p>
      <w:r>
        <w:t>Without constitutional constraints, the Council could violate institutional principles</w:t>
      </w:r>
    </w:p>
    <w:p>
      <w:r>
        <w:t>Composition:</w:t>
      </w:r>
    </w:p>
    <w:p>
      <w:r>
        <w:t>7-15 members</w:t>
      </w:r>
    </w:p>
    <w:p>
      <w:r>
        <w:t>Independent professionals</w:t>
      </w:r>
    </w:p>
    <w:p>
      <w:r>
        <w:t>Diverse expertise: central banking, finance, law, technology, trade, Islamic finance</w:t>
      </w:r>
    </w:p>
    <w:p>
      <w:r>
        <w:t>Geographic diversity: no single region dominates</w:t>
      </w:r>
    </w:p>
    <w:p>
      <w:r>
        <w:t>Staggered terms: 4-year terms, renewable</w:t>
      </w:r>
    </w:p>
    <w:p>
      <w:r>
        <w:t>Appointment Process:</w:t>
      </w:r>
    </w:p>
    <w:p>
      <w:r>
        <w:t>Nominations by current Council members</w:t>
      </w:r>
    </w:p>
    <w:p>
      <w:r>
        <w:t>Vetting by Independent Review Panel</w:t>
      </w:r>
    </w:p>
    <w:p>
      <w:r>
        <w:t>Confirmation by supermajority vote</w:t>
      </w:r>
    </w:p>
    <w:p>
      <w:r>
        <w:t>Public announcement with disclosure</w:t>
      </w:r>
    </w:p>
    <w:p>
      <w:r>
        <w:t>The Risk Committee</w:t>
      </w:r>
    </w:p>
    <w:p>
      <w:r>
        <w:t>Risk Oversight Body</w:t>
      </w:r>
    </w:p>
    <w:p>
      <w:r>
        <w:t>What This Means in Practice:</w:t>
      </w:r>
    </w:p>
    <w:p>
      <w:r>
        <w:t>Risk oversight is independent of operational management</w:t>
      </w:r>
    </w:p>
    <w:p>
      <w:r>
        <w:t>Risk assessments are documented and reviewed</w:t>
      </w:r>
    </w:p>
    <w:p>
      <w:r>
        <w:t>Risk decisions are informed by comprehensive analysis</w:t>
      </w:r>
    </w:p>
    <w:p>
      <w:r>
        <w:t>Risk committee reports to the Council</w:t>
      </w:r>
    </w:p>
    <w:p>
      <w:r>
        <w:t>Example:</w:t>
      </w:r>
    </w:p>
    <w:p>
      <w:r>
        <w:t>The Risk Committee identifies potential oracle failure scenarios, assesses their probability and impact, develops mitigation strategies, and reports findings to the Council. The Committee does not manage oracles; it oversees the risks associated with oracles.</w:t>
      </w:r>
    </w:p>
    <w:p>
      <w:r>
        <w:t>Why This Matters:</w:t>
      </w:r>
    </w:p>
    <w:p>
      <w:r>
        <w:t>Without independent risk oversight, risks are underestimated</w:t>
      </w:r>
    </w:p>
    <w:p>
      <w:r>
        <w:t>Without documented risk assessment, decisions are opaque</w:t>
      </w:r>
    </w:p>
    <w:p>
      <w:r>
        <w:t>Without risk reporting, the Council cannot fulfill its oversight role</w:t>
      </w:r>
    </w:p>
    <w:p>
      <w:r>
        <w:t>Composition:</w:t>
      </w:r>
    </w:p>
    <w:p>
      <w:r>
        <w:t>3-7 members</w:t>
      </w:r>
    </w:p>
    <w:p>
      <w:r>
        <w:t>Risk management professionals</w:t>
      </w:r>
    </w:p>
    <w:p>
      <w:r>
        <w:t>Experience in financial risk, operational risk, cybersecurity</w:t>
      </w:r>
    </w:p>
    <w:p>
      <w:r>
        <w:t>Independent of operational teams</w:t>
      </w:r>
    </w:p>
    <w:p>
      <w:r>
        <w:t>Responsibilities:</w:t>
      </w:r>
    </w:p>
    <w:p>
      <w:r>
        <w:t>Identify institutional risks</w:t>
      </w:r>
    </w:p>
    <w:p>
      <w:r>
        <w:t>Assess risk probability and impact</w:t>
      </w:r>
    </w:p>
    <w:p>
      <w:r>
        <w:t>Develop risk mitigation strategies</w:t>
      </w:r>
    </w:p>
    <w:p>
      <w:r>
        <w:t>Monitor risk exposure</w:t>
      </w:r>
    </w:p>
    <w:p>
      <w:r>
        <w:t>Report to the Council quarterly</w:t>
      </w:r>
    </w:p>
    <w:p>
      <w:r>
        <w:t>Escalate material risks immediately</w:t>
      </w:r>
    </w:p>
    <w:p>
      <w:r>
        <w:t>The Technical Committee</w:t>
      </w:r>
    </w:p>
    <w:p>
      <w:r>
        <w:t>Technical Integrity Body</w:t>
      </w:r>
    </w:p>
    <w:p>
      <w:r>
        <w:t>What This Means in Practice:</w:t>
      </w:r>
    </w:p>
    <w:p>
      <w:r>
        <w:t>Technical decisions are made by experts</w:t>
      </w:r>
    </w:p>
    <w:p>
      <w:r>
        <w:t>Technical architecture is documented and reviewed</w:t>
      </w:r>
    </w:p>
    <w:p>
      <w:r>
        <w:t>Technical security is maintained and improved</w:t>
      </w:r>
    </w:p>
    <w:p>
      <w:r>
        <w:t>Technical operations are transparent and auditable</w:t>
      </w:r>
    </w:p>
    <w:p>
      <w:r>
        <w:t>Example:</w:t>
      </w:r>
    </w:p>
    <w:p>
      <w:r>
        <w:t>The Technical Committee reviews smart contract upgrades, oversees oracle architecture, and manages bug bounty programs. The Committee ensures technical integrity while reporting to the Council on material technical issues.</w:t>
      </w:r>
    </w:p>
    <w:p>
      <w:r>
        <w:t>Why This Matters:</w:t>
      </w:r>
    </w:p>
    <w:p>
      <w:r>
        <w:t>Without technical expertise, technical decisions are uninformed</w:t>
      </w:r>
    </w:p>
    <w:p>
      <w:r>
        <w:t>Without technical oversight, the Institution is vulnerable to technical failure</w:t>
      </w:r>
    </w:p>
    <w:p>
      <w:r>
        <w:t>Without technical transparency, technical risk is hidden</w:t>
      </w:r>
    </w:p>
    <w:p>
      <w:r>
        <w:t>Composition:</w:t>
      </w:r>
    </w:p>
    <w:p>
      <w:r>
        <w:t>3-7 members</w:t>
      </w:r>
    </w:p>
    <w:p>
      <w:r>
        <w:t>Technical experts: cryptography, distributed systems, security, blockchain</w:t>
      </w:r>
    </w:p>
    <w:p>
      <w:r>
        <w:t>Independent of technology vendors</w:t>
      </w:r>
    </w:p>
    <w:p>
      <w:r>
        <w:t>Staggered terms: 3-year terms, renewable</w:t>
      </w:r>
    </w:p>
    <w:p>
      <w:r>
        <w:t>Responsibilities:</w:t>
      </w:r>
    </w:p>
    <w:p>
      <w:r>
        <w:t>Oversee technical architecture</w:t>
      </w:r>
    </w:p>
    <w:p>
      <w:r>
        <w:t>Manage technical security</w:t>
      </w:r>
    </w:p>
    <w:p>
      <w:r>
        <w:t>Implement technical improvements</w:t>
      </w:r>
    </w:p>
    <w:p>
      <w:r>
        <w:t>Report to the Council quarterly</w:t>
      </w:r>
    </w:p>
    <w:p>
      <w:r>
        <w:t>Escalate material technical issues immediately</w:t>
      </w:r>
    </w:p>
    <w:p>
      <w:r>
        <w:t>The Audit Committee</w:t>
      </w:r>
    </w:p>
    <w:p>
      <w:r>
        <w:t>Audit Oversight Body</w:t>
      </w:r>
    </w:p>
    <w:p>
      <w:r>
        <w:t>What This Means in Practice:</w:t>
      </w:r>
    </w:p>
    <w:p>
      <w:r>
        <w:t>Audit is independent of management</w:t>
      </w:r>
    </w:p>
    <w:p>
      <w:r>
        <w:t>Audit findings are reviewed and addressed</w:t>
      </w:r>
    </w:p>
    <w:p>
      <w:r>
        <w:t>Audit recommendations are implemented</w:t>
      </w:r>
    </w:p>
    <w:p>
      <w:r>
        <w:t>Audit oversight is continuous</w:t>
      </w:r>
    </w:p>
    <w:p>
      <w:r>
        <w:t>Example:</w:t>
      </w:r>
    </w:p>
    <w:p>
      <w:r>
        <w:t>The Audit Committee appoints independent auditors, reviews audit findings, and ensures audit recommendations are implemented. The Committee does not conduct audits; it oversees the audit function.</w:t>
      </w:r>
    </w:p>
    <w:p>
      <w:r>
        <w:t>Why This Matters:</w:t>
      </w:r>
    </w:p>
    <w:p>
      <w:r>
        <w:t>Without independent audit, claims are unverified</w:t>
      </w:r>
    </w:p>
    <w:p>
      <w:r>
        <w:t>Without audit oversight, audit recommendations are ignored</w:t>
      </w:r>
    </w:p>
    <w:p>
      <w:r>
        <w:t>Without audit transparency, trust is undermined</w:t>
      </w:r>
    </w:p>
    <w:p>
      <w:r>
        <w:t>Composition:</w:t>
      </w:r>
    </w:p>
    <w:p>
      <w:r>
        <w:t>3-5 members</w:t>
      </w:r>
    </w:p>
    <w:p>
      <w:r>
        <w:t>Accounting, auditing, or financial control expertise</w:t>
      </w:r>
    </w:p>
    <w:p>
      <w:r>
        <w:t>Independent of management</w:t>
      </w:r>
    </w:p>
    <w:p>
      <w:r>
        <w:t>Staggered terms: 3-year terms, renewable</w:t>
      </w:r>
    </w:p>
    <w:p>
      <w:r>
        <w:t>Responsibilities:</w:t>
      </w:r>
    </w:p>
    <w:p>
      <w:r>
        <w:t>Appoint independent auditors</w:t>
      </w:r>
    </w:p>
    <w:p>
      <w:r>
        <w:t>Review audit findings</w:t>
      </w:r>
    </w:p>
    <w:p>
      <w:r>
        <w:t>Ensure audit recommendations are implemented</w:t>
      </w:r>
    </w:p>
    <w:p>
      <w:r>
        <w:t>Report to the Council quarterly</w:t>
      </w:r>
    </w:p>
    <w:p>
      <w:r>
        <w:t>Escalate material audit issues immediately</w:t>
      </w:r>
    </w:p>
    <w:p>
      <w:r>
        <w:t>The Sharia Committee</w:t>
      </w:r>
    </w:p>
    <w:p>
      <w:r>
        <w:t>Religious and Ethical Guardian</w:t>
      </w:r>
    </w:p>
    <w:p>
      <w:r>
        <w:t>What This Means in Practice:</w:t>
      </w:r>
    </w:p>
    <w:p>
      <w:r>
        <w:t>Sharia compliance is mandatory</w:t>
      </w:r>
    </w:p>
    <w:p>
      <w:r>
        <w:t>Sharia rulings are binding</w:t>
      </w:r>
    </w:p>
    <w:p>
      <w:r>
        <w:t>Sharia review is independent</w:t>
      </w:r>
    </w:p>
    <w:p>
      <w:r>
        <w:t>Sharia oversight is continuous</w:t>
      </w:r>
    </w:p>
    <w:p>
      <w:r>
        <w:t>Example:</w:t>
      </w:r>
    </w:p>
    <w:p>
      <w:r>
        <w:t>The Sharia Committee reviews all reserve assets, yield mechanisms, and risk protection instruments to ensure compliance with AAOIFI Sharia standards. If the Committee finds any instrument non-compliant, the Institution must modify or abandon it.</w:t>
      </w:r>
    </w:p>
    <w:p>
      <w:r>
        <w:t>Why This Matters:</w:t>
      </w:r>
    </w:p>
    <w:p>
      <w:r>
        <w:t>Without Sharia compliance, the Institution cannot serve Islamic finance</w:t>
      </w:r>
    </w:p>
    <w:p>
      <w:r>
        <w:t>Without Sharia oversight, religious principles are compromised</w:t>
      </w:r>
    </w:p>
    <w:p>
      <w:r>
        <w:t>Without binding rulings, commercial pressure could override religious principles</w:t>
      </w:r>
    </w:p>
    <w:p>
      <w:r>
        <w:t>Composition:</w:t>
      </w:r>
    </w:p>
    <w:p>
      <w:r>
        <w:t>3-7 members</w:t>
      </w:r>
    </w:p>
    <w:p>
      <w:r>
        <w:t>AAOIFI-certified Sharia scholars</w:t>
      </w:r>
    </w:p>
    <w:p>
      <w:r>
        <w:t>Expertise in Islamic finance, trade finance, digital assets</w:t>
      </w:r>
    </w:p>
    <w:p>
      <w:r>
        <w:t>Independent of commercial interests</w:t>
      </w:r>
    </w:p>
    <w:p>
      <w:r>
        <w:t>Staggered terms: 5-year terms, renewable</w:t>
      </w:r>
    </w:p>
    <w:p>
      <w:r>
        <w:t>Responsibilities:</w:t>
      </w:r>
    </w:p>
    <w:p>
      <w:r>
        <w:t>Review all instruments for Sharia compliance</w:t>
      </w:r>
    </w:p>
    <w:p>
      <w:r>
        <w:t>Issue binding rulings on compliance</w:t>
      </w:r>
    </w:p>
    <w:p>
      <w:r>
        <w:t>Annual Sharia compliance certification</w:t>
      </w:r>
    </w:p>
    <w:p>
      <w:r>
        <w:t>Report to the Council annually</w:t>
      </w:r>
    </w:p>
    <w:p>
      <w:r>
        <w:t>Veto power over non-compliant instruments</w:t>
      </w:r>
    </w:p>
    <w:p>
      <w:r>
        <w:t>Key Governance Principles</w:t>
      </w:r>
    </w:p>
    <w:p>
      <w:r>
        <w:t>No Governance Tokens</w:t>
      </w:r>
    </w:p>
    <w:p>
      <w:r>
        <w:t>Governance rights vested in Council members, not token holders.</w:t>
      </w:r>
    </w:p>
    <w:p>
      <w:r>
        <w:t>What This Means in Practice:</w:t>
      </w:r>
    </w:p>
    <w:p>
      <w:r>
        <w:t>The Institution is governed by a Council, not by token holders</w:t>
      </w:r>
    </w:p>
    <w:p>
      <w:r>
        <w:t>Token holders do not vote on governance matters</w:t>
      </w:r>
    </w:p>
    <w:p>
      <w:r>
        <w:t>Governance is based on expertise, not token ownership</w:t>
      </w:r>
    </w:p>
    <w:p>
      <w:r>
        <w:t>The Institution is not a DAO</w:t>
      </w:r>
    </w:p>
    <w:p>
      <w:r>
        <w:t>This prevents plutocracy and securities classification</w:t>
      </w:r>
    </w:p>
    <w:p>
      <w:r>
        <w:t>Example:</w:t>
      </w:r>
    </w:p>
    <w:p>
      <w:r>
        <w:t>A token holder cannot vote on reserve composition changes because governance rights are vested in the Monetary Council, not token holders. The Council, composed of qualified professionals, makes decisions based on expertise, analysis, and constitutional principles.</w:t>
      </w:r>
    </w:p>
    <w:p>
      <w:r>
        <w:t>Why This Matters:</w:t>
      </w:r>
    </w:p>
    <w:p>
      <w:r>
        <w:t>Token-based governance concentrates power in large holders</w:t>
      </w:r>
    </w:p>
    <w:p>
      <w:r>
        <w:t>Token-based governance is subject to manipulation</w:t>
      </w:r>
    </w:p>
    <w:p>
      <w:r>
        <w:t>Token-based governance creates securities law risk</w:t>
      </w:r>
    </w:p>
    <w:p>
      <w:r>
        <w:t>Token-based governance prioritizes ownership over expertise</w:t>
      </w:r>
    </w:p>
    <w:p>
      <w:r>
        <w:t>Constitutional Protection:</w:t>
      </w:r>
    </w:p>
    <w:p>
      <w:r>
        <w:t>This principle is permanent</w:t>
      </w:r>
    </w:p>
    <w:p>
      <w:r>
        <w:t>It cannot be amended</w:t>
      </w:r>
    </w:p>
    <w:p>
      <w:r>
        <w:t>It cannot be interpreted away</w:t>
      </w:r>
    </w:p>
    <w:p>
      <w:r>
        <w:t>Independent Directors</w:t>
      </w:r>
    </w:p>
    <w:p>
      <w:r>
        <w:t>Directors are independent of special interests.</w:t>
      </w:r>
    </w:p>
    <w:p>
      <w:r>
        <w:t>What This Means in Practice:</w:t>
      </w:r>
    </w:p>
    <w:p>
      <w:r>
        <w:t>Directors are not employees of the Institution</w:t>
      </w:r>
    </w:p>
    <w:p>
      <w:r>
        <w:t>Directors do not have material economic interests in the Institution</w:t>
      </w:r>
    </w:p>
    <w:p>
      <w:r>
        <w:t>Directors do not represent any particular stakeholder</w:t>
      </w:r>
    </w:p>
    <w:p>
      <w:r>
        <w:t>Directors are appointed based on expertise, not connections</w:t>
      </w:r>
    </w:p>
    <w:p>
      <w:r>
        <w:t>Requirements:</w:t>
      </w:r>
    </w:p>
    <w:p>
      <w:r>
        <w:t>Cooling-off periods for former officials (2-5 years)</w:t>
      </w:r>
    </w:p>
    <w:p>
      <w:r>
        <w:t>Disclosure requirements (annual)</w:t>
      </w:r>
    </w:p>
    <w:p>
      <w:r>
        <w:t>Conflict of interest policies (written)</w:t>
      </w:r>
    </w:p>
    <w:p>
      <w:r>
        <w:t>Recusal procedures (mandatory)</w:t>
      </w:r>
    </w:p>
    <w:p>
      <w:r>
        <w:t>Example:</w:t>
      </w:r>
    </w:p>
    <w:p>
      <w:r>
        <w:t>A Council member who previously served as a central bank official and has potential ongoing connections to their former institution must disclose this relationship and recuse themselves from decisions that could affect that institution.</w:t>
      </w:r>
    </w:p>
    <w:p>
      <w:r>
        <w:t>Why This Matters:</w:t>
      </w:r>
    </w:p>
    <w:p>
      <w:r>
        <w:t>Without independence, directors are subject to capture</w:t>
      </w:r>
    </w:p>
    <w:p>
      <w:r>
        <w:t>Without independence, decisions favor special interests</w:t>
      </w:r>
    </w:p>
    <w:p>
      <w:r>
        <w:t>Without independence, institutional integrity is compromised</w:t>
      </w:r>
    </w:p>
    <w:p>
      <w:r>
        <w:t>Conflict of Interest Policy</w:t>
      </w:r>
    </w:p>
    <w:p>
      <w:r>
        <w:t>Written Policy with Mandatory Compliance</w:t>
      </w:r>
    </w:p>
    <w:p>
      <w:r>
        <w:t>What This Means in Practice:</w:t>
      </w:r>
    </w:p>
    <w:p>
      <w:r>
        <w:t>All directors and committee members must comply</w:t>
      </w:r>
    </w:p>
    <w:p>
      <w:r>
        <w:t>Disclosures are annual and comprehensive</w:t>
      </w:r>
    </w:p>
    <w:p>
      <w:r>
        <w:t>Recusal is mandatory for conflicted decisions</w:t>
      </w:r>
    </w:p>
    <w:p>
      <w:r>
        <w:t>Violations are investigated and addressed</w:t>
      </w:r>
    </w:p>
    <w:p>
      <w:r>
        <w:t>Policy Components:</w:t>
      </w:r>
    </w:p>
    <w:p>
      <w:r>
        <w:t>Annual disclosure statements</w:t>
      </w:r>
    </w:p>
    <w:p>
      <w:r>
        <w:t>Recusal procedures</w:t>
      </w:r>
    </w:p>
    <w:p>
      <w:r>
        <w:t>Monitoring and enforcement</w:t>
      </w:r>
    </w:p>
    <w:p>
      <w:r>
        <w:t>Whistleblower protection</w:t>
      </w:r>
    </w:p>
    <w:p>
      <w:r>
        <w:t>Consequences for violations</w:t>
      </w:r>
    </w:p>
    <w:p>
      <w:r>
        <w:t>Example:</w:t>
      </w:r>
    </w:p>
    <w:p>
      <w:r>
        <w:t>All Council and Committee members submit annual conflict of interest disclosures. If a member has a financial interest in a matter under consideration, they recuse themselves from discussion and vote. Violations are investigated and addressed.</w:t>
      </w:r>
    </w:p>
    <w:p>
      <w:r>
        <w:t>Why This Matters:</w:t>
      </w:r>
    </w:p>
    <w:p>
      <w:r>
        <w:t>Without a policy, conflicts are hidden</w:t>
      </w:r>
    </w:p>
    <w:p>
      <w:r>
        <w:t>Without disclosure, conflicts cannot be identified</w:t>
      </w:r>
    </w:p>
    <w:p>
      <w:r>
        <w:t>Without enforcement, the policy is meaningless</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Governance Accountability</w:t>
      </w:r>
    </w:p>
    <w:p>
      <w:r>
        <w:t>All governance bodies are accountable to:</w:t>
      </w:r>
    </w:p>
    <w:p>
      <w:pPr>
        <w:pStyle w:val="ListNumber"/>
        <w:ind w:left="425"/>
      </w:pPr>
      <w:r>
        <w:t>The Constitution</w:t>
      </w:r>
    </w:p>
    <w:p>
      <w:r>
        <w:t>All decisions must comply with constitutional principles</w:t>
      </w:r>
    </w:p>
    <w:p>
      <w:r>
        <w:t>Constitutional violations are invalid</w:t>
      </w:r>
    </w:p>
    <w:p>
      <w:pPr>
        <w:pStyle w:val="ListNumber"/>
        <w:ind w:left="425"/>
      </w:pPr>
      <w:r>
        <w:t>The Council (for committees)</w:t>
      </w:r>
    </w:p>
    <w:p>
      <w:r>
        <w:t>Committees report to the Council</w:t>
      </w:r>
    </w:p>
    <w:p>
      <w:r>
        <w:t>The Council oversees committee performance</w:t>
      </w:r>
    </w:p>
    <w:p>
      <w:pPr>
        <w:pStyle w:val="ListNumber"/>
        <w:ind w:left="425"/>
      </w:pPr>
      <w:r>
        <w:t>Independent Review</w:t>
      </w:r>
    </w:p>
    <w:p>
      <w:r>
        <w:t>Five-year independent reviews</w:t>
      </w:r>
    </w:p>
    <w:p>
      <w:r>
        <w:t>Public reporting</w:t>
      </w:r>
    </w:p>
    <w:p>
      <w:r>
        <w:t>Recommendations are implemented or justified</w:t>
      </w:r>
    </w:p>
    <w:p>
      <w:pPr>
        <w:pStyle w:val="ListNumber"/>
        <w:ind w:left="425"/>
      </w:pPr>
      <w:r>
        <w:t>Legal and Regulatory Authorities</w:t>
      </w:r>
    </w:p>
    <w:p>
      <w:r>
        <w:t>Compliance with applicable law</w:t>
      </w:r>
    </w:p>
    <w:p>
      <w:r>
        <w:t>Cooperation with regulatory oversight</w:t>
      </w:r>
    </w:p>
    <w:p>
      <w:pPr>
        <w:pStyle w:val="ListNumber"/>
        <w:ind w:left="425"/>
      </w:pPr>
      <w:r>
        <w:t>The Public</w:t>
      </w:r>
    </w:p>
    <w:p>
      <w:r>
        <w:t>Transparency in all decisions</w:t>
      </w:r>
    </w:p>
    <w:p>
      <w:r>
        <w:t>Public reporting</w:t>
      </w:r>
    </w:p>
    <w:p>
      <w:r>
        <w:t>Public feedback mechanisms</w:t>
      </w:r>
    </w:p>
    <w:p>
      <w:r>
        <w:t>Governance Reporting</w:t>
      </w:r>
    </w:p>
    <w:p>
      <w:r>
        <w:t>Governance Review</w:t>
      </w:r>
    </w:p>
    <w:p>
      <w:r>
        <w:t>Continuous Improvement Through Review</w:t>
      </w:r>
    </w:p>
    <w:p>
      <w:r>
        <w:t>What This Means in Practice:</w:t>
      </w:r>
    </w:p>
    <w:p>
      <w:r>
        <w:t>Governance is reviewed regularly</w:t>
      </w:r>
    </w:p>
    <w:p>
      <w:r>
        <w:t>Governance is improved based on review</w:t>
      </w:r>
    </w:p>
    <w:p>
      <w:r>
        <w:t>Governance adapts while maintaining constitutional principles</w:t>
      </w:r>
    </w:p>
    <w:p>
      <w:r>
        <w:t>Review Mechanisms:</w:t>
      </w:r>
    </w:p>
    <w:p>
      <w:r>
        <w:t>Self-assessment by each committee</w:t>
      </w:r>
    </w:p>
    <w:p>
      <w:r>
        <w:t>Independent review every 5 years</w:t>
      </w:r>
    </w:p>
    <w:p>
      <w:r>
        <w:t>Public feedback</w:t>
      </w:r>
    </w:p>
    <w:p>
      <w:r>
        <w:t>Best practice benchmarking</w:t>
      </w:r>
    </w:p>
    <w:p>
      <w:r>
        <w:t>Constitutional Interpretation</w:t>
      </w:r>
    </w:p>
    <w:p>
      <w:r>
        <w:t>The Institution is governed by independent committees with defined responsibilities, authority, and accountability. This governance structure ensures:</w:t>
      </w:r>
    </w:p>
    <w:p>
      <w:r>
        <w:t>Separation of powers</w:t>
      </w:r>
    </w:p>
    <w:p>
      <w:r>
        <w:t>Checks and balances</w:t>
      </w:r>
    </w:p>
    <w:p>
      <w:r>
        <w:t>Expert decision-making</w:t>
      </w:r>
    </w:p>
    <w:p>
      <w:r>
        <w:t>Constitutional compliance</w:t>
      </w:r>
    </w:p>
    <w:p>
      <w:r>
        <w:t>Institutional continuity</w:t>
      </w:r>
    </w:p>
    <w:p>
      <w:r>
        <w:t>Governance serves the Constitution. The Constitution does not serve governance. No governance body may violate constitutional principles.</w:t>
      </w:r>
    </w:p>
    <w:p>
      <w:r>
        <w:t>[END OF ARTICLE VIII — GOVERNANCE]</w:t>
      </w:r>
    </w:p>
    <w:p>
      <w:r>
        <w:t>Article IX: Founder Succession</w:t>
      </w:r>
    </w:p>
    <w:p>
      <w:r>
        <w:t>Founder's Seat</w:t>
      </w:r>
    </w:p>
    <w:p>
      <w:r>
        <w:t>The Founder holds a Council seat during active involvement.</w:t>
      </w:r>
    </w:p>
    <w:p>
      <w:r>
        <w:t>What This Means in Practice:</w:t>
      </w:r>
    </w:p>
    <w:p>
      <w:r>
        <w:t>The Founder has a seat on the Council while actively involved</w:t>
      </w:r>
    </w:p>
    <w:p>
      <w:r>
        <w:t>The seat is not guaranteed in perpetuity</w:t>
      </w:r>
    </w:p>
    <w:p>
      <w:r>
        <w:t>The seat is not inherited by the Founder's heirs</w:t>
      </w:r>
    </w:p>
    <w:p>
      <w:r>
        <w:t>The seat is not the property of the Founder</w:t>
      </w:r>
    </w:p>
    <w:p>
      <w:r>
        <w:t>The seat is subject to annual confirmation</w:t>
      </w:r>
    </w:p>
    <w:p>
      <w:r>
        <w:t>Example:</w:t>
      </w:r>
    </w:p>
    <w:p>
      <w:r>
        <w:t>The Founder participates in Council deliberations, but must be confirmed annually by the Council. If the Founder becomes incapacitated or departs, the seat is filled by Council appointment. The Founder's family does not inherit the seat.</w:t>
      </w:r>
    </w:p>
    <w:p>
      <w:r>
        <w:t>Why This Matters:</w:t>
      </w:r>
    </w:p>
    <w:p>
      <w:r>
        <w:t>Without Founder succession, the Institution is dependent on one person</w:t>
      </w:r>
    </w:p>
    <w:p>
      <w:r>
        <w:t>Without Founder succession, institutional continuity is threatened</w:t>
      </w:r>
    </w:p>
    <w:p>
      <w:r>
        <w:t>Without Founder succession, the Institution cannot outlive its founder</w:t>
      </w:r>
    </w:p>
    <w:p>
      <w:r>
        <w:t>Confirmation Process:</w:t>
      </w:r>
    </w:p>
    <w:p>
      <w:r>
        <w:t>Annual confirmation by the Council</w:t>
      </w:r>
    </w:p>
    <w:p>
      <w:r>
        <w:t>Assessment of continued active involvement</w:t>
      </w:r>
    </w:p>
    <w:p>
      <w:r>
        <w:t>Assessment of continued contribution to institutional objectives</w:t>
      </w:r>
    </w:p>
    <w:p>
      <w:r>
        <w:t>Confirmation by supermajority vote</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This cap is permanent and not subject to amendment</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Succession Upon Departure</w:t>
      </w:r>
    </w:p>
    <w:p>
      <w:r>
        <w:t>Upon Founder's departure, incapacitation, or death, the seat is appointed by the Council.</w:t>
      </w:r>
    </w:p>
    <w:p>
      <w:r>
        <w:t>What This Means in Practice:</w:t>
      </w:r>
    </w:p>
    <w:p>
      <w:r>
        <w:t>The seat does not remain vacant</w:t>
      </w:r>
    </w:p>
    <w:p>
      <w:r>
        <w:t>The seat is filled through standard appointment process</w:t>
      </w:r>
    </w:p>
    <w:p>
      <w:r>
        <w:t>The seat is not hereditary</w:t>
      </w:r>
    </w:p>
    <w:p>
      <w:r>
        <w:t>The seat is not proprietary</w:t>
      </w:r>
    </w:p>
    <w:p>
      <w:r>
        <w:t>Example:</w:t>
      </w:r>
    </w:p>
    <w:p>
      <w:r>
        <w:t>The Founder retires after 15 years. The Council appoints a successor to fill the seat, following the standard appointment process. The Institution continues with the same constitutional integrity as before.</w:t>
      </w:r>
    </w:p>
    <w:p>
      <w:r>
        <w:t>Why This Matters:</w:t>
      </w:r>
    </w:p>
    <w:p>
      <w:r>
        <w:t>Without succession, the Institution loses institutional memory</w:t>
      </w:r>
    </w:p>
    <w:p>
      <w:r>
        <w:t>Without succession, the Institution loses continuity</w:t>
      </w:r>
    </w:p>
    <w:p>
      <w:r>
        <w:t>Without succession, the Institution is vulnerable to disruption</w:t>
      </w:r>
    </w:p>
    <w:p>
      <w:r>
        <w:t>Appointment Process:</w:t>
      </w:r>
    </w:p>
    <w:p>
      <w:r>
        <w:t>Council identifies qualified candidates</w:t>
      </w:r>
    </w:p>
    <w:p>
      <w:r>
        <w:t>Candidates are vetted by Independent Review Panel</w:t>
      </w:r>
    </w:p>
    <w:p>
      <w:r>
        <w:t>Council votes by supermajority</w:t>
      </w:r>
    </w:p>
    <w:p>
      <w:r>
        <w:t>Appointment is published with disclosure</w:t>
      </w:r>
    </w:p>
    <w:p>
      <w:r>
        <w:t>Institutional Continuity</w:t>
      </w:r>
    </w:p>
    <w:p>
      <w:r>
        <w:t>The Institution is not dependent on any single individual.</w:t>
      </w:r>
    </w:p>
    <w:p>
      <w:r>
        <w:t>What This Means in Practice:</w:t>
      </w:r>
    </w:p>
    <w:p>
      <w:r>
        <w:t>The Constitution ensures institutional continuity</w:t>
      </w:r>
    </w:p>
    <w:p>
      <w:r>
        <w:t>Succession processes are defined and tested</w:t>
      </w:r>
    </w:p>
    <w:p>
      <w:r>
        <w:t>Institutional memory is preserved through documentation</w:t>
      </w:r>
    </w:p>
    <w:p>
      <w:r>
        <w:t>Leadership transitions are planned and managed</w:t>
      </w:r>
    </w:p>
    <w:p>
      <w:r>
        <w:t>Example:</w:t>
      </w:r>
    </w:p>
    <w:p>
      <w:r>
        <w:t>The Founder, the CEO, and all key leaders could depart simultaneously. The Institution continues because the Constitution defines governance, succession, and operational processes. The Institution is not dependent on any single person.</w:t>
      </w:r>
    </w:p>
    <w:p>
      <w:r>
        <w:t>Why This Matters:</w:t>
      </w:r>
    </w:p>
    <w:p>
      <w:r>
        <w:t>Without continuity, the Institution is fragile</w:t>
      </w:r>
    </w:p>
    <w:p>
      <w:r>
        <w:t>Without continuity, the Institution cannot endure</w:t>
      </w:r>
    </w:p>
    <w:p>
      <w:r>
        <w:t>Without continuity, the Institution fails its constitutional purpose</w:t>
      </w:r>
    </w:p>
    <w:p>
      <w:r>
        <w:t>Continuity Mechanisms:</w:t>
      </w:r>
    </w:p>
    <w:p>
      <w:r>
        <w:t>Constitutional governance structure</w:t>
      </w:r>
    </w:p>
    <w:p>
      <w:r>
        <w:t>Defined succession processes</w:t>
      </w:r>
    </w:p>
    <w:p>
      <w:r>
        <w:t>Institutional documentation</w:t>
      </w:r>
    </w:p>
    <w:p>
      <w:r>
        <w:t>Institutional memory preservation</w:t>
      </w:r>
    </w:p>
    <w:p>
      <w:r>
        <w:t>Emergency governance protocols</w:t>
      </w:r>
    </w:p>
    <w:p>
      <w:r>
        <w:t>Succession Planning</w:t>
      </w:r>
    </w:p>
    <w:p>
      <w:r>
        <w:t>The Council shall maintain a succession plan.</w:t>
      </w:r>
    </w:p>
    <w:p>
      <w:r>
        <w:t>What This Means in Practice:</w:t>
      </w:r>
    </w:p>
    <w:p>
      <w:r>
        <w:t>Succession plans are maintained for all key roles</w:t>
      </w:r>
    </w:p>
    <w:p>
      <w:r>
        <w:t>Succession plans are reviewed and updated regularly</w:t>
      </w:r>
    </w:p>
    <w:p>
      <w:r>
        <w:t>Succession plans are tested periodically</w:t>
      </w:r>
    </w:p>
    <w:p>
      <w:r>
        <w:t>Succession plans ensure continuity</w:t>
      </w:r>
    </w:p>
    <w:p>
      <w:r>
        <w:t>Succession Plan Components:</w:t>
      </w:r>
    </w:p>
    <w:p>
      <w:r>
        <w:t>Role descriptions</w:t>
      </w:r>
    </w:p>
    <w:p>
      <w:r>
        <w:t>Qualifications and criteria</w:t>
      </w:r>
    </w:p>
    <w:p>
      <w:r>
        <w:t>Potential successors (internal and external)</w:t>
      </w:r>
    </w:p>
    <w:p>
      <w:r>
        <w:t>Transition process</w:t>
      </w:r>
    </w:p>
    <w:p>
      <w:r>
        <w:t>Timeline and milestones</w:t>
      </w:r>
    </w:p>
    <w:p>
      <w:r>
        <w:t>Emergency Succession</w:t>
      </w:r>
    </w:p>
    <w:p>
      <w:r>
        <w:t>If the Founder is unable to fulfill responsibilities:</w:t>
      </w:r>
    </w:p>
    <w:p>
      <w:r>
        <w:t>What This Means in Practice:</w:t>
      </w:r>
    </w:p>
    <w:p>
      <w:r>
        <w:t>The Council may appoint an interim seat holder</w:t>
      </w:r>
    </w:p>
    <w:p>
      <w:r>
        <w:t>The interim seat holder serves until permanent appointment</w:t>
      </w:r>
    </w:p>
    <w:p>
      <w:r>
        <w:t>The interim seat holder is subject to same qualifications</w:t>
      </w:r>
    </w:p>
    <w:p>
      <w:r>
        <w:t>The emergency process is defined in advance</w:t>
      </w:r>
    </w:p>
    <w:p>
      <w:r>
        <w:t>Trigger:</w:t>
      </w:r>
    </w:p>
    <w:p>
      <w:r>
        <w:t>Incapacitation</w:t>
      </w:r>
    </w:p>
    <w:p>
      <w:r>
        <w:t>Inability to fulfill responsibilities</w:t>
      </w:r>
    </w:p>
    <w:p>
      <w:r>
        <w:t>Extended absence</w:t>
      </w:r>
    </w:p>
    <w:p>
      <w:r>
        <w:t>Confirmed by Council</w:t>
      </w:r>
    </w:p>
    <w:p>
      <w:r>
        <w:t>Founder's Role After Departure</w:t>
      </w:r>
    </w:p>
    <w:p>
      <w:r>
        <w:t>After departure, the Founder may serve in an advisory capacity.</w:t>
      </w:r>
    </w:p>
    <w:p>
      <w:r>
        <w:t>What This Means in Practice:</w:t>
      </w:r>
    </w:p>
    <w:p>
      <w:r>
        <w:t>The Founder may provide advice</w:t>
      </w:r>
    </w:p>
    <w:p>
      <w:r>
        <w:t>The Founder may attend meetings as observer</w:t>
      </w:r>
    </w:p>
    <w:p>
      <w:r>
        <w:t>The Founder has no voting rights</w:t>
      </w:r>
    </w:p>
    <w:p>
      <w:r>
        <w:t>The Founder has no governance authority</w:t>
      </w:r>
    </w:p>
    <w:p>
      <w:r>
        <w:t>Example:</w:t>
      </w:r>
    </w:p>
    <w:p>
      <w:r>
        <w:t>The Founder retires from the Council but continues to attend meetings as an observer, providing advice and institutional memory. The Founder has no voting rights and no governance authority. The Institution continues under the Council's direction.</w:t>
      </w:r>
    </w:p>
    <w:p>
      <w:r>
        <w:t>Why This Matters:</w:t>
      </w:r>
    </w:p>
    <w:p>
      <w:r>
        <w:t>Advisory capacity preserves institutional memory</w:t>
      </w:r>
    </w:p>
    <w:p>
      <w:r>
        <w:t>Advisory capacity maintains continuity</w:t>
      </w:r>
    </w:p>
    <w:p>
      <w:r>
        <w:t>Advisory capacity does not undermine governance</w:t>
      </w:r>
    </w:p>
    <w:p>
      <w:r>
        <w:t>Institutional Memory</w:t>
      </w:r>
    </w:p>
    <w:p>
      <w:r>
        <w:t>The Institution shall preserve institutional memory.</w:t>
      </w:r>
    </w:p>
    <w:p>
      <w:r>
        <w:t>What This Means in Practice:</w:t>
      </w:r>
    </w:p>
    <w:p>
      <w:r>
        <w:t>Decisions are documented with rationale</w:t>
      </w:r>
    </w:p>
    <w:p>
      <w:r>
        <w:t>Context is preserved for future Councils</w:t>
      </w:r>
    </w:p>
    <w:p>
      <w:r>
        <w:t>Lessons learned are captured</w:t>
      </w:r>
    </w:p>
    <w:p>
      <w:r>
        <w:t>Knowledge is transferred during transitions</w:t>
      </w:r>
    </w:p>
    <w:p>
      <w:r>
        <w:t>Mechanisms:</w:t>
      </w:r>
    </w:p>
    <w:p>
      <w:r>
        <w:t>Decision documentation</w:t>
      </w:r>
    </w:p>
    <w:p>
      <w:r>
        <w:t>Meeting minutes</w:t>
      </w:r>
    </w:p>
    <w:p>
      <w:r>
        <w:t>Annual reports</w:t>
      </w:r>
    </w:p>
    <w:p>
      <w:r>
        <w:t>Five-year reviews</w:t>
      </w:r>
    </w:p>
    <w:p>
      <w:r>
        <w:t>Knowledge transfer processes</w:t>
      </w:r>
    </w:p>
    <w:p>
      <w:r>
        <w:t>Example:</w:t>
      </w:r>
    </w:p>
    <w:p>
      <w:r>
        <w:t>A Council decision made in 2026 is documented with full rationale, data, and context. A Council member in 2036 can understand why the decision was made, what alternatives were considered, and what lessons were learned. Institutional memory is preserved.</w:t>
      </w:r>
    </w:p>
    <w:p>
      <w:r>
        <w:t>Why This Matters:</w:t>
      </w:r>
    </w:p>
    <w:p>
      <w:r>
        <w:t>Without institutional memory, past decisions are repeated</w:t>
      </w:r>
    </w:p>
    <w:p>
      <w:r>
        <w:t>Without institutional memory, lessons are lost</w:t>
      </w:r>
    </w:p>
    <w:p>
      <w:r>
        <w:t>Without institutional memory, the Institution repeats mistakes</w:t>
      </w:r>
    </w:p>
    <w:p>
      <w:r>
        <w:t>Governance Transition</w:t>
      </w:r>
    </w:p>
    <w:p>
      <w:r>
        <w:t>Transitions are managed to ensure continuity.</w:t>
      </w:r>
    </w:p>
    <w:p>
      <w:r>
        <w:t>What This Means in Practice:</w:t>
      </w:r>
    </w:p>
    <w:p>
      <w:r>
        <w:t>Transition periods are defined</w:t>
      </w:r>
    </w:p>
    <w:p>
      <w:r>
        <w:t>Knowledge transfer occurs before departure</w:t>
      </w:r>
    </w:p>
    <w:p>
      <w:r>
        <w:t>New members are onboarded properly</w:t>
      </w:r>
    </w:p>
    <w:p>
      <w:r>
        <w:t>Continuity is maintained</w:t>
      </w:r>
    </w:p>
    <w:p>
      <w:r>
        <w:t>Transition Components:</w:t>
      </w:r>
    </w:p>
    <w:p>
      <w:r>
        <w:t>Onboarding for new members</w:t>
      </w:r>
    </w:p>
    <w:p>
      <w:r>
        <w:t>Knowledge transfer</w:t>
      </w:r>
    </w:p>
    <w:p>
      <w:r>
        <w:t>Mentoring</w:t>
      </w:r>
    </w:p>
    <w:p>
      <w:r>
        <w:t>Documentation</w:t>
      </w:r>
    </w:p>
    <w:p>
      <w:r>
        <w:t>Shadowing</w:t>
      </w:r>
    </w:p>
    <w:p>
      <w:r>
        <w:t>Constitutional Interpretation</w:t>
      </w:r>
    </w:p>
    <w:p>
      <w:r>
        <w:t>The Institution outlives the Founder. The Founder's seat is:</w:t>
      </w:r>
    </w:p>
    <w:p>
      <w:r>
        <w:t>Non-hereditary</w:t>
      </w:r>
    </w:p>
    <w:p>
      <w:r>
        <w:t>Non-proprietary</w:t>
      </w:r>
    </w:p>
    <w:p>
      <w:r>
        <w:t>Subject to annual confirmation</w:t>
      </w:r>
    </w:p>
    <w:p>
      <w:r>
        <w:t>Filled through standard appointment upon departure</w:t>
      </w:r>
    </w:p>
    <w:p>
      <w: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r>
        <w:t>[END OF ARTICLE IX — FOUNDER SUCCESSION]</w:t>
      </w:r>
    </w:p>
    <w:p>
      <w:r>
        <w:t>Article X: Emergency Governance</w:t>
      </w:r>
    </w:p>
    <w:p>
      <w:r>
        <w:t>Purpose</w:t>
      </w:r>
    </w:p>
    <w:p>
      <w:r>
        <w:t>Emergency Governance provides the Institution with a defined path through governance failure, ensuring continuity, solvency, and redemption capacity even when ordinary governance is unavailable.</w:t>
      </w:r>
    </w:p>
    <w:p>
      <w:r>
        <w:t>What This Means in Practice:</w:t>
      </w:r>
    </w:p>
    <w:p>
      <w:r>
        <w:t>The Institution cannot be permanently paralyzed by governance failure</w:t>
      </w:r>
    </w:p>
    <w:p>
      <w:r>
        <w:t>The Institution has a defined emergency response</w:t>
      </w:r>
    </w:p>
    <w:p>
      <w:r>
        <w:t>The Emergency Custodian is a temporary, limited role</w:t>
      </w:r>
    </w:p>
    <w:p>
      <w:r>
        <w:t>Emergency Governance preserves constitutional integrity</w:t>
      </w:r>
    </w:p>
    <w:p>
      <w:r>
        <w:t>Example:</w:t>
      </w:r>
    </w:p>
    <w:p>
      <w:r>
        <w:t>A catastrophic event prevents the Council from meeting for 90 days. The Emergency Custodian is activated, maintains reserve custody, honors redemption requests, pauses minting, and convenes a new Council within 60 days. The Institution survives the governance gap.</w:t>
      </w:r>
    </w:p>
    <w:p>
      <w:r>
        <w:t>Why This Matters:</w:t>
      </w:r>
    </w:p>
    <w:p>
      <w:r>
        <w:t>Without Emergency Governance, the Institution would be paralyzed by governance failure</w:t>
      </w:r>
    </w:p>
    <w:p>
      <w:r>
        <w:t>Without Emergency Governance, participants would have no recourse</w:t>
      </w:r>
    </w:p>
    <w:p>
      <w:r>
        <w:t>Without Emergency Governance, the Institution would be vulnerable to exploitation</w:t>
      </w:r>
    </w:p>
    <w:p>
      <w:r>
        <w:t>Trigger</w:t>
      </w:r>
    </w:p>
    <w:p>
      <w:r>
        <w:t>If the Monetary Council fails to achieve quorum for ninety consecutive days.</w:t>
      </w:r>
    </w:p>
    <w:p>
      <w:r>
        <w:t>What This Means in Practice:</w:t>
      </w:r>
    </w:p>
    <w:p>
      <w:r>
        <w:t>Quorum is defined as the minimum number of members required to conduct business</w:t>
      </w:r>
    </w:p>
    <w:p>
      <w:r>
        <w:t>Ninety consecutive days is a substantial period, indicating genuine governance failure</w:t>
      </w:r>
    </w:p>
    <w:p>
      <w:r>
        <w:t>The trigger is objective and verifiable</w:t>
      </w:r>
    </w:p>
    <w:p>
      <w:r>
        <w:t>The trigger is not subject to discretionary interpretation</w:t>
      </w:r>
    </w:p>
    <w:p>
      <w:r>
        <w:t>Example:</w:t>
      </w:r>
    </w:p>
    <w:p>
      <w:r>
        <w:t>A global crisis prevents 50% of Council members from participating for 90 days. The quorum threshold is not met. The emergency trigger is activated. The Emergency Custodian is appointed.</w:t>
      </w:r>
    </w:p>
    <w:p>
      <w:r>
        <w:t>Why This Matters:</w:t>
      </w:r>
    </w:p>
    <w:p>
      <w:r>
        <w:t>Without a defined trigger, emergency powers could be abused</w:t>
      </w:r>
    </w:p>
    <w:p>
      <w:r>
        <w:t>Without a defined trigger, governance failure would be unaddressed</w:t>
      </w:r>
    </w:p>
    <w:p>
      <w:r>
        <w:t>With a defined trigger, the activation is automatic and non-discretionary</w:t>
      </w:r>
    </w:p>
    <w:p>
      <w:r>
        <w:t>Quorum Definition:</w:t>
      </w:r>
    </w:p>
    <w:p>
      <w:r>
        <w:t>Majority of members (50%+1)</w:t>
      </w:r>
    </w:p>
    <w:p>
      <w:r>
        <w:t>Cannot be suspended or waived</w:t>
      </w:r>
    </w:p>
    <w:p>
      <w:r>
        <w:t>Verified by Council Secretary</w:t>
      </w:r>
    </w:p>
    <w:p>
      <w:r>
        <w:t>Activation Process:</w:t>
      </w:r>
    </w:p>
    <w:p>
      <w:r>
        <w:t>Day 90: Quorum failure confirmed</w:t>
      </w:r>
    </w:p>
    <w:p>
      <w:r>
        <w:t>Day 90: Council Secretary notifies Independent Review Panel</w:t>
      </w:r>
    </w:p>
    <w:p>
      <w:r>
        <w:t>Day 90-95: Independent Review Panel verifies quorum failure</w:t>
      </w:r>
    </w:p>
    <w:p>
      <w:r>
        <w:t>Day 95-100: Emergency Custodian appointed</w:t>
      </w:r>
    </w:p>
    <w:p>
      <w:r>
        <w:t>Day 100: Emergency Custodian assumes powers</w:t>
      </w:r>
    </w:p>
    <w:p>
      <w:r>
        <w:t>The Emergency Custodian</w:t>
      </w:r>
    </w:p>
    <w:p>
      <w:r>
        <w:t>Limited Powers</w:t>
      </w:r>
    </w:p>
    <w:p>
      <w:r>
        <w:t>What This Means in Practice:</w:t>
      </w:r>
    </w:p>
    <w:p>
      <w:r>
        <w:t>The Emergency Custodian does not have unlimited power</w:t>
      </w:r>
    </w:p>
    <w:p>
      <w:r>
        <w:t>The Emergency Custodian's role is to preserve the Institution</w:t>
      </w:r>
    </w:p>
    <w:p>
      <w:r>
        <w:t>The Emergency Custodian cannot change constitutional principles</w:t>
      </w:r>
    </w:p>
    <w:p>
      <w:r>
        <w:t>The Emergency Custodian is temporary</w:t>
      </w:r>
    </w:p>
    <w:p>
      <w:r>
        <w:t>Example:</w:t>
      </w:r>
    </w:p>
    <w:p>
      <w:r>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r>
        <w:t>Why This Matters:</w:t>
      </w:r>
    </w:p>
    <w:p>
      <w:r>
        <w:t>Without limited powers, the Emergency Custodian could abuse authority</w:t>
      </w:r>
    </w:p>
    <w:p>
      <w:r>
        <w:t>Without limited powers, the Institution could be permanently changed</w:t>
      </w:r>
    </w:p>
    <w:p>
      <w:r>
        <w:t>With limited powers, constitutional integrity is preserved</w:t>
      </w:r>
    </w:p>
    <w:p>
      <w:r>
        <w:t>Powers of the Emergency Custodian</w:t>
      </w:r>
    </w:p>
    <w:p>
      <w:pPr>
        <w:pStyle w:val="ListNumber"/>
        <w:ind w:left="425"/>
      </w:pPr>
      <w:r>
        <w:t>Maintain Reserves</w:t>
      </w:r>
    </w:p>
    <w:p>
      <w:r>
        <w:t>Safeguard reserve assets</w:t>
      </w:r>
    </w:p>
    <w:p>
      <w:r>
        <w:t>Maintain custody arrangements</w:t>
      </w:r>
    </w:p>
    <w:p>
      <w:r>
        <w:t>Ensure reserve integrity</w:t>
      </w:r>
    </w:p>
    <w:p>
      <w:pPr>
        <w:pStyle w:val="ListNumber"/>
        <w:ind w:left="425"/>
      </w:pPr>
      <w:r>
        <w:t>Honor Redemptions</w:t>
      </w:r>
    </w:p>
    <w:p>
      <w:r>
        <w:t>Process redemption requests</w:t>
      </w:r>
    </w:p>
    <w:p>
      <w:r>
        <w:t>Calculate NAV</w:t>
      </w:r>
    </w:p>
    <w:p>
      <w:r>
        <w:t>Distribute reserves</w:t>
      </w:r>
    </w:p>
    <w:p>
      <w:pPr>
        <w:pStyle w:val="ListNumber"/>
        <w:ind w:left="425"/>
      </w:pPr>
      <w:r>
        <w:t>Halt Minting</w:t>
      </w:r>
    </w:p>
    <w:p>
      <w:r>
        <w:t>Pause new minting</w:t>
      </w:r>
    </w:p>
    <w:p>
      <w:r>
        <w:t>Prevent reserve depletion</w:t>
      </w:r>
    </w:p>
    <w:p>
      <w:pPr>
        <w:pStyle w:val="ListNumber"/>
        <w:ind w:left="425"/>
      </w:pPr>
      <w:r>
        <w:t>Convene a New Council</w:t>
      </w:r>
    </w:p>
    <w:p>
      <w:r>
        <w:t>Identify and vet candidates</w:t>
      </w:r>
    </w:p>
    <w:p>
      <w:r>
        <w:t>Conduct appointment process</w:t>
      </w:r>
    </w:p>
    <w:p>
      <w:r>
        <w:t>Restore normal governance</w:t>
      </w:r>
    </w:p>
    <w:p>
      <w:r>
        <w:t>Limitations on the Emergency Custodian</w:t>
      </w:r>
    </w:p>
    <w:p>
      <w:r>
        <w:t>The Emergency Custodian Shall Not:</w:t>
      </w:r>
    </w:p>
    <w:p>
      <w:r>
        <w:t>Change constitutional invariants</w:t>
      </w:r>
    </w:p>
    <w:p>
      <w:r>
        <w:t>Change reserve composition beyond necessary preservation</w:t>
      </w:r>
    </w:p>
    <w:p>
      <w:r>
        <w:t>Change fee structure</w:t>
      </w:r>
    </w:p>
    <w:p>
      <w:r>
        <w:t>Change policy</w:t>
      </w:r>
    </w:p>
    <w:p>
      <w:r>
        <w:t>Engage in any discretionary monetary policy</w:t>
      </w:r>
    </w:p>
    <w:p>
      <w:r>
        <w:t>Engage in speculation</w:t>
      </w:r>
    </w:p>
    <w:p>
      <w:r>
        <w:t>Operate commercial services</w:t>
      </w:r>
    </w:p>
    <w:p>
      <w:r>
        <w:t>Extend authority beyond defined timeframe</w:t>
      </w:r>
    </w:p>
    <w:p>
      <w:r>
        <w:t>What This Means in Practice:</w:t>
      </w:r>
    </w:p>
    <w:p>
      <w:r>
        <w:t>The Emergency Custodian is a caretaker, not a policy-maker</w:t>
      </w:r>
    </w:p>
    <w:p>
      <w:r>
        <w:t>The Emergency Custodian's role is to preserve, not to change</w:t>
      </w:r>
    </w:p>
    <w:p>
      <w:r>
        <w:t>All powers are limited to preservation of constitutional function</w:t>
      </w:r>
    </w:p>
    <w:p>
      <w:r>
        <w:t>Example:</w:t>
      </w:r>
    </w:p>
    <w:p>
      <w:r>
        <w:t>The Emergency Custodian does not decide to reduce reserve coverage to 90% to preserve liquidity. The reserve coverage requirement is constitutional and cannot be changed, even in emergency. The Emergency Custodian must find other ways to preserve solvency.</w:t>
      </w:r>
    </w:p>
    <w:p>
      <w:r>
        <w:t>Appointment Process</w:t>
      </w:r>
    </w:p>
    <w:p>
      <w:r>
        <w:t>The Emergency Custodian shall be appointed by the Independent Review Panel.</w:t>
      </w:r>
    </w:p>
    <w:p>
      <w:r>
        <w:t>What This Means in Practice:</w:t>
      </w:r>
    </w:p>
    <w:p>
      <w:r>
        <w:t>Appointment is independent of the Institution</w:t>
      </w:r>
    </w:p>
    <w:p>
      <w:r>
        <w:t>Appointment is not subject to Council approval (Council is unavailable)</w:t>
      </w:r>
    </w:p>
    <w:p>
      <w:r>
        <w:t>Appointment is temporary and defined</w:t>
      </w:r>
    </w:p>
    <w:p>
      <w:r>
        <w:t>Example:</w:t>
      </w:r>
    </w:p>
    <w:p>
      <w:r>
        <w:t>The Independent Review Panel appoints a former central banker with no MTQ holdings as Emergency Custodian. The Custodian serves until a new Council is convened and assumes governance authority.</w:t>
      </w:r>
    </w:p>
    <w:p>
      <w:r>
        <w:t>Why This Matters:</w:t>
      </w:r>
    </w:p>
    <w:p>
      <w:r>
        <w:t>Without independent appointment, the Custodian could be captured</w:t>
      </w:r>
    </w:p>
    <w:p>
      <w:r>
        <w:t>Without independent appointment, the process lacks legitimacy</w:t>
      </w:r>
    </w:p>
    <w:p>
      <w:r>
        <w:t>With independent appointment, the Custodian serves the Institution, not any faction</w:t>
      </w:r>
    </w:p>
    <w:p>
      <w:r>
        <w:t>Eligibility Criteria</w:t>
      </w:r>
    </w:p>
    <w:p>
      <w:r>
        <w:t>The Emergency Custodian shall:</w:t>
      </w:r>
    </w:p>
    <w:p>
      <w:r>
        <w:t>Have no economic interest in the Institution (&gt;0.1% of circulating supply)</w:t>
      </w:r>
    </w:p>
    <w:p>
      <w:r>
        <w:t>Have no affiliation with any participant</w:t>
      </w:r>
    </w:p>
    <w:p>
      <w:r>
        <w:t>Have relevant experience (central banking, finance, or governance)</w:t>
      </w:r>
    </w:p>
    <w:p>
      <w:r>
        <w:t>Be independent of all parties</w:t>
      </w:r>
    </w:p>
    <w:p>
      <w:r>
        <w:t>Be confirmed by the Independent Review Panel</w:t>
      </w:r>
    </w:p>
    <w:p>
      <w:r>
        <w:t>What This Means in Practice:</w:t>
      </w:r>
    </w:p>
    <w:p>
      <w:r>
        <w:t>The Custodian is neutral</w:t>
      </w:r>
    </w:p>
    <w:p>
      <w:r>
        <w:t>The Custodian has no conflicts of interest</w:t>
      </w:r>
    </w:p>
    <w:p>
      <w:r>
        <w:t>The Custodian has relevant expertise</w:t>
      </w:r>
    </w:p>
    <w:p>
      <w:r>
        <w:t>The Custodian is not captured by any stakeholder</w:t>
      </w:r>
    </w:p>
    <w:p>
      <w:r>
        <w:t>Duration</w:t>
      </w:r>
    </w:p>
    <w:p>
      <w:r>
        <w:t>The Emergency Custodian serves until a new Council is convened, up to a maximum of 180 days.</w:t>
      </w:r>
    </w:p>
    <w:p>
      <w:r>
        <w:t>What This Means in Practice:</w:t>
      </w:r>
    </w:p>
    <w:p>
      <w:r>
        <w:t>The Custodian's role is temporary</w:t>
      </w:r>
    </w:p>
    <w:p>
      <w:r>
        <w:t>The Custodian must convene a new Council promptly</w:t>
      </w:r>
    </w:p>
    <w:p>
      <w:r>
        <w:t>The Custodian's authority expires automatically</w:t>
      </w:r>
    </w:p>
    <w:p>
      <w:r>
        <w:t>Example:</w:t>
      </w:r>
    </w:p>
    <w:p>
      <w:r>
        <w:t>The Emergency Custodian convenes a new Council within 60 days. The Council assumes governance authority. The Custodian's role ends. The Institution returns to normal governance.</w:t>
      </w:r>
    </w:p>
    <w:p>
      <w:r>
        <w:t>Why This Matters:</w:t>
      </w:r>
    </w:p>
    <w:p>
      <w:r>
        <w:t>Without a fixed duration, the Custodian could become permanent</w:t>
      </w:r>
    </w:p>
    <w:p>
      <w:r>
        <w:t>Without a fixed duration, emergency governance becomes ordinary governance</w:t>
      </w:r>
    </w:p>
    <w:p>
      <w:r>
        <w:t>With a fixed duration, the Institution is protected from permanent emergency rule</w:t>
      </w:r>
    </w:p>
    <w:p>
      <w:r>
        <w:t>Transition to New Council</w:t>
      </w:r>
    </w:p>
    <w:p>
      <w:r>
        <w:t>The Emergency Custodian shall convene a new Council within 60 days.</w:t>
      </w:r>
    </w:p>
    <w:p>
      <w:r>
        <w:t>What This Means in Practice:</w:t>
      </w:r>
    </w:p>
    <w:p>
      <w:r>
        <w:t>The Custodian is responsible for restoring governance</w:t>
      </w:r>
    </w:p>
    <w:p>
      <w:r>
        <w:t>The Custodian cannot extend their role unnecessarily</w:t>
      </w:r>
    </w:p>
    <w:p>
      <w:r>
        <w:t>The Council must be properly constituted</w:t>
      </w:r>
    </w:p>
    <w:p>
      <w:r>
        <w:t>Convening Process:</w:t>
      </w:r>
    </w:p>
    <w:p>
      <w:r>
        <w:t>Identify qualified candidates</w:t>
      </w:r>
    </w:p>
    <w:p>
      <w:r>
        <w:t>Vet candidates through Independent Review Panel</w:t>
      </w:r>
    </w:p>
    <w:p>
      <w:r>
        <w:t>Conduct appointment process</w:t>
      </w:r>
    </w:p>
    <w:p>
      <w:r>
        <w:t>Transfer governance authority</w:t>
      </w:r>
    </w:p>
    <w:p>
      <w:r>
        <w:t>Relationship to Existing Council</w:t>
      </w:r>
    </w:p>
    <w:p>
      <w:r>
        <w:t>The Emergency Custodian serves when the Council is unavailable.</w:t>
      </w:r>
    </w:p>
    <w:p>
      <w:r>
        <w:t>What This Means in Practice:</w:t>
      </w:r>
    </w:p>
    <w:p>
      <w:r>
        <w:t>The Custodian does not replace the Council permanently</w:t>
      </w:r>
    </w:p>
    <w:p>
      <w:r>
        <w:t>The Custodian's role ends when the Council is restored</w:t>
      </w:r>
    </w:p>
    <w:p>
      <w:r>
        <w:t>The Custodian has no authority over the restored Council</w:t>
      </w:r>
    </w:p>
    <w:p>
      <w:r>
        <w:t>Example:</w:t>
      </w:r>
    </w:p>
    <w:p>
      <w:r>
        <w:t>The new Council is convened and assumes governance authority. The Emergency Custodian immediately transfers all powers and reports on all actions taken. The Council reviews the Custodian's actions and confirms or adjusts as necessary.</w:t>
      </w:r>
    </w:p>
    <w:p>
      <w:r>
        <w:t>Reporting</w:t>
      </w:r>
    </w:p>
    <w:p>
      <w:r>
        <w:t>The Emergency Custodian shall report on all actions taken.</w:t>
      </w:r>
    </w:p>
    <w:p>
      <w:r>
        <w:t>What This Means in Practice:</w:t>
      </w:r>
    </w:p>
    <w:p>
      <w:r>
        <w:t>Actions are transparent</w:t>
      </w:r>
    </w:p>
    <w:p>
      <w:r>
        <w:t>Actions are auditable</w:t>
      </w:r>
    </w:p>
    <w:p>
      <w:r>
        <w:t>Actions are reviewed by the new Council</w:t>
      </w:r>
    </w:p>
    <w:p>
      <w:r>
        <w:t>Report Contents:</w:t>
      </w:r>
    </w:p>
    <w:p>
      <w:r>
        <w:t>All decisions made</w:t>
      </w:r>
    </w:p>
    <w:p>
      <w:r>
        <w:t>All actions taken</w:t>
      </w:r>
    </w:p>
    <w:p>
      <w:r>
        <w:t>Rationale for each decision</w:t>
      </w:r>
    </w:p>
    <w:p>
      <w:r>
        <w:t>Impact on reserves, redemptions, and operations</w:t>
      </w:r>
    </w:p>
    <w:p>
      <w:r>
        <w:t>Lessons learned</w:t>
      </w:r>
    </w:p>
    <w:p>
      <w:r>
        <w:t>Constitutional Interpretation</w:t>
      </w:r>
    </w:p>
    <w:p>
      <w:r>
        <w:t>Emergency Governance is a temporary, limited mechanism for preserving the Institution when ordinary governance is unavailable.</w:t>
      </w:r>
    </w:p>
    <w:p>
      <w:r>
        <w:t>The Emergency Custodian:</w:t>
      </w:r>
    </w:p>
    <w:p>
      <w:r>
        <w:t>Has limited powers</w:t>
      </w:r>
    </w:p>
    <w:p>
      <w:r>
        <w:t>Is appointed by the Independent Review Panel</w:t>
      </w:r>
    </w:p>
    <w:p>
      <w:r>
        <w:t>Holds no economic interest in the Institution</w:t>
      </w:r>
    </w:p>
    <w:p>
      <w:r>
        <w:t>Serves until a new Council is convened</w:t>
      </w:r>
    </w:p>
    <w:p>
      <w:r>
        <w:t>Reports on all actions</w:t>
      </w:r>
    </w:p>
    <w:p>
      <w:r>
        <w:t>If the Council fails to achieve quorum for ninety consecutive days, the Institution does not fail. The Institution continues through Emergency Governance until ordinary governance is restored.</w:t>
      </w:r>
    </w:p>
    <w:p>
      <w:r>
        <w:t>[END OF ARTICLE X — EMERGENCY GOVERNANCE]</w:t>
      </w:r>
    </w:p>
    <w:p>
      <w:r>
        <w:t>Article XI: Regulatory Adaptability</w:t>
      </w:r>
    </w:p>
    <w:p>
      <w:r>
        <w:t>Purpose</w:t>
      </w:r>
    </w:p>
    <w:p>
      <w:r>
        <w:t>Regulatory Adaptability ensures the Institution can operate lawfully across jurisdictions while preserving constitutional integrity. The Institution complies with applicable laws and sanctions regimes without violating constitutional invariants.</w:t>
      </w:r>
    </w:p>
    <w:p>
      <w:r>
        <w:t>What This Means in Practice:</w:t>
      </w:r>
    </w:p>
    <w:p>
      <w:r>
        <w:t>The Institution is designed to operate globally</w:t>
      </w:r>
    </w:p>
    <w:p>
      <w:r>
        <w:t>The Institution adapts to regulatory requirements</w:t>
      </w:r>
    </w:p>
    <w:p>
      <w:r>
        <w:t>The Institution maintains constitutional principles while adapting</w:t>
      </w:r>
    </w:p>
    <w:p>
      <w:r>
        <w:t>The Institution does not sacrifice identity for compliance</w:t>
      </w:r>
    </w:p>
    <w:p>
      <w:r>
        <w:t>Example:</w:t>
      </w:r>
    </w:p>
    <w:p>
      <w:r>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r>
        <w:t>Why This Matters:</w:t>
      </w:r>
    </w:p>
    <w:p>
      <w:r>
        <w:t>Without regulatory adaptability, the Institution is jurisdictionally limited</w:t>
      </w:r>
    </w:p>
    <w:p>
      <w:r>
        <w:t>Without regulatory adaptability, the Institution is vulnerable to regulatory action</w:t>
      </w:r>
    </w:p>
    <w:p>
      <w:r>
        <w:t>Without regulatory adaptability, the Institution cannot serve global trade</w:t>
      </w:r>
    </w:p>
    <w:p>
      <w:r>
        <w:t>Compliance Obligation</w:t>
      </w:r>
    </w:p>
    <w:p>
      <w:r>
        <w:t>The Institution shall comply with all applicable laws and sanctions regimes in every jurisdiction where it operates.</w:t>
      </w:r>
    </w:p>
    <w:p>
      <w:r>
        <w:t>What This Means in Practice:</w:t>
      </w:r>
    </w:p>
    <w:p>
      <w:r>
        <w:t>Compliance is mandatory, not optional</w:t>
      </w:r>
    </w:p>
    <w:p>
      <w:r>
        <w:t>Compliance applies in every jurisdiction</w:t>
      </w:r>
    </w:p>
    <w:p>
      <w:r>
        <w:t>Compliance includes all applicable laws</w:t>
      </w:r>
    </w:p>
    <w:p>
      <w:r>
        <w:t>Compliance includes all applicable sanctions regimes</w:t>
      </w:r>
    </w:p>
    <w:p>
      <w:r>
        <w:t>Example:</w:t>
      </w:r>
    </w:p>
    <w:p>
      <w:r>
        <w:t>The Institution complies with OFAC sanctions, UNSC sanctions, EU sanctions, and all applicable national sanctions regimes. Compliance is not a choice; it is an obligation.</w:t>
      </w:r>
    </w:p>
    <w:p>
      <w:r>
        <w:t>Why This Matters:</w:t>
      </w:r>
    </w:p>
    <w:p>
      <w:r>
        <w:t>Without compliance, the Institution is lawless</w:t>
      </w:r>
    </w:p>
    <w:p>
      <w:r>
        <w:t>Without compliance, participants are exposed to legal risk</w:t>
      </w:r>
    </w:p>
    <w:p>
      <w:r>
        <w:t>Without compliance, the Institution cannot operate globally</w:t>
      </w:r>
    </w:p>
    <w:p>
      <w:r>
        <w:t>Compliance Scope:</w:t>
      </w:r>
    </w:p>
    <w:p>
      <w:r>
        <w:t>Anti-money laundering (AML) regulations</w:t>
      </w:r>
    </w:p>
    <w:p>
      <w:r>
        <w:t>Counter-terrorism financing (CFT) regulations</w:t>
      </w:r>
    </w:p>
    <w:p>
      <w:r>
        <w:t>Sanctions regimes</w:t>
      </w:r>
    </w:p>
    <w:p>
      <w:r>
        <w:t>Securities regulations</w:t>
      </w:r>
    </w:p>
    <w:p>
      <w:r>
        <w:t>Commodities regulations</w:t>
      </w:r>
    </w:p>
    <w:p>
      <w:r>
        <w:t>Banking regulations</w:t>
      </w:r>
    </w:p>
    <w:p>
      <w:r>
        <w:t>Payment systems regulations</w:t>
      </w:r>
    </w:p>
    <w:p>
      <w:r>
        <w:t>Data protection regulations</w:t>
      </w:r>
    </w:p>
    <w:p>
      <w:r>
        <w:t>Tax regulations</w:t>
      </w:r>
    </w:p>
    <w:p>
      <w:r>
        <w:t>No Invariant Violation</w:t>
      </w:r>
    </w:p>
    <w:p>
      <w:r>
        <w:t>Compliance with local law shall not be construed as authorization to violate constitutional invariants.</w:t>
      </w:r>
    </w:p>
    <w:p>
      <w:r>
        <w:t>What This Means in Practice:</w:t>
      </w:r>
    </w:p>
    <w:p>
      <w:r>
        <w:t>Constitutional invariants are absolute</w:t>
      </w:r>
    </w:p>
    <w:p>
      <w:r>
        <w:t>Compliance cannot justify violating invariants</w:t>
      </w:r>
    </w:p>
    <w:p>
      <w:r>
        <w:t>Compliance cannot justify lending reserves</w:t>
      </w:r>
    </w:p>
    <w:p>
      <w:r>
        <w:t>Compliance cannot justify fractional reserves</w:t>
      </w:r>
    </w:p>
    <w:p>
      <w:r>
        <w:t>Compliance cannot justify discretionary minting</w:t>
      </w:r>
    </w:p>
    <w:p>
      <w:r>
        <w:t>Example:</w:t>
      </w:r>
    </w:p>
    <w:p>
      <w:r>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r>
        <w:t>Why This Matters:</w:t>
      </w:r>
    </w:p>
    <w:p>
      <w:r>
        <w:t>Without this protection, invariants would be violated for compliance</w:t>
      </w:r>
    </w:p>
    <w:p>
      <w:r>
        <w:t>Without this protection, the Constitution would be meaningless</w:t>
      </w:r>
    </w:p>
    <w:p>
      <w:r>
        <w:t>Without this protection, the Institution would lose its identity</w:t>
      </w:r>
    </w:p>
    <w:p>
      <w:r>
        <w:t>Conflict Resolution</w:t>
      </w:r>
    </w:p>
    <w:p>
      <w:r>
        <w:t>Where conflict arises, the Institution shall:</w:t>
      </w:r>
    </w:p>
    <w:p>
      <w:pPr>
        <w:pStyle w:val="ListNumber"/>
        <w:ind w:left="425"/>
      </w:pPr>
      <w:r>
        <w:t>Seek legal resolution</w:t>
      </w:r>
    </w:p>
    <w:p>
      <w:r>
        <w:t>What This Means in Practice:</w:t>
      </w:r>
    </w:p>
    <w:p>
      <w:r>
        <w:t>The Institution attempts to resolve conflicts legally</w:t>
      </w:r>
    </w:p>
    <w:p>
      <w:r>
        <w:t>The Institution engages with regulators</w:t>
      </w:r>
    </w:p>
    <w:p>
      <w:r>
        <w:t>The Institution seeks interpretive guidance</w:t>
      </w:r>
    </w:p>
    <w:p>
      <w:r>
        <w:t>The Institution pursues legal remedies</w:t>
      </w:r>
    </w:p>
    <w:p>
      <w:r>
        <w:t>Example:</w:t>
      </w:r>
    </w:p>
    <w:p>
      <w:r>
        <w:t>A regulator interprets a requirement in a way that conflicts with constitutional invariants. The Institution engages the regulator to explain the constitutional constraint and seek alternative compliance measures.</w:t>
      </w:r>
    </w:p>
    <w:p>
      <w:r>
        <w:t>Why This Matters:</w:t>
      </w:r>
    </w:p>
    <w:p>
      <w:r>
        <w:t>Without legal resolution, conflict persists</w:t>
      </w:r>
    </w:p>
    <w:p>
      <w:r>
        <w:t>Without legal resolution, compliance or integrity is compromised</w:t>
      </w:r>
    </w:p>
    <w:p>
      <w:r>
        <w:t>Legal resolution preserves both compliance and integrity</w:t>
      </w:r>
    </w:p>
    <w:p>
      <w:pPr>
        <w:pStyle w:val="ListNumber"/>
        <w:ind w:left="425"/>
      </w:pPr>
      <w:r>
        <w:t>Take the minimum action necessary</w:t>
      </w:r>
    </w:p>
    <w:p>
      <w:r>
        <w:t>What This Means in Practice:</w:t>
      </w:r>
    </w:p>
    <w:p>
      <w:r>
        <w:t>The Institution minimizes the impact of compliance measures</w:t>
      </w:r>
    </w:p>
    <w:p>
      <w:r>
        <w:t>The Institution chooses the least restrictive compliance option</w:t>
      </w:r>
    </w:p>
    <w:p>
      <w:r>
        <w:t>The Institution preserves constitutional integrity as much as possible</w:t>
      </w:r>
    </w:p>
    <w:p>
      <w:r>
        <w:t>Example:</w:t>
      </w:r>
    </w:p>
    <w:p>
      <w:r>
        <w:t>A jurisdiction requires data disclosure. The Institution provides aggregate data that satisfies the requirement while preserving confidentiality. The minimum necessary action is taken.</w:t>
      </w:r>
    </w:p>
    <w:p>
      <w:r>
        <w:t>Why This Matters:</w:t>
      </w:r>
    </w:p>
    <w:p>
      <w:r>
        <w:t>Without this principle, compliance measures could be excessive</w:t>
      </w:r>
    </w:p>
    <w:p>
      <w:r>
        <w:t>Without this principle, constitutional integrity could be eroded</w:t>
      </w:r>
    </w:p>
    <w:p>
      <w:r>
        <w:t>Minimum action preserves the Institution while satisfying law</w:t>
      </w:r>
    </w:p>
    <w:p>
      <w:pPr>
        <w:pStyle w:val="ListNumber"/>
        <w:ind w:left="425"/>
      </w:pPr>
      <w:r>
        <w:t>Preserve solvency</w:t>
      </w:r>
    </w:p>
    <w:p>
      <w:r>
        <w:t>What This Means in Practice:</w:t>
      </w:r>
    </w:p>
    <w:p>
      <w:r>
        <w:t>Solvency is never compromised</w:t>
      </w:r>
    </w:p>
    <w:p>
      <w:r>
        <w:t>Reserves are never used for compliance penalties</w:t>
      </w:r>
    </w:p>
    <w:p>
      <w:r>
        <w:t>Redemption capacity is never reduced</w:t>
      </w:r>
    </w:p>
    <w:p>
      <w:r>
        <w:t>Example:</w:t>
      </w:r>
    </w:p>
    <w:p>
      <w:r>
        <w:t>A jurisdiction imposes a fine. The Institution pays the fine from operational funds, not from reserves. Solvency is preserved. Redemption is unaffected.</w:t>
      </w:r>
    </w:p>
    <w:p>
      <w:r>
        <w:t>Why This Matters:</w:t>
      </w:r>
    </w:p>
    <w:p>
      <w:r>
        <w:t>Without solvency preservation, compliance could bankrupt the Institution</w:t>
      </w:r>
    </w:p>
    <w:p>
      <w:r>
        <w:t>Without solvency preservation, redemption could be compromised</w:t>
      </w:r>
    </w:p>
    <w:p>
      <w:r>
        <w:t>Solvency is inviolable</w:t>
      </w:r>
    </w:p>
    <w:p>
      <w:pPr>
        <w:pStyle w:val="ListNumber"/>
        <w:ind w:left="425"/>
      </w:pPr>
      <w:r>
        <w:t>Honor existing obligations</w:t>
      </w:r>
    </w:p>
    <w:p>
      <w:r>
        <w:t>What This Means in Practice:</w:t>
      </w:r>
    </w:p>
    <w:p>
      <w:r>
        <w:t>Existing obligations are honored</w:t>
      </w:r>
    </w:p>
    <w:p>
      <w:r>
        <w:t>Redemption requests are processed</w:t>
      </w:r>
    </w:p>
    <w:p>
      <w:r>
        <w:t>Settlement obligations are met</w:t>
      </w:r>
    </w:p>
    <w:p>
      <w:r>
        <w:t>Example:</w:t>
      </w:r>
    </w:p>
    <w:p>
      <w:r>
        <w:t>A jurisdiction changes its regulatory requirements mid-transaction. The Institution completes the transaction under the previous requirements while adapting for future transactions. Existing obligations are honored.</w:t>
      </w:r>
    </w:p>
    <w:p>
      <w:r>
        <w:t>Why This Matters:</w:t>
      </w:r>
    </w:p>
    <w:p>
      <w:r>
        <w:t>Without honoring existing obligations, trust is destroyed</w:t>
      </w:r>
    </w:p>
    <w:p>
      <w:r>
        <w:t>Without honoring existing obligations, the Institution is unreliable</w:t>
      </w:r>
    </w:p>
    <w:p>
      <w:r>
        <w:t>Existing obligations are inviolable</w:t>
      </w:r>
    </w:p>
    <w:p>
      <w:r>
        <w:t>Legal Diversity</w:t>
      </w:r>
    </w:p>
    <w:p>
      <w:r>
        <w:t>The Institution may operate differently in different jurisdictions.</w:t>
      </w:r>
    </w:p>
    <w:p>
      <w:r>
        <w:t>What This Means in Practice:</w:t>
      </w:r>
    </w:p>
    <w:p>
      <w:r>
        <w:t>The Institution adapts to local legal requirements</w:t>
      </w:r>
    </w:p>
    <w:p>
      <w:r>
        <w:t>The Institution maintains constitutional principles globally</w:t>
      </w:r>
    </w:p>
    <w:p>
      <w:r>
        <w:t>The Institution's global identity is consistent</w:t>
      </w:r>
    </w:p>
    <w:p>
      <w:r>
        <w:t>The Institution's local operations may vary</w:t>
      </w:r>
    </w:p>
    <w:p>
      <w:r>
        <w:t>Example:</w:t>
      </w:r>
    </w:p>
    <w:p>
      <w:r>
        <w:t>The Institution may have different reporting requirements in the US, EU, and UAE. The Institution meets all requirements while maintaining constitutional principles globally. Operations may vary locally, but constitutional identity is consistent everywhere.</w:t>
      </w:r>
    </w:p>
    <w:p>
      <w:r>
        <w:t>Why This Matters:</w:t>
      </w:r>
    </w:p>
    <w:p>
      <w:r>
        <w:t>Without legal diversity, the Institution cannot operate globally</w:t>
      </w:r>
    </w:p>
    <w:p>
      <w:r>
        <w:t>Without legal diversity, the Institution would be captured by one jurisdiction</w:t>
      </w:r>
    </w:p>
    <w:p>
      <w:r>
        <w:t>Legal diversity enables global operations</w:t>
      </w:r>
    </w:p>
    <w:p>
      <w:r>
        <w:t>Consistency Principle:</w:t>
      </w:r>
    </w:p>
    <w:p>
      <w:r>
        <w:t>Constitutional invariants are consistent everywhere</w:t>
      </w:r>
    </w:p>
    <w:p>
      <w:r>
        <w:t>Reserve integrity is consistent everywhere</w:t>
      </w:r>
    </w:p>
    <w:p>
      <w:r>
        <w:t>Redemption rights are consistent everywhere</w:t>
      </w:r>
    </w:p>
    <w:p>
      <w:r>
        <w:t>Local operations may adapt to local law</w:t>
      </w:r>
    </w:p>
    <w:p>
      <w:r>
        <w:t>Regulatory Engagement</w:t>
      </w:r>
    </w:p>
    <w:p>
      <w:r>
        <w:t>The Institution shall engage constructively with regulators.</w:t>
      </w:r>
    </w:p>
    <w:p>
      <w:r>
        <w:t>What This Means in Practice:</w:t>
      </w:r>
    </w:p>
    <w:p>
      <w:r>
        <w:t>Proactive engagement, not reactive</w:t>
      </w:r>
    </w:p>
    <w:p>
      <w:r>
        <w:t>Transparent dialogue</w:t>
      </w:r>
    </w:p>
    <w:p>
      <w:r>
        <w:t>Collaborative problem-solving</w:t>
      </w:r>
    </w:p>
    <w:p>
      <w:r>
        <w:t>Continuous relationship management</w:t>
      </w:r>
    </w:p>
    <w:p>
      <w:r>
        <w:t>Example:</w:t>
      </w:r>
    </w:p>
    <w:p>
      <w:r>
        <w:t>The Institution meets with regulators quarterly to discuss operations, compliance, and emerging issues. The Institution provides requested information promptly. The Institution seeks guidance on regulatory interpretation.</w:t>
      </w:r>
    </w:p>
    <w:p>
      <w:r>
        <w:t>Why This Matters:</w:t>
      </w:r>
    </w:p>
    <w:p>
      <w:r>
        <w:t>Without engagement, regulators make decisions without context</w:t>
      </w:r>
    </w:p>
    <w:p>
      <w:r>
        <w:t>Without engagement, misunderstandings persist</w:t>
      </w:r>
    </w:p>
    <w:p>
      <w:r>
        <w:t>Engagement builds trust and mutual understanding</w:t>
      </w:r>
    </w:p>
    <w:p>
      <w:r>
        <w:t>Engagement Activities:</w:t>
      </w:r>
    </w:p>
    <w:p>
      <w:r>
        <w:t>Regular meetings</w:t>
      </w:r>
    </w:p>
    <w:p>
      <w:r>
        <w:t>Information sharing</w:t>
      </w:r>
    </w:p>
    <w:p>
      <w:r>
        <w:t>Regulatory filings</w:t>
      </w:r>
    </w:p>
    <w:p>
      <w:r>
        <w:t>Guidance requests</w:t>
      </w:r>
    </w:p>
    <w:p>
      <w:r>
        <w:t>Compliance demonstrations</w:t>
      </w:r>
    </w:p>
    <w:p>
      <w:r>
        <w:t>Issue resolution</w:t>
      </w:r>
    </w:p>
    <w:p>
      <w:r>
        <w:t>Sanctions Compliance</w:t>
      </w:r>
    </w:p>
    <w:p>
      <w:r>
        <w:t>The Institution shall comply with all applicable sanctions regimes.</w:t>
      </w:r>
    </w:p>
    <w:p>
      <w:r>
        <w:t>What This Means in Practice:</w:t>
      </w:r>
    </w:p>
    <w:p>
      <w:r>
        <w:t>Sanctions compliance is mandatory</w:t>
      </w:r>
    </w:p>
    <w:p>
      <w:r>
        <w:t>Sanctions compliance is neutral</w:t>
      </w:r>
    </w:p>
    <w:p>
      <w:r>
        <w:t>Sanctions compliance does not imply political alignment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sanctions compliance, the Institution is lawless</w:t>
      </w:r>
    </w:p>
    <w:p>
      <w:r>
        <w:t>Without sanctions compliance, participants are exposed to legal risk</w:t>
      </w:r>
    </w:p>
    <w:p>
      <w:r>
        <w:t>Without sanctions compliance, the Institution cannot operate globally</w:t>
      </w:r>
    </w:p>
    <w:p>
      <w:r>
        <w:t>Sanctions Compliance Mechanisms:</w:t>
      </w:r>
    </w:p>
    <w:p>
      <w:r>
        <w:t>Real-time screening of participants</w:t>
      </w:r>
    </w:p>
    <w:p>
      <w:r>
        <w:t>Freeze of prohibited accounts</w:t>
      </w:r>
    </w:p>
    <w:p>
      <w:r>
        <w:t>Reporting to regulators</w:t>
      </w:r>
    </w:p>
    <w:p>
      <w:r>
        <w:t>Ongoing monitoring</w:t>
      </w:r>
    </w:p>
    <w:p>
      <w:r>
        <w:t>Regulatory Evolution</w:t>
      </w:r>
    </w:p>
    <w:p>
      <w:r>
        <w:t>The Institution shall adapt to regulatory evolution.</w:t>
      </w:r>
    </w:p>
    <w:p>
      <w:r>
        <w:t>What This Means in Practice:</w:t>
      </w:r>
    </w:p>
    <w:p>
      <w:r>
        <w:t>The Institution monitors regulatory changes</w:t>
      </w:r>
    </w:p>
    <w:p>
      <w:r>
        <w:t>The Institution assesses regulatory impact</w:t>
      </w:r>
    </w:p>
    <w:p>
      <w:r>
        <w:t>The Institution adapts operations accordingly</w:t>
      </w:r>
    </w:p>
    <w:p>
      <w:r>
        <w:t>The Institution maintains constitutional principles</w:t>
      </w:r>
    </w:p>
    <w:p>
      <w:r>
        <w:t>Example:</w:t>
      </w:r>
    </w:p>
    <w:p>
      <w:r>
        <w:t>A new regulation is enacted. The Institution assesses the impact, develops an adaptation plan, implements the necessary changes, and documents the adaptation. The Institution remains compliant while preserving constitutional integrity.</w:t>
      </w:r>
    </w:p>
    <w:p>
      <w:r>
        <w:t>Why This Matters:</w:t>
      </w:r>
    </w:p>
    <w:p>
      <w:r>
        <w:t>Without adaptation, the Institution becomes non-compliant</w:t>
      </w:r>
    </w:p>
    <w:p>
      <w:r>
        <w:t>Without adaptation, the Institution becomes obsolete</w:t>
      </w:r>
    </w:p>
    <w:p>
      <w:r>
        <w:t>Adaptation enables continuity</w:t>
      </w:r>
    </w:p>
    <w:p>
      <w:r>
        <w:t>Constitutional Constraints on Adaptation</w:t>
      </w:r>
    </w:p>
    <w:p>
      <w:r>
        <w:t>Adaptation shall not violate:</w:t>
      </w:r>
    </w:p>
    <w:p>
      <w:r>
        <w:t>Constitutional invariants</w:t>
      </w:r>
    </w:p>
    <w:p>
      <w:r>
        <w:t>Solvency</w:t>
      </w:r>
    </w:p>
    <w:p>
      <w:r>
        <w:t>Redemption certainty</w:t>
      </w:r>
    </w:p>
    <w:p>
      <w:r>
        <w:t>Neutrality</w:t>
      </w:r>
    </w:p>
    <w:p>
      <w:r>
        <w:t>Institutional identity</w:t>
      </w:r>
    </w:p>
    <w:p>
      <w:r>
        <w:t>What This Means in Practice:</w:t>
      </w:r>
    </w:p>
    <w:p>
      <w:r>
        <w:t>Adaptation is constrained by constitutional principles</w:t>
      </w:r>
    </w:p>
    <w:p>
      <w:r>
        <w:t>Adaptation cannot violate higher-priority objectives</w:t>
      </w:r>
    </w:p>
    <w:p>
      <w:r>
        <w:t>Adaptation cannot change the Institution's identity</w:t>
      </w:r>
    </w:p>
    <w:p>
      <w:r>
        <w:t>Example:</w:t>
      </w:r>
    </w:p>
    <w:p>
      <w:r>
        <w:t>A new regulation requires the Institution to lend reserves. This violates a constitutional invariant and is therefore unacceptable. The Institution proposes alternative compliance measures that preserve constitutional integrity.</w:t>
      </w:r>
    </w:p>
    <w:p>
      <w:r>
        <w:t>Why This Matters:</w:t>
      </w:r>
    </w:p>
    <w:p>
      <w:r>
        <w:t>Without constraints, adaptation becomes drift</w:t>
      </w:r>
    </w:p>
    <w:p>
      <w:r>
        <w:t>Without constraints, adaptation could violate constitutional principles</w:t>
      </w:r>
    </w:p>
    <w:p>
      <w:r>
        <w:t>Constraints preserve constitutional integrity</w:t>
      </w:r>
    </w:p>
    <w:p>
      <w:r>
        <w:t>Summary Table</w:t>
      </w:r>
    </w:p>
    <w:p>
      <w:r>
        <w:t>Constitutional Interpretation</w:t>
      </w:r>
    </w:p>
    <w:p>
      <w:r>
        <w:t>The Institution is Regulatory Adaptable. This means:</w:t>
      </w:r>
    </w:p>
    <w:p>
      <w:r>
        <w:t>It complies with all applicable laws and sanctions</w:t>
      </w:r>
    </w:p>
    <w:p>
      <w:r>
        <w:t>It adapts to regulatory changes</w:t>
      </w:r>
    </w:p>
    <w:p>
      <w:r>
        <w:t>It preserves constitutional invariants</w:t>
      </w:r>
    </w:p>
    <w:p>
      <w:r>
        <w:t>It seeks legal resolution when conflicts arise</w:t>
      </w:r>
    </w:p>
    <w:p>
      <w:r>
        <w:t>It takes minimum necessary action</w:t>
      </w:r>
    </w:p>
    <w:p>
      <w:r>
        <w:t>It preserves solvency and redemption certainty</w:t>
      </w:r>
    </w:p>
    <w:p>
      <w:r>
        <w:t>It engages constructively with regulators</w:t>
      </w:r>
    </w:p>
    <w:p>
      <w:r>
        <w:t>Regulatory adaptability is how the Institution operates globally while maintaining constitutional integrity. Compliance serves the Institution; the Institution does not serve compliance. No regulatory requirement shall violate constitutional invariants.</w:t>
      </w:r>
    </w:p>
    <w:p>
      <w:r>
        <w:t>[END OF ARTICLE XI — REGULATORY ADAPTABILITY]</w:t>
      </w:r>
    </w:p>
    <w:p>
      <w:r>
        <w:t>Article XII: Amendment Philosophy</w:t>
      </w:r>
    </w:p>
    <w:p>
      <w:r>
        <w:t>Purpose</w:t>
      </w:r>
    </w:p>
    <w:p>
      <w:r>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r>
        <w:t>What This Means in Practice:</w:t>
      </w:r>
    </w:p>
    <w:p>
      <w:r>
        <w:t>Amendments are difficult and deliberate</w:t>
      </w:r>
    </w:p>
    <w:p>
      <w:r>
        <w:t>Amendments must improve the Institution</w:t>
      </w:r>
    </w:p>
    <w:p>
      <w:r>
        <w:t>Amendments cannot weaken constitutional principles</w:t>
      </w:r>
    </w:p>
    <w:p>
      <w:r>
        <w:t>Amendments cannot reduce rights of holders</w:t>
      </w:r>
    </w:p>
    <w:p>
      <w:r>
        <w:t>Amendments are subject to multiple safeguards</w:t>
      </w:r>
    </w:p>
    <w:p>
      <w:r>
        <w:t>Example:</w:t>
      </w:r>
    </w:p>
    <w:p>
      <w:r>
        <w:t>A proposal to reduce reserve backing from 100% to 90% in exchange for higher yield is rejected because it fails the amendment criteria. Even if the proposal passes a vote, the amendment is void because it reduces redeemability and weakens institutional integrity.</w:t>
      </w:r>
    </w:p>
    <w:p>
      <w:r>
        <w:t>Why This Matters:</w:t>
      </w:r>
    </w:p>
    <w:p>
      <w:r>
        <w:t>Without amendment philosophy, the Constitution could be changed arbitrarily</w:t>
      </w:r>
    </w:p>
    <w:p>
      <w:r>
        <w:t>Without amendment philosophy, constitutional drift is inevitable</w:t>
      </w:r>
    </w:p>
    <w:p>
      <w:r>
        <w:t>Without amendment philosophy, the Institution loses its constitutional identity</w:t>
      </w:r>
    </w:p>
    <w:p>
      <w:r>
        <w:t>Without amendment philosophy, holders cannot rely on constitutional stability</w:t>
      </w:r>
    </w:p>
    <w:p>
      <w:r>
        <w:t>The Five Criteria</w:t>
      </w:r>
    </w:p>
    <w:p>
      <w:r>
        <w:t>Every amendment must satisfy ALL of the following criteria:</w:t>
      </w:r>
    </w:p>
    <w:p>
      <w:pPr>
        <w:pStyle w:val="ListNumber"/>
        <w:ind w:left="425"/>
      </w:pPr>
      <w:r>
        <w:t>Preserve Identity</w:t>
      </w:r>
    </w:p>
    <w:p>
      <w:r>
        <w:t>The amendment must not change what the Institution fundamentally is.</w:t>
      </w:r>
    </w:p>
    <w:p>
      <w:r>
        <w:t>What This Means in Practice:</w:t>
      </w:r>
    </w:p>
    <w:p>
      <w:r>
        <w:t>The Institution remains a constitutional monetary authority</w:t>
      </w:r>
    </w:p>
    <w:p>
      <w:r>
        <w:t>The Institution remains a settlement infrastructure</w:t>
      </w:r>
    </w:p>
    <w:p>
      <w:r>
        <w:t>The Institution remains neutral</w:t>
      </w:r>
    </w:p>
    <w:p>
      <w:r>
        <w:t>The Institution remains anti-platform</w:t>
      </w:r>
    </w:p>
    <w:p>
      <w:r>
        <w:t>The Institution remains fully reserved</w:t>
      </w:r>
    </w:p>
    <w:p>
      <w:r>
        <w:t>Example:</w:t>
      </w:r>
    </w:p>
    <w:p>
      <w:r>
        <w:t>An amendment that changes the Institution from a monetary authority to a commercial platform fails the identity criterion. The amendment would change what the Institution fundamentally is and is therefore invalid.</w:t>
      </w:r>
    </w:p>
    <w:p>
      <w:r>
        <w:t>Why This Matters:</w:t>
      </w:r>
    </w:p>
    <w:p>
      <w:r>
        <w:t>Without identity preservation, the Institution could become something else entirely</w:t>
      </w:r>
    </w:p>
    <w:p>
      <w:r>
        <w:t>Without identity preservation, constitutional integrity is compromised</w:t>
      </w:r>
    </w:p>
    <w:p>
      <w:r>
        <w:t>Identity is the foundation of all constitutional provisions</w:t>
      </w:r>
    </w:p>
    <w:p>
      <w:r>
        <w:t>Application:</w:t>
      </w:r>
    </w:p>
    <w:p>
      <w:r>
        <w:t>Evaluate: "Does this amendment preserve the Institution's identity?"</w:t>
      </w:r>
    </w:p>
    <w:p>
      <w:r>
        <w:t>If the answer is no, the amendment is void</w:t>
      </w:r>
    </w:p>
    <w:p>
      <w:pPr>
        <w:pStyle w:val="ListNumber"/>
        <w:ind w:left="425"/>
      </w:pPr>
      <w:r>
        <w:t>Preserve Invariants</w:t>
      </w:r>
    </w:p>
    <w:p>
      <w:r>
        <w:t>The amendment must not violate any constitutional invariant.</w:t>
      </w:r>
    </w:p>
    <w:p>
      <w:r>
        <w:t>What This Means in Practice:</w:t>
      </w:r>
    </w:p>
    <w:p>
      <w:r>
        <w:t>100% reserve mandate remains absolute</w:t>
      </w:r>
    </w:p>
    <w:p>
      <w:r>
        <w:t>No-discretionary-minting rule remains absolute</w:t>
      </w:r>
    </w:p>
    <w:p>
      <w:r>
        <w:t>No-lending-of-reserves rule remains absolute</w:t>
      </w:r>
    </w:p>
    <w:p>
      <w:r>
        <w:t>No-commingling rule remains absolute</w:t>
      </w:r>
    </w:p>
    <w:p>
      <w:r>
        <w:t>Example:</w:t>
      </w:r>
    </w:p>
    <w:p>
      <w:r>
        <w:t>An amendment that allows lending of reserves violates the invariant against lending. The amendment fails the invariants criterion and is void.</w:t>
      </w:r>
    </w:p>
    <w:p>
      <w:r>
        <w:t>Why This Matters:</w:t>
      </w:r>
    </w:p>
    <w:p>
      <w:r>
        <w:t>Without invariant preservation, the Constitution's core protections are lost</w:t>
      </w:r>
    </w:p>
    <w:p>
      <w:r>
        <w:t>Without invariant preservation, the Institution becomes vulnerable</w:t>
      </w:r>
    </w:p>
    <w:p>
      <w:r>
        <w:t>Invariants are the Constitution's non-negotiable foundation</w:t>
      </w:r>
    </w:p>
    <w:p>
      <w:r>
        <w:t>Application:</w:t>
      </w:r>
    </w:p>
    <w:p>
      <w:r>
        <w:t>Evaluate: "Does this amendment preserve all constitutional invariants?"</w:t>
      </w:r>
    </w:p>
    <w:p>
      <w:r>
        <w:t>If the answer is no, the amendment is void</w:t>
      </w:r>
    </w:p>
    <w:p>
      <w:pPr>
        <w:pStyle w:val="ListNumber"/>
        <w:ind w:left="425"/>
      </w:pPr>
      <w:r>
        <w:t>Improve Stability</w:t>
      </w:r>
    </w:p>
    <w:p>
      <w:r>
        <w:t>The amendment must improve the Institution's stability.</w:t>
      </w:r>
    </w:p>
    <w:p>
      <w:r>
        <w:t>What This Means in Practice:</w:t>
      </w:r>
    </w:p>
    <w:p>
      <w:r>
        <w:t>The Institution must be more stable after the amendment</w:t>
      </w:r>
    </w:p>
    <w:p>
      <w:r>
        <w:t>The amendment must reduce vulnerability to disruption</w:t>
      </w:r>
    </w:p>
    <w:p>
      <w:r>
        <w:t>The amendment must enhance institutional resilience</w:t>
      </w:r>
    </w:p>
    <w:p>
      <w:r>
        <w:t>The amendment must not introduce new instability</w:t>
      </w:r>
    </w:p>
    <w:p>
      <w:r>
        <w:t>Example:</w:t>
      </w:r>
    </w:p>
    <w:p>
      <w:r>
        <w:t>An amendment that improves oracle redundancy and resilience improves stability. The amendment passes the stability criterion. An amendment that introduces a new, untested mechanism without adequate safeguards fails the stability criterion.</w:t>
      </w:r>
    </w:p>
    <w:p>
      <w:r>
        <w:t>Why This Matters:</w:t>
      </w:r>
    </w:p>
    <w:p>
      <w:r>
        <w:t>Without stability improvement, amendments could weaken the Institution</w:t>
      </w:r>
    </w:p>
    <w:p>
      <w:r>
        <w:t>Without stability improvement, amendments could introduce new risks</w:t>
      </w:r>
    </w:p>
    <w:p>
      <w:r>
        <w:t>Stability is essential to constitutional purpose</w:t>
      </w:r>
    </w:p>
    <w:p>
      <w:r>
        <w:t>Application:</w:t>
      </w:r>
    </w:p>
    <w:p>
      <w:r>
        <w:t>Evaluate: "Does this amendment improve stability?"</w:t>
      </w:r>
    </w:p>
    <w:p>
      <w:r>
        <w:t>If the answer is no, the amendment is void</w:t>
      </w:r>
    </w:p>
    <w:p>
      <w:pPr>
        <w:pStyle w:val="ListNumber"/>
        <w:ind w:left="425"/>
      </w:pPr>
      <w:r>
        <w:t>Increase Institutional Trust</w:t>
      </w:r>
    </w:p>
    <w:p>
      <w:r>
        <w:t>The amendment must increase trust in the Institution.</w:t>
      </w:r>
    </w:p>
    <w:p>
      <w:r>
        <w:t>What This Means in Practice:</w:t>
      </w:r>
    </w:p>
    <w:p>
      <w:r>
        <w:t>The amendment must enhance transparency</w:t>
      </w:r>
    </w:p>
    <w:p>
      <w:r>
        <w:t>The amendment must enhance auditability</w:t>
      </w:r>
    </w:p>
    <w:p>
      <w:r>
        <w:t>The amendment must enhance accountability</w:t>
      </w:r>
    </w:p>
    <w:p>
      <w:r>
        <w:t>The amendment must not create suspicion or uncertainty</w:t>
      </w:r>
    </w:p>
    <w:p>
      <w:r>
        <w:t>Example:</w:t>
      </w:r>
    </w:p>
    <w:p>
      <w:r>
        <w:t>An amendment that strengthens reserve attestation requirements increases institutional trust. The amendment passes the trust criterion. An amendment that reduces transparency or accountability fails the trust criterion.</w:t>
      </w:r>
    </w:p>
    <w:p>
      <w:r>
        <w:t>Why This Matters:</w:t>
      </w:r>
    </w:p>
    <w:p>
      <w:r>
        <w:t>Without trust, the Institution cannot serve its purpose</w:t>
      </w:r>
    </w:p>
    <w:p>
      <w:r>
        <w:t>Without trust, participants will not rely on the Institution</w:t>
      </w:r>
    </w:p>
    <w:p>
      <w:r>
        <w:t>Trust is earned through verifiable integrity</w:t>
      </w:r>
    </w:p>
    <w:p>
      <w:r>
        <w:t>Application:</w:t>
      </w:r>
    </w:p>
    <w:p>
      <w:r>
        <w:t>Evaluate: "Does this amendment increase institutional trust?"</w:t>
      </w:r>
    </w:p>
    <w:p>
      <w:r>
        <w:t>If the answer is no, the amendment is void</w:t>
      </w:r>
    </w:p>
    <w:p>
      <w:pPr>
        <w:pStyle w:val="ListNumber"/>
        <w:ind w:left="425"/>
      </w:pPr>
      <w:r>
        <w:t>Never Reduce Redeemability</w:t>
      </w:r>
    </w:p>
    <w:p>
      <w:r>
        <w:t>The amendment must not reduce the right to redeem.</w:t>
      </w:r>
    </w:p>
    <w:p>
      <w:r>
        <w:t>What This Means in Practice:</w:t>
      </w:r>
    </w:p>
    <w:p>
      <w:r>
        <w:t>Redemption remains absolute</w:t>
      </w:r>
    </w:p>
    <w:p>
      <w:r>
        <w:t>Redemption remains unrestricted</w:t>
      </w:r>
    </w:p>
    <w:p>
      <w:r>
        <w:t>Redemption remains timely</w:t>
      </w:r>
    </w:p>
    <w:p>
      <w:r>
        <w:t>Redemption remains full</w:t>
      </w:r>
    </w:p>
    <w:p>
      <w:r>
        <w:t>Example:</w:t>
      </w:r>
    </w:p>
    <w:p>
      <w:r>
        <w:t>An amendment that adds a 30-day redemption delay reduces redeemability. The amendment fails the redeemability criterion and is void. An amendment that strengthens redemption processing improves redeemability and passes the criterion.</w:t>
      </w:r>
    </w:p>
    <w:p>
      <w:r>
        <w:t>Why This Matters:</w:t>
      </w:r>
    </w:p>
    <w:p>
      <w:r>
        <w:t>Without redemption, the settlement unit is worthless</w:t>
      </w:r>
    </w:p>
    <w:p>
      <w:r>
        <w:t>Without redemption, the Institution has no purpose</w:t>
      </w:r>
    </w:p>
    <w:p>
      <w:r>
        <w:t>Redemption is the fundamental right of holders</w:t>
      </w:r>
    </w:p>
    <w:p>
      <w:r>
        <w:t>Application:</w:t>
      </w:r>
    </w:p>
    <w:p>
      <w:r>
        <w:t>Evaluate: "Does this amendment reduce redeemability?"</w:t>
      </w:r>
    </w:p>
    <w:p>
      <w:r>
        <w:t>If the answer is yes, the amendment is void</w:t>
      </w:r>
    </w:p>
    <w:p>
      <w:r>
        <w:t>The Five Criteria Test</w:t>
      </w:r>
    </w:p>
    <w:p>
      <w:r>
        <w:t>All amendments must pass the Five Criteria Test:</w:t>
      </w:r>
    </w:p>
    <w:p>
      <w:r>
        <w:t>If any criterion fails, the amendment is void regardless of vote count.</w:t>
      </w:r>
    </w:p>
    <w:p>
      <w:r>
        <w:t>Amendment Process</w:t>
      </w:r>
    </w:p>
    <w:p>
      <w:r>
        <w:t>Step 1: Proposal</w:t>
      </w:r>
    </w:p>
    <w:p>
      <w:r>
        <w:t>Any Council member may propose an amendment</w:t>
      </w:r>
    </w:p>
    <w:p>
      <w:r>
        <w:t>Proposal must include:</w:t>
      </w:r>
    </w:p>
    <w:p>
      <w:r>
        <w:t>Proposed text</w:t>
      </w:r>
    </w:p>
    <w:p>
      <w:r>
        <w:t>Rationale</w:t>
      </w:r>
    </w:p>
    <w:p>
      <w:r>
        <w:t>Analysis against the Five Criteria</w:t>
      </w:r>
    </w:p>
    <w:p>
      <w:r>
        <w:t>Expected impact</w:t>
      </w:r>
    </w:p>
    <w:p>
      <w:r>
        <w:t>Step 2: Review</w:t>
      </w:r>
    </w:p>
    <w:p>
      <w:r>
        <w:t>Independent Review Panel reviews the proposal</w:t>
      </w:r>
    </w:p>
    <w:p>
      <w:r>
        <w:t>Panel assesses compliance with the Five Criteria</w:t>
      </w:r>
    </w:p>
    <w:p>
      <w:r>
        <w:t>Panel provides written opinion</w:t>
      </w:r>
    </w:p>
    <w:p>
      <w:r>
        <w:t>Panel's assessment is published</w:t>
      </w:r>
    </w:p>
    <w:p>
      <w:r>
        <w:t>Step 3: Consultation</w:t>
      </w:r>
    </w:p>
    <w:p>
      <w:r>
        <w:t>Proposal is published for public comment</w:t>
      </w:r>
    </w:p>
    <w:p>
      <w:r>
        <w:t>Consultation period: minimum 90 days</w:t>
      </w:r>
    </w:p>
    <w:p>
      <w:r>
        <w:t>Feedback is considered</w:t>
      </w:r>
    </w:p>
    <w:p>
      <w:r>
        <w:t>Proposal may be revised</w:t>
      </w:r>
    </w:p>
    <w:p>
      <w:r>
        <w:t>Step 4: Council Vote</w:t>
      </w:r>
    </w:p>
    <w:p>
      <w:r>
        <w:t>Council votes on the amendment</w:t>
      </w:r>
    </w:p>
    <w:p>
      <w:r>
        <w:t>Supermajority required: 90-95% of Council</w:t>
      </w:r>
    </w:p>
    <w:p>
      <w:r>
        <w:t>Rationale for vote is documented</w:t>
      </w:r>
    </w:p>
    <w:p>
      <w:r>
        <w:t>Step 5: Independent Review Panel Verification</w:t>
      </w:r>
    </w:p>
    <w:p>
      <w:r>
        <w:t>Panel verifies that the amendment satisfies the Five Criteria</w:t>
      </w:r>
    </w:p>
    <w:p>
      <w:r>
        <w:t>Panel confirms that the process was followed</w:t>
      </w:r>
    </w:p>
    <w:p>
      <w:r>
        <w:t>Panel's verification is published</w:t>
      </w:r>
    </w:p>
    <w:p>
      <w:r>
        <w:t>Step 6: Implementation</w:t>
      </w:r>
    </w:p>
    <w:p>
      <w:r>
        <w:t>Amendment is implemented</w:t>
      </w:r>
    </w:p>
    <w:p>
      <w:r>
        <w:t>Implementation timeline is defined</w:t>
      </w:r>
    </w:p>
    <w:p>
      <w:r>
        <w:t>Implementation is monitored</w:t>
      </w:r>
    </w:p>
    <w:p>
      <w:r>
        <w:t>Impact is assessed</w:t>
      </w:r>
    </w:p>
    <w:p>
      <w:r>
        <w:t>Supermajority Thresholds</w:t>
      </w:r>
    </w:p>
    <w:p>
      <w:r>
        <w:t>Note: Any amendment affecting constitutional identity or invariants requires the highest threshold and full review process.</w:t>
      </w:r>
    </w:p>
    <w:p>
      <w:r>
        <w:t>Void Amendments</w:t>
      </w:r>
    </w:p>
    <w:p>
      <w:r>
        <w:t>Any amendment that fails any of the Five Criteria is void regardless of vote count.</w:t>
      </w:r>
    </w:p>
    <w:p>
      <w:r>
        <w:t>What This Means in Practice:</w:t>
      </w:r>
    </w:p>
    <w:p>
      <w:r>
        <w:t>The Council cannot override the Five Criteria</w:t>
      </w:r>
    </w:p>
    <w:p>
      <w:r>
        <w:t>The Independent Review Panel certifies compliance</w:t>
      </w:r>
    </w:p>
    <w:p>
      <w:r>
        <w:t>Failure to comply means the amendment is invalid</w:t>
      </w:r>
    </w:p>
    <w:p>
      <w:r>
        <w:t>Void amendments have no legal effect</w:t>
      </w:r>
    </w:p>
    <w:p>
      <w:r>
        <w:t>Example:</w:t>
      </w:r>
    </w:p>
    <w:p>
      <w:r>
        <w:t>An amendment passes the Council vote with 95% approval but fails the Five Criteria because it reduces redeemability. The amendment is void. It has no legal effect. The Institution continues as if the amendment was never proposed.</w:t>
      </w:r>
    </w:p>
    <w:p>
      <w:r>
        <w:t>Why This Matters:</w:t>
      </w:r>
    </w:p>
    <w:p>
      <w:r>
        <w:t>Without void provisions, amendments could violate constitutional principles</w:t>
      </w:r>
    </w:p>
    <w:p>
      <w:r>
        <w:t>Without void provisions, the Council could circumvent the Five Criteria</w:t>
      </w:r>
    </w:p>
    <w:p>
      <w:r>
        <w:t>Void provisions ensure constitutional integrity</w:t>
      </w:r>
    </w:p>
    <w:p>
      <w:r>
        <w:t>Verification:</w:t>
      </w:r>
    </w:p>
    <w:p>
      <w:r>
        <w:t>Independent Review Panel verifies compliance</w:t>
      </w:r>
    </w:p>
    <w:p>
      <w:r>
        <w:t>If non-compliant, the amendment is void</w:t>
      </w:r>
    </w:p>
    <w:p>
      <w:r>
        <w:t>Verification is published</w:t>
      </w:r>
    </w:p>
    <w:p>
      <w:r>
        <w:t>Amendment Process Summary</w:t>
      </w:r>
    </w:p>
    <w:p>
      <w:r>
        <w:t>Constitutional Guardrails</w:t>
      </w:r>
    </w:p>
    <w:p>
      <w:r>
        <w:t>Amendments are constrained by:</w:t>
      </w:r>
    </w:p>
    <w:p>
      <w:pPr>
        <w:pStyle w:val="ListNumber"/>
        <w:ind w:left="425"/>
      </w:pPr>
      <w:r>
        <w:t>The Five Criteria</w:t>
      </w:r>
    </w:p>
    <w:p>
      <w:r>
        <w:t>All amendments must satisfy all five criteria</w:t>
      </w:r>
    </w:p>
    <w:p>
      <w:pPr>
        <w:pStyle w:val="ListNumber"/>
        <w:ind w:left="425"/>
      </w:pPr>
      <w:r>
        <w:t>The Independent Review Panel</w:t>
      </w:r>
    </w:p>
    <w:p>
      <w:r>
        <w:t>Independent review is mandatory</w:t>
      </w:r>
    </w:p>
    <w:p>
      <w:r>
        <w:t>Panel's opinion is published</w:t>
      </w:r>
    </w:p>
    <w:p>
      <w:r>
        <w:t>Panel's verification is required</w:t>
      </w:r>
    </w:p>
    <w:p>
      <w:pPr>
        <w:pStyle w:val="ListNumber"/>
        <w:ind w:left="425"/>
      </w:pPr>
      <w:r>
        <w:t>Supermajority Requirements</w:t>
      </w:r>
    </w:p>
    <w:p>
      <w:r>
        <w:t>High thresholds ensure broad consensus</w:t>
      </w:r>
    </w:p>
    <w:p>
      <w:r>
        <w:t>Higher thresholds for more fundamental changes</w:t>
      </w:r>
    </w:p>
    <w:p>
      <w:pPr>
        <w:pStyle w:val="ListNumber"/>
        <w:ind w:left="425"/>
      </w:pPr>
      <w:r>
        <w:t>Consultation Period</w:t>
      </w:r>
    </w:p>
    <w:p>
      <w:r>
        <w:t>90-day minimum for identity and invariant changes</w:t>
      </w:r>
    </w:p>
    <w:p>
      <w:r>
        <w:t>Allows for public input</w:t>
      </w:r>
    </w:p>
    <w:p>
      <w:pPr>
        <w:pStyle w:val="ListNumber"/>
        <w:ind w:left="425"/>
      </w:pPr>
      <w:r>
        <w:t>Void Provisions</w:t>
      </w:r>
    </w:p>
    <w:p>
      <w:r>
        <w:t>Non-compliant amendments are void</w:t>
      </w:r>
    </w:p>
    <w:p>
      <w:r>
        <w:t>Process cannot be circumvented</w:t>
      </w:r>
    </w:p>
    <w:p>
      <w:r>
        <w:t>What Cannot Be Amended</w:t>
      </w:r>
    </w:p>
    <w:p>
      <w:r>
        <w:t>Some provisions are permanently frozen:</w:t>
      </w:r>
    </w:p>
    <w:p>
      <w:r>
        <w:t>Constitutional Identity (the Institution is a constitutional monetary authority)</w:t>
      </w:r>
    </w:p>
    <w:p>
      <w:r>
        <w:t>Anti-Platform Clause (the Institution is not a platform)</w:t>
      </w:r>
    </w:p>
    <w:p>
      <w:r>
        <w:t>Invariants (100% reserve, no lending, no discretionary minting, no commingling)</w:t>
      </w:r>
    </w:p>
    <w:p>
      <w:r>
        <w:t>Redemption Rights (absolute and unrestricted)</w:t>
      </w:r>
    </w:p>
    <w:p>
      <w:r>
        <w:t>Neutrality (no political alignment)</w:t>
      </w:r>
    </w:p>
    <w:p>
      <w:r>
        <w:t>These provisions cannot be amended under any circumstances.</w:t>
      </w:r>
    </w:p>
    <w:p>
      <w:r>
        <w:t>Constitutional Interpretation</w:t>
      </w:r>
    </w:p>
    <w:p>
      <w:r>
        <w:t>Amendment is possible but constrained. Every amendment must:</w:t>
      </w:r>
    </w:p>
    <w:p>
      <w:r>
        <w:t>Preserve Identity</w:t>
      </w:r>
    </w:p>
    <w:p>
      <w:r>
        <w:t>Preserve Invariants</w:t>
      </w:r>
    </w:p>
    <w:p>
      <w:r>
        <w:t>Improve Stability</w:t>
      </w:r>
    </w:p>
    <w:p>
      <w:r>
        <w:t>Increase Institutional Trust</w:t>
      </w:r>
    </w:p>
    <w:p>
      <w:r>
        <w:t>Never Reduce Redeemability</w:t>
      </w:r>
    </w:p>
    <w:p>
      <w:r>
        <w:t>Any amendment that fails any criterion is void regardless of vote count. The Amendment Philosophy ensures that the Constitution evolves only when necessary and only in ways that strengthen the Institution.</w:t>
      </w:r>
    </w:p>
    <w:p>
      <w:r>
        <w:t>[END OF ARTICLE XII — AMENDMENT PHILOSOPHY]</w:t>
      </w:r>
    </w:p>
    <w:p>
      <w:r>
        <w:t>Article XIII: Interpretation Clause</w:t>
      </w:r>
    </w:p>
    <w:p>
      <w:r>
        <w:t>Purpose</w:t>
      </w:r>
    </w:p>
    <w:p>
      <w:r>
        <w:t>The Interpretation Clause establishes how the Constitution shall be interpreted when ambiguity exists. It ensures that interpretation serves constitutional principles, prevents constitutional drift, and provides guidance for resolving disputes.</w:t>
      </w:r>
    </w:p>
    <w:p>
      <w:r>
        <w:t>What This Means in Practice:</w:t>
      </w:r>
    </w:p>
    <w:p>
      <w:r>
        <w:t>Ambiguity is inevitable in any constitutional document</w:t>
      </w:r>
    </w:p>
    <w:p>
      <w:r>
        <w:t>The Interpretation Clause provides clear guidance for resolving ambiguity</w:t>
      </w:r>
    </w:p>
    <w:p>
      <w:r>
        <w:t>Interpretation must serve constitutional principles</w:t>
      </w:r>
    </w:p>
    <w:p>
      <w:r>
        <w:t>Interpretation cannot be used to circumvent constitutional constraints</w:t>
      </w:r>
    </w:p>
    <w:p>
      <w:r>
        <w:t>Example:</w:t>
      </w:r>
    </w:p>
    <w:p>
      <w:r>
        <w:t>A provision of the Monetary Constitution is ambiguous. The Council interprets it in the way that most strongly preserves reserve solvency, because solvency is a constitutional invariant. The interpretation that weakens solvency is rejected.</w:t>
      </w:r>
    </w:p>
    <w:p>
      <w:r>
        <w:t>Why This Matters:</w:t>
      </w:r>
    </w:p>
    <w:p>
      <w:r>
        <w:t>Without interpretive guidance, ambiguity is resolved arbitrarily</w:t>
      </w:r>
    </w:p>
    <w:p>
      <w:r>
        <w:t>Without interpretive guidance, interpretation can be used to circumvent the Constitution</w:t>
      </w:r>
    </w:p>
    <w:p>
      <w:r>
        <w:t>Without interpretive guidance, constitutional drift is inevitable</w:t>
      </w:r>
    </w:p>
    <w:p>
      <w:r>
        <w:t>Clear interpretive rules protect constitutional integrity</w:t>
      </w:r>
    </w:p>
    <w:p>
      <w:r>
        <w:t>Guiding Principles for Interpretation</w:t>
      </w:r>
    </w:p>
    <w:p>
      <w:r>
        <w:t>When interpreting the Constitution, the following principles shall guide interpretation:</w:t>
      </w:r>
    </w:p>
    <w:p>
      <w:pPr>
        <w:pStyle w:val="ListNumber"/>
        <w:ind w:left="425"/>
      </w:pPr>
      <w:r>
        <w:t>Textual Primacy</w:t>
      </w:r>
    </w:p>
    <w:p>
      <w:r>
        <w:t>The text of the Constitution is the primary source of meaning.</w:t>
      </w:r>
    </w:p>
    <w:p>
      <w:r>
        <w:t>What This Means in Practice:</w:t>
      </w:r>
    </w:p>
    <w:p>
      <w:r>
        <w:t>Interpretation begins with the text</w:t>
      </w:r>
    </w:p>
    <w:p>
      <w:r>
        <w:t>Text is interpreted according to its ordinary meaning</w:t>
      </w:r>
    </w:p>
    <w:p>
      <w:r>
        <w:t>Text is interpreted in context</w:t>
      </w:r>
    </w:p>
    <w:p>
      <w:r>
        <w:t>Text is interpreted as a whole</w:t>
      </w:r>
    </w:p>
    <w:p>
      <w:r>
        <w:t>Example:</w:t>
      </w:r>
    </w:p>
    <w:p>
      <w:r>
        <w:t>A provision uses the word "reserve." The ordinary meaning of "reserve" is considered. The context of the provision is considered. The provision is read in the context of the entire Constitution.</w:t>
      </w:r>
    </w:p>
    <w:p>
      <w:r>
        <w:t>Why This Matters:</w:t>
      </w:r>
    </w:p>
    <w:p>
      <w:r>
        <w:t>Without textual primacy, interpretation becomes unmoored</w:t>
      </w:r>
    </w:p>
    <w:p>
      <w:r>
        <w:t>Without textual primacy, subjective preferences substitute for constitutional meaning</w:t>
      </w:r>
    </w:p>
    <w:p>
      <w:r>
        <w:t>Textual primacy ensures constitutional stability</w:t>
      </w:r>
    </w:p>
    <w:p>
      <w:pPr>
        <w:pStyle w:val="ListNumber"/>
        <w:ind w:left="425"/>
      </w:pPr>
      <w:r>
        <w:t>Contextual Reading</w:t>
      </w:r>
    </w:p>
    <w:p>
      <w:r>
        <w:t>Provisions shall be read in the context of the Constitution as a whole.</w:t>
      </w:r>
    </w:p>
    <w:p>
      <w:r>
        <w:t>What This Means in Practice:</w:t>
      </w:r>
    </w:p>
    <w:p>
      <w:r>
        <w:t>No provision is interpreted in isolation</w:t>
      </w:r>
    </w:p>
    <w:p>
      <w:r>
        <w:t>Provisions are interpreted consistently with other provisions</w:t>
      </w:r>
    </w:p>
    <w:p>
      <w:r>
        <w:t>Provisions are interpreted consistently with constitutional objectives</w:t>
      </w:r>
    </w:p>
    <w:p>
      <w:r>
        <w:t>Provisions are interpreted consistently with constitutional principles</w:t>
      </w:r>
    </w:p>
    <w:p>
      <w:r>
        <w:t>Example:</w:t>
      </w:r>
    </w:p>
    <w:p>
      <w:r>
        <w:t>A provision that could be interpreted to allow lending is read in the context of the constitutional prohibition on lending. The interpretation that preserves the prohibition is preferred.</w:t>
      </w:r>
    </w:p>
    <w:p>
      <w:r>
        <w:t>Why This Matters:</w:t>
      </w:r>
    </w:p>
    <w:p>
      <w:r>
        <w:t>Without contextual reading, provisions conflict</w:t>
      </w:r>
    </w:p>
    <w:p>
      <w:r>
        <w:t>Without contextual reading, provisions are interpreted inconsistently</w:t>
      </w:r>
    </w:p>
    <w:p>
      <w:r>
        <w:t>Contextual reading ensures coherence</w:t>
      </w:r>
    </w:p>
    <w:p>
      <w:pPr>
        <w:pStyle w:val="ListNumber"/>
        <w:ind w:left="425"/>
      </w:pPr>
      <w:r>
        <w:t>Original Public Meaning</w:t>
      </w:r>
    </w:p>
    <w:p>
      <w:r>
        <w:t>Interpretation shall be guided by the original public meaning of the text.</w:t>
      </w:r>
    </w:p>
    <w:p>
      <w:r>
        <w:t>What This Means in Practice:</w:t>
      </w:r>
    </w:p>
    <w:p>
      <w:r>
        <w:t>The meaning at the time of adoption is relevant</w:t>
      </w:r>
    </w:p>
    <w:p>
      <w:r>
        <w:t>The ordinary meaning to the public is relevant</w:t>
      </w:r>
    </w:p>
    <w:p>
      <w:r>
        <w:t>The meaning is not determined by subsequent preferences</w:t>
      </w:r>
    </w:p>
    <w:p>
      <w:r>
        <w:t>Example:</w:t>
      </w:r>
    </w:p>
    <w:p>
      <w:r>
        <w:t>A term used in the Constitution is interpreted according to its meaning at the time the Constitution was adopted. Subsequent reinterpretation cannot change the original meaning.</w:t>
      </w:r>
    </w:p>
    <w:p>
      <w:r>
        <w:t>Why This Matters:</w:t>
      </w:r>
    </w:p>
    <w:p>
      <w:r>
        <w:t>Without original public meaning, interpretation is subject to change</w:t>
      </w:r>
    </w:p>
    <w:p>
      <w:r>
        <w:t>Without original public meaning, constitutional stability is undermined</w:t>
      </w:r>
    </w:p>
    <w:p>
      <w:r>
        <w:t>Original public meaning provides a fixed reference point</w:t>
      </w:r>
    </w:p>
    <w:p>
      <w:pPr>
        <w:pStyle w:val="ListNumber"/>
        <w:ind w:left="425"/>
      </w:pPr>
      <w:r>
        <w:t>Purpose Alignment</w:t>
      </w:r>
    </w:p>
    <w:p>
      <w:r>
        <w:t>Interpretation shall serve constitutional purposes.</w:t>
      </w:r>
    </w:p>
    <w:p>
      <w:r>
        <w:t>What This Means in Practice:</w:t>
      </w:r>
    </w:p>
    <w:p>
      <w:r>
        <w:t>Interpretation advances constitutional objectives</w:t>
      </w:r>
    </w:p>
    <w:p>
      <w:r>
        <w:t>Interpretation serves constitutional principles</w:t>
      </w:r>
    </w:p>
    <w:p>
      <w:r>
        <w:t>Interpretation does not frustrate constitutional purposes</w:t>
      </w:r>
    </w:p>
    <w:p>
      <w:r>
        <w:t>Example:</w:t>
      </w:r>
    </w:p>
    <w:p>
      <w:r>
        <w:t>An ambiguous provision is interpreted in a way that advances monetary stability, because monetary stability is a constitutional objective. The interpretation that undermines stability is rejected.</w:t>
      </w:r>
    </w:p>
    <w:p>
      <w:r>
        <w:t>Why This Matters:</w:t>
      </w:r>
    </w:p>
    <w:p>
      <w:r>
        <w:t>Without purpose alignment, interpretation could undermine the Constitution</w:t>
      </w:r>
    </w:p>
    <w:p>
      <w:r>
        <w:t>Without purpose alignment, interpretation is purposeless</w:t>
      </w:r>
    </w:p>
    <w:p>
      <w:r>
        <w:t>Purpose alignment ensures interpretation serves the Institution</w:t>
      </w:r>
    </w:p>
    <w:p>
      <w:pPr>
        <w:pStyle w:val="ListNumber"/>
        <w:ind w:left="425"/>
      </w:pPr>
      <w:r>
        <w:t>Constitutional Preservation</w:t>
      </w:r>
    </w:p>
    <w:p>
      <w:r>
        <w:t>Interpretation shall preserve constitutional integrity.</w:t>
      </w:r>
    </w:p>
    <w:p>
      <w:r>
        <w:t>What This Means in Practice:</w:t>
      </w:r>
    </w:p>
    <w:p>
      <w:r>
        <w:t>Interpretation protects constitutional invariants</w:t>
      </w:r>
    </w:p>
    <w:p>
      <w:r>
        <w:t>Interpretation preserves constitutional identity</w:t>
      </w:r>
    </w:p>
    <w:p>
      <w:r>
        <w:t>Interpretation prevents constitutional drift</w:t>
      </w:r>
    </w:p>
    <w:p>
      <w:r>
        <w:t>Interpretation resolves ambiguity in favor of preservation</w:t>
      </w:r>
    </w:p>
    <w:p>
      <w:r>
        <w:t>Example:</w:t>
      </w:r>
    </w:p>
    <w:p>
      <w:r>
        <w:t>An ambiguous provision is interpreted in a way that preserves the anti-platform clause. The interpretation that erodes the anti-platform clause is rejected.</w:t>
      </w:r>
    </w:p>
    <w:p>
      <w:r>
        <w:t>Why This Matters:</w:t>
      </w:r>
    </w:p>
    <w:p>
      <w:r>
        <w:t>Without preservation, interpretation erodes the Constitution</w:t>
      </w:r>
    </w:p>
    <w:p>
      <w:r>
        <w:t>Without preservation, constitutional drift is inevitable</w:t>
      </w:r>
    </w:p>
    <w:p>
      <w:r>
        <w:t>Preservation ensures constitutional endurance</w:t>
      </w:r>
    </w:p>
    <w:p>
      <w:r>
        <w:t>The Presumption Against Constitutional Drift</w:t>
      </w:r>
    </w:p>
    <w:p>
      <w:r>
        <w:t>Where ambiguity exists, interpretation shall favor:</w:t>
      </w:r>
    </w:p>
    <w:p>
      <w:pPr>
        <w:pStyle w:val="ListNumber"/>
        <w:ind w:left="425"/>
      </w:pPr>
      <w:r>
        <w:t>Preservation of Constitutional Invariants</w:t>
      </w:r>
    </w:p>
    <w:p>
      <w:r>
        <w:t>What This Means in Practice:</w:t>
      </w:r>
    </w:p>
    <w:p>
      <w:r>
        <w:t>Ambiguity is resolved in favor of invariants</w:t>
      </w:r>
    </w:p>
    <w:p>
      <w:r>
        <w:t>Interpretation that weakens invariants is rejected</w:t>
      </w:r>
    </w:p>
    <w:p>
      <w:r>
        <w:t>Invariants are protected from interpretive erosion</w:t>
      </w:r>
    </w:p>
    <w:p>
      <w:r>
        <w:t>Example:</w:t>
      </w:r>
    </w:p>
    <w:p>
      <w:r>
        <w:t>A provision could be interpreted to allow lending or to prohibit lending. The interpretation that prohibits lending is preferred because it preserves the invariant against lending.</w:t>
      </w:r>
    </w:p>
    <w:p>
      <w:pPr>
        <w:pStyle w:val="ListNumber"/>
        <w:ind w:left="425"/>
      </w:pPr>
      <w:r>
        <w:t>Institutional Stability</w:t>
      </w:r>
    </w:p>
    <w:p>
      <w:r>
        <w:t>What This Means in Practice:</w:t>
      </w:r>
    </w:p>
    <w:p>
      <w:r>
        <w:t>Ambiguity is resolved in favor of stability</w:t>
      </w:r>
    </w:p>
    <w:p>
      <w:r>
        <w:t>Interpretation that introduces instability is rejected</w:t>
      </w:r>
    </w:p>
    <w:p>
      <w:r>
        <w:t>Stability is protected from interpretive erosion</w:t>
      </w:r>
    </w:p>
    <w:p>
      <w:r>
        <w:t>Example:</w:t>
      </w:r>
    </w:p>
    <w:p>
      <w:r>
        <w:t>A provision could be interpreted to allow rapid reserve rebalancing or gradual rebalancing. The interpretation that favors gradual rebalancing is preferred because it preserves institutional stability.</w:t>
      </w:r>
    </w:p>
    <w:p>
      <w:pPr>
        <w:pStyle w:val="ListNumber"/>
        <w:ind w:left="425"/>
      </w:pPr>
      <w:r>
        <w:t>Solvency</w:t>
      </w:r>
    </w:p>
    <w:p>
      <w:r>
        <w:t>What This Means in Practice:</w:t>
      </w:r>
    </w:p>
    <w:p>
      <w:r>
        <w:t>Ambiguity is resolved in favor of solvency</w:t>
      </w:r>
    </w:p>
    <w:p>
      <w:r>
        <w:t>Interpretation that threatens solvency is rejected</w:t>
      </w:r>
    </w:p>
    <w:p>
      <w:r>
        <w:t>Solvency is protected from interpretive erosion</w:t>
      </w:r>
    </w:p>
    <w:p>
      <w:r>
        <w:t>Example:</w:t>
      </w:r>
    </w:p>
    <w:p>
      <w:r>
        <w:t>A provision could be interpreted to allow reserve reduction or require reserve preservation. The interpretation that requires reserve preservation is preferred because it protects solvency.</w:t>
      </w:r>
    </w:p>
    <w:p>
      <w:pPr>
        <w:pStyle w:val="ListNumber"/>
        <w:ind w:left="425"/>
      </w:pPr>
      <w:r>
        <w:t>Neutrality</w:t>
      </w:r>
    </w:p>
    <w:p>
      <w:r>
        <w:t>What This Means in Practice:</w:t>
      </w:r>
    </w:p>
    <w:p>
      <w:r>
        <w:t>Ambiguity is resolved in favor of neutrality</w:t>
      </w:r>
    </w:p>
    <w:p>
      <w:r>
        <w:t>Interpretation that introduces political alignment is rejected</w:t>
      </w:r>
    </w:p>
    <w:p>
      <w:r>
        <w:t>Neutrality is protected from interpretive erosion</w:t>
      </w:r>
    </w:p>
    <w:p>
      <w:r>
        <w:t>Example:</w:t>
      </w:r>
    </w:p>
    <w:p>
      <w:r>
        <w:t>A provision could be interpreted to favor one jurisdiction or to treat all jurisdictions equally. The interpretation that treats all jurisdictions equally is preferred because it preserves neutrality.</w:t>
      </w:r>
    </w:p>
    <w:p>
      <w:pPr>
        <w:pStyle w:val="ListNumber"/>
        <w:ind w:left="425"/>
      </w:pPr>
      <w:r>
        <w:t>Redeemability</w:t>
      </w:r>
    </w:p>
    <w:p>
      <w:r>
        <w:t>What This Means in Practice:</w:t>
      </w:r>
    </w:p>
    <w:p>
      <w:r>
        <w:t>Ambiguity is resolved in favor of redeemability</w:t>
      </w:r>
    </w:p>
    <w:p>
      <w:r>
        <w:t>Interpretation that restricts redemption is rejected</w:t>
      </w:r>
    </w:p>
    <w:p>
      <w:r>
        <w:t>Redeemability is protected from interpretive erosion</w:t>
      </w:r>
    </w:p>
    <w:p>
      <w:r>
        <w:t>Example:</w:t>
      </w:r>
    </w:p>
    <w:p>
      <w:r>
        <w:t>A provision could be interpreted to allow redemption restrictions or to prohibit redemption restrictions. The interpretation that prohibits restrictions is preferred because it preserves redeemability.</w:t>
      </w:r>
    </w:p>
    <w:p>
      <w:r>
        <w:t>Rules of Construction</w:t>
      </w:r>
    </w:p>
    <w:p>
      <w:r>
        <w:t>Specific rules for interpreting the Constitution:</w:t>
      </w:r>
    </w:p>
    <w:p>
      <w:r>
        <w:t>Rule 1: Narrow Construction of Exceptions</w:t>
      </w:r>
    </w:p>
    <w:p>
      <w:r>
        <w:t>Exceptions to constitutional principles shall be construed narrowly.</w:t>
      </w:r>
    </w:p>
    <w:p>
      <w:r>
        <w:t>What This Means in Practice:</w:t>
      </w:r>
    </w:p>
    <w:p>
      <w:r>
        <w:t>Exceptions are limited to their specific terms</w:t>
      </w:r>
    </w:p>
    <w:p>
      <w:r>
        <w:t>Exceptions are not extended by implication</w:t>
      </w:r>
    </w:p>
    <w:p>
      <w:r>
        <w:t>Exceptions are interpreted restrictively</w:t>
      </w:r>
    </w:p>
    <w:p>
      <w:r>
        <w:t>Example:</w:t>
      </w:r>
    </w:p>
    <w:p>
      <w:r>
        <w:t>A provision allows an exception to reserve backing under specific conditions. The exception is construed narrowly to apply only to those specific conditions.</w:t>
      </w:r>
    </w:p>
    <w:p>
      <w:r>
        <w:t>Rule 2: Broad Construction of Protections</w:t>
      </w:r>
    </w:p>
    <w:p>
      <w:r>
        <w:t>Constitutional protections shall be construed broadly.</w:t>
      </w:r>
    </w:p>
    <w:p>
      <w:r>
        <w:t>What This Means in Practice:</w:t>
      </w:r>
    </w:p>
    <w:p>
      <w:r>
        <w:t>Protections are interpreted to provide maximum coverage</w:t>
      </w:r>
    </w:p>
    <w:p>
      <w:r>
        <w:t>Protections are not limited by implication</w:t>
      </w:r>
    </w:p>
    <w:p>
      <w:r>
        <w:t>Protections serve their constitutional purpose</w:t>
      </w:r>
    </w:p>
    <w:p>
      <w:r>
        <w:t>Example:</w:t>
      </w:r>
    </w:p>
    <w:p>
      <w:r>
        <w:t>A provision protects holder rights. The protection is construed broadly to protect all holders and all rights.</w:t>
      </w:r>
    </w:p>
    <w:p>
      <w:r>
        <w:t>Rule 3: Prohibition Against Circumvention</w:t>
      </w:r>
    </w:p>
    <w:p>
      <w:r>
        <w:t>Interpretation that would circumvent constitutional provisions is prohibited.</w:t>
      </w:r>
    </w:p>
    <w:p>
      <w:r>
        <w:t>What This Means in Practice:</w:t>
      </w:r>
    </w:p>
    <w:p>
      <w:r>
        <w:t>Interpretation cannot achieve what the Constitution prohibits</w:t>
      </w:r>
    </w:p>
    <w:p>
      <w:r>
        <w:t>Interpretation cannot substitute for amendment</w:t>
      </w:r>
    </w:p>
    <w:p>
      <w:r>
        <w:t>Circumvention is a violation of constitutional principles</w:t>
      </w:r>
    </w:p>
    <w:p>
      <w:r>
        <w:t>Example:</w:t>
      </w:r>
    </w:p>
    <w:p>
      <w:r>
        <w:t>An interpretation that effectively allows lending by redefining it as something else is prohibited because it circumvents the constitutional prohibition on lending.</w:t>
      </w:r>
    </w:p>
    <w:p>
      <w:r>
        <w:t>Rule 4: Interpretation Serves Constitution</w:t>
      </w:r>
    </w:p>
    <w:p>
      <w:r>
        <w:t>Interpretation serves the Constitution; the Constitution does not serve interpretation.</w:t>
      </w:r>
    </w:p>
    <w:p>
      <w:r>
        <w:t>What This Means in Practice:</w:t>
      </w:r>
    </w:p>
    <w:p>
      <w:r>
        <w:t>Interpretation is a tool for understanding, not changing</w:t>
      </w:r>
    </w:p>
    <w:p>
      <w:r>
        <w:t>Interpretation cannot amend the Constitution</w:t>
      </w:r>
    </w:p>
    <w:p>
      <w:r>
        <w:t>Interpretation is subordinate to constitutional text and principles</w:t>
      </w:r>
    </w:p>
    <w:p>
      <w:r>
        <w:t>Example:</w:t>
      </w:r>
    </w:p>
    <w:p>
      <w:r>
        <w:t>An interpretation that changes the meaning of a provision to serve a current preference is prohibited. The interpretation must serve the Constitution, not current preferences.</w:t>
      </w:r>
    </w:p>
    <w:p>
      <w:r>
        <w:t>Application of the Interpretation Clause</w:t>
      </w:r>
    </w:p>
    <w:p>
      <w:r>
        <w:t>The Interpretation Clause shall be applied by:</w:t>
      </w:r>
    </w:p>
    <w:p>
      <w:pPr>
        <w:pStyle w:val="ListNumber"/>
        <w:ind w:left="425"/>
      </w:pPr>
      <w:r>
        <w:t>The Monetary Council</w:t>
      </w:r>
    </w:p>
    <w:p>
      <w:r>
        <w:t>The Council interprets the Constitution in the course of governance.</w:t>
      </w:r>
    </w:p>
    <w:p>
      <w:r>
        <w:t>What This Means in Practice:</w:t>
      </w:r>
    </w:p>
    <w:p>
      <w:r>
        <w:t>The Council applies the Interpretation Clause</w:t>
      </w:r>
    </w:p>
    <w:p>
      <w:r>
        <w:t>The Council's interpretations are guided by constitutional principles</w:t>
      </w:r>
    </w:p>
    <w:p>
      <w:r>
        <w:t>The Council's interpretations are subject to review</w:t>
      </w:r>
    </w:p>
    <w:p>
      <w:pPr>
        <w:pStyle w:val="ListNumber"/>
        <w:ind w:left="425"/>
      </w:pPr>
      <w:r>
        <w:t>The Independent Review Panel</w:t>
      </w:r>
    </w:p>
    <w:p>
      <w:r>
        <w:t>The Independent Review Panel reviews interpretations.</w:t>
      </w:r>
    </w:p>
    <w:p>
      <w:r>
        <w:t>What This Means in Practice:</w:t>
      </w:r>
    </w:p>
    <w:p>
      <w:r>
        <w:t>The Panel reviews Council interpretations for constitutional compliance</w:t>
      </w:r>
    </w:p>
    <w:p>
      <w:r>
        <w:t>The Panel's review is published</w:t>
      </w:r>
    </w:p>
    <w:p>
      <w:r>
        <w:t>The Panel's recommendations are considered</w:t>
      </w:r>
    </w:p>
    <w:p>
      <w:pPr>
        <w:pStyle w:val="ListNumber"/>
        <w:ind w:left="425"/>
      </w:pPr>
      <w:r>
        <w:t>Competent Courts</w:t>
      </w:r>
    </w:p>
    <w:p>
      <w:r>
        <w:t>If necessary, interpretation shall be determined by competent courts.</w:t>
      </w:r>
    </w:p>
    <w:p>
      <w:r>
        <w:t>What This Means in Practice:</w:t>
      </w:r>
    </w:p>
    <w:p>
      <w:r>
        <w:t>Courts may interpret the Constitution</w:t>
      </w:r>
    </w:p>
    <w:p>
      <w:r>
        <w:t>Courts apply the Interpretation Clause</w:t>
      </w:r>
    </w:p>
    <w:p>
      <w:r>
        <w:t>Courts' interpretations are binding</w:t>
      </w:r>
    </w:p>
    <w:p>
      <w:r>
        <w:t>Jurisdiction:</w:t>
      </w:r>
    </w:p>
    <w:p>
      <w:r>
        <w:t>DIFC Courts</w:t>
      </w:r>
    </w:p>
    <w:p>
      <w:r>
        <w:t>Other competent courts as determined by applicable law</w:t>
      </w:r>
    </w:p>
    <w:p>
      <w:r>
        <w:t>Interpretation in Practice</w:t>
      </w:r>
    </w:p>
    <w:p>
      <w:r>
        <w:t>When interpreting the Constitution:</w:t>
      </w:r>
    </w:p>
    <w:p>
      <w:r>
        <w:t>Step 1: Read the Text</w:t>
      </w:r>
    </w:p>
    <w:p>
      <w:r>
        <w:t>Start with the text</w:t>
      </w:r>
    </w:p>
    <w:p>
      <w:r>
        <w:t>Understand the ordinary meaning</w:t>
      </w:r>
    </w:p>
    <w:p>
      <w:r>
        <w:t>Consider the context</w:t>
      </w:r>
    </w:p>
    <w:p>
      <w:r>
        <w:t>Step 2: Consider Constitutional Objectives</w:t>
      </w:r>
    </w:p>
    <w:p>
      <w:r>
        <w:t>What is the constitutional purpose?</w:t>
      </w:r>
    </w:p>
    <w:p>
      <w:r>
        <w:t>What does the provision serve?</w:t>
      </w:r>
    </w:p>
    <w:p>
      <w:r>
        <w:t>What objectives does it advance?</w:t>
      </w:r>
    </w:p>
    <w:p>
      <w:r>
        <w:t>Step 3: Apply Guiding Principles</w:t>
      </w:r>
    </w:p>
    <w:p>
      <w:r>
        <w:t>Textual primacy</w:t>
      </w:r>
    </w:p>
    <w:p>
      <w:r>
        <w:t>Contextual reading</w:t>
      </w:r>
    </w:p>
    <w:p>
      <w:r>
        <w:t>Original public meaning</w:t>
      </w:r>
    </w:p>
    <w:p>
      <w:r>
        <w:t>Purpose alignment</w:t>
      </w:r>
    </w:p>
    <w:p>
      <w:r>
        <w:t>Constitutional preservation</w:t>
      </w:r>
    </w:p>
    <w:p>
      <w:r>
        <w:t>Step 4: Apply the Presumption Against Drift</w:t>
      </w:r>
    </w:p>
    <w:p>
      <w:r>
        <w:t>Preserve invariants</w:t>
      </w:r>
    </w:p>
    <w:p>
      <w:r>
        <w:t>Preserve stability</w:t>
      </w:r>
    </w:p>
    <w:p>
      <w:r>
        <w:t>Preserve solvency</w:t>
      </w:r>
    </w:p>
    <w:p>
      <w:r>
        <w:t>Preserve neutrality</w:t>
      </w:r>
    </w:p>
    <w:p>
      <w:r>
        <w:t>Preserve redeemability</w:t>
      </w:r>
    </w:p>
    <w:p>
      <w:r>
        <w:t>Step 5: Apply Rules of Construction</w:t>
      </w:r>
    </w:p>
    <w:p>
      <w:r>
        <w:t>Narrow construction of exceptions</w:t>
      </w:r>
    </w:p>
    <w:p>
      <w:r>
        <w:t>Broad construction of protections</w:t>
      </w:r>
    </w:p>
    <w:p>
      <w:r>
        <w:t>Prohibition against circumvention</w:t>
      </w:r>
    </w:p>
    <w:p>
      <w:r>
        <w:t>Interpretation serves Constitution</w:t>
      </w:r>
    </w:p>
    <w:p>
      <w:r>
        <w:t>Summary Table</w:t>
      </w:r>
    </w:p>
    <w:p>
      <w:r>
        <w:t>Constitutional Interpretation</w:t>
      </w:r>
    </w:p>
    <w:p>
      <w:r>
        <w:t>The Interpretation Clause provides clear guidance for resolving ambiguity. Where ambiguity exists, interpretation shall favor:</w:t>
      </w:r>
    </w:p>
    <w:p>
      <w:r>
        <w:t>Preservation of Constitutional Invariants</w:t>
      </w:r>
    </w:p>
    <w:p>
      <w:r>
        <w:t>Institutional Stability</w:t>
      </w:r>
    </w:p>
    <w:p>
      <w:r>
        <w:t>Solvency</w:t>
      </w:r>
    </w:p>
    <w:p>
      <w:r>
        <w:t>Neutrality</w:t>
      </w:r>
    </w:p>
    <w:p>
      <w:r>
        <w:t>Redeemability</w:t>
      </w:r>
    </w:p>
    <w:p>
      <w:r>
        <w:t>The Interpretation Clause prevents constitutional drift. It ensures that interpretation serves constitutional principles rather than subverting them. The Constitution is interpreted to preserve its integrity, not to accommodate current preferences.</w:t>
      </w:r>
    </w:p>
    <w:p>
      <w:r>
        <w:t>[END OF ARTICLE XIII — INTERPRETATION CLAUSE]</w:t>
      </w:r>
    </w:p>
    <w:p>
      <w:r>
        <w:t>Article XIV: Institutional Lifecycle</w:t>
      </w:r>
    </w:p>
    <w:p>
      <w:r>
        <w:t>Purpose</w:t>
      </w:r>
    </w:p>
    <w:p>
      <w:r>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r>
        <w:t>What This Means in Practice:</w:t>
      </w:r>
    </w:p>
    <w:p>
      <w:r>
        <w:t>The Institution has a defined lifecycle</w:t>
      </w:r>
    </w:p>
    <w:p>
      <w:r>
        <w:t>Each stage has defined characteristics</w:t>
      </w:r>
    </w:p>
    <w:p>
      <w:r>
        <w:t>Each stage has defined governance</w:t>
      </w:r>
    </w:p>
    <w:p>
      <w:r>
        <w:t>Transitions between stages are defined</w:t>
      </w:r>
    </w:p>
    <w:p>
      <w:r>
        <w:t>Even dissolution is defined</w:t>
      </w:r>
    </w:p>
    <w:p>
      <w:r>
        <w:t>Example:</w:t>
      </w:r>
    </w:p>
    <w:p>
      <w:r>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r>
        <w:t>Why This Matters:</w:t>
      </w:r>
    </w:p>
    <w:p>
      <w:r>
        <w:t>Without a defined lifecycle, the Institution's path is uncertain</w:t>
      </w:r>
    </w:p>
    <w:p>
      <w:r>
        <w:t>Without a defined lifecycle, dissolution could be chaotic</w:t>
      </w:r>
    </w:p>
    <w:p>
      <w:r>
        <w:t>Without a defined lifecycle, courts would determine the outcome</w:t>
      </w:r>
    </w:p>
    <w:p>
      <w:r>
        <w:t>A defined lifecycle provides certainty and protects holders</w:t>
      </w:r>
    </w:p>
    <w:p>
      <w:r>
        <w:t>The Seven Stages</w:t>
      </w:r>
    </w:p>
    <w:p>
      <w:pPr>
        <w:pStyle w:val="ListNumber"/>
        <w:ind w:left="425"/>
      </w:pPr>
      <w:r>
        <w:t>Formation</w:t>
      </w:r>
    </w:p>
    <w:p>
      <w:pPr>
        <w:pStyle w:val="ListNumber"/>
        <w:ind w:left="425"/>
      </w:pPr>
      <w:r>
        <w:t>Operation</w:t>
      </w:r>
    </w:p>
    <w:p>
      <w:pPr>
        <w:pStyle w:val="ListNumber"/>
        <w:ind w:left="425"/>
      </w:pPr>
      <w:r>
        <w:t>Expansion</w:t>
      </w:r>
    </w:p>
    <w:p>
      <w:pPr>
        <w:pStyle w:val="ListNumber"/>
        <w:ind w:left="425"/>
      </w:pPr>
      <w:r>
        <w:t>Emergency</w:t>
      </w:r>
    </w:p>
    <w:p>
      <w:pPr>
        <w:pStyle w:val="ListNumber"/>
        <w:ind w:left="425"/>
      </w:pPr>
      <w:r>
        <w:t>Resolution</w:t>
      </w:r>
    </w:p>
    <w:p>
      <w:pPr>
        <w:pStyle w:val="ListNumber"/>
        <w:ind w:left="425"/>
      </w:pPr>
      <w:r>
        <w:t>Succession</w:t>
      </w:r>
    </w:p>
    <w:p>
      <w:pPr>
        <w:pStyle w:val="ListNumber"/>
        <w:ind w:left="425"/>
      </w:pPr>
      <w:r>
        <w:t>Wind-down</w:t>
      </w:r>
    </w:p>
    <w:p>
      <w:r>
        <w:t>Stage 1: Formation</w:t>
      </w:r>
    </w:p>
    <w:p>
      <w:r>
        <w:t>Establishment of the Institution</w:t>
      </w:r>
    </w:p>
    <w:p>
      <w:r>
        <w:t>What This Means in Practice:</w:t>
      </w:r>
    </w:p>
    <w:p>
      <w:r>
        <w:t>Governance is established</w:t>
      </w:r>
    </w:p>
    <w:p>
      <w:r>
        <w:t>Reserves are established</w:t>
      </w:r>
    </w:p>
    <w:p>
      <w:r>
        <w:t>Operational readiness is established</w:t>
      </w:r>
    </w:p>
    <w:p>
      <w:r>
        <w:t>Legal structure is established</w:t>
      </w:r>
    </w:p>
    <w:p>
      <w:r>
        <w:t>The Institution is ready to operate</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Example:</w:t>
      </w:r>
    </w:p>
    <w:p>
      <w:r>
        <w:t>The Foundation is registered, the Council is appointed, reserves are deposited, custody arrangements are established, and the Institution begins settlement operations. Formation is complete when the Institution is operational.</w:t>
      </w:r>
    </w:p>
    <w:p>
      <w:r>
        <w:t>Duration:</w:t>
      </w:r>
    </w:p>
    <w:p>
      <w:r>
        <w:t>As required to achieve operational readiness</w:t>
      </w:r>
    </w:p>
    <w:p>
      <w:r>
        <w:t>Typically 6-18 months</w:t>
      </w:r>
    </w:p>
    <w:p>
      <w:r>
        <w:t>Defined by milestones, not time</w:t>
      </w:r>
    </w:p>
    <w:p>
      <w:r>
        <w:t>Governance:</w:t>
      </w:r>
    </w:p>
    <w:p>
      <w:r>
        <w:t>Formation Committee oversees the process</w:t>
      </w:r>
    </w:p>
    <w:p>
      <w:r>
        <w:t>Transition to Council upon operational readiness</w:t>
      </w:r>
    </w:p>
    <w:p>
      <w:r>
        <w:t>Stage 2: Operation</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Characteristics:</w:t>
      </w:r>
    </w:p>
    <w:p>
      <w:r>
        <w:t>Normal settlement operations</w:t>
      </w:r>
    </w:p>
    <w:p>
      <w:r>
        <w:t>Normal reserve management</w:t>
      </w:r>
    </w:p>
    <w:p>
      <w:r>
        <w:t>Normal governance</w:t>
      </w:r>
    </w:p>
    <w:p>
      <w:r>
        <w:t>Normal compliance</w:t>
      </w:r>
    </w:p>
    <w:p>
      <w:r>
        <w:t>Normal transparency</w:t>
      </w:r>
    </w:p>
    <w:p>
      <w:r>
        <w:t>Example:</w:t>
      </w:r>
    </w:p>
    <w:p>
      <w:r>
        <w:t>The Institution settles trades, maintains reserves, publishes proof of reserves, and is governed by the Council. This is the ordinary state of the Institution.</w:t>
      </w:r>
    </w:p>
    <w:p>
      <w:r>
        <w:t>Duration:</w:t>
      </w:r>
    </w:p>
    <w:p>
      <w:r>
        <w:t>Indefinite, so long as conditions permit</w:t>
      </w:r>
    </w:p>
    <w:p>
      <w:r>
        <w:t>The default stage of the Institution</w:t>
      </w:r>
    </w:p>
    <w:p>
      <w:r>
        <w:t>Continues until transition to another stage</w:t>
      </w:r>
    </w:p>
    <w:p>
      <w:r>
        <w:t>Governance:</w:t>
      </w:r>
    </w:p>
    <w:p>
      <w:r>
        <w:t>Normal governance by all bodies</w:t>
      </w:r>
    </w:p>
    <w:p>
      <w:r>
        <w:t>Full constitutional protections apply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Example:</w:t>
      </w:r>
    </w:p>
    <w:p>
      <w:r>
        <w:t>The Institution expands from the UAE to Singapore and the UK. New participants are onboarded. The Institution's constitutional principles remain unchanged.</w:t>
      </w:r>
    </w:p>
    <w:p>
      <w:r>
        <w:t>Duration:</w:t>
      </w:r>
    </w:p>
    <w:p>
      <w:r>
        <w:t>Ongoing, as opportunities arise</w:t>
      </w:r>
    </w:p>
    <w:p>
      <w:r>
        <w:t>Managed through Policy</w:t>
      </w:r>
    </w:p>
    <w:p>
      <w:r>
        <w:t>Subject to constitutional constraints</w:t>
      </w:r>
    </w:p>
    <w:p>
      <w:r>
        <w:t>Governance:</w:t>
      </w:r>
    </w:p>
    <w:p>
      <w:r>
        <w:t>Council approves expansion</w:t>
      </w:r>
    </w:p>
    <w:p>
      <w:r>
        <w:t>Policy defines expansion criteria</w:t>
      </w:r>
    </w:p>
    <w:p>
      <w:r>
        <w:t>Constitutional constraints apply</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Example:</w:t>
      </w:r>
    </w:p>
    <w:p>
      <w:r>
        <w:t>A custody breach prevents access to reserves. Emergency protocols are activated. The focus is on preserving reserves, honoring redemptions, and restoring normal operations.</w:t>
      </w:r>
    </w:p>
    <w:p>
      <w:r>
        <w:t>Duration:</w:t>
      </w:r>
    </w:p>
    <w:p>
      <w:r>
        <w:t>Limited duration</w:t>
      </w:r>
    </w:p>
    <w:p>
      <w:r>
        <w:t>Defines as necessary to resolve the emergency</w:t>
      </w:r>
    </w:p>
    <w:p>
      <w:r>
        <w:t>Not to exceed 90 days without Council approval</w:t>
      </w:r>
    </w:p>
    <w:p>
      <w:r>
        <w:t>Governance:</w:t>
      </w:r>
    </w:p>
    <w:p>
      <w:r>
        <w:t>Emergency Custodian (if Council unavailable)</w:t>
      </w:r>
    </w:p>
    <w:p>
      <w:r>
        <w:t>Council (if available)</w:t>
      </w:r>
    </w:p>
    <w:p>
      <w:r>
        <w:t>Focus on preservation</w:t>
      </w:r>
    </w:p>
    <w:p>
      <w:r>
        <w:t>Triggers:</w:t>
      </w:r>
    </w:p>
    <w:p>
      <w:r>
        <w:t>Governance failure</w:t>
      </w:r>
    </w:p>
    <w:p>
      <w:r>
        <w:t>Custody failure</w:t>
      </w:r>
    </w:p>
    <w:p>
      <w:r>
        <w:t>Oracle failure</w:t>
      </w:r>
    </w:p>
    <w:p>
      <w:r>
        <w:t>Solvency threat</w:t>
      </w:r>
    </w:p>
    <w:p>
      <w:r>
        <w:t>Security breach</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Example:</w:t>
      </w:r>
    </w:p>
    <w:p>
      <w:r>
        <w:t>A permanent insolvency cannot be resolved. The Institution enters Resolution. Reserves are distributed to holders proportionally. The Institution is wound down.</w:t>
      </w:r>
    </w:p>
    <w:p>
      <w:r>
        <w:t>Trigger:</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Trigger:</w:t>
      </w:r>
    </w:p>
    <w:p>
      <w:r>
        <w:t>Voluntary decision by Council</w:t>
      </w:r>
    </w:p>
    <w:p>
      <w:r>
        <w:t>Confirmed by Independent Review Panel</w:t>
      </w:r>
    </w:p>
    <w:p>
      <w:r>
        <w:t>Approved by supermajority</w:t>
      </w:r>
    </w:p>
    <w:p>
      <w:r>
        <w:t>Governance:</w:t>
      </w:r>
    </w:p>
    <w:p>
      <w:r>
        <w:t>Council approves succession</w:t>
      </w:r>
    </w:p>
    <w:p>
      <w:r>
        <w:t>Successor must meet constitutional criteria</w:t>
      </w:r>
    </w:p>
    <w:p>
      <w:r>
        <w:t>Holders must be protected</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Example:</w:t>
      </w:r>
    </w:p>
    <w:p>
      <w:r>
        <w:t>After all units are redeemed and all reserves distributed, the Institution is dissolved. Records are preserved. The Institution no longer exists.</w:t>
      </w:r>
    </w:p>
    <w:p>
      <w:r>
        <w:t>Trigger:</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Stage Transitions</w:t>
      </w:r>
    </w:p>
    <w:p>
      <w:r>
        <w:t>Transitions between stages are governed by defined criteria:</w:t>
      </w:r>
    </w:p>
    <w:p>
      <w:r>
        <w:t>Stage Summary Table</w:t>
      </w:r>
    </w:p>
    <w:p>
      <w:r>
        <w:t>Constitutional Interpretation</w:t>
      </w:r>
    </w:p>
    <w:p>
      <w:r>
        <w:t>The Institution exists through defined stages:</w:t>
      </w:r>
    </w:p>
    <w:p>
      <w:r>
        <w:t>Formation — establishment</w:t>
      </w:r>
    </w:p>
    <w:p>
      <w:r>
        <w:t>Operation — ordinary function</w:t>
      </w:r>
    </w:p>
    <w:p>
      <w:r>
        <w:t>Expansion — growth within limits</w:t>
      </w:r>
    </w:p>
    <w:p>
      <w:r>
        <w:t>Emergency — preservation under stress</w:t>
      </w:r>
    </w:p>
    <w:p>
      <w:r>
        <w:t>Resolution — orderly wind-down if necessary</w:t>
      </w:r>
    </w:p>
    <w:p>
      <w:r>
        <w:t>Succession — transfer to successor</w:t>
      </w:r>
    </w:p>
    <w:p>
      <w:r>
        <w:t>Wind-down — final dissolution</w:t>
      </w:r>
    </w:p>
    <w:p>
      <w:r>
        <w:t>Even if dissolution never occurs, the Constitution defines the process. Otherwise courts define it. The Institution's path is determined by constitutional principles, not by circumstance.</w:t>
      </w:r>
    </w:p>
    <w:p>
      <w:r>
        <w:t>[END OF ARTICLE XIV — INSTITUTIONAL LIFECYCLE]</w:t>
      </w:r>
    </w:p>
    <w:p>
      <w:r>
        <w:t>Article XV: Constitutional Success Metrics</w:t>
      </w:r>
    </w:p>
    <w:p>
      <w:r>
        <w:t>Purpose</w:t>
      </w:r>
    </w:p>
    <w:p>
      <w:r>
        <w:t>Constitutional Success Metrics define the conditions under which the Institution exists and fulfills its constitutional purpose. These metrics are not aspirational goals; they are the minimum conditions for the Institution's continued existence.</w:t>
      </w:r>
    </w:p>
    <w:p>
      <w:r>
        <w:t>What This Means in Practice:</w:t>
      </w:r>
    </w:p>
    <w:p>
      <w:r>
        <w:t>The Institution exists only if it meets these conditions</w:t>
      </w:r>
    </w:p>
    <w:p>
      <w:r>
        <w:t>Failure to meet any condition triggers Resolution</w:t>
      </w:r>
    </w:p>
    <w:p>
      <w:r>
        <w:t>The metrics are objective and verifiable</w:t>
      </w:r>
    </w:p>
    <w:p>
      <w:r>
        <w:t>They define success in constitutional terms</w:t>
      </w:r>
    </w:p>
    <w:p>
      <w:r>
        <w:t>Example:</w:t>
      </w:r>
    </w:p>
    <w:p>
      <w:r>
        <w:t>The Institution maintains full redeemability, full reserves, solvency, trust, legal compliance, and operational resilience. These conditions are met. The Institution exists. If any condition is permanently breached, the Institution enters Resolution.</w:t>
      </w:r>
    </w:p>
    <w:p>
      <w:r>
        <w:t>Why This Matters:</w:t>
      </w:r>
    </w:p>
    <w:p>
      <w:r>
        <w:t>Without clear success metrics, the Institution cannot know if it is fulfilling its purpose</w:t>
      </w:r>
    </w:p>
    <w:p>
      <w:r>
        <w:t>Without clear metrics, failure is undefined</w:t>
      </w:r>
    </w:p>
    <w:p>
      <w:r>
        <w:t>Without clear metrics, the Institution could continue in a failing state</w:t>
      </w:r>
    </w:p>
    <w:p>
      <w:r>
        <w:t>Clear metrics protect holders by defining when the Institution must enter Resolution</w:t>
      </w:r>
    </w:p>
    <w:p>
      <w:r>
        <w:t>The Six Success Metrics</w:t>
      </w:r>
    </w:p>
    <w:p>
      <w:r>
        <w:t>The Institution exists only if the following conditions are met:</w:t>
      </w:r>
    </w:p>
    <w:p>
      <w:pPr>
        <w:pStyle w:val="ListNumber"/>
        <w:ind w:left="425"/>
      </w:pPr>
      <w:r>
        <w:t>Fully Redeemable</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The Institution is fully redeemable.</w:t>
      </w:r>
    </w:p>
    <w:p>
      <w:r>
        <w:t>Verification:</w:t>
      </w:r>
    </w:p>
    <w:p>
      <w:r>
        <w:t>Redemption requests are monitored</w:t>
      </w:r>
    </w:p>
    <w:p>
      <w:r>
        <w:t>Redemption processing time is measured</w:t>
      </w:r>
    </w:p>
    <w:p>
      <w:r>
        <w:t>Redemption volume is tracked</w:t>
      </w:r>
    </w:p>
    <w:p>
      <w:r>
        <w:t>Redemption complaints are recorded</w:t>
      </w:r>
    </w:p>
    <w:p>
      <w:r>
        <w:t>Failure Indicator:</w:t>
      </w:r>
    </w:p>
    <w:p>
      <w:r>
        <w:t>Redemption suspended</w:t>
      </w:r>
    </w:p>
    <w:p>
      <w:r>
        <w:t>Redemption delayed beyond operational timeframes</w:t>
      </w:r>
    </w:p>
    <w:p>
      <w:r>
        <w:t>Redemption denied</w:t>
      </w:r>
    </w:p>
    <w:p>
      <w:r>
        <w:t>Redemption not honored</w:t>
      </w:r>
    </w:p>
    <w:p>
      <w:pPr>
        <w:pStyle w:val="ListNumber"/>
        <w:ind w:left="425"/>
      </w:pPr>
      <w:r>
        <w:t>Fully Reserved</w:t>
      </w:r>
    </w:p>
    <w:p>
      <w:r>
        <w:t>Every unit is backed by reserves.</w:t>
      </w:r>
    </w:p>
    <w:p>
      <w:r>
        <w:t>What This Means in Practice:</w:t>
      </w:r>
    </w:p>
    <w:p>
      <w:r>
        <w:t>Reserves equal or exceed supply</w:t>
      </w:r>
    </w:p>
    <w:p>
      <w:r>
        <w:t>Reserves are held in custody</w:t>
      </w:r>
    </w:p>
    <w:p>
      <w:r>
        <w:t>Reserves are not lent or rehypothecated</w:t>
      </w:r>
    </w:p>
    <w:p>
      <w:r>
        <w:t>Reserves are verifiable</w:t>
      </w:r>
    </w:p>
    <w:p>
      <w:r>
        <w:t>Example:</w:t>
      </w:r>
    </w:p>
    <w:p>
      <w:r>
        <w:t>The Institution publishes daily proof of reserves showing reserve value ≥ supply value. An independent audit confirms the reserves. The Institution is fully reserved.</w:t>
      </w:r>
    </w:p>
    <w:p>
      <w:r>
        <w:t>Verification:</w:t>
      </w:r>
    </w:p>
    <w:p>
      <w:r>
        <w:t>Daily proof of reserves</w:t>
      </w:r>
    </w:p>
    <w:p>
      <w:r>
        <w:t>Quarterly independent audit</w:t>
      </w:r>
    </w:p>
    <w:p>
      <w:r>
        <w:t>Reserve ratio calculation</w:t>
      </w:r>
    </w:p>
    <w:p>
      <w:r>
        <w:t>Reserve composition verification</w:t>
      </w:r>
    </w:p>
    <w:p>
      <w:r>
        <w:t>Failure Indicator:</w:t>
      </w:r>
    </w:p>
    <w:p>
      <w:r>
        <w:t>Reserves fall below supply</w:t>
      </w:r>
    </w:p>
    <w:p>
      <w:r>
        <w:t>Reserves cannot be verified</w:t>
      </w:r>
    </w:p>
    <w:p>
      <w:r>
        <w:t>Reserves are lent or rehypothecated</w:t>
      </w:r>
    </w:p>
    <w:p>
      <w:r>
        <w:t>Reserve proof fails</w:t>
      </w:r>
    </w:p>
    <w:p>
      <w:pPr>
        <w:pStyle w:val="ListNumber"/>
        <w:ind w:left="425"/>
      </w:pPr>
      <w:r>
        <w:t>Solvent</w:t>
      </w:r>
    </w:p>
    <w:p>
      <w:r>
        <w:t>Assets exceed liabilities at all times.</w:t>
      </w:r>
    </w:p>
    <w:p>
      <w:r>
        <w:t>What This Means in Practice:</w:t>
      </w:r>
    </w:p>
    <w:p>
      <w:r>
        <w:t>Reserves exceed supply</w:t>
      </w:r>
    </w:p>
    <w:p>
      <w:r>
        <w:t>The Institution can meet all obligations</w:t>
      </w:r>
    </w:p>
    <w:p>
      <w:r>
        <w:t>The Institution is not insolvent</w:t>
      </w:r>
    </w:p>
    <w:p>
      <w:r>
        <w:t>The Institution can honor all claims</w:t>
      </w:r>
    </w:p>
    <w:p>
      <w:r>
        <w:t>Example:</w:t>
      </w:r>
    </w:p>
    <w:p>
      <w:r>
        <w:t>The Institution maintains reserves of $1,050,000,000 against supply of 1,000,000,000 MTQ. Assets exceed liabilities. The Institution is solvent.</w:t>
      </w:r>
    </w:p>
    <w:p>
      <w:r>
        <w:t>Verification:</w:t>
      </w:r>
    </w:p>
    <w:p>
      <w:r>
        <w:t>Reserve ratio ≥ 100%</w:t>
      </w:r>
    </w:p>
    <w:p>
      <w:r>
        <w:t>Asset valuation</w:t>
      </w:r>
    </w:p>
    <w:p>
      <w:r>
        <w:t>Liability calculation</w:t>
      </w:r>
    </w:p>
    <w:p>
      <w:r>
        <w:t>Solvency assessment</w:t>
      </w:r>
    </w:p>
    <w:p>
      <w:r>
        <w:t>Failure Indicator:</w:t>
      </w:r>
    </w:p>
    <w:p>
      <w:r>
        <w:t>Reserves &lt; supply</w:t>
      </w:r>
    </w:p>
    <w:p>
      <w:r>
        <w:t>Inability to meet obligations</w:t>
      </w:r>
    </w:p>
    <w:p>
      <w:r>
        <w:t>Insolvency declared</w:t>
      </w:r>
    </w:p>
    <w:p>
      <w:r>
        <w:t>Claims cannot be honored</w:t>
      </w:r>
    </w:p>
    <w:p>
      <w:pPr>
        <w:pStyle w:val="ListNumber"/>
        <w:ind w:left="425"/>
      </w:pPr>
      <w:r>
        <w:t>Trusted</w:t>
      </w:r>
    </w:p>
    <w:p>
      <w:r>
        <w:t>The Institution is trusted by participants.</w:t>
      </w:r>
    </w:p>
    <w:p>
      <w:r>
        <w:t>What This Means in Practice:</w:t>
      </w:r>
    </w:p>
    <w:p>
      <w:r>
        <w:t>Participants rely on the Institution</w:t>
      </w:r>
    </w:p>
    <w:p>
      <w:r>
        <w:t>Participants use the Institution for settlement</w:t>
      </w:r>
    </w:p>
    <w:p>
      <w:r>
        <w:t>Participants believe in the Institution's integrity</w:t>
      </w:r>
    </w:p>
    <w:p>
      <w:r>
        <w:t>The Institution has a reputation for reliability</w:t>
      </w:r>
    </w:p>
    <w:p>
      <w:r>
        <w:t>Example:</w:t>
      </w:r>
    </w:p>
    <w:p>
      <w:r>
        <w:t>Banks, corporations, and trade finance platforms use the Institution for settlement. They publish positive references. They continue to rely on the Institution. The Institution is trusted.</w:t>
      </w:r>
    </w:p>
    <w:p>
      <w:r>
        <w:t>Verification:</w:t>
      </w:r>
    </w:p>
    <w:p>
      <w:r>
        <w:t>Participant surveys</w:t>
      </w:r>
    </w:p>
    <w:p>
      <w:r>
        <w:t>Usage metrics</w:t>
      </w:r>
    </w:p>
    <w:p>
      <w:r>
        <w:t>References and testimonials</w:t>
      </w:r>
    </w:p>
    <w:p>
      <w:r>
        <w:t>Reputation monitoring</w:t>
      </w:r>
    </w:p>
    <w:p>
      <w:r>
        <w:t>Failure Indicator:</w:t>
      </w:r>
    </w:p>
    <w:p>
      <w:r>
        <w:t>Participant withdrawal</w:t>
      </w:r>
    </w:p>
    <w:p>
      <w:r>
        <w:t>Negative reputation</w:t>
      </w:r>
    </w:p>
    <w:p>
      <w:r>
        <w:t>Loss of confidence</w:t>
      </w:r>
    </w:p>
    <w:p>
      <w:r>
        <w:t>Reduced usage</w:t>
      </w:r>
    </w:p>
    <w:p>
      <w:pPr>
        <w:pStyle w:val="ListNumber"/>
        <w:ind w:left="425"/>
      </w:pPr>
      <w:r>
        <w:t>Legally Compliant</w:t>
      </w:r>
    </w:p>
    <w:p>
      <w:r>
        <w:t>The Institution operates within applicable law.</w:t>
      </w:r>
    </w:p>
    <w:p>
      <w:r>
        <w:t>What This Means in Practice:</w:t>
      </w:r>
    </w:p>
    <w:p>
      <w:r>
        <w:t>All applicable laws are complied with</w:t>
      </w:r>
    </w:p>
    <w:p>
      <w:r>
        <w:t>All applicable sanctions are complied with</w:t>
      </w:r>
    </w:p>
    <w:p>
      <w:r>
        <w:t>Regulatory requirements are met</w:t>
      </w:r>
    </w:p>
    <w:p>
      <w:r>
        <w:t>Legal obligations are fulfilled</w:t>
      </w:r>
    </w:p>
    <w:p>
      <w:r>
        <w:t>Example:</w:t>
      </w:r>
    </w:p>
    <w:p>
      <w:r>
        <w:t>The Institution complies with all applicable AML, CFT, sanctions, securities, and commodities regulations. It files required reports. It engages constructively with regulators. The Institution is legally compliant.</w:t>
      </w:r>
    </w:p>
    <w:p>
      <w:r>
        <w:t>Verification:</w:t>
      </w:r>
    </w:p>
    <w:p>
      <w:r>
        <w:t>Regulatory filings</w:t>
      </w:r>
    </w:p>
    <w:p>
      <w:r>
        <w:t>Compliance audits</w:t>
      </w:r>
    </w:p>
    <w:p>
      <w:r>
        <w:t>Regulator feedback</w:t>
      </w:r>
    </w:p>
    <w:p>
      <w:r>
        <w:t>Legal opinions</w:t>
      </w:r>
    </w:p>
    <w:p>
      <w:r>
        <w:t>Failure Indicator:</w:t>
      </w:r>
    </w:p>
    <w:p>
      <w:r>
        <w:t>Regulatory enforcement action</w:t>
      </w:r>
    </w:p>
    <w:p>
      <w:r>
        <w:t>Legal violations</w:t>
      </w:r>
    </w:p>
    <w:p>
      <w:r>
        <w:t>Sanctions violations</w:t>
      </w:r>
    </w:p>
    <w:p>
      <w:r>
        <w:t>Compliance failure</w:t>
      </w:r>
    </w:p>
    <w:p>
      <w:pPr>
        <w:pStyle w:val="ListNumber"/>
        <w:ind w:left="425"/>
      </w:pPr>
      <w:r>
        <w:t>Operationally Resilient</w:t>
      </w:r>
    </w:p>
    <w:p>
      <w:r>
        <w:t>The Institution can survive and recover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The Institution is operationally resilient.</w:t>
      </w:r>
    </w:p>
    <w:p>
      <w:r>
        <w:t>Verification:</w:t>
      </w:r>
    </w:p>
    <w:p>
      <w:r>
        <w:t>Stress testing</w:t>
      </w:r>
    </w:p>
    <w:p>
      <w:r>
        <w:t>Recovery testing</w:t>
      </w:r>
    </w:p>
    <w:p>
      <w:r>
        <w:t>Incident response</w:t>
      </w:r>
    </w:p>
    <w:p>
      <w:r>
        <w:t>Resilience assessment</w:t>
      </w:r>
    </w:p>
    <w:p>
      <w:r>
        <w:t>Failure Indicator:</w:t>
      </w:r>
    </w:p>
    <w:p>
      <w:r>
        <w:t>Prolonged outage</w:t>
      </w:r>
    </w:p>
    <w:p>
      <w:r>
        <w:t>Inability to recover</w:t>
      </w:r>
    </w:p>
    <w:p>
      <w:r>
        <w:t>Repeated failures</w:t>
      </w:r>
    </w:p>
    <w:p>
      <w:r>
        <w:t>Resilience breakdown</w:t>
      </w:r>
    </w:p>
    <w:p>
      <w:r>
        <w:t>The Success Metrics Test</w:t>
      </w:r>
    </w:p>
    <w:p>
      <w:r>
        <w:t>All six conditions must be met for the Institution to exist:</w:t>
      </w:r>
    </w:p>
    <w:p>
      <w:r>
        <w:t>The Resolution Trigger</w:t>
      </w:r>
    </w:p>
    <w:p>
      <w:r>
        <w:t>If any condition is permanently breached, the Institution enters Resolution.</w:t>
      </w:r>
    </w:p>
    <w:p>
      <w:r>
        <w:t>What This Means in Practice:</w:t>
      </w:r>
    </w:p>
    <w:p>
      <w:r>
        <w:t>A permanent breach means the condition cannot be restored</w:t>
      </w:r>
    </w:p>
    <w:p>
      <w:r>
        <w:t>A temporary breach is addressed through normal governance</w:t>
      </w:r>
    </w:p>
    <w:p>
      <w:r>
        <w:t>A permanent breach triggers Resolution</w:t>
      </w:r>
    </w:p>
    <w:p>
      <w:r>
        <w:t>Resolution is orderly and defined</w:t>
      </w:r>
    </w:p>
    <w:p>
      <w:r>
        <w:t>Example:</w:t>
      </w:r>
    </w:p>
    <w:p>
      <w:r>
        <w:t>The Institution becomes permanently insolvent. Solvency cannot be restored. The Institution enters Resolution. Reserves are distributed to holders. The Institution is wound down.</w:t>
      </w:r>
    </w:p>
    <w:p>
      <w:r>
        <w:t>Why This Matters:</w:t>
      </w:r>
    </w:p>
    <w:p>
      <w:r>
        <w:t>Without a resolution trigger, the Institution could continue in a failing state</w:t>
      </w:r>
    </w:p>
    <w:p>
      <w:r>
        <w:t>Without a resolution trigger, holders would be uncertain</w:t>
      </w:r>
    </w:p>
    <w:p>
      <w:r>
        <w:t>Without a resolution trigger, the Institution would lack accountability</w:t>
      </w:r>
    </w:p>
    <w:p>
      <w:r>
        <w:t>A defined resolution trigger protects holders</w:t>
      </w:r>
    </w:p>
    <w:p>
      <w:r>
        <w:t>Temporary vs. Permanent Breach</w:t>
      </w:r>
    </w:p>
    <w:p>
      <w:r>
        <w:t>Governing Principle</w:t>
      </w:r>
    </w:p>
    <w:p>
      <w:r>
        <w:t>If any condition is permanently breached, the Institution enters Resolution.</w:t>
      </w:r>
    </w:p>
    <w:p>
      <w:r>
        <w:t>Everything else is secondary.</w:t>
      </w:r>
    </w:p>
    <w:p>
      <w:r>
        <w:t>What This Means in Practice:</w:t>
      </w:r>
    </w:p>
    <w:p>
      <w:r>
        <w:t>These six conditions are the only conditions that matter</w:t>
      </w:r>
    </w:p>
    <w:p>
      <w:r>
        <w:t>Nothing else justifies continued existence</w:t>
      </w:r>
    </w:p>
    <w:p>
      <w:r>
        <w:t>If the Institution cannot meet these conditions, it must end</w:t>
      </w:r>
    </w:p>
    <w:p>
      <w:r>
        <w:t>Resolution protects holders</w:t>
      </w:r>
    </w:p>
    <w:p>
      <w:r>
        <w:t>Example:</w:t>
      </w:r>
    </w:p>
    <w:p>
      <w:r>
        <w:t>The Institution has a perfect reputation but becomes insolvent. The Institution enters Resolution. Reputation does not justify continued existence. Solvency is a success metric; reputation is not.</w:t>
      </w:r>
    </w:p>
    <w:p>
      <w:r>
        <w:t>Why This Matters:</w:t>
      </w:r>
    </w:p>
    <w:p>
      <w:r>
        <w:t>Without this principle, the Institution could continue despite failure</w:t>
      </w:r>
    </w:p>
    <w:p>
      <w:r>
        <w:t>Without this principle, secondary considerations could override constitutional purpose</w:t>
      </w:r>
    </w:p>
    <w:p>
      <w:r>
        <w:t>Without this principle, holders would be unprotected</w:t>
      </w:r>
    </w:p>
    <w:p>
      <w:r>
        <w:t>Verification and Reporting</w:t>
      </w:r>
    </w:p>
    <w:p>
      <w:r>
        <w:t>Success metrics are verified and reported regularly:</w:t>
      </w:r>
    </w:p>
    <w:p>
      <w:r>
        <w:t>Constitutional Interpretation</w:t>
      </w:r>
    </w:p>
    <w:p>
      <w:r>
        <w:t>The Institution exists only if:</w:t>
      </w:r>
    </w:p>
    <w:p>
      <w:r>
        <w:t>Fully redeemable</w:t>
      </w:r>
    </w:p>
    <w:p>
      <w:r>
        <w:t>Fully reserved</w:t>
      </w:r>
    </w:p>
    <w:p>
      <w:r>
        <w:t>Solvent</w:t>
      </w:r>
    </w:p>
    <w:p>
      <w:r>
        <w:t>Trusted</w:t>
      </w:r>
    </w:p>
    <w:p>
      <w:r>
        <w:t>Legally compliant</w:t>
      </w:r>
    </w:p>
    <w:p>
      <w:r>
        <w:t>Operationally resilient</w:t>
      </w:r>
    </w:p>
    <w:p>
      <w:r>
        <w:t>If any condition is permanently breached, the Institution enters Resolution. These six conditions define constitutional success. Everything else is secondary.</w:t>
      </w:r>
    </w:p>
    <w:p>
      <w:r>
        <w:t>[END OF ARTICLE XV — CONSTITUTIONAL SUCCESS METRICS]</w:t>
      </w:r>
    </w:p>
    <w:p>
      <w:r>
        <w:t>Article XVI: Language Standards</w:t>
      </w:r>
    </w:p>
    <w:p>
      <w:r>
        <w:t>Purpose</w:t>
      </w:r>
    </w:p>
    <w:p>
      <w:r>
        <w:t>Language Standards ensure that all constitutional, policy, and public documents maintain institutional tone, convey constitutional principles accurately, and avoid hype, exaggeration, or marketing language. The Institution speaks with precision, humility, and clarity.</w:t>
      </w:r>
    </w:p>
    <w:p>
      <w:r>
        <w:t>What This Means in Practice:</w:t>
      </w:r>
    </w:p>
    <w:p>
      <w:r>
        <w:t>Language reflects institutional identity</w:t>
      </w:r>
    </w:p>
    <w:p>
      <w:r>
        <w:t>Language conveys constitutional principles</w:t>
      </w:r>
    </w:p>
    <w:p>
      <w:r>
        <w:t>Language avoids hype and exaggeration</w:t>
      </w:r>
    </w:p>
    <w:p>
      <w:r>
        <w:t>Language is precise and clear</w:t>
      </w:r>
    </w:p>
    <w:p>
      <w:r>
        <w:t>Language is consistent across all documents</w:t>
      </w:r>
    </w:p>
    <w:p>
      <w:r>
        <w:t>Example:</w:t>
      </w:r>
    </w:p>
    <w:p>
      <w:r>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r>
        <w:t>Why This Matters:</w:t>
      </w:r>
    </w:p>
    <w:p>
      <w:r>
        <w:t>Without language standards, documents lack consistency</w:t>
      </w:r>
    </w:p>
    <w:p>
      <w:r>
        <w:t>Without language standards, hype undermines credibility</w:t>
      </w:r>
    </w:p>
    <w:p>
      <w:r>
        <w:t>Without language standards, institutional identity is unclear</w:t>
      </w:r>
    </w:p>
    <w:p>
      <w:r>
        <w:t>Without language standards, the Institution sounds like a startup, not an institution</w:t>
      </w:r>
    </w:p>
    <w:p>
      <w:r>
        <w:t>Forbidden Words</w:t>
      </w:r>
    </w:p>
    <w:p>
      <w:r>
        <w:t>The following words are forbidden in all constitutional, policy, and public documents:</w:t>
      </w:r>
    </w:p>
    <w:p>
      <w:r>
        <w:t>Hype Words</w:t>
      </w:r>
    </w:p>
    <w:p>
      <w:r>
        <w:t>best</w:t>
      </w:r>
    </w:p>
    <w:p>
      <w:r>
        <w:t>largest</w:t>
      </w:r>
    </w:p>
    <w:p>
      <w:r>
        <w:t>greatest</w:t>
      </w:r>
    </w:p>
    <w:p>
      <w:r>
        <w:t>most advanced</w:t>
      </w:r>
    </w:p>
    <w:p>
      <w:r>
        <w:t>most innovative</w:t>
      </w:r>
    </w:p>
    <w:p>
      <w:r>
        <w:t>leading</w:t>
      </w:r>
    </w:p>
    <w:p>
      <w:r>
        <w:t>premier</w:t>
      </w:r>
    </w:p>
    <w:p>
      <w:r>
        <w:t>ultimate</w:t>
      </w:r>
    </w:p>
    <w:p>
      <w:r>
        <w:t>perfect</w:t>
      </w:r>
    </w:p>
    <w:p>
      <w:r>
        <w:t>flawless</w:t>
      </w:r>
    </w:p>
    <w:p>
      <w:r>
        <w:t>What This Means in Practice:</w:t>
      </w:r>
    </w:p>
    <w:p>
      <w:r>
        <w:t>Avoid superlatives</w:t>
      </w:r>
    </w:p>
    <w:p>
      <w:r>
        <w:t>Avoid comparisons to others</w:t>
      </w:r>
    </w:p>
    <w:p>
      <w:r>
        <w:t>Avoid claims of superiority</w:t>
      </w:r>
    </w:p>
    <w:p>
      <w:r>
        <w:t>Describe, don't boast</w:t>
      </w:r>
    </w:p>
    <w:p>
      <w:r>
        <w:t>Example:</w:t>
      </w:r>
    </w:p>
    <w:p>
      <w:r>
        <w:t>❌ "MITHQAL is the best settlement infrastructure in the world."</w:t>
      </w:r>
    </w:p>
    <w:p>
      <w:r>
        <w:t>✅ "MITHQAL is a constitutional settlement infrastructure designed for neutral trade settlement."</w:t>
      </w:r>
    </w:p>
    <w:p>
      <w:r>
        <w:t>Why This Matters:</w:t>
      </w:r>
    </w:p>
    <w:p>
      <w:r>
        <w:t>Superlatives are unverifiable</w:t>
      </w:r>
    </w:p>
    <w:p>
      <w:r>
        <w:t>Superlatives sound like marketing</w:t>
      </w:r>
    </w:p>
    <w:p>
      <w:r>
        <w:t>Superlatives undermine credibility</w:t>
      </w:r>
    </w:p>
    <w:p>
      <w:r>
        <w:t>Superlatives are unprofessional</w:t>
      </w:r>
    </w:p>
    <w:p>
      <w:r>
        <w:t>Revolutionary Language</w:t>
      </w:r>
    </w:p>
    <w:p>
      <w:r>
        <w:t>revolutionary</w:t>
      </w:r>
    </w:p>
    <w:p>
      <w:r>
        <w:t>disruptive</w:t>
      </w:r>
    </w:p>
    <w:p>
      <w:r>
        <w:t>game-changing</w:t>
      </w:r>
    </w:p>
    <w:p>
      <w:r>
        <w:t>paradigm-shifting</w:t>
      </w:r>
    </w:p>
    <w:p>
      <w:r>
        <w:t>transformational</w:t>
      </w:r>
    </w:p>
    <w:p>
      <w:r>
        <w:t>unprecedented</w:t>
      </w:r>
    </w:p>
    <w:p>
      <w:r>
        <w:t>historic</w:t>
      </w:r>
    </w:p>
    <w:p>
      <w:r>
        <w:t>groundbreaking</w:t>
      </w:r>
    </w:p>
    <w:p>
      <w:r>
        <w:t>What This Means in Practice:</w:t>
      </w:r>
    </w:p>
    <w:p>
      <w:r>
        <w:t>Avoid claims of revolution</w:t>
      </w:r>
    </w:p>
    <w:p>
      <w:r>
        <w:t>Avoid claims of disruption</w:t>
      </w:r>
    </w:p>
    <w:p>
      <w:r>
        <w:t>Avoid claims of transformation</w:t>
      </w:r>
    </w:p>
    <w:p>
      <w:r>
        <w:t>Describe evolution, not revolution</w:t>
      </w:r>
    </w:p>
    <w:p>
      <w:r>
        <w:t>Example:</w:t>
      </w:r>
    </w:p>
    <w:p>
      <w:r>
        <w:t>❌ "MITHQAL is a revolutionary currency that will disrupt global trade."</w:t>
      </w:r>
    </w:p>
    <w:p>
      <w:r>
        <w:t>✅ "MITHQAL is a constitutional settlement infrastructure that complements existing trade settlement systems."</w:t>
      </w:r>
    </w:p>
    <w:p>
      <w:r>
        <w:t>Why This Matters:</w:t>
      </w:r>
    </w:p>
    <w:p>
      <w:r>
        <w:t>Revolutionary language is unprofessional</w:t>
      </w:r>
    </w:p>
    <w:p>
      <w:r>
        <w:t>Revolutionary language invites skepticism</w:t>
      </w:r>
    </w:p>
    <w:p>
      <w:r>
        <w:t>Revolutionary language is often untrue</w:t>
      </w:r>
    </w:p>
    <w:p>
      <w:r>
        <w:t>Revolutionary language undermines institutional credibility</w:t>
      </w:r>
    </w:p>
    <w:p>
      <w:r>
        <w:t>Future Claims</w:t>
      </w:r>
    </w:p>
    <w:p>
      <w:r>
        <w:t>future of finance</w:t>
      </w:r>
    </w:p>
    <w:p>
      <w:r>
        <w:t>future of money</w:t>
      </w:r>
    </w:p>
    <w:p>
      <w:r>
        <w:t>next generation</w:t>
      </w:r>
    </w:p>
    <w:p>
      <w:r>
        <w:t>next evolution</w:t>
      </w:r>
    </w:p>
    <w:p>
      <w:r>
        <w:t>tomorrow's solution</w:t>
      </w:r>
    </w:p>
    <w:p>
      <w:r>
        <w:t>the future is here</w:t>
      </w:r>
    </w:p>
    <w:p>
      <w:r>
        <w:t>What This Means in Practice:</w:t>
      </w:r>
    </w:p>
    <w:p>
      <w:r>
        <w:t>Avoid claims about the future</w:t>
      </w:r>
    </w:p>
    <w:p>
      <w:r>
        <w:t>Avoid claims of inevitability</w:t>
      </w:r>
    </w:p>
    <w:p>
      <w:r>
        <w:t>Avoid claims of future dominance</w:t>
      </w:r>
    </w:p>
    <w:p>
      <w:r>
        <w:t>Focus on current constitutional purpose</w:t>
      </w:r>
    </w:p>
    <w:p>
      <w:r>
        <w:t>Example:</w:t>
      </w:r>
    </w:p>
    <w:p>
      <w:r>
        <w:t>❌ "MITHQAL is the future of international trade settlement."</w:t>
      </w:r>
    </w:p>
    <w:p>
      <w:r>
        <w:t>✅ "MITHQAL is designed as a neutral settlement infrastructure for international trade."</w:t>
      </w:r>
    </w:p>
    <w:p>
      <w:r>
        <w:t>Why This Matters:</w:t>
      </w:r>
    </w:p>
    <w:p>
      <w:r>
        <w:t>Future claims are unverifiable</w:t>
      </w:r>
    </w:p>
    <w:p>
      <w:r>
        <w:t>Future claims sound like speculation</w:t>
      </w:r>
    </w:p>
    <w:p>
      <w:r>
        <w:t>Future claims are often wrong</w:t>
      </w:r>
    </w:p>
    <w:p>
      <w:r>
        <w:t>Future claims undermine credibility</w:t>
      </w:r>
    </w:p>
    <w:p>
      <w:r>
        <w:t>Replacement Language</w:t>
      </w:r>
    </w:p>
    <w:p>
      <w:r>
        <w:t>replace</w:t>
      </w:r>
    </w:p>
    <w:p>
      <w:r>
        <w:t>substitute</w:t>
      </w:r>
    </w:p>
    <w:p>
      <w:r>
        <w:t>eliminate</w:t>
      </w:r>
    </w:p>
    <w:p>
      <w:r>
        <w:t>remove</w:t>
      </w:r>
    </w:p>
    <w:p>
      <w:r>
        <w:t>supplant</w:t>
      </w:r>
    </w:p>
    <w:p>
      <w:r>
        <w:t>supersede</w:t>
      </w:r>
    </w:p>
    <w:p>
      <w:r>
        <w:t>overthrow</w:t>
      </w:r>
    </w:p>
    <w:p>
      <w:r>
        <w:t>overtake</w:t>
      </w:r>
    </w:p>
    <w:p>
      <w:r>
        <w:t>What This Means in Practice:</w:t>
      </w:r>
    </w:p>
    <w:p>
      <w:r>
        <w:t>Avoid claims of replacement</w:t>
      </w:r>
    </w:p>
    <w:p>
      <w:r>
        <w:t>Avoid claims of substitution</w:t>
      </w:r>
    </w:p>
    <w:p>
      <w:r>
        <w:t>Avoid claims of elimination</w:t>
      </w:r>
    </w:p>
    <w:p>
      <w:r>
        <w:t>Describe complement, not replacement</w:t>
      </w:r>
    </w:p>
    <w:p>
      <w:r>
        <w:t>Example:</w:t>
      </w:r>
    </w:p>
    <w:p>
      <w:r>
        <w:t>❌ "MITHQAL will replace the US dollar for international trade."</w:t>
      </w:r>
    </w:p>
    <w:p>
      <w:r>
        <w:t>✅ "MITHQAL provides an additional settlement option for international trade."</w:t>
      </w:r>
    </w:p>
    <w:p>
      <w:r>
        <w:t>Why This Matters:</w:t>
      </w:r>
    </w:p>
    <w:p>
      <w:r>
        <w:t>Replacement claims are aggressive</w:t>
      </w:r>
    </w:p>
    <w:p>
      <w:r>
        <w:t>Replacement claims are often untrue</w:t>
      </w:r>
    </w:p>
    <w:p>
      <w:r>
        <w:t>Replacement claims invite opposition</w:t>
      </w:r>
    </w:p>
    <w:p>
      <w:r>
        <w:t>Replacement claims undermine institutional neutrality</w:t>
      </w:r>
    </w:p>
    <w:p>
      <w:r>
        <w:t>Dominance Language</w:t>
      </w:r>
    </w:p>
    <w:p>
      <w:r>
        <w:t>dominate</w:t>
      </w:r>
    </w:p>
    <w:p>
      <w:r>
        <w:t>world reserve</w:t>
      </w:r>
    </w:p>
    <w:p>
      <w:r>
        <w:t>global reserve</w:t>
      </w:r>
    </w:p>
    <w:p>
      <w:r>
        <w:t>hegemon</w:t>
      </w:r>
    </w:p>
    <w:p>
      <w:r>
        <w:t>supremacy</w:t>
      </w:r>
    </w:p>
    <w:p>
      <w:r>
        <w:t>primacy</w:t>
      </w:r>
    </w:p>
    <w:p>
      <w:r>
        <w:t>pre-eminence</w:t>
      </w:r>
    </w:p>
    <w:p>
      <w:r>
        <w:t>ascendancy</w:t>
      </w:r>
    </w:p>
    <w:p>
      <w:r>
        <w:t>What This Means in Practice:</w:t>
      </w:r>
    </w:p>
    <w:p>
      <w:r>
        <w:t>Avoid claims of dominance</w:t>
      </w:r>
    </w:p>
    <w:p>
      <w:r>
        <w:t>Avoid claims of global supremacy</w:t>
      </w:r>
    </w:p>
    <w:p>
      <w:r>
        <w:t>Avoid claims of reserve status</w:t>
      </w:r>
    </w:p>
    <w:p>
      <w:r>
        <w:t>Describe constitutional function, not global position</w:t>
      </w:r>
    </w:p>
    <w:p>
      <w:r>
        <w:t>Example:</w:t>
      </w:r>
    </w:p>
    <w:p>
      <w:r>
        <w:t>❌ "MITHQAL will become the world's dominant reserve currency."</w:t>
      </w:r>
    </w:p>
    <w:p>
      <w:r>
        <w:t>✅ "MITHQAL is designed as a neutral settlement infrastructure, not as a reserve currency."</w:t>
      </w:r>
    </w:p>
    <w:p>
      <w:r>
        <w:t>Why This Matters:</w:t>
      </w:r>
    </w:p>
    <w:p>
      <w:r>
        <w:t>Dominance language is aggressive</w:t>
      </w:r>
    </w:p>
    <w:p>
      <w:r>
        <w:t>Dominance language invites opposition</w:t>
      </w:r>
    </w:p>
    <w:p>
      <w:r>
        <w:t>Dominance language undermines neutrality</w:t>
      </w:r>
    </w:p>
    <w:p>
      <w:r>
        <w:t>Dominance language is often untrue</w:t>
      </w:r>
    </w:p>
    <w:p>
      <w:r>
        <w:t>Comparison Language</w:t>
      </w:r>
    </w:p>
    <w:p>
      <w:r>
        <w:t>next Bitcoin</w:t>
      </w:r>
    </w:p>
    <w:p>
      <w:r>
        <w:t>next stablecoin</w:t>
      </w:r>
    </w:p>
    <w:p>
      <w:r>
        <w:t>crypto's answer to</w:t>
      </w:r>
    </w:p>
    <w:p>
      <w:r>
        <w:t>blockchain's answer to</w:t>
      </w:r>
    </w:p>
    <w:p>
      <w:r>
        <w:t>the Bitcoin of</w:t>
      </w:r>
    </w:p>
    <w:p>
      <w:r>
        <w:t>the Ethereum of</w:t>
      </w:r>
    </w:p>
    <w:p>
      <w:r>
        <w:t>the gold of</w:t>
      </w:r>
    </w:p>
    <w:p>
      <w:r>
        <w:t>What This Means in Practice:</w:t>
      </w:r>
    </w:p>
    <w:p>
      <w:r>
        <w:t>Avoid comparisons to other assets</w:t>
      </w:r>
    </w:p>
    <w:p>
      <w:r>
        <w:t>Avoid claims of being "next" anything</w:t>
      </w:r>
    </w:p>
    <w:p>
      <w:r>
        <w:t>Avoid derivative positioning</w:t>
      </w:r>
    </w:p>
    <w:p>
      <w:r>
        <w:t>Describe the Institution on its own terms</w:t>
      </w:r>
    </w:p>
    <w:p>
      <w:r>
        <w:t>Example:</w:t>
      </w:r>
    </w:p>
    <w:p>
      <w:r>
        <w:t>❌ "MITHQAL is the next Bitcoin."</w:t>
      </w:r>
    </w:p>
    <w:p>
      <w:r>
        <w:t>✅ "MITHQAL is a constitutional settlement infrastructure with reserve backing and algorithmic stability."</w:t>
      </w:r>
    </w:p>
    <w:p>
      <w:r>
        <w:t>Why This Matters:</w:t>
      </w:r>
    </w:p>
    <w:p>
      <w:r>
        <w:t>Comparisons are reductive</w:t>
      </w:r>
    </w:p>
    <w:p>
      <w:r>
        <w:t>Comparisons are often inaccurate</w:t>
      </w:r>
    </w:p>
    <w:p>
      <w:r>
        <w:t>Comparisons undermine institutional identity</w:t>
      </w:r>
    </w:p>
    <w:p>
      <w:r>
        <w:t>Comparisons sound like marketing</w:t>
      </w:r>
    </w:p>
    <w:p>
      <w:r>
        <w:t>Other Prohibited Terms</w:t>
      </w:r>
    </w:p>
    <w:p>
      <w:r>
        <w:t>token project</w:t>
      </w:r>
    </w:p>
    <w:p>
      <w:r>
        <w:t>crypto project</w:t>
      </w:r>
    </w:p>
    <w:p>
      <w:r>
        <w:t>blockchain startup</w:t>
      </w:r>
    </w:p>
    <w:p>
      <w:r>
        <w:t>DeFi protocol</w:t>
      </w:r>
    </w:p>
    <w:p>
      <w:r>
        <w:t>Web3 solution</w:t>
      </w:r>
    </w:p>
    <w:p>
      <w:r>
        <w:t>app</w:t>
      </w:r>
    </w:p>
    <w:p>
      <w:r>
        <w:t>platform (in reference to the Institution)</w:t>
      </w:r>
    </w:p>
    <w:p>
      <w:r>
        <w:t>What This Means in Practice:</w:t>
      </w:r>
    </w:p>
    <w:p>
      <w:r>
        <w:t>The Institution is not a project</w:t>
      </w:r>
    </w:p>
    <w:p>
      <w:r>
        <w:t>The Institution is not a startup</w:t>
      </w:r>
    </w:p>
    <w:p>
      <w:r>
        <w:t>The Institution is not a protocol</w:t>
      </w:r>
    </w:p>
    <w:p>
      <w:r>
        <w:t>The Institution is not a platform</w:t>
      </w:r>
    </w:p>
    <w:p>
      <w:r>
        <w:t>The Institution is a constitutional monetary institution</w:t>
      </w:r>
    </w:p>
    <w:p>
      <w:r>
        <w:t>Example:</w:t>
      </w:r>
    </w:p>
    <w:p>
      <w:r>
        <w:t>❌ "The MITHQAL token project aims to..."</w:t>
      </w:r>
    </w:p>
    <w:p>
      <w:r>
        <w:t>✅ "The MITHQAL Institution provides constitutional settlement infrastructure."</w:t>
      </w:r>
    </w:p>
    <w:p>
      <w:r>
        <w:t>Why This Matters:</w:t>
      </w:r>
    </w:p>
    <w:p>
      <w:r>
        <w:t>These terms are reductive</w:t>
      </w:r>
    </w:p>
    <w:p>
      <w:r>
        <w:t>These terms convey the wrong identity</w:t>
      </w:r>
    </w:p>
    <w:p>
      <w:r>
        <w:t>These terms undermine institutional credibility</w:t>
      </w:r>
    </w:p>
    <w:p>
      <w:r>
        <w:t>The Institution is fundamentally different from projects, startups, and protocols</w:t>
      </w:r>
    </w:p>
    <w:p>
      <w:r>
        <w:t>Required Words</w:t>
      </w:r>
    </w:p>
    <w:p>
      <w:r>
        <w:t>The following words are required in all constitutional, policy, and public documents:</w:t>
      </w:r>
    </w:p>
    <w:p>
      <w:r>
        <w:t>Institutional Words</w:t>
      </w:r>
    </w:p>
    <w:p>
      <w:r>
        <w:t>constitutional</w:t>
      </w:r>
    </w:p>
    <w:p>
      <w:r>
        <w:t>institutional</w:t>
      </w:r>
    </w:p>
    <w:p>
      <w:r>
        <w:t>institutional-grade</w:t>
      </w:r>
    </w:p>
    <w:p>
      <w:r>
        <w:t>framework</w:t>
      </w:r>
    </w:p>
    <w:p>
      <w:r>
        <w:t>infrastructure</w:t>
      </w:r>
    </w:p>
    <w:p>
      <w:r>
        <w:t>architecture</w:t>
      </w:r>
    </w:p>
    <w:p>
      <w:r>
        <w:t>governance</w:t>
      </w:r>
    </w:p>
    <w:p>
      <w:r>
        <w:t>What This Means in Practice:</w:t>
      </w:r>
    </w:p>
    <w:p>
      <w:r>
        <w:t>Use institutional terminology</w:t>
      </w:r>
    </w:p>
    <w:p>
      <w:r>
        <w:t>Convey constitutional governance</w:t>
      </w:r>
    </w:p>
    <w:p>
      <w:r>
        <w:t>Describe infrastructure</w:t>
      </w:r>
    </w:p>
    <w:p>
      <w:r>
        <w:t>Reflect institutional identity</w:t>
      </w:r>
    </w:p>
    <w:p>
      <w:r>
        <w:t>Example:</w:t>
      </w:r>
    </w:p>
    <w:p>
      <w:r>
        <w:t>✅ "The Institution's constitutional framework provides..."</w:t>
      </w:r>
    </w:p>
    <w:p>
      <w:r>
        <w:t>✅ "The governance architecture ensures..."</w:t>
      </w:r>
    </w:p>
    <w:p>
      <w:r>
        <w:t>Principle Words</w:t>
      </w:r>
    </w:p>
    <w:p>
      <w:r>
        <w:t>prudence</w:t>
      </w:r>
    </w:p>
    <w:p>
      <w:r>
        <w:t>resilience</w:t>
      </w:r>
    </w:p>
    <w:p>
      <w:r>
        <w:t>stability</w:t>
      </w:r>
    </w:p>
    <w:p>
      <w:r>
        <w:t>neutrality</w:t>
      </w:r>
    </w:p>
    <w:p>
      <w:r>
        <w:t>transparency</w:t>
      </w:r>
    </w:p>
    <w:p>
      <w:r>
        <w:t>auditability</w:t>
      </w:r>
    </w:p>
    <w:p>
      <w:r>
        <w:t>interoperability</w:t>
      </w:r>
    </w:p>
    <w:p>
      <w:r>
        <w:t>sustainability</w:t>
      </w:r>
    </w:p>
    <w:p>
      <w:r>
        <w:t>What This Means in Practice:</w:t>
      </w:r>
    </w:p>
    <w:p>
      <w:r>
        <w:t>Reference constitutional principles</w:t>
      </w:r>
    </w:p>
    <w:p>
      <w:r>
        <w:t>Demonstrate principle-based approach</w:t>
      </w:r>
    </w:p>
    <w:p>
      <w:r>
        <w:t>Convey institutional values</w:t>
      </w:r>
    </w:p>
    <w:p>
      <w:r>
        <w:t>Reflect constitutional priorities</w:t>
      </w:r>
    </w:p>
    <w:p>
      <w:r>
        <w:t>Example:</w:t>
      </w:r>
    </w:p>
    <w:p>
      <w:r>
        <w:t>✅ "Prudence guides reserve management decisions."</w:t>
      </w:r>
    </w:p>
    <w:p>
      <w:r>
        <w:t>✅ "Resilience is built into the institutional design."</w:t>
      </w:r>
    </w:p>
    <w:p>
      <w:r>
        <w:t>Thematic Words</w:t>
      </w:r>
    </w:p>
    <w:p>
      <w:r>
        <w:t>settlement</w:t>
      </w:r>
    </w:p>
    <w:p>
      <w:r>
        <w:t>reserve</w:t>
      </w:r>
    </w:p>
    <w:p>
      <w:r>
        <w:t>redemption</w:t>
      </w:r>
    </w:p>
    <w:p>
      <w:r>
        <w:t>solvency</w:t>
      </w:r>
    </w:p>
    <w:p>
      <w:r>
        <w:t>finality</w:t>
      </w:r>
    </w:p>
    <w:p>
      <w:r>
        <w:t>verification</w:t>
      </w:r>
    </w:p>
    <w:p>
      <w:r>
        <w:t>attestation</w:t>
      </w:r>
    </w:p>
    <w:p>
      <w:r>
        <w:t>What This Means in Practice:</w:t>
      </w:r>
    </w:p>
    <w:p>
      <w:r>
        <w:t>Use settlement terminology</w:t>
      </w:r>
    </w:p>
    <w:p>
      <w:r>
        <w:t>Reference reserve management</w:t>
      </w:r>
    </w:p>
    <w:p>
      <w:r>
        <w:t>Emphasize redemption rights</w:t>
      </w:r>
    </w:p>
    <w:p>
      <w:r>
        <w:t>Highlight verification mechanisms</w:t>
      </w:r>
    </w:p>
    <w:p>
      <w:r>
        <w:t>Example:</w:t>
      </w:r>
    </w:p>
    <w:p>
      <w:r>
        <w:t>✅ "The Institution provides settlement finality for trade transactions."</w:t>
      </w:r>
    </w:p>
    <w:p>
      <w:r>
        <w:t>✅ "Proof of reserves is published daily."</w:t>
      </w:r>
    </w:p>
    <w:p>
      <w:r>
        <w:t>Language Guidelines</w:t>
      </w:r>
    </w:p>
    <w:p>
      <w:pPr>
        <w:pStyle w:val="ListNumber"/>
        <w:ind w:left="425"/>
      </w:pPr>
      <w:r>
        <w:t>Be Precise</w:t>
      </w:r>
    </w:p>
    <w:p>
      <w:r>
        <w:t>Use precise language, not vague language.</w:t>
      </w:r>
    </w:p>
    <w:p>
      <w:pPr>
        <w:pStyle w:val="ListNumber"/>
        <w:ind w:left="425"/>
      </w:pPr>
      <w:r>
        <w:t>Be Specific</w:t>
      </w:r>
    </w:p>
    <w:p>
      <w:r>
        <w:t>Use specific language, not general language.</w:t>
      </w:r>
    </w:p>
    <w:p>
      <w:pPr>
        <w:pStyle w:val="ListNumber"/>
        <w:ind w:left="425"/>
      </w:pPr>
      <w:r>
        <w:t>Be Measurable</w:t>
      </w:r>
    </w:p>
    <w:p>
      <w:r>
        <w:t>Use measurable language, not aspirational language.</w:t>
      </w:r>
    </w:p>
    <w:p>
      <w:pPr>
        <w:pStyle w:val="ListNumber"/>
        <w:ind w:left="425"/>
      </w:pPr>
      <w:r>
        <w:t>Be Humble</w:t>
      </w:r>
    </w:p>
    <w:p>
      <w:r>
        <w:t>Use humble language, not boastful language.</w:t>
      </w:r>
    </w:p>
    <w:p>
      <w:pPr>
        <w:pStyle w:val="ListNumber"/>
        <w:ind w:left="425"/>
      </w:pPr>
      <w:r>
        <w:t>Be Clear</w:t>
      </w:r>
    </w:p>
    <w:p>
      <w:r>
        <w:t>Use clear language, not jargon.</w:t>
      </w:r>
    </w:p>
    <w:p>
      <w:pPr>
        <w:pStyle w:val="ListNumber"/>
        <w:ind w:left="425"/>
      </w:pPr>
      <w:r>
        <w:t>Be Consistent</w:t>
      </w:r>
    </w:p>
    <w:p>
      <w:r>
        <w:t>Use consistent language across all documents.</w:t>
      </w:r>
    </w:p>
    <w:p>
      <w:r>
        <w:t>Document Review Process</w:t>
      </w:r>
    </w:p>
    <w:p>
      <w:r>
        <w:t>All documents shall be reviewed for language compliance:</w:t>
      </w:r>
    </w:p>
    <w:p>
      <w:r>
        <w:t>Step 1: Drafting</w:t>
      </w:r>
    </w:p>
    <w:p>
      <w:r>
        <w:t>Author drafts document</w:t>
      </w:r>
    </w:p>
    <w:p>
      <w:r>
        <w:t>Author applies Language Standards</w:t>
      </w:r>
    </w:p>
    <w:p>
      <w:r>
        <w:t>Author avoids forbidden words</w:t>
      </w:r>
    </w:p>
    <w:p>
      <w:r>
        <w:t>Author uses required words</w:t>
      </w:r>
    </w:p>
    <w:p>
      <w:r>
        <w:t>Step 2: Review</w:t>
      </w:r>
    </w:p>
    <w:p>
      <w:r>
        <w:t>Independent reviewer reviews for language compliance</w:t>
      </w:r>
    </w:p>
    <w:p>
      <w:r>
        <w:t>Forbidden words identified and removed</w:t>
      </w:r>
    </w:p>
    <w:p>
      <w:r>
        <w:t>Required words confirmed</w:t>
      </w:r>
    </w:p>
    <w:p>
      <w:r>
        <w:t>Guidelines applied</w:t>
      </w:r>
    </w:p>
    <w:p>
      <w:r>
        <w:t>Step 3: Approval</w:t>
      </w:r>
    </w:p>
    <w:p>
      <w:r>
        <w:t>Council approves document for publication</w:t>
      </w:r>
    </w:p>
    <w:p>
      <w:r>
        <w:t>Language compliance confirmed</w:t>
      </w:r>
    </w:p>
    <w:p>
      <w:r>
        <w:t>Document is published</w:t>
      </w:r>
    </w:p>
    <w:p>
      <w:r>
        <w:t>Step 4: Audit</w:t>
      </w:r>
    </w:p>
    <w:p>
      <w:r>
        <w:t>Regular language audits conducted</w:t>
      </w:r>
    </w:p>
    <w:p>
      <w:r>
        <w:t>Compliance assessed</w:t>
      </w:r>
    </w:p>
    <w:p>
      <w:r>
        <w:t>Improvements identified</w:t>
      </w:r>
    </w:p>
    <w:p>
      <w:r>
        <w:t>Process refined</w:t>
      </w:r>
    </w:p>
    <w:p>
      <w:r>
        <w:t>Language Audit</w:t>
      </w:r>
    </w:p>
    <w:p>
      <w:r>
        <w:t>Language compliance shall be audited regularly:</w:t>
      </w:r>
    </w:p>
    <w:p>
      <w:r>
        <w:t>Summary Table</w:t>
      </w:r>
    </w:p>
    <w:p>
      <w:r>
        <w:t>Constitutional Interpretation</w:t>
      </w:r>
    </w:p>
    <w:p>
      <w:r>
        <w:t>Language Standards ensure that all documents reflect institutional identity, constitutional principles, and professional standards. The Institution speaks with precision, humility, and clarity. It does not hype, boast, or exaggerate.</w:t>
      </w:r>
    </w:p>
    <w:p>
      <w:r>
        <w:t>The Institution is a constitutional monetary authority, not a marketing project. Its language reflects this identity.</w:t>
      </w:r>
    </w:p>
    <w:p>
      <w:r>
        <w:t>[END OF ARTICLE XVI — LANGUAGE STANDARDS]</w:t>
      </w:r>
    </w:p>
    <w:p>
      <w:r>
        <w:t>Article XVII: Five-Year Independent Review</w:t>
      </w:r>
    </w:p>
    <w:p>
      <w:r>
        <w:t>Purpose</w:t>
      </w:r>
    </w:p>
    <w:p>
      <w:r>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r>
        <w:t>What This Means in Practice:</w:t>
      </w:r>
    </w:p>
    <w:p>
      <w:r>
        <w:t>The Institution is reviewed every five years</w:t>
      </w:r>
    </w:p>
    <w:p>
      <w:r>
        <w:t>The review is conducted by independent experts</w:t>
      </w:r>
    </w:p>
    <w:p>
      <w:r>
        <w:t>The review is comprehensive in scope</w:t>
      </w:r>
    </w:p>
    <w:p>
      <w:r>
        <w:t>The review is published in full</w:t>
      </w:r>
    </w:p>
    <w:p>
      <w:r>
        <w:t>The review's recommendations are considered</w:t>
      </w:r>
    </w:p>
    <w:p>
      <w:r>
        <w:t>Example:</w:t>
      </w:r>
    </w:p>
    <w:p>
      <w:r>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r>
        <w:t>Why This Matters:</w:t>
      </w:r>
    </w:p>
    <w:p>
      <w:r>
        <w:t>Without independent review, the Institution has no external validation</w:t>
      </w:r>
    </w:p>
    <w:p>
      <w:r>
        <w:t>Without independent review, deficiencies may go unaddressed</w:t>
      </w:r>
    </w:p>
    <w:p>
      <w:r>
        <w:t>Without independent review, public accountability is limited</w:t>
      </w:r>
    </w:p>
    <w:p>
      <w:r>
        <w:t>Without independent review, institutional improvement is hindered</w:t>
      </w:r>
    </w:p>
    <w:p>
      <w:r>
        <w:t>Regular review ensures the Institution remains constitutional and effective</w:t>
      </w:r>
    </w:p>
    <w:p>
      <w:r>
        <w:t>The Independent Review Panel</w:t>
      </w:r>
    </w:p>
    <w:p>
      <w:r>
        <w:t>Composition</w:t>
      </w:r>
    </w:p>
    <w:p>
      <w:r>
        <w:t>What This Means in Practice:</w:t>
      </w:r>
    </w:p>
    <w:p>
      <w:r>
        <w:t>The Panel is composed of independent experts</w:t>
      </w:r>
    </w:p>
    <w:p>
      <w:r>
        <w:t>The Panel is not controlled by the Institution</w:t>
      </w:r>
    </w:p>
    <w:p>
      <w:r>
        <w:t>The Panel brings diverse expertise</w:t>
      </w:r>
    </w:p>
    <w:p>
      <w:r>
        <w:t>The Panel has no conflicts of interest</w:t>
      </w:r>
    </w:p>
    <w:p>
      <w:r>
        <w:t>Example:</w:t>
      </w:r>
    </w:p>
    <w:p>
      <w:r>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r>
        <w:t>Why This Matters:</w:t>
      </w:r>
    </w:p>
    <w:p>
      <w:r>
        <w:t>Without independent composition, the review lacks credibility</w:t>
      </w:r>
    </w:p>
    <w:p>
      <w:r>
        <w:t>Without diverse expertise, the review may miss critical issues</w:t>
      </w:r>
    </w:p>
    <w:p>
      <w:r>
        <w:t>Without conflict-of-interest safeguards, the review may be compromised</w:t>
      </w:r>
    </w:p>
    <w:p>
      <w:r>
        <w:t>Composition Requirements:</w:t>
      </w:r>
    </w:p>
    <w:p>
      <w:r>
        <w:t>Total: 9 members</w:t>
      </w:r>
    </w:p>
    <w:p>
      <w:r>
        <w:t>Eligibility Requirements:</w:t>
      </w:r>
    </w:p>
    <w:p>
      <w:r>
        <w:t>No member shall have more than 1% economic interest in the Institution</w:t>
      </w:r>
    </w:p>
    <w:p>
      <w:r>
        <w:t>No member shall be employed by the Institution</w:t>
      </w:r>
    </w:p>
    <w:p>
      <w:r>
        <w:t>No member shall have been employed by the Institution in the preceding 5 years</w:t>
      </w:r>
    </w:p>
    <w:p>
      <w:r>
        <w:t>No member shall have any material conflict of interest</w:t>
      </w:r>
    </w:p>
    <w:p>
      <w:r>
        <w:t>No member shall be a current or recent (5 years) participant</w:t>
      </w:r>
    </w:p>
    <w:p>
      <w:r>
        <w:t>Members shall be publicly identified with credentials disclosed</w:t>
      </w:r>
    </w:p>
    <w:p>
      <w:r>
        <w:t>Appointment Process:</w:t>
      </w:r>
    </w:p>
    <w:p>
      <w:r>
        <w:t>Term:</w:t>
      </w:r>
    </w:p>
    <w:p>
      <w:r>
        <w:t>5-year term (aligned with review cycle)</w:t>
      </w:r>
    </w:p>
    <w:p>
      <w:r>
        <w:t>Staggered appointments</w:t>
      </w:r>
    </w:p>
    <w:p>
      <w:r>
        <w:t>Renewable once</w:t>
      </w:r>
    </w:p>
    <w:p>
      <w:r>
        <w:t>Assessment Areas</w:t>
      </w:r>
    </w:p>
    <w:p>
      <w:r>
        <w:t>The Independent Review Panel shall assess:</w:t>
      </w:r>
    </w:p>
    <w:p>
      <w:pPr>
        <w:pStyle w:val="ListNumber"/>
        <w:ind w:left="425"/>
      </w:pPr>
      <w:r>
        <w:t>Reserve Adequacy</w:t>
      </w:r>
    </w:p>
    <w:p>
      <w:r>
        <w:t>What This Means in Practice:</w:t>
      </w:r>
    </w:p>
    <w:p>
      <w:r>
        <w:t>The Panel assesses whether reserves are adequate</w:t>
      </w:r>
    </w:p>
    <w:p>
      <w:r>
        <w:t>The Panel assesses reserve composition</w:t>
      </w:r>
    </w:p>
    <w:p>
      <w:r>
        <w:t>The Panel assesses reserve custody</w:t>
      </w:r>
    </w:p>
    <w:p>
      <w:r>
        <w:t>The Panel assesses reserve verifiability</w:t>
      </w:r>
    </w:p>
    <w:p>
      <w:r>
        <w:t>Assessment Questions:</w:t>
      </w:r>
    </w:p>
    <w:p>
      <w:r>
        <w:t>Are reserves sufficient (≥ supply)?</w:t>
      </w:r>
    </w:p>
    <w:p>
      <w:r>
        <w:t>Is reserve composition prudent and diversified?</w:t>
      </w:r>
    </w:p>
    <w:p>
      <w:r>
        <w:t>Is reserve custody secure and transparent?</w:t>
      </w:r>
    </w:p>
    <w:p>
      <w:r>
        <w:t>Is reserve verification robust and frequent?</w:t>
      </w:r>
    </w:p>
    <w:p>
      <w:r>
        <w:t>Are reserves held in accordance with constitutional principles?</w:t>
      </w:r>
    </w:p>
    <w:p>
      <w:r>
        <w:t>Are reserve management practices consistent with prudence and stability?</w:t>
      </w:r>
    </w:p>
    <w:p>
      <w:r>
        <w:t>Assessment Evidence:</w:t>
      </w:r>
    </w:p>
    <w:p>
      <w:r>
        <w:t>Proof of reserves</w:t>
      </w:r>
    </w:p>
    <w:p>
      <w:r>
        <w:t>Independent audit reports</w:t>
      </w:r>
    </w:p>
    <w:p>
      <w:r>
        <w:t>Custody reports</w:t>
      </w:r>
    </w:p>
    <w:p>
      <w:r>
        <w:t>Reserve composition data</w:t>
      </w:r>
    </w:p>
    <w:p>
      <w:r>
        <w:t>Stress test results</w:t>
      </w:r>
    </w:p>
    <w:p>
      <w:pPr>
        <w:pStyle w:val="ListNumber"/>
        <w:ind w:left="425"/>
      </w:pPr>
      <w:r>
        <w:t>Algorithmic Performance</w:t>
      </w:r>
    </w:p>
    <w:p>
      <w:r>
        <w:t>What This Means in Practice:</w:t>
      </w:r>
    </w:p>
    <w:p>
      <w:r>
        <w:t>The Panel assesses the Monetary Engine</w:t>
      </w:r>
    </w:p>
    <w:p>
      <w:r>
        <w:t>The Panel assesses NAV stability</w:t>
      </w:r>
    </w:p>
    <w:p>
      <w:r>
        <w:t>The Panel assesses the basket composition</w:t>
      </w:r>
    </w:p>
    <w:p>
      <w:r>
        <w:t>The Panel assesses the currency-weighting mechanism</w:t>
      </w:r>
    </w:p>
    <w:p>
      <w:r>
        <w:t>Assessment Questions:</w:t>
      </w:r>
    </w:p>
    <w:p>
      <w:r>
        <w:t>Does the Monetary Engine perform as designed?</w:t>
      </w:r>
    </w:p>
    <w:p>
      <w:r>
        <w:t>Is NAV stability within expected ranges?</w:t>
      </w:r>
    </w:p>
    <w:p>
      <w:r>
        <w:t>Is basket composition objective and neutral?</w:t>
      </w:r>
    </w:p>
    <w:p>
      <w:r>
        <w:t>Is the currency-weighting mechanism transparent and effective?</w:t>
      </w:r>
    </w:p>
    <w:p>
      <w:r>
        <w:t>Are the SDP and shock absorber mechanisms functioning?</w:t>
      </w:r>
    </w:p>
    <w:p>
      <w:r>
        <w:t>Has the algorithm introduced any unintended instability?</w:t>
      </w:r>
    </w:p>
    <w:p>
      <w:r>
        <w:t>Assessment Evidence:</w:t>
      </w:r>
    </w:p>
    <w:p>
      <w:r>
        <w:t>Historical NAV data</w:t>
      </w:r>
    </w:p>
    <w:p>
      <w:r>
        <w:t>Algorithmic performance data</w:t>
      </w:r>
    </w:p>
    <w:p>
      <w:r>
        <w:t>Basket composition history</w:t>
      </w:r>
    </w:p>
    <w:p>
      <w:r>
        <w:t>SDP activation records</w:t>
      </w:r>
    </w:p>
    <w:p>
      <w:r>
        <w:t>Simulation and stress test results</w:t>
      </w:r>
    </w:p>
    <w:p>
      <w:pPr>
        <w:pStyle w:val="ListNumber"/>
        <w:ind w:left="425"/>
      </w:pPr>
      <w:r>
        <w:t>Governance Effectiveness</w:t>
      </w:r>
    </w:p>
    <w:p>
      <w:r>
        <w:t>What This Means in Practice:</w:t>
      </w:r>
    </w:p>
    <w:p>
      <w:r>
        <w:t>The Panel assesses governance structure</w:t>
      </w:r>
    </w:p>
    <w:p>
      <w:r>
        <w:t>The Panel assesses governance decisions</w:t>
      </w:r>
    </w:p>
    <w:p>
      <w:r>
        <w:t>The Panel assesses governance accountability</w:t>
      </w:r>
    </w:p>
    <w:p>
      <w:r>
        <w:t>The Panel assesses governance transparency</w:t>
      </w:r>
    </w:p>
    <w:p>
      <w:r>
        <w:t>Assessment Questions:</w:t>
      </w:r>
    </w:p>
    <w:p>
      <w:r>
        <w:t>Is the governance structure effective?</w:t>
      </w:r>
    </w:p>
    <w:p>
      <w:r>
        <w:t>Are governance decisions constitutional and prudent?</w:t>
      </w:r>
    </w:p>
    <w:p>
      <w:r>
        <w:t>Is governance accountability adequate?</w:t>
      </w:r>
    </w:p>
    <w:p>
      <w:r>
        <w:t>Is governance transparency sufficient?</w:t>
      </w:r>
    </w:p>
    <w:p>
      <w:r>
        <w:t>Are committees functioning effectively?</w:t>
      </w:r>
    </w:p>
    <w:p>
      <w:r>
        <w:t>Are conflicts of interest being identified and managed?</w:t>
      </w:r>
    </w:p>
    <w:p>
      <w:r>
        <w:t>Assessment Evidence:</w:t>
      </w:r>
    </w:p>
    <w:p>
      <w:r>
        <w:t>Governance records</w:t>
      </w:r>
    </w:p>
    <w:p>
      <w:r>
        <w:t>Committee minutes</w:t>
      </w:r>
    </w:p>
    <w:p>
      <w:r>
        <w:t>Council decisions</w:t>
      </w:r>
    </w:p>
    <w:p>
      <w:r>
        <w:t>Conflict of interest disclosures</w:t>
      </w:r>
    </w:p>
    <w:p>
      <w:r>
        <w:t>Governance reports</w:t>
      </w:r>
    </w:p>
    <w:p>
      <w:pPr>
        <w:pStyle w:val="ListNumber"/>
        <w:ind w:left="425"/>
      </w:pPr>
      <w:r>
        <w:t>Regulatory Compliance</w:t>
      </w:r>
    </w:p>
    <w:p>
      <w:r>
        <w:t>What This Means in Practice:</w:t>
      </w:r>
    </w:p>
    <w:p>
      <w:r>
        <w:t>The Panel assesses compliance with applicable law</w:t>
      </w:r>
    </w:p>
    <w:p>
      <w:r>
        <w:t>The Panel assesses sanctions compliance</w:t>
      </w:r>
    </w:p>
    <w:p>
      <w:r>
        <w:t>The Panel assesses regulatory engagement</w:t>
      </w:r>
    </w:p>
    <w:p>
      <w:r>
        <w:t>The Panel assesses compliance infrastructure</w:t>
      </w:r>
    </w:p>
    <w:p>
      <w:r>
        <w:t>Assessment Questions:</w:t>
      </w:r>
    </w:p>
    <w:p>
      <w:r>
        <w:t>Is the Institution compliant with all applicable laws?</w:t>
      </w:r>
    </w:p>
    <w:p>
      <w:r>
        <w:t>Is sanctions compliance robust and effective?</w:t>
      </w:r>
    </w:p>
    <w:p>
      <w:r>
        <w:t>Is regulatory engagement constructive and proactive?</w:t>
      </w:r>
    </w:p>
    <w:p>
      <w:r>
        <w:t>Is compliance infrastructure adequate?</w:t>
      </w:r>
    </w:p>
    <w:p>
      <w:r>
        <w:t>Are there any pending or potential compliance issues?</w:t>
      </w:r>
    </w:p>
    <w:p>
      <w:r>
        <w:t>Is the Institution adapting to regulatory changes?</w:t>
      </w:r>
    </w:p>
    <w:p>
      <w:r>
        <w:t>Assessment Evidence:</w:t>
      </w:r>
    </w:p>
    <w:p>
      <w:r>
        <w:t>Regulatory filings</w:t>
      </w:r>
    </w:p>
    <w:p>
      <w:r>
        <w:t>Compliance audits</w:t>
      </w:r>
    </w:p>
    <w:p>
      <w:r>
        <w:t>Regulator communications</w:t>
      </w:r>
    </w:p>
    <w:p>
      <w:r>
        <w:t>Sanctions screening records</w:t>
      </w:r>
    </w:p>
    <w:p>
      <w:r>
        <w:t>Legal opinions</w:t>
      </w:r>
    </w:p>
    <w:p>
      <w:pPr>
        <w:pStyle w:val="ListNumber"/>
        <w:ind w:left="425"/>
      </w:pPr>
      <w:r>
        <w:t>Technological Security</w:t>
      </w:r>
    </w:p>
    <w:p>
      <w:r>
        <w:t>What This Means in Practice:</w:t>
      </w:r>
    </w:p>
    <w:p>
      <w:r>
        <w:t>The Panel assesses security architecture</w:t>
      </w:r>
    </w:p>
    <w:p>
      <w:r>
        <w:t>The Panel assesses security controls</w:t>
      </w:r>
    </w:p>
    <w:p>
      <w:r>
        <w:t>The Panel assesses security incidents</w:t>
      </w:r>
    </w:p>
    <w:p>
      <w:r>
        <w:t>The Panel assesses security evolution</w:t>
      </w:r>
    </w:p>
    <w:p>
      <w:r>
        <w:t>Assessment Questions:</w:t>
      </w:r>
    </w:p>
    <w:p>
      <w:r>
        <w:t>Is the security architecture robust?</w:t>
      </w:r>
    </w:p>
    <w:p>
      <w:r>
        <w:t>Are security controls effective?</w:t>
      </w:r>
    </w:p>
    <w:p>
      <w:r>
        <w:t>Have there been security incidents and how were they handled?</w:t>
      </w:r>
    </w:p>
    <w:p>
      <w:r>
        <w:t>Is the Institution prepared for evolving security threats?</w:t>
      </w:r>
    </w:p>
    <w:p>
      <w:r>
        <w:t>Is post-quantum readiness progressing?</w:t>
      </w:r>
    </w:p>
    <w:p>
      <w:r>
        <w:t>Are cryptographic systems current and secure?</w:t>
      </w:r>
    </w:p>
    <w:p>
      <w:r>
        <w:t>Assessment Evidence:</w:t>
      </w:r>
    </w:p>
    <w:p>
      <w:r>
        <w:t>Security audits</w:t>
      </w:r>
    </w:p>
    <w:p>
      <w:r>
        <w:t>Incident reports</w:t>
      </w:r>
    </w:p>
    <w:p>
      <w:r>
        <w:t>Security architecture documentation</w:t>
      </w:r>
    </w:p>
    <w:p>
      <w:r>
        <w:t>Post-quantum roadmap</w:t>
      </w:r>
    </w:p>
    <w:p>
      <w:r>
        <w:t>Vulnerability assessments</w:t>
      </w:r>
    </w:p>
    <w:p>
      <w:r>
        <w:t>The Review Process</w:t>
      </w:r>
    </w:p>
    <w:p>
      <w:r>
        <w:t>Step 1: Panel Appointment</w:t>
      </w:r>
    </w:p>
    <w:p>
      <w:r>
        <w:t>Panel is appointed 12 months before review date</w:t>
      </w:r>
    </w:p>
    <w:p>
      <w:r>
        <w:t>Nominations are solicited</w:t>
      </w:r>
    </w:p>
    <w:p>
      <w:r>
        <w:t>Vetting is conducted</w:t>
      </w:r>
    </w:p>
    <w:p>
      <w:r>
        <w:t>Appointment is confirmed</w:t>
      </w:r>
    </w:p>
    <w:p>
      <w:r>
        <w:t>Panel composition is published</w:t>
      </w:r>
    </w:p>
    <w:p>
      <w:r>
        <w:t>Step 2: Pre-Review</w:t>
      </w:r>
    </w:p>
    <w:p>
      <w:r>
        <w:t>Panel defines assessment scope</w:t>
      </w:r>
    </w:p>
    <w:p>
      <w:r>
        <w:t>Panel requests documentation</w:t>
      </w:r>
    </w:p>
    <w:p>
      <w:r>
        <w:t>Panel conducts preliminary review</w:t>
      </w:r>
    </w:p>
    <w:p>
      <w:r>
        <w:t>Panel identifies areas requiring investigation</w:t>
      </w:r>
    </w:p>
    <w:p>
      <w:r>
        <w:t>Panel publishes review timeline</w:t>
      </w:r>
    </w:p>
    <w:p>
      <w:r>
        <w:t>Step 3: Assessment</w:t>
      </w:r>
    </w:p>
    <w:p>
      <w:r>
        <w:t>Panel reviews documentation</w:t>
      </w:r>
    </w:p>
    <w:p>
      <w:r>
        <w:t>Panel conducts interviews</w:t>
      </w:r>
    </w:p>
    <w:p>
      <w:r>
        <w:t>Panel performs independent analysis</w:t>
      </w:r>
    </w:p>
    <w:p>
      <w:r>
        <w:t>Panel assesses each area</w:t>
      </w:r>
    </w:p>
    <w:p>
      <w:r>
        <w:t>Panel identifies findings</w:t>
      </w:r>
    </w:p>
    <w:p>
      <w:r>
        <w:t>Step 4: Draft Report</w:t>
      </w:r>
    </w:p>
    <w:p>
      <w:r>
        <w:t>Panel prepares draft report</w:t>
      </w:r>
    </w:p>
    <w:p>
      <w:r>
        <w:t>Report includes findings and recommendations</w:t>
      </w:r>
    </w:p>
    <w:p>
      <w:r>
        <w:t>Report is reviewed by Panel</w:t>
      </w:r>
    </w:p>
    <w:p>
      <w:r>
        <w:t>Report is shared with Council (factual verification only)</w:t>
      </w:r>
    </w:p>
    <w:p>
      <w:r>
        <w:t>Step 5: Final Report</w:t>
      </w:r>
    </w:p>
    <w:p>
      <w:r>
        <w:t>Panel finalizes report</w:t>
      </w:r>
    </w:p>
    <w:p>
      <w:r>
        <w:t>Report is published in full</w:t>
      </w:r>
    </w:p>
    <w:p>
      <w:r>
        <w:t>Report includes:</w:t>
      </w:r>
    </w:p>
    <w:p>
      <w:r>
        <w:t>Executive summary</w:t>
      </w:r>
    </w:p>
    <w:p>
      <w:r>
        <w:t>Assessment findings</w:t>
      </w:r>
    </w:p>
    <w:p>
      <w:r>
        <w:t>Recommendations</w:t>
      </w:r>
    </w:p>
    <w:p>
      <w:r>
        <w:t>Supporting evidence</w:t>
      </w:r>
    </w:p>
    <w:p>
      <w:r>
        <w:t>Step 6: Response</w:t>
      </w:r>
    </w:p>
    <w:p>
      <w:r>
        <w:t>Council responds to the report</w:t>
      </w:r>
    </w:p>
    <w:p>
      <w:r>
        <w:t>Council identifies accepted recommendations</w:t>
      </w:r>
    </w:p>
    <w:p>
      <w:r>
        <w:t>Council provides rationale for non-acceptance</w:t>
      </w:r>
    </w:p>
    <w:p>
      <w:r>
        <w:t>Council develops implementation plan</w:t>
      </w:r>
    </w:p>
    <w:p>
      <w:r>
        <w:t>Council publishes response</w:t>
      </w:r>
    </w:p>
    <w:p>
      <w:r>
        <w:t>Step 7: Implementation</w:t>
      </w:r>
    </w:p>
    <w:p>
      <w:r>
        <w:t>Council implements accepted recommendations</w:t>
      </w:r>
    </w:p>
    <w:p>
      <w:r>
        <w:t>Implementation is tracked</w:t>
      </w:r>
    </w:p>
    <w:p>
      <w:r>
        <w:t>Implementation status is reported</w:t>
      </w:r>
    </w:p>
    <w:p>
      <w:r>
        <w:t>Implementation is subject to review</w:t>
      </w:r>
    </w:p>
    <w:p>
      <w:r>
        <w:t>Report Contents</w:t>
      </w:r>
    </w:p>
    <w:p>
      <w:r>
        <w:t>The Independent Review Report shall include:</w:t>
      </w:r>
    </w:p>
    <w:p>
      <w:r>
        <w:t>Executive Summary</w:t>
      </w:r>
    </w:p>
    <w:p>
      <w:r>
        <w:t>Overview of findings</w:t>
      </w:r>
    </w:p>
    <w:p>
      <w:r>
        <w:t>Key recommendations</w:t>
      </w:r>
    </w:p>
    <w:p>
      <w:r>
        <w:t>Overall assessment</w:t>
      </w:r>
    </w:p>
    <w:p>
      <w:r>
        <w:t>Assessment Findings</w:t>
      </w:r>
    </w:p>
    <w:p>
      <w:r>
        <w:t>Reserve adequacy assessment</w:t>
      </w:r>
    </w:p>
    <w:p>
      <w:r>
        <w:t>Algorithmic performance assessment</w:t>
      </w:r>
    </w:p>
    <w:p>
      <w:r>
        <w:t>Governance effectiveness assessment</w:t>
      </w:r>
    </w:p>
    <w:p>
      <w:r>
        <w:t>Regulatory compliance assessment</w:t>
      </w:r>
    </w:p>
    <w:p>
      <w:r>
        <w:t>Technological security assessment</w:t>
      </w:r>
    </w:p>
    <w:p>
      <w:r>
        <w:t>Recommendations</w:t>
      </w:r>
    </w:p>
    <w:p>
      <w:r>
        <w:t>Specific, actionable recommendations</w:t>
      </w:r>
    </w:p>
    <w:p>
      <w:r>
        <w:t>Prioritized by importance</w:t>
      </w:r>
    </w:p>
    <w:p>
      <w:r>
        <w:t>Timeline for implementation</w:t>
      </w:r>
    </w:p>
    <w:p>
      <w:r>
        <w:t>Supporting Evidence</w:t>
      </w:r>
    </w:p>
    <w:p>
      <w:r>
        <w:t>Data and analysis</w:t>
      </w:r>
    </w:p>
    <w:p>
      <w:r>
        <w:t>Documentation</w:t>
      </w:r>
    </w:p>
    <w:p>
      <w:r>
        <w:t>Methodology</w:t>
      </w:r>
    </w:p>
    <w:p>
      <w:r>
        <w:t>Limitations</w:t>
      </w:r>
    </w:p>
    <w:p>
      <w:r>
        <w:t>Additional Materials</w:t>
      </w:r>
    </w:p>
    <w:p>
      <w:r>
        <w:t>Panel member biographies</w:t>
      </w:r>
    </w:p>
    <w:p>
      <w:r>
        <w:t>Dissenting opinions (if any)</w:t>
      </w:r>
    </w:p>
    <w:p>
      <w:r>
        <w:t>Methodology description</w:t>
      </w:r>
    </w:p>
    <w:p>
      <w:r>
        <w:t>Data sources</w:t>
      </w:r>
    </w:p>
    <w:p>
      <w:r>
        <w:t>Review Timeline</w:t>
      </w:r>
    </w:p>
    <w:p>
      <w:r>
        <w:t>The review cycle repeats every five years.</w:t>
      </w:r>
    </w:p>
    <w:p>
      <w:r>
        <w:t>Implementation of Recommendations</w:t>
      </w:r>
    </w:p>
    <w:p>
      <w:r>
        <w:t>What This Means in Practice:</w:t>
      </w:r>
    </w:p>
    <w:p>
      <w:r>
        <w:t>Recommendations are not automatically binding</w:t>
      </w:r>
    </w:p>
    <w:p>
      <w:r>
        <w:t>Recommendations are considered by the Council</w:t>
      </w:r>
    </w:p>
    <w:p>
      <w:r>
        <w:t>Recommendations may be accepted or rejected</w:t>
      </w:r>
    </w:p>
    <w:p>
      <w:r>
        <w:t>Rejection requires reasoned justification</w:t>
      </w:r>
    </w:p>
    <w:p>
      <w:r>
        <w:t>Implementation follows constitutional processes</w:t>
      </w:r>
    </w:p>
    <w:p>
      <w:r>
        <w:t>Example:</w:t>
      </w:r>
    </w:p>
    <w:p>
      <w:r>
        <w:t>The Independent Review Panel recommends adjusting the Monetary Engine parameters to improve stability. The Council considers the recommendation, assesses its constitutional implications, and decides whether to implement it through the Policy framework.</w:t>
      </w:r>
    </w:p>
    <w:p>
      <w:r>
        <w:t>Why This Matters:</w:t>
      </w:r>
    </w:p>
    <w:p>
      <w:r>
        <w:t>Without implementation consideration, recommendations are meaningless</w:t>
      </w:r>
    </w:p>
    <w:p>
      <w:r>
        <w:t>Without implementation, the review has no impact</w:t>
      </w:r>
    </w:p>
    <w:p>
      <w:r>
        <w:t>Without constitutional consideration, recommendations could violate constitutional principles</w:t>
      </w:r>
    </w:p>
    <w:p>
      <w:r>
        <w:t>Implementation ensures the review serves the Institution</w:t>
      </w:r>
    </w:p>
    <w:p>
      <w:r>
        <w:t>Constitutional Constraints on Implementation</w:t>
      </w:r>
    </w:p>
    <w:p>
      <w:r>
        <w:t>Implementation of recommendations shall not violate:</w:t>
      </w:r>
    </w:p>
    <w:p>
      <w:r>
        <w:t>Constitutional invariants</w:t>
      </w:r>
    </w:p>
    <w:p>
      <w:r>
        <w:t>Solvency</w:t>
      </w:r>
    </w:p>
    <w:p>
      <w:r>
        <w:t>Redemption certainty</w:t>
      </w:r>
    </w:p>
    <w:p>
      <w:r>
        <w:t>Neutrality</w:t>
      </w:r>
    </w:p>
    <w:p>
      <w:r>
        <w:t>Institutional identity</w:t>
      </w:r>
    </w:p>
    <w:p>
      <w:r>
        <w:t>What This Means in Practice:</w:t>
      </w:r>
    </w:p>
    <w:p>
      <w:r>
        <w:t>Recommendations are considered within constitutional constraints</w:t>
      </w:r>
    </w:p>
    <w:p>
      <w:r>
        <w:t>Recommendations that violate invariants are rejected</w:t>
      </w:r>
    </w:p>
    <w:p>
      <w:r>
        <w:t>Recommendations that reduce redeemability are rejected</w:t>
      </w:r>
    </w:p>
    <w:p>
      <w:r>
        <w:t>Recommendations that compromise neutrality are rejected</w:t>
      </w:r>
    </w:p>
    <w:p>
      <w:r>
        <w:t>Example:</w:t>
      </w:r>
    </w:p>
    <w:p>
      <w:r>
        <w:t>The Panel recommends reducing reserve coverage to 95% to improve capital efficiency. This violates the 100% reserve invariant. The recommendation is rejected regardless of its other merits.</w:t>
      </w:r>
    </w:p>
    <w:p>
      <w:r>
        <w:t>Constitutional Interpretation</w:t>
      </w:r>
    </w:p>
    <w:p>
      <w:r>
        <w:t>The Institution is subject to independent review every five years. The Independent Review Panel:</w:t>
      </w:r>
    </w:p>
    <w:p>
      <w:r>
        <w:t>Comprises 9 independent experts (3 economists, 3 technologists, 3 lawyers)</w:t>
      </w:r>
    </w:p>
    <w:p>
      <w:r>
        <w:t>Assesses reserve adequacy, algorithmic performance, governance effectiveness, regulatory compliance, and technological security</w:t>
      </w:r>
    </w:p>
    <w:p>
      <w:r>
        <w:t>Publishes a full report with findings and recommendations</w:t>
      </w:r>
    </w:p>
    <w:p>
      <w:r>
        <w:t>Submits recommendations for Council consideration</w:t>
      </w:r>
    </w:p>
    <w:p>
      <w:r>
        <w:t>Ensures the Institution remains constitutional, effective, and accountable</w:t>
      </w:r>
    </w:p>
    <w:p>
      <w: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r>
        <w:t>[END OF ARTICLE XVII — FIVE-YEAR INDEPENDENT REVIEW]</w:t>
      </w:r>
    </w:p>
    <w:p>
      <w:r>
        <w:t>[END OF PART 1 — LAYER 1: INSTITUTIONAL CONSTITUTION]</w:t>
      </w:r>
    </w:p>
    <w:p>
      <w:r>
        <w:t>Part 2: Layer 2 — Monetary Constitution</w:t>
      </w:r>
    </w:p>
    <w:p>
      <w:r>
        <w:t>Preamble — The Monetary Mandate</w:t>
      </w:r>
    </w:p>
    <w:p>
      <w:r>
        <w:t>The Monetary Constitution establishes the monetary principles, invariants, and mechanisms that govern the settlement unit. It defines what the unit is, how it is backed, how its value is determined, and how it is maintained.</w:t>
      </w:r>
    </w:p>
    <w:p>
      <w:r>
        <w:t>What This Means in Practice:</w:t>
      </w:r>
    </w:p>
    <w:p>
      <w:r>
        <w:t>The Monetary Constitution is subordinate to the Institutional Constitution</w:t>
      </w:r>
    </w:p>
    <w:p>
      <w:r>
        <w:t>The Monetary Constitution implements institutional objectives</w:t>
      </w:r>
    </w:p>
    <w:p>
      <w:r>
        <w:t>The Monetary Constitution defines monetary invariants</w:t>
      </w:r>
    </w:p>
    <w:p>
      <w:r>
        <w:t>The Monetary Constitution establishes monetary mechanisms</w:t>
      </w:r>
    </w:p>
    <w:p>
      <w:r>
        <w:t>Example:</w:t>
      </w:r>
    </w:p>
    <w:p>
      <w:r>
        <w:t>The Institutional Constitution establishes the objective of monetary integrity. The Monetary Constitution defines how monetary integrity is achieved through reserve backing, algorithmic stability, and constitutional constraints on issuance.</w:t>
      </w:r>
    </w:p>
    <w:p>
      <w:r>
        <w:t>Why This Matters:</w:t>
      </w:r>
    </w:p>
    <w:p>
      <w:r>
        <w:t>Without a Monetary Constitution, monetary principles are undefined</w:t>
      </w:r>
    </w:p>
    <w:p>
      <w:r>
        <w:t>Without a Monetary Constitution, monetary mechanisms are arbitrary</w:t>
      </w:r>
    </w:p>
    <w:p>
      <w:r>
        <w:t>Without a Monetary Constitution, monetary integrity is not assured</w:t>
      </w:r>
    </w:p>
    <w:p>
      <w:r>
        <w:t>Without a Monetary Constitution, the Institution cannot fulfill its monetary purpose</w:t>
      </w:r>
    </w:p>
    <w:p>
      <w:r>
        <w:t>Core Principles</w:t>
      </w:r>
    </w:p>
    <w:p>
      <w:r>
        <w:t>The Monetary Constitution is governed by:</w:t>
      </w:r>
    </w:p>
    <w:p>
      <w:pPr>
        <w:pStyle w:val="ListNumber"/>
        <w:ind w:left="425"/>
      </w:pPr>
      <w:r>
        <w:t>Constitutional Supremacy</w:t>
      </w:r>
    </w:p>
    <w:p>
      <w:r>
        <w:t>The Monetary Constitution is subordinate to the Institutional Constitution</w:t>
      </w:r>
    </w:p>
    <w:p>
      <w:r>
        <w:t>No monetary provision may violate institutional invariants</w:t>
      </w:r>
    </w:p>
    <w:p>
      <w:r>
        <w:t>Monetary mechanisms serve institutional objectives</w:t>
      </w:r>
    </w:p>
    <w:p>
      <w:pPr>
        <w:pStyle w:val="ListNumber"/>
        <w:ind w:left="425"/>
      </w:pPr>
      <w:r>
        <w:t>Monetary Integrity</w:t>
      </w:r>
    </w:p>
    <w:p>
      <w:r>
        <w:t>The settlement unit maintains stable purchasing power</w:t>
      </w:r>
    </w:p>
    <w:p>
      <w:r>
        <w:t>The settlement unit is fully backed by reserves</w:t>
      </w:r>
    </w:p>
    <w:p>
      <w:r>
        <w:t>The settlement unit is not subject to discretionary issuance</w:t>
      </w:r>
    </w:p>
    <w:p>
      <w:pPr>
        <w:pStyle w:val="ListNumber"/>
        <w:ind w:left="425"/>
      </w:pPr>
      <w:r>
        <w:t>Reserve Solvency</w:t>
      </w:r>
    </w:p>
    <w:p>
      <w:r>
        <w:t>Reserves always equal or exceed supply</w:t>
      </w:r>
    </w:p>
    <w:p>
      <w:r>
        <w:t>Reserves are held in custody, not lent</w:t>
      </w:r>
    </w:p>
    <w:p>
      <w:r>
        <w:t>Reserves are verifiable and auditable</w:t>
      </w:r>
    </w:p>
    <w:p>
      <w:pPr>
        <w:pStyle w:val="ListNumber"/>
        <w:ind w:left="425"/>
      </w:pPr>
      <w:r>
        <w:t>Predictable Adaptation</w:t>
      </w:r>
    </w:p>
    <w:p>
      <w:r>
        <w:t>Monetary mechanisms adapt through defined processes</w:t>
      </w:r>
    </w:p>
    <w:p>
      <w:r>
        <w:t>Adaptation is transparent and data-driven</w:t>
      </w:r>
    </w:p>
    <w:p>
      <w:r>
        <w:t>Adaptation preserves constitutional principles</w:t>
      </w:r>
    </w:p>
    <w:p>
      <w:pPr>
        <w:pStyle w:val="ListNumber"/>
        <w:ind w:left="425"/>
      </w:pPr>
      <w:r>
        <w:t>Institutional Neutrality</w:t>
      </w:r>
    </w:p>
    <w:p>
      <w:r>
        <w:t>No monetary mechanism favors any jurisdiction</w:t>
      </w:r>
    </w:p>
    <w:p>
      <w:r>
        <w:t>No monetary mechanism favors any currency</w:t>
      </w:r>
    </w:p>
    <w:p>
      <w:r>
        <w:t>No monetary mechanism favors any participant</w:t>
      </w:r>
    </w:p>
    <w:p>
      <w:r>
        <w:t>Relationship to Institutional Constitution</w:t>
      </w:r>
    </w:p>
    <w:p>
      <w:r>
        <w:t>Part 2: Layer 2 — Monetary Constitution</w:t>
      </w:r>
    </w:p>
    <w:p>
      <w:r>
        <w:t>Article I: Invariants</w:t>
      </w:r>
    </w:p>
    <w:p>
      <w:r>
        <w:t>The Monetary Constitution establishes four absolute invariants that govern all monetary operations. These invariants are permanent, unalterable, and binding on all governance bodies.</w:t>
      </w:r>
    </w:p>
    <w:p>
      <w:r>
        <w:t>What This Means in Practice:</w:t>
      </w:r>
    </w:p>
    <w:p>
      <w:r>
        <w:t>The invariants are the foundation of monetary integrity</w:t>
      </w:r>
    </w:p>
    <w:p>
      <w:r>
        <w:t>The invariants cannot be changed, suspended, or interpreted away</w:t>
      </w:r>
    </w:p>
    <w:p>
      <w:r>
        <w:t>The invariants apply at all times, in all circumstances</w:t>
      </w:r>
    </w:p>
    <w:p>
      <w:r>
        <w:t>The invariants are enforced by constitutional mechanisms</w:t>
      </w:r>
    </w:p>
    <w:p>
      <w:r>
        <w:t>Example:</w:t>
      </w:r>
    </w:p>
    <w:p>
      <w:r>
        <w:t>A proposal to lend 5% of reserves to earn yield is rejected because it violates the no-lending invariant. The invariant is absolute; no Council vote, emergency exception, or amendment can override it.</w:t>
      </w:r>
    </w:p>
    <w:p>
      <w:r>
        <w:t>Why This Matters:</w:t>
      </w:r>
    </w:p>
    <w:p>
      <w:r>
        <w:t>Without absolute invariants, monetary integrity is compromised</w:t>
      </w:r>
    </w:p>
    <w:p>
      <w:r>
        <w:t>Without absolute invariants, the Institution is vulnerable to pressure</w:t>
      </w:r>
    </w:p>
    <w:p>
      <w:r>
        <w:t>Without absolute invariants, the Institution is indistinguishable from fractional reserve systems</w:t>
      </w:r>
    </w:p>
    <w:p>
      <w:r>
        <w:t>Invariants are the foundation of constitutional monetary stability</w:t>
      </w:r>
    </w:p>
    <w:p>
      <w:r>
        <w:t>Invariant 1: 100% Reserve Ratio</w:t>
      </w:r>
    </w:p>
    <w:p>
      <w:r>
        <w:t>Reserve Value ≥ Supply × NAV at all times.</w:t>
      </w:r>
    </w:p>
    <w:p>
      <w:r>
        <w:t>What This Means in Practice:</w:t>
      </w:r>
    </w:p>
    <w:p>
      <w:r>
        <w:t>The total value of reserves must equal or exceed the total value of supply</w:t>
      </w:r>
    </w:p>
    <w:p>
      <w:r>
        <w:t>The reserve ratio is calculated daily and verified by proof of reserves</w:t>
      </w:r>
    </w:p>
    <w:p>
      <w:r>
        <w:t>The reserve ratio is enforced by constitutional mechanisms</w:t>
      </w:r>
    </w:p>
    <w:p>
      <w:r>
        <w:t>The reserve ratio is absolute; no exceptions exist</w:t>
      </w:r>
    </w:p>
    <w:p>
      <w:r>
        <w:t>Example:</w:t>
      </w:r>
    </w:p>
    <w:p>
      <w:r>
        <w:t>The Institution maintains reserves of $1,050,000,000 against supply of 1,000,000,000 MTQ. The reserve ratio is 105%. The invariant is satisfied. If market movements reduce reserve value to $990,000,000, the invariant is violated. Emergency protocols are activated to restore solvency.</w:t>
      </w:r>
    </w:p>
    <w:p>
      <w:r>
        <w:t>Why This Matters:</w:t>
      </w:r>
    </w:p>
    <w:p>
      <w:r>
        <w:t>Without 100% reserves, the settlement unit is not fully backed</w:t>
      </w:r>
    </w:p>
    <w:p>
      <w:r>
        <w:t>Without 100% reserves, redemption certainty is compromised</w:t>
      </w:r>
    </w:p>
    <w:p>
      <w:r>
        <w:t>Without 100% reserves, the Institution is a fractional reserve system</w:t>
      </w:r>
    </w:p>
    <w:p>
      <w:r>
        <w:t>The 100% reserve invariant is the foundation of constitutional solvency</w:t>
      </w:r>
    </w:p>
    <w:p>
      <w:r>
        <w:t>Verification:</w:t>
      </w:r>
    </w:p>
    <w:p>
      <w:r>
        <w:t>Daily proof of reserves</w:t>
      </w:r>
    </w:p>
    <w:p>
      <w:r>
        <w:t>Quarterly independent audit</w:t>
      </w:r>
    </w:p>
    <w:p>
      <w:r>
        <w:t>Real-time reserve ratio monitoring</w:t>
      </w:r>
    </w:p>
    <w:p>
      <w:r>
        <w:t>Automatic minting pause if ratio approaches 100%</w:t>
      </w:r>
    </w:p>
    <w:p>
      <w:r>
        <w:t>Enforcement:</w:t>
      </w:r>
    </w:p>
    <w:p>
      <w:r>
        <w:t>Minting automatically paused if reserve ratio falls below 100%</w:t>
      </w:r>
    </w:p>
    <w:p>
      <w:r>
        <w:t>Emergency protocols activated if reserve ratio cannot be restored</w:t>
      </w:r>
    </w:p>
    <w:p>
      <w:r>
        <w:t>Resolution if solvency cannot be maintained</w:t>
      </w:r>
    </w:p>
    <w:p>
      <w:r>
        <w:t>Invariant 2: No Discretionary Minting</w:t>
      </w:r>
    </w:p>
    <w:p>
      <w:r>
        <w:t>Minting only upon verified deposit of equivalent value.</w:t>
      </w:r>
    </w:p>
    <w:p>
      <w:r>
        <w:t>What This Means in Practice:</w:t>
      </w:r>
    </w:p>
    <w:p>
      <w:r>
        <w:t>New units are minted only when equivalent value is deposited</w:t>
      </w:r>
    </w:p>
    <w:p>
      <w:r>
        <w:t>Minting is automatic upon verification of deposit</w:t>
      </w:r>
    </w:p>
    <w:p>
      <w:r>
        <w:t>No discretionary minting for any purpose</w:t>
      </w:r>
    </w:p>
    <w:p>
      <w:r>
        <w:t>Minting cannot be used for operational funding, staff compensation, or any other purpose</w:t>
      </w:r>
    </w:p>
    <w:p>
      <w:r>
        <w:t>Example:</w:t>
      </w:r>
    </w:p>
    <w:p>
      <w:r>
        <w:t>A participant deposits $10,000,000 in eligible reserve assets. The deposit is verified. The Institution mints 10,000,000 MTQ. The invariant is satisfied. No Council member can propose minting 1,000,000 MTQ for operational expenses because discretionary minting is prohibited.</w:t>
      </w:r>
    </w:p>
    <w:p>
      <w:r>
        <w:t>Why This Matters:</w:t>
      </w:r>
    </w:p>
    <w:p>
      <w:r>
        <w:t>Without no-discretionary-minting, the Institution could print money arbitrarily</w:t>
      </w:r>
    </w:p>
    <w:p>
      <w:r>
        <w:t>Without no-discretionary-minting, monetary expansion is subject to governance pressure</w:t>
      </w:r>
    </w:p>
    <w:p>
      <w:r>
        <w:t>Without no-discretionary-minting, the Institution is no different from fiat central banks</w:t>
      </w:r>
    </w:p>
    <w:p>
      <w:r>
        <w:t>No-discretionary-minting ensures supply is determined by market demand for settlement, not by governance discretion</w:t>
      </w:r>
    </w:p>
    <w:p>
      <w:r>
        <w:t>Verification:</w:t>
      </w:r>
    </w:p>
    <w:p>
      <w:r>
        <w:t>Minting transactions are transparent and auditable</w:t>
      </w:r>
    </w:p>
    <w:p>
      <w:r>
        <w:t>Minting is linked to verified deposits</w:t>
      </w:r>
    </w:p>
    <w:p>
      <w:r>
        <w:t>Minting is automatic upon verification</w:t>
      </w:r>
    </w:p>
    <w:p>
      <w:r>
        <w:t>No manual override exists for discretionary minting</w:t>
      </w:r>
    </w:p>
    <w:p>
      <w:r>
        <w:t>Enforcement:</w:t>
      </w:r>
    </w:p>
    <w:p>
      <w:r>
        <w:t>Smart contract enforces minting constraints</w:t>
      </w:r>
    </w:p>
    <w:p>
      <w:r>
        <w:t>No administrative override</w:t>
      </w:r>
    </w:p>
    <w:p>
      <w:r>
        <w:t>Governance bodies cannot authorize discretionary minting</w:t>
      </w:r>
    </w:p>
    <w:p>
      <w:r>
        <w:t>Violation would constitute constitutional breach</w:t>
      </w:r>
    </w:p>
    <w:p>
      <w:r>
        <w:t>Invariant 3: No Lending of Reserves</w:t>
      </w:r>
    </w:p>
    <w:p>
      <w:r>
        <w:t>No leverage, no fractional reserve, no rehypothecation.</w:t>
      </w:r>
    </w:p>
    <w:p>
      <w:r>
        <w:t>What This Means in Practice:</w:t>
      </w:r>
    </w:p>
    <w:p>
      <w:r>
        <w:t>Reserves are held in custody</w:t>
      </w:r>
    </w:p>
    <w:p>
      <w:r>
        <w:t>Reserves are not lent, staked, or rehypothecated</w:t>
      </w:r>
    </w:p>
    <w:p>
      <w:r>
        <w:t>Reserves are not used as collateral</w:t>
      </w:r>
    </w:p>
    <w:p>
      <w:r>
        <w:t>Reserves are not used to generate yield</w:t>
      </w:r>
    </w:p>
    <w:p>
      <w:r>
        <w:t>Reserves are dedicated to settlement backing</w:t>
      </w:r>
    </w:p>
    <w:p>
      <w:r>
        <w:t>Example:</w:t>
      </w:r>
    </w:p>
    <w:p>
      <w:r>
        <w:t>The Institution holds $1,000,000,000 in reserves. No portion of these reserves is lent to generate interest. No portion is used as collateral. No portion is rehypothecated. The reserves are held solely for settlement backing and redemption.</w:t>
      </w:r>
    </w:p>
    <w:p>
      <w:r>
        <w:t>Why This Matters:</w:t>
      </w:r>
    </w:p>
    <w:p>
      <w:r>
        <w:t>Without no-lending, reserves are exposed to counterparty risk</w:t>
      </w:r>
    </w:p>
    <w:p>
      <w:r>
        <w:t>Without no-lending, reserves may not be available for redemption</w:t>
      </w:r>
    </w:p>
    <w:p>
      <w:r>
        <w:t>Without no-lending, the Institution is vulnerable to bank runs</w:t>
      </w:r>
    </w:p>
    <w:p>
      <w:r>
        <w:t>No-lending ensures reserves are always available to honor redemptions</w:t>
      </w:r>
    </w:p>
    <w:p>
      <w:r>
        <w:t>Verification:</w:t>
      </w:r>
    </w:p>
    <w:p>
      <w:r>
        <w:t>Custody agreements prohibit lending</w:t>
      </w:r>
    </w:p>
    <w:p>
      <w:r>
        <w:t>Smart contracts prohibit lending</w:t>
      </w:r>
    </w:p>
    <w:p>
      <w:r>
        <w:t>Audits verify no lending</w:t>
      </w:r>
    </w:p>
    <w:p>
      <w:r>
        <w:t>Custodians attest to no encumbrance</w:t>
      </w:r>
    </w:p>
    <w:p>
      <w:r>
        <w:t>Enforcement:</w:t>
      </w:r>
    </w:p>
    <w:p>
      <w:r>
        <w:t>Custody agreements with prohibitions</w:t>
      </w:r>
    </w:p>
    <w:p>
      <w:r>
        <w:t>Audit verification</w:t>
      </w:r>
    </w:p>
    <w:p>
      <w:r>
        <w:t>Constitutional violation if lending occurs</w:t>
      </w:r>
    </w:p>
    <w:p>
      <w:r>
        <w:t>Emergency protocols for violation</w:t>
      </w:r>
    </w:p>
    <w:p>
      <w:r>
        <w:t>Invariant 4: No Commingling</w:t>
      </w:r>
    </w:p>
    <w:p>
      <w:r>
        <w:t>Yield Program assets never mix with settlement reserves.</w:t>
      </w:r>
    </w:p>
    <w:p>
      <w:r>
        <w:t>What This Means in Practice:</w:t>
      </w:r>
    </w:p>
    <w:p>
      <w:r>
        <w:t>Settlement reserves are segregated from all other assets</w:t>
      </w:r>
    </w:p>
    <w:p>
      <w:r>
        <w:t>Settlement reserves are held in separate custody</w:t>
      </w:r>
    </w:p>
    <w:p>
      <w:r>
        <w:t>Settlement reserves are accounted for separately</w:t>
      </w:r>
    </w:p>
    <w:p>
      <w:r>
        <w:t>Settlement reserves are not used for any other purpose</w:t>
      </w:r>
    </w:p>
    <w:p>
      <w:r>
        <w:t>Example:</w:t>
      </w:r>
    </w:p>
    <w:p>
      <w:r>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r>
        <w:t>Why This Matters:</w:t>
      </w:r>
    </w:p>
    <w:p>
      <w:r>
        <w:t>Without no-commingling, settlement reserves could be exposed to Yield Program risks</w:t>
      </w:r>
    </w:p>
    <w:p>
      <w:r>
        <w:t>Without no-commingling, settlement reserves could be used for non-settlement purposes</w:t>
      </w:r>
    </w:p>
    <w:p>
      <w:r>
        <w:t>Without no-commingling, reserve integrity is compromised</w:t>
      </w:r>
    </w:p>
    <w:p>
      <w:r>
        <w:t>No-commingling ensures settlement reserves are protected</w:t>
      </w:r>
    </w:p>
    <w:p>
      <w:r>
        <w:t>Verification:</w:t>
      </w:r>
    </w:p>
    <w:p>
      <w:r>
        <w:t>Separate custody accounts</w:t>
      </w:r>
    </w:p>
    <w:p>
      <w:r>
        <w:t>Separate accounting</w:t>
      </w:r>
    </w:p>
    <w:p>
      <w:r>
        <w:t>Audits verify no commingling</w:t>
      </w:r>
    </w:p>
    <w:p>
      <w:r>
        <w:t>Legal structure prevents commingling</w:t>
      </w:r>
    </w:p>
    <w:p>
      <w:r>
        <w:t>Enforcement:</w:t>
      </w:r>
    </w:p>
    <w:p>
      <w:r>
        <w:t>Legal segregation</w:t>
      </w:r>
    </w:p>
    <w:p>
      <w:r>
        <w:t>Audit verification</w:t>
      </w:r>
    </w:p>
    <w:p>
      <w:r>
        <w:t>Constitutional violation if commingling occurs</w:t>
      </w:r>
    </w:p>
    <w:p>
      <w:r>
        <w:t>Summary Table</w:t>
      </w:r>
    </w:p>
    <w:p>
      <w:r>
        <w:t>Constitutional Protection of Invariants</w:t>
      </w:r>
    </w:p>
    <w:p>
      <w:r>
        <w:t>The four monetary invariants are absolutely protected:</w:t>
      </w:r>
    </w:p>
    <w:p>
      <w:pPr>
        <w:pStyle w:val="ListNumber"/>
        <w:ind w:left="425"/>
      </w:pPr>
      <w:r>
        <w:t>No Suspension</w:t>
      </w:r>
    </w:p>
    <w:p>
      <w:r>
        <w:t>Invariants cannot be suspended</w:t>
      </w:r>
    </w:p>
    <w:p>
      <w:r>
        <w:t>No emergency exception exists</w:t>
      </w:r>
    </w:p>
    <w:p>
      <w:r>
        <w:t>No governance body has authority to suspend</w:t>
      </w:r>
    </w:p>
    <w:p>
      <w:r>
        <w:t>Any suspension is a constitutional violation</w:t>
      </w:r>
    </w:p>
    <w:p>
      <w:pPr>
        <w:pStyle w:val="ListNumber"/>
        <w:ind w:left="425"/>
      </w:pPr>
      <w:r>
        <w:t>No Amendment</w:t>
      </w:r>
    </w:p>
    <w:p>
      <w:r>
        <w:t>Invariants cannot be amended</w:t>
      </w:r>
    </w:p>
    <w:p>
      <w:r>
        <w:t>No supermajority can change them</w:t>
      </w:r>
    </w:p>
    <w:p>
      <w:r>
        <w:t>No interpretation can weaken them</w:t>
      </w:r>
    </w:p>
    <w:p>
      <w:r>
        <w:t>They are permanently frozen</w:t>
      </w:r>
    </w:p>
    <w:p>
      <w:pPr>
        <w:pStyle w:val="ListNumber"/>
        <w:ind w:left="425"/>
      </w:pPr>
      <w:r>
        <w:t>No Circumvention</w:t>
      </w:r>
    </w:p>
    <w:p>
      <w:r>
        <w:t>Invariants cannot be circumvented</w:t>
      </w:r>
    </w:p>
    <w:p>
      <w:r>
        <w:t>Recharacterization is prohibited</w:t>
      </w:r>
    </w:p>
    <w:p>
      <w:r>
        <w:t>Alternatives that achieve the same result are prohibited</w:t>
      </w:r>
    </w:p>
    <w:p>
      <w:r>
        <w:t>Any circumvention is a constitutional violation</w:t>
      </w:r>
    </w:p>
    <w:p>
      <w:pPr>
        <w:pStyle w:val="ListNumber"/>
        <w:ind w:left="425"/>
      </w:pPr>
      <w:r>
        <w:t>No Interpretation</w:t>
      </w:r>
    </w:p>
    <w:p>
      <w:r>
        <w:t>Invariants are clear and unambiguous</w:t>
      </w:r>
    </w:p>
    <w:p>
      <w:r>
        <w:t>Interpretation cannot weaken them</w:t>
      </w:r>
    </w:p>
    <w:p>
      <w:r>
        <w:t>Interpretation must preserve them</w:t>
      </w:r>
    </w:p>
    <w:p>
      <w:r>
        <w:t>Any interpretation that weakens them is invalid</w:t>
      </w:r>
    </w:p>
    <w:p>
      <w:r>
        <w:t>Invariants in Practice</w:t>
      </w:r>
    </w:p>
    <w:p>
      <w:r>
        <w:t>Day-to-Day Application:</w:t>
      </w:r>
    </w:p>
    <w:p>
      <w:pPr>
        <w:pStyle w:val="ListNumber"/>
        <w:ind w:left="425"/>
      </w:pPr>
      <w:r>
        <w:t>Minting Process</w:t>
      </w:r>
    </w:p>
    <w:p>
      <w:r>
        <w:t>Participant deposits eligible reserve assets</w:t>
      </w:r>
    </w:p>
    <w:p>
      <w:r>
        <w:t>Deposit is verified</w:t>
      </w:r>
    </w:p>
    <w:p>
      <w:r>
        <w:t>Minting is automatic</w:t>
      </w:r>
    </w:p>
    <w:p>
      <w:r>
        <w:t>Reserve ratio is checked</w:t>
      </w:r>
    </w:p>
    <w:p>
      <w:pPr>
        <w:pStyle w:val="ListNumber"/>
        <w:ind w:left="425"/>
      </w:pPr>
      <w:r>
        <w:t>Redemption Process</w:t>
      </w:r>
    </w:p>
    <w:p>
      <w:r>
        <w:t>Participant burns MTQ units</w:t>
      </w:r>
    </w:p>
    <w:p>
      <w:r>
        <w:t>NAV is calculated</w:t>
      </w:r>
    </w:p>
    <w:p>
      <w:r>
        <w:t>Proportional reserves are released</w:t>
      </w:r>
    </w:p>
    <w:p>
      <w:r>
        <w:t>Reserve ratio is maintained</w:t>
      </w:r>
    </w:p>
    <w:p>
      <w:pPr>
        <w:pStyle w:val="ListNumber"/>
        <w:ind w:left="425"/>
      </w:pPr>
      <w:r>
        <w:t>Reserve Management</w:t>
      </w:r>
    </w:p>
    <w:p>
      <w:r>
        <w:t>Reserves are held in custody</w:t>
      </w:r>
    </w:p>
    <w:p>
      <w:r>
        <w:t>Reserve composition is managed</w:t>
      </w:r>
    </w:p>
    <w:p>
      <w:r>
        <w:t>Reserve ratio is monitored</w:t>
      </w:r>
    </w:p>
    <w:p>
      <w:r>
        <w:t>No lending or rehypothecation</w:t>
      </w:r>
    </w:p>
    <w:p>
      <w:pPr>
        <w:pStyle w:val="ListNumber"/>
        <w:ind w:left="425"/>
      </w:pPr>
      <w:r>
        <w:t>Yield Program</w:t>
      </w:r>
    </w:p>
    <w:p>
      <w:r>
        <w:t>Yield Program assets are segregated</w:t>
      </w:r>
    </w:p>
    <w:p>
      <w:r>
        <w:t>Yield Program assets are not commingled</w:t>
      </w:r>
    </w:p>
    <w:p>
      <w:r>
        <w:t>Yield Program does not affect reserves</w:t>
      </w:r>
    </w:p>
    <w:p>
      <w:r>
        <w:t>Yield Program is separate and audited</w:t>
      </w:r>
    </w:p>
    <w:p>
      <w:r>
        <w:t>Violations and Consequences</w:t>
      </w:r>
    </w:p>
    <w:p>
      <w:r>
        <w:t>Constitutional Violation:</w:t>
      </w:r>
    </w:p>
    <w:p>
      <w:r>
        <w:t>Any action that violates an invariant</w:t>
      </w:r>
    </w:p>
    <w:p>
      <w:r>
        <w:t>Any decision that permits a violation</w:t>
      </w:r>
    </w:p>
    <w:p>
      <w:r>
        <w:t>Any interpretation that weakens an invariant</w:t>
      </w:r>
    </w:p>
    <w:p>
      <w:r>
        <w:t>Consequences:</w:t>
      </w:r>
    </w:p>
    <w:p>
      <w:r>
        <w:t>Immediate action to restore compliance</w:t>
      </w:r>
    </w:p>
    <w:p>
      <w:r>
        <w:t>Investigation and accountability</w:t>
      </w:r>
    </w:p>
    <w:p>
      <w:r>
        <w:t>Remediation of any harm</w:t>
      </w:r>
    </w:p>
    <w:p>
      <w:r>
        <w:t>Prevention of recurrence</w:t>
      </w:r>
    </w:p>
    <w:p>
      <w:r>
        <w:t>Resolution:</w:t>
      </w:r>
    </w:p>
    <w:p>
      <w:r>
        <w:t>If invariants cannot be restored, the Institution enters Resolution</w:t>
      </w:r>
    </w:p>
    <w:p>
      <w:r>
        <w:t>Invariant violation is grounds for Resolution</w:t>
      </w:r>
    </w:p>
    <w:p>
      <w:r>
        <w:t>Resolution protects holders</w:t>
      </w:r>
    </w:p>
    <w:p>
      <w:r>
        <w:t>Constitutional Interpretation</w:t>
      </w:r>
    </w:p>
    <w:p>
      <w:r>
        <w:t>The four monetary invariants are absolute:</w:t>
      </w:r>
    </w:p>
    <w:p>
      <w:r>
        <w:t>100% Reserve Ratio — Reserve Value ≥ Supply × NAV</w:t>
      </w:r>
    </w:p>
    <w:p>
      <w:r>
        <w:t>No Discretionary Minting — Minting only upon verified deposit</w:t>
      </w:r>
    </w:p>
    <w:p>
      <w:r>
        <w:t>No Lending of Reserves — No leverage, no fractional reserves</w:t>
      </w:r>
    </w:p>
    <w:p>
      <w:r>
        <w:t>No Commingling — Yield assets never mix with settlement reserves</w:t>
      </w:r>
    </w:p>
    <w:p>
      <w:r>
        <w:t>These invariants are permanent, unalterable, and absolute. They are the foundation of monetary integrity. No governance body may suspend, amend, circumvent, or weaken them under any circumstances.</w:t>
      </w:r>
    </w:p>
    <w:p>
      <w:r>
        <w:t>[END OF ARTICLE I — INVARIANTS]</w:t>
      </w:r>
    </w:p>
    <w:p>
      <w:r>
        <w:t>Article II: Monetary Objectives</w:t>
      </w:r>
    </w:p>
    <w:p>
      <w:r>
        <w:t>The Institution optimizes for the following monetary objectives. These objectives guide all monetary decisions and serve as the criteria for evaluating monetary policy and reserve management.</w:t>
      </w:r>
    </w:p>
    <w:p>
      <w:r>
        <w:t>What This Means in Practice:</w:t>
      </w:r>
    </w:p>
    <w:p>
      <w:r>
        <w:t>The objectives define what the Institution aims to achieve</w:t>
      </w:r>
    </w:p>
    <w:p>
      <w:r>
        <w:t>The objectives guide decision-making</w:t>
      </w:r>
    </w:p>
    <w:p>
      <w:r>
        <w:t>The objectives are used to evaluate performance</w:t>
      </w:r>
    </w:p>
    <w:p>
      <w:r>
        <w:t>The objectives are prioritized according to the Decision Hierarchy</w:t>
      </w:r>
    </w:p>
    <w:p>
      <w:r>
        <w:t>Example:</w:t>
      </w:r>
    </w:p>
    <w:p>
      <w:r>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r>
        <w:t>Why This Matters:</w:t>
      </w:r>
    </w:p>
    <w:p>
      <w:r>
        <w:t>Without clear objectives, decisions are arbitrary</w:t>
      </w:r>
    </w:p>
    <w:p>
      <w:r>
        <w:t>Without clear objectives, performance cannot be evaluated</w:t>
      </w:r>
    </w:p>
    <w:p>
      <w:r>
        <w:t>Without clear objectives, the Institution lacks direction</w:t>
      </w:r>
    </w:p>
    <w:p>
      <w:r>
        <w:t>Clear objectives ensure consistent, principled decision-making</w:t>
      </w:r>
    </w:p>
    <w:p>
      <w:r>
        <w:t>The Eight Monetary Objectives</w:t>
      </w:r>
    </w:p>
    <w:p>
      <w:pPr>
        <w:pStyle w:val="ListNumber"/>
        <w:ind w:left="425"/>
      </w:pPr>
      <w:r>
        <w:t>Monetary Stability</w:t>
      </w:r>
    </w:p>
    <w:p>
      <w:r>
        <w:t>The settlement unit maintains stable purchasing power.</w:t>
      </w:r>
    </w:p>
    <w:p>
      <w:r>
        <w:t>What This Means in Practice:</w:t>
      </w:r>
    </w:p>
    <w:p>
      <w:r>
        <w:t>The unit's value is stable over time</w:t>
      </w:r>
    </w:p>
    <w:p>
      <w:r>
        <w:t>The unit's value is not subject to discretionary manipulation</w:t>
      </w:r>
    </w:p>
    <w:p>
      <w:r>
        <w:t>The unit's value is anchored to a diversified basket of real assets</w:t>
      </w:r>
    </w:p>
    <w:p>
      <w:r>
        <w:t>The unit's value is predictable for trade invoicing and settlement</w:t>
      </w:r>
    </w:p>
    <w:p>
      <w:r>
        <w:t>Example:</w:t>
      </w:r>
    </w:p>
    <w:p>
      <w:r>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r>
        <w:t>Why This Matters:</w:t>
      </w:r>
    </w:p>
    <w:p>
      <w:r>
        <w:t>Without monetary stability, the unit cannot serve as a reliable medium of exchange</w:t>
      </w:r>
    </w:p>
    <w:p>
      <w:r>
        <w:t>Without monetary stability, participants cannot price goods and services with confidence</w:t>
      </w:r>
    </w:p>
    <w:p>
      <w:r>
        <w:t>Without monetary stability, the Institution fails its constitutional purpose</w:t>
      </w:r>
    </w:p>
    <w:p>
      <w:r>
        <w:t>Verification:</w:t>
      </w:r>
    </w:p>
    <w:p>
      <w:r>
        <w:t>NAV volatility measured and reported</w:t>
      </w:r>
    </w:p>
    <w:p>
      <w:r>
        <w:t>Purchasing power tracked against basket</w:t>
      </w:r>
    </w:p>
    <w:p>
      <w:r>
        <w:t>Inflation/deflation monitored</w:t>
      </w:r>
    </w:p>
    <w:p>
      <w:r>
        <w:t>Stability metrics published</w:t>
      </w:r>
    </w:p>
    <w:p>
      <w:pPr>
        <w:pStyle w:val="ListNumber"/>
        <w:ind w:left="425"/>
      </w:pPr>
      <w:r>
        <w:t>Capital Preservation</w:t>
      </w:r>
    </w:p>
    <w:p>
      <w:r>
        <w:t>Reserve capital is preserved and protected.</w:t>
      </w:r>
    </w:p>
    <w:p>
      <w:r>
        <w:t>What This Means in Practice:</w:t>
      </w:r>
    </w:p>
    <w:p>
      <w:r>
        <w:t>Reserves are not risked for yield</w:t>
      </w:r>
    </w:p>
    <w:p>
      <w:r>
        <w:t>Reserves are held in high-quality assets</w:t>
      </w:r>
    </w:p>
    <w:p>
      <w:r>
        <w:t>Reserves are diversified to reduce risk</w:t>
      </w:r>
    </w:p>
    <w:p>
      <w:r>
        <w:t>Reserves are protected from loss</w:t>
      </w:r>
    </w:p>
    <w:p>
      <w:r>
        <w:t>Example:</w:t>
      </w:r>
    </w:p>
    <w:p>
      <w:r>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r>
        <w:t>Why This Matters:</w:t>
      </w:r>
    </w:p>
    <w:p>
      <w:r>
        <w:t>Without capital preservation, reserves could be lost</w:t>
      </w:r>
    </w:p>
    <w:p>
      <w:r>
        <w:t>Without capital preservation, redemption certainty is compromised</w:t>
      </w:r>
    </w:p>
    <w:p>
      <w:r>
        <w:t>Without capital preservation, the Institution could become insolvent</w:t>
      </w:r>
    </w:p>
    <w:p>
      <w:r>
        <w:t>Capital preservation is essential to constitutional solvency</w:t>
      </w:r>
    </w:p>
    <w:p>
      <w:r>
        <w:t>Verification:</w:t>
      </w:r>
    </w:p>
    <w:p>
      <w:r>
        <w:t>Reserve composition quality assessed</w:t>
      </w:r>
    </w:p>
    <w:p>
      <w:r>
        <w:t>Reserve losses tracked</w:t>
      </w:r>
    </w:p>
    <w:p>
      <w:r>
        <w:t>Reserve diversification measured</w:t>
      </w:r>
    </w:p>
    <w:p>
      <w:r>
        <w:t>Reserve preservation metrics published</w:t>
      </w:r>
    </w:p>
    <w:p>
      <w:pPr>
        <w:pStyle w:val="ListNumber"/>
        <w:ind w:left="425"/>
      </w:pPr>
      <w:r>
        <w:t>Liquidity</w:t>
      </w:r>
    </w:p>
    <w:p>
      <w:r>
        <w:t>Sufficient liquidity to meet redemption requests.</w:t>
      </w:r>
    </w:p>
    <w:p>
      <w:r>
        <w:t>What This Means in Practice:</w:t>
      </w:r>
    </w:p>
    <w:p>
      <w:r>
        <w:t>Redemptions are processed without unreasonable delay</w:t>
      </w:r>
    </w:p>
    <w:p>
      <w:r>
        <w:t>Liquid assets are maintained for redemption</w:t>
      </w:r>
    </w:p>
    <w:p>
      <w:r>
        <w:t>Redemption volume is monitored</w:t>
      </w:r>
    </w:p>
    <w:p>
      <w:r>
        <w:t>Liquidity buffers are maintained</w:t>
      </w:r>
    </w:p>
    <w:p>
      <w:r>
        <w:t>Example:</w:t>
      </w:r>
    </w:p>
    <w:p>
      <w:r>
        <w:t>The Institution maintains a portion of reserves in highly liquid assets to meet redemption requests. Even during periods of high redemption volume, redemptions are processed within operational timeframes. Liquidity is sufficient to meet all redemption requests.</w:t>
      </w:r>
    </w:p>
    <w:p>
      <w:r>
        <w:t>Why This Matters:</w:t>
      </w:r>
    </w:p>
    <w:p>
      <w:r>
        <w:t>Without liquidity, redemptions are delayed</w:t>
      </w:r>
    </w:p>
    <w:p>
      <w:r>
        <w:t>Without liquidity, redemption certainty is compromised</w:t>
      </w:r>
    </w:p>
    <w:p>
      <w:r>
        <w:t>Without liquidity, the Institution fails its constitutional purpose</w:t>
      </w:r>
    </w:p>
    <w:p>
      <w:r>
        <w:t>Liquidity ensures the Institution can honor its obligations</w:t>
      </w:r>
    </w:p>
    <w:p>
      <w:r>
        <w:t>Verification:</w:t>
      </w:r>
    </w:p>
    <w:p>
      <w:r>
        <w:t>Liquidity coverage ratio calculated</w:t>
      </w:r>
    </w:p>
    <w:p>
      <w:r>
        <w:t>Redemption processing time measured</w:t>
      </w:r>
    </w:p>
    <w:p>
      <w:r>
        <w:t>Liquidity buffers monitored</w:t>
      </w:r>
    </w:p>
    <w:p>
      <w:r>
        <w:t>Liquidity metrics published</w:t>
      </w:r>
    </w:p>
    <w:p>
      <w:pPr>
        <w:pStyle w:val="ListNumber"/>
        <w:ind w:left="425"/>
      </w:pPr>
      <w:r>
        <w:t>Redemption Certainty</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Redemption is certain and reliable.</w:t>
      </w:r>
    </w:p>
    <w:p>
      <w:r>
        <w:t>Why This Matters:</w:t>
      </w:r>
    </w:p>
    <w:p>
      <w:r>
        <w:t>Without redemption certainty, the unit is a promise, not an asset</w:t>
      </w:r>
    </w:p>
    <w:p>
      <w:r>
        <w:t>Without redemption certainty, participants cannot rely on the Institution</w:t>
      </w:r>
    </w:p>
    <w:p>
      <w:r>
        <w:t>Without redemption certainty, the Institution fails its constitutional purpose</w:t>
      </w:r>
    </w:p>
    <w:p>
      <w:r>
        <w:t>Redemption certainty is the ultimate test of institutional integrity</w:t>
      </w:r>
    </w:p>
    <w:p>
      <w:r>
        <w:t>Verification:</w:t>
      </w:r>
    </w:p>
    <w:p>
      <w:r>
        <w:t>Redemption requests monitored</w:t>
      </w:r>
    </w:p>
    <w:p>
      <w:r>
        <w:t>Redemption processing time measured</w:t>
      </w:r>
    </w:p>
    <w:p>
      <w:r>
        <w:t>Redemption denials tracked</w:t>
      </w:r>
    </w:p>
    <w:p>
      <w:r>
        <w:t>Redemption certainty metrics published</w:t>
      </w:r>
    </w:p>
    <w:p>
      <w:pPr>
        <w:pStyle w:val="ListNumber"/>
        <w:ind w:left="425"/>
      </w:pPr>
      <w:r>
        <w:t>Institutional Neutrality</w:t>
      </w:r>
    </w:p>
    <w:p>
      <w:r>
        <w:t>No political alignment in monetary operations.</w:t>
      </w:r>
    </w:p>
    <w:p>
      <w:r>
        <w:t>What This Means in Practice:</w:t>
      </w:r>
    </w:p>
    <w:p>
      <w:r>
        <w:t>No currency receives preferential weight</w:t>
      </w:r>
    </w:p>
    <w:p>
      <w:r>
        <w:t>No jurisdiction receives preferential treatment</w:t>
      </w:r>
    </w:p>
    <w:p>
      <w:r>
        <w:t>No participant receives preferential access</w:t>
      </w:r>
    </w:p>
    <w:p>
      <w:r>
        <w:t>Monetary operations are based on objective criteria</w:t>
      </w:r>
    </w:p>
    <w:p>
      <w:r>
        <w:t>Example:</w:t>
      </w:r>
    </w:p>
    <w:p>
      <w:r>
        <w:t>The currency basket weights currencies based on COFER and SWIFT data, without political adjustment. No currency is favored because of political alignment. The basket is determined by objective criteria, not by geopolitical preference.</w:t>
      </w:r>
    </w:p>
    <w:p>
      <w:r>
        <w:t>Why This Matters:</w:t>
      </w:r>
    </w:p>
    <w:p>
      <w:r>
        <w:t>Without neutrality, the Institution is a political instrument</w:t>
      </w:r>
    </w:p>
    <w:p>
      <w:r>
        <w:t>Without neutrality, the Institution cannot serve global trade</w:t>
      </w:r>
    </w:p>
    <w:p>
      <w:r>
        <w:t>Without neutrality, the Institution reproduces the problems of existing systems</w:t>
      </w:r>
    </w:p>
    <w:p>
      <w:r>
        <w:t>Neutrality is essential to constitutional identity</w:t>
      </w:r>
    </w:p>
    <w:p>
      <w:r>
        <w:t>Verification:</w:t>
      </w:r>
    </w:p>
    <w:p>
      <w:r>
        <w:t>Basket composition reviewed for neutrality</w:t>
      </w:r>
    </w:p>
    <w:p>
      <w:r>
        <w:t>Participant treatment reviewed for neutrality</w:t>
      </w:r>
    </w:p>
    <w:p>
      <w:r>
        <w:t>Jurisdictional treatment reviewed for neutrality</w:t>
      </w:r>
    </w:p>
    <w:p>
      <w:r>
        <w:t>Neutrality metrics published</w:t>
      </w:r>
    </w:p>
    <w:p>
      <w:pPr>
        <w:pStyle w:val="ListNumber"/>
        <w:ind w:left="425"/>
      </w:pPr>
      <w:r>
        <w:t>Regulatory Compatibility</w:t>
      </w:r>
    </w:p>
    <w:p>
      <w:r>
        <w:t>Compatibility with existing and evolving regulatory frameworks.</w:t>
      </w:r>
    </w:p>
    <w:p>
      <w:r>
        <w:t>What This Means in Practice:</w:t>
      </w:r>
    </w:p>
    <w:p>
      <w:r>
        <w:t>The Institution complies with applicable laws</w:t>
      </w:r>
    </w:p>
    <w:p>
      <w:r>
        <w:t>The Institution adapts to regulatory changes</w:t>
      </w:r>
    </w:p>
    <w:p>
      <w:r>
        <w:t>The Institution engages constructively with regulators</w:t>
      </w:r>
    </w:p>
    <w:p>
      <w:r>
        <w:t>The Institution maintains constitutional principles while adapting</w:t>
      </w:r>
    </w:p>
    <w:p>
      <w:r>
        <w:t>Example:</w:t>
      </w:r>
    </w:p>
    <w:p>
      <w:r>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r>
        <w:t>Why This Matters:</w:t>
      </w:r>
    </w:p>
    <w:p>
      <w:r>
        <w:t>Without regulatory compatibility, the Institution cannot operate globally</w:t>
      </w:r>
    </w:p>
    <w:p>
      <w:r>
        <w:t>Without regulatory compatibility, the Institution is vulnerable to enforcement</w:t>
      </w:r>
    </w:p>
    <w:p>
      <w:r>
        <w:t>Without regulatory compatibility, participants are exposed to legal risk</w:t>
      </w:r>
    </w:p>
    <w:p>
      <w:r>
        <w:t>Regulatory compatibility enables global operations</w:t>
      </w:r>
    </w:p>
    <w:p>
      <w:r>
        <w:t>Verification:</w:t>
      </w:r>
    </w:p>
    <w:p>
      <w:r>
        <w:t>Regulatory compliance assessed</w:t>
      </w:r>
    </w:p>
    <w:p>
      <w:r>
        <w:t>Regulatory engagement tracked</w:t>
      </w:r>
    </w:p>
    <w:p>
      <w:r>
        <w:t>Regulatory changes monitored</w:t>
      </w:r>
    </w:p>
    <w:p>
      <w:r>
        <w:t>Regulatory compatibility metrics published</w:t>
      </w:r>
    </w:p>
    <w:p>
      <w:pPr>
        <w:pStyle w:val="ListNumber"/>
        <w:ind w:left="425"/>
      </w:pPr>
      <w:r>
        <w:t>Operational Resilience</w:t>
      </w:r>
    </w:p>
    <w:p>
      <w:r>
        <w:t>Survival and recovery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Operational resilience is maintained.</w:t>
      </w:r>
    </w:p>
    <w:p>
      <w:r>
        <w:t>Why This Matters:</w:t>
      </w:r>
    </w:p>
    <w:p>
      <w:r>
        <w:t>Without operational resilience, the Institution is fragile</w:t>
      </w:r>
    </w:p>
    <w:p>
      <w:r>
        <w:t>Without operational resilience, the Institution cannot be relied upon</w:t>
      </w:r>
    </w:p>
    <w:p>
      <w:r>
        <w:t>Without operational resilience, the Institution fails its constitutional purpose</w:t>
      </w:r>
    </w:p>
    <w:p>
      <w:r>
        <w:t>Operational resilience ensures institutional continuity</w:t>
      </w:r>
    </w:p>
    <w:p>
      <w:r>
        <w:t>Verification:</w:t>
      </w:r>
    </w:p>
    <w:p>
      <w:r>
        <w:t>Stress testing conducted</w:t>
      </w:r>
    </w:p>
    <w:p>
      <w:r>
        <w:t>Recovery testing conducted</w:t>
      </w:r>
    </w:p>
    <w:p>
      <w:r>
        <w:t>Incident response measured</w:t>
      </w:r>
    </w:p>
    <w:p>
      <w:r>
        <w:t>Resilience metrics published</w:t>
      </w:r>
    </w:p>
    <w:p>
      <w:pPr>
        <w:pStyle w:val="ListNumber"/>
        <w:ind w:left="425"/>
      </w:pPr>
      <w:r>
        <w:t>Transparency</w:t>
      </w:r>
    </w:p>
    <w:p>
      <w:r>
        <w:t>All monetary operations are transparent and auditable.</w:t>
      </w:r>
    </w:p>
    <w:p>
      <w:r>
        <w:t>What This Means in Practice:</w:t>
      </w:r>
    </w:p>
    <w:p>
      <w:r>
        <w:t>Reserves are verifiable</w:t>
      </w:r>
    </w:p>
    <w:p>
      <w:r>
        <w:t>NAV is calculable</w:t>
      </w:r>
    </w:p>
    <w:p>
      <w:r>
        <w:t>Decisions are documented</w:t>
      </w:r>
    </w:p>
    <w:p>
      <w:r>
        <w:t>Operations are auditable</w:t>
      </w:r>
    </w:p>
    <w:p>
      <w:r>
        <w:t>Example:</w:t>
      </w:r>
    </w:p>
    <w:p>
      <w:r>
        <w:t>The Institution publishes daily proof of reserves, real-time NAV, quarterly independent audits, and comprehensive annual reports. Monetary operations are transparent and auditable. Anyone can verify the Institution's claims.</w:t>
      </w:r>
    </w:p>
    <w:p>
      <w:r>
        <w:t>Why This Matters:</w:t>
      </w:r>
    </w:p>
    <w:p>
      <w:r>
        <w:t>Without transparency, trust is based on faith</w:t>
      </w:r>
    </w:p>
    <w:p>
      <w:r>
        <w:t>Without transparency, the Institution is indistinguishable from opaque financial systems</w:t>
      </w:r>
    </w:p>
    <w:p>
      <w:r>
        <w:t>Without transparency, participants cannot verify claims</w:t>
      </w:r>
    </w:p>
    <w:p>
      <w:r>
        <w:t>Transparency is essential to institutional trust</w:t>
      </w:r>
    </w:p>
    <w:p>
      <w:r>
        <w:t>Verification:</w:t>
      </w:r>
    </w:p>
    <w:p>
      <w:r>
        <w:t>Proof of reserves published</w:t>
      </w:r>
    </w:p>
    <w:p>
      <w:r>
        <w:t>NAV published</w:t>
      </w:r>
    </w:p>
    <w:p>
      <w:r>
        <w:t>Decisions documented</w:t>
      </w:r>
    </w:p>
    <w:p>
      <w:r>
        <w:t>Transparency metrics published</w:t>
      </w:r>
    </w:p>
    <w:p>
      <w:r>
        <w:t>Objectives Summary Table</w:t>
      </w:r>
    </w:p>
    <w:p>
      <w:r>
        <w:t>Objective Prioritization</w:t>
      </w:r>
    </w:p>
    <w:p>
      <w:r>
        <w:t>When objectives conflict, the Decision Hierarchy governs:</w:t>
      </w:r>
    </w:p>
    <w:p>
      <w:r>
        <w:t>What This Means in Practice:</w:t>
      </w:r>
    </w:p>
    <w:p>
      <w:r>
        <w:t>Redemption Certainty is the highest priority</w:t>
      </w:r>
    </w:p>
    <w:p>
      <w:r>
        <w:t>Capital Preservation is next</w:t>
      </w:r>
    </w:p>
    <w:p>
      <w:r>
        <w:t>Monetary Stability is third</w:t>
      </w:r>
    </w:p>
    <w:p>
      <w:r>
        <w:t>All other objectives are subordinate to these three</w:t>
      </w:r>
    </w:p>
    <w:p>
      <w:r>
        <w:t>Example:</w:t>
      </w:r>
    </w:p>
    <w:p>
      <w:r>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r>
        <w:t>Why This Matters:</w:t>
      </w:r>
    </w:p>
    <w:p>
      <w:r>
        <w:t>Without prioritization, conflicts are unresolved</w:t>
      </w:r>
    </w:p>
    <w:p>
      <w:r>
        <w:t>Without prioritization, lower priorities can override higher priorities</w:t>
      </w:r>
    </w:p>
    <w:p>
      <w:r>
        <w:t>Without prioritization, decision-making is inconsistent</w:t>
      </w:r>
    </w:p>
    <w:p>
      <w:r>
        <w:t>Prioritization ensures constitutional principles are protected</w:t>
      </w:r>
    </w:p>
    <w:p>
      <w:r>
        <w:t>Constitutional Interpretation</w:t>
      </w:r>
    </w:p>
    <w:p>
      <w:r>
        <w:t>The Institution optimizes for eight monetary objectives:</w:t>
      </w:r>
    </w:p>
    <w:p>
      <w:r>
        <w:t>Monetary Stability — stable purchasing power</w:t>
      </w:r>
    </w:p>
    <w:p>
      <w:r>
        <w:t>Capital Preservation — reserves protected</w:t>
      </w:r>
    </w:p>
    <w:p>
      <w:r>
        <w:t>Liquidity — sufficient for redemptions</w:t>
      </w:r>
    </w:p>
    <w:p>
      <w:r>
        <w:t>Redemption Certainty — every unit redeemable</w:t>
      </w:r>
    </w:p>
    <w:p>
      <w:r>
        <w:t>Institutional Neutrality — no political alignment</w:t>
      </w:r>
    </w:p>
    <w:p>
      <w:r>
        <w:t>Regulatory Compatibility — compliance with law</w:t>
      </w:r>
    </w:p>
    <w:p>
      <w:r>
        <w:t>Operational Resilience — survival through disruption</w:t>
      </w:r>
    </w:p>
    <w:p>
      <w:r>
        <w:t>Transparency — verifiable operations</w:t>
      </w:r>
    </w:p>
    <w:p>
      <w:r>
        <w:t>These objectives guide all monetary decisions. When objectives conflict, the Decision Hierarchy governs. Redemption Certainty, Capital Preservation, and Monetary Stability take precedence over all other objectives.</w:t>
      </w:r>
    </w:p>
    <w:p>
      <w:r>
        <w:t>[END OF ARTICLE II — MONETARY OBJECTIVES]</w:t>
      </w:r>
    </w:p>
    <w:p>
      <w:r>
        <w:t>Article III: Reserve Principles</w:t>
      </w:r>
    </w:p>
    <w:p>
      <w:r>
        <w:t>The Reserve Principles define how the Institution's reserves are structured, managed, and protected. These principles ensure that reserves are sufficient, secure, and available to honor redemption obligations.</w:t>
      </w:r>
    </w:p>
    <w:p>
      <w:r>
        <w:t>What This Means in Practice:</w:t>
      </w:r>
    </w:p>
    <w:p>
      <w:r>
        <w:t>Reserves are structured in tiers based on quality and liquidity</w:t>
      </w:r>
    </w:p>
    <w:p>
      <w:r>
        <w:t>Reserves are managed according to constitutional principles</w:t>
      </w:r>
    </w:p>
    <w:p>
      <w:r>
        <w:t>Reserves are protected from loss, lending, and commingling</w:t>
      </w:r>
    </w:p>
    <w:p>
      <w:r>
        <w:t>Reserves are verifiable and auditable</w:t>
      </w:r>
    </w:p>
    <w:p>
      <w:r>
        <w:t>Example:</w:t>
      </w:r>
    </w:p>
    <w:p>
      <w:r>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r>
        <w:t>Why This Matters:</w:t>
      </w:r>
    </w:p>
    <w:p>
      <w:r>
        <w:t>Without clear reserve principles, reserve management is arbitrary</w:t>
      </w:r>
    </w:p>
    <w:p>
      <w:r>
        <w:t>Without clear reserve principles, reserves may be inadequately protected</w:t>
      </w:r>
    </w:p>
    <w:p>
      <w:r>
        <w:t>Without clear reserve principles, the Institution may take unnecessary risks</w:t>
      </w:r>
    </w:p>
    <w:p>
      <w:r>
        <w:t>Clear reserve principles ensure constitutional solvency</w:t>
      </w:r>
    </w:p>
    <w:p>
      <w:r>
        <w:t>The Four-Tier Reserve Structure</w:t>
      </w:r>
    </w:p>
    <w:p>
      <w:r>
        <w:t>Sovereign-First: Tiers 1, 2, and 3 constitute the principal reserve.</w:t>
      </w:r>
    </w:p>
    <w:p>
      <w:r>
        <w:t>Tier 1: Central-Bank-Quality Cash / Eligible Sovereign Cash</w:t>
      </w:r>
    </w:p>
    <w:p>
      <w:r>
        <w:t>What This Means in Practice:</w:t>
      </w:r>
    </w:p>
    <w:p>
      <w:r>
        <w:t>Cash held in central bank accounts or equivalent</w:t>
      </w:r>
    </w:p>
    <w:p>
      <w:r>
        <w:t>Cash denominated in eligible currencies</w:t>
      </w:r>
    </w:p>
    <w:p>
      <w:r>
        <w:t>Cash that is immediately available for redemption</w:t>
      </w:r>
    </w:p>
    <w:p>
      <w:r>
        <w:t>Cash that is not subject to material credit risk</w:t>
      </w:r>
    </w:p>
    <w:p>
      <w:r>
        <w:t>Example:</w:t>
      </w:r>
    </w:p>
    <w:p>
      <w:r>
        <w:t>The Institution holds a portion of reserves in cash accounts at central banks. This cash is available for immediate redemption and is not subject to counterparty risk. It is the most liquid and secure reserve asset.</w:t>
      </w:r>
    </w:p>
    <w:p>
      <w:r>
        <w:t>Why This Matters:</w:t>
      </w:r>
    </w:p>
    <w:p>
      <w:r>
        <w:t>Tier 1 assets are the most secure reserve assets</w:t>
      </w:r>
    </w:p>
    <w:p>
      <w:r>
        <w:t>Tier 1 assets provide immediate liquidity for redemption</w:t>
      </w:r>
    </w:p>
    <w:p>
      <w:r>
        <w:t>Tier 1 assets are not subject to credit risk</w:t>
      </w:r>
    </w:p>
    <w:p>
      <w:r>
        <w:t>Eligibility Criteria:</w:t>
      </w:r>
    </w:p>
    <w:p>
      <w:r>
        <w:t>Denominated in eligible currencies</w:t>
      </w:r>
    </w:p>
    <w:p>
      <w:r>
        <w:t>Held at central banks or equivalent</w:t>
      </w:r>
    </w:p>
    <w:p>
      <w:r>
        <w:t>No material credit risk</w:t>
      </w:r>
    </w:p>
    <w:p>
      <w:r>
        <w:t>Immediate availability</w:t>
      </w:r>
    </w:p>
    <w:p>
      <w:r>
        <w:t>Tier 2: Short-Duration Sovereign Securities</w:t>
      </w:r>
    </w:p>
    <w:p>
      <w:r>
        <w:t>What This Means in Practice:</w:t>
      </w:r>
    </w:p>
    <w:p>
      <w:r>
        <w:t>Short-duration sovereign debt securities</w:t>
      </w:r>
    </w:p>
    <w:p>
      <w:r>
        <w:t>Securities denominated in eligible currencies</w:t>
      </w:r>
    </w:p>
    <w:p>
      <w:r>
        <w:t>Securities with minimal duration and credit risk</w:t>
      </w:r>
    </w:p>
    <w:p>
      <w:r>
        <w:t>Securities that are liquid and marketable</w:t>
      </w:r>
    </w:p>
    <w:p>
      <w:r>
        <w:t>Example:</w:t>
      </w:r>
    </w:p>
    <w:p>
      <w:r>
        <w:t>The Institution holds short-duration sovereign securities with maturities of less than one year. These securities provide a modest return while maintaining safety and liquidity. They are denominated in eligible currencies and are held to maturity or sold as needed.</w:t>
      </w:r>
    </w:p>
    <w:p>
      <w:r>
        <w:t>Why This Matters:</w:t>
      </w:r>
    </w:p>
    <w:p>
      <w:r>
        <w:t>Tier 2 assets provide safety and modest return</w:t>
      </w:r>
    </w:p>
    <w:p>
      <w:r>
        <w:t>Tier 2 assets are liquid and marketable</w:t>
      </w:r>
    </w:p>
    <w:p>
      <w:r>
        <w:t>Tier 2 assets are not subject to material credit risk</w:t>
      </w:r>
    </w:p>
    <w:p>
      <w:r>
        <w:t>Eligibility Criteria:</w:t>
      </w:r>
    </w:p>
    <w:p>
      <w:r>
        <w:t>Denominated in eligible currencies</w:t>
      </w:r>
    </w:p>
    <w:p>
      <w:r>
        <w:t>Issued by eligible sovereigns</w:t>
      </w:r>
    </w:p>
    <w:p>
      <w:r>
        <w:t>Duration of less than one year</w:t>
      </w:r>
    </w:p>
    <w:p>
      <w:r>
        <w:t>Investment-grade rating (or equivalent)</w:t>
      </w:r>
    </w:p>
    <w:p>
      <w:r>
        <w:t>Liquid and marketable</w:t>
      </w:r>
    </w:p>
    <w:p>
      <w:r>
        <w:t>Tier 3: Allocated Physical Monetary Bullion</w:t>
      </w:r>
    </w:p>
    <w:p>
      <w:r>
        <w:t>What This Means in Practice:</w:t>
      </w:r>
    </w:p>
    <w:p>
      <w:r>
        <w:t>Physical bullion held in allocated custody</w:t>
      </w:r>
    </w:p>
    <w:p>
      <w:r>
        <w:t>Gold as the primary monetary metal</w:t>
      </w:r>
    </w:p>
    <w:p>
      <w:r>
        <w:t>Silver as the secondary monetary metal</w:t>
      </w:r>
    </w:p>
    <w:p>
      <w:r>
        <w:t>No derivatives, futures, ETFs, or unallocated certificates</w:t>
      </w:r>
    </w:p>
    <w:p>
      <w:r>
        <w:t>Example:</w:t>
      </w:r>
    </w:p>
    <w:p>
      <w:r>
        <w:t>The Institution holds physical gold bars in allocated custody at secure vaults in multiple jurisdictions. Each bar is serialized, verified, and audited. The bullion is held as allocated physical metal, not as derivatives or unallocated claims.</w:t>
      </w:r>
    </w:p>
    <w:p>
      <w:r>
        <w:t>Why This Matters:</w:t>
      </w:r>
    </w:p>
    <w:p>
      <w:r>
        <w:t>Tier 3 assets provide ultimate safety</w:t>
      </w:r>
    </w:p>
    <w:p>
      <w:r>
        <w:t>Tier 3 assets are independent of sovereign credit risk</w:t>
      </w:r>
    </w:p>
    <w:p>
      <w:r>
        <w:t>Tier 3 assets are a store of value across millennia</w:t>
      </w:r>
    </w:p>
    <w:p>
      <w:r>
        <w:t>Eligibility Criteria:</w:t>
      </w:r>
    </w:p>
    <w:p>
      <w:r>
        <w:t>Allocated physical bullion</w:t>
      </w:r>
    </w:p>
    <w:p>
      <w:r>
        <w:t>Gold (primary) or silver (secondary)</w:t>
      </w:r>
    </w:p>
    <w:p>
      <w:r>
        <w:t>LBMA Good Delivery standard (or equivalent)</w:t>
      </w:r>
    </w:p>
    <w:p>
      <w:r>
        <w:t>Held in secure, audited custody</w:t>
      </w:r>
    </w:p>
    <w:p>
      <w:r>
        <w:t>No derivatives, futures, or unallocated certificates</w:t>
      </w:r>
    </w:p>
    <w:p>
      <w:r>
        <w:t>No encumbrance or rehypothecation</w:t>
      </w:r>
    </w:p>
    <w:p>
      <w:r>
        <w:t>Tier 4: Operational Liquidity</w:t>
      </w:r>
    </w:p>
    <w:p>
      <w:r>
        <w:t>What This Means in Practice:</w:t>
      </w:r>
    </w:p>
    <w:p>
      <w:r>
        <w:t>Regulated stablecoins for operational efficiency</w:t>
      </w:r>
    </w:p>
    <w:p>
      <w:r>
        <w:t>Limited to what is necessary for daily operations</w:t>
      </w:r>
    </w:p>
    <w:p>
      <w:r>
        <w:t>Never the principal reserve</w:t>
      </w:r>
    </w:p>
    <w:p>
      <w:r>
        <w:t>Hard maximum established by Policy</w:t>
      </w:r>
    </w:p>
    <w:p>
      <w:r>
        <w:t>Example:</w:t>
      </w:r>
    </w:p>
    <w:p>
      <w:r>
        <w:t>The Institution holds a limited amount of regulated stablecoins for operational efficiency. These stablecoins are used for settlement operations and are held in qualified custody. They represent a small portion of total reserves and are not the principal reserve.</w:t>
      </w:r>
    </w:p>
    <w:p>
      <w:r>
        <w:t>Why This Matters:</w:t>
      </w:r>
    </w:p>
    <w:p>
      <w:r>
        <w:t>Tier 4 assets provide operational efficiency</w:t>
      </w:r>
    </w:p>
    <w:p>
      <w:r>
        <w:t>Tier 4 assets are limited to prevent concentration risk</w:t>
      </w:r>
    </w:p>
    <w:p>
      <w:r>
        <w:t>Tier 4 assets are subject to rigorous oversight</w:t>
      </w:r>
    </w:p>
    <w:p>
      <w:r>
        <w:t>Eligibility Criteria:</w:t>
      </w:r>
    </w:p>
    <w:p>
      <w:r>
        <w:t>Regulated stablecoin</w:t>
      </w:r>
    </w:p>
    <w:p>
      <w:r>
        <w:t>Full reserve backing</w:t>
      </w:r>
    </w:p>
    <w:p>
      <w:r>
        <w:t>Regular attestations</w:t>
      </w:r>
    </w:p>
    <w:p>
      <w:r>
        <w:t>Qualified custody</w:t>
      </w:r>
    </w:p>
    <w:p>
      <w:r>
        <w:t>Established track record</w:t>
      </w:r>
    </w:p>
    <w:p>
      <w:r>
        <w:t>No material risk of de-pegging</w:t>
      </w:r>
    </w:p>
    <w:p>
      <w:r>
        <w:t>Regulatory compliance in relevant jurisdictions</w:t>
      </w:r>
    </w:p>
    <w:p>
      <w:r>
        <w:t>Constitutional Limitations:</w:t>
      </w:r>
    </w:p>
    <w:p>
      <w:r>
        <w:t>Never the principal reserve</w:t>
      </w:r>
    </w:p>
    <w:p>
      <w:r>
        <w:t>Hard maximum established by Policy</w:t>
      </w:r>
    </w:p>
    <w:p>
      <w:r>
        <w:t>Not used for yield generation</w:t>
      </w:r>
    </w:p>
    <w:p>
      <w:r>
        <w:t>Subject to regular review</w:t>
      </w:r>
    </w:p>
    <w:p>
      <w:r>
        <w:t>Reserve Structure Summary</w:t>
      </w:r>
    </w:p>
    <w:p>
      <w:r>
        <w:t>Key Invariants</w:t>
      </w:r>
    </w:p>
    <w:p>
      <w:r>
        <w:t>These invariants govern the reserve structure:</w:t>
      </w:r>
    </w:p>
    <w:p>
      <w:r>
        <w:t>Invariant 1: Principal Reserve</w:t>
      </w:r>
    </w:p>
    <w:p>
      <w:r>
        <w:t>Combined Tier 1 + Tier 2 + Tier 3 = Principal Reserve at all times.</w:t>
      </w:r>
    </w:p>
    <w:p>
      <w:r>
        <w:t>What This Means in Practice:</w:t>
      </w:r>
    </w:p>
    <w:p>
      <w:r>
        <w:t>The principal reserve is the foundation of reserve backing</w:t>
      </w:r>
    </w:p>
    <w:p>
      <w:r>
        <w:t>The principal reserve is held in secure, high-quality assets</w:t>
      </w:r>
    </w:p>
    <w:p>
      <w:r>
        <w:t>The principal reserve is never replaced by Tier 4</w:t>
      </w:r>
    </w:p>
    <w:p>
      <w:r>
        <w:t>The principal reserve is the source of redemption backing</w:t>
      </w:r>
    </w:p>
    <w:p>
      <w:r>
        <w:t>Example:</w:t>
      </w:r>
    </w:p>
    <w:p>
      <w:r>
        <w:t>The Institution maintains 95% of reserves in Tiers 1, 2, and 3. Tier 4 constitutes 5% of reserves. The principal reserve is maintained; Tier 4 is limited. This ensures that the Institution's reserves are held in the highest-quality assets.</w:t>
      </w:r>
    </w:p>
    <w:p>
      <w:r>
        <w:t>Invariant 2: Tier 4 Limitation</w:t>
      </w:r>
    </w:p>
    <w:p>
      <w:r>
        <w:t>Tier 4 never becomes the principal reserve.</w:t>
      </w:r>
    </w:p>
    <w:p>
      <w:r>
        <w:t>What This Means in Practice:</w:t>
      </w:r>
    </w:p>
    <w:p>
      <w:r>
        <w:t>Tier 4 is limited to operational needs</w:t>
      </w:r>
    </w:p>
    <w:p>
      <w:r>
        <w:t>Tier 4 cannot exceed the Policy maximum</w:t>
      </w:r>
    </w:p>
    <w:p>
      <w:r>
        <w:t>Tier 4 is not used for reserve backing</w:t>
      </w:r>
    </w:p>
    <w:p>
      <w:r>
        <w:t>Tier 4 is supplementary, not foundational</w:t>
      </w:r>
    </w:p>
    <w:p>
      <w:r>
        <w:t>Example:</w:t>
      </w:r>
    </w:p>
    <w:p>
      <w:r>
        <w:t>The Institution's Tier 4 holdings are limited to 10% of reserves. This is the Policy maximum. The principal reserve (Tiers 1-3) constitutes 90% of reserves. Tier 4 supports operations but does not replace the principal reserve.</w:t>
      </w:r>
    </w:p>
    <w:p>
      <w:r>
        <w:t>Invariant 3: 100% Reserve Ratio</w:t>
      </w:r>
    </w:p>
    <w:p>
      <w:r>
        <w:t>Reserve Value ≥ Supply × NAV at all times.</w:t>
      </w:r>
    </w:p>
    <w:p>
      <w:r>
        <w:t>What This Means in Practice:</w:t>
      </w:r>
    </w:p>
    <w:p>
      <w:r>
        <w:t>All tiers contribute to reserve value</w:t>
      </w:r>
    </w:p>
    <w:p>
      <w:r>
        <w:t>Reserve value is calculated daily</w:t>
      </w:r>
    </w:p>
    <w:p>
      <w:r>
        <w:t>Reserve value is verified through proof of reserves</w:t>
      </w:r>
    </w:p>
    <w:p>
      <w:r>
        <w:t>Reserve value is maintained above supply value</w:t>
      </w:r>
    </w:p>
    <w:p>
      <w:r>
        <w:t>Example:</w:t>
      </w:r>
    </w:p>
    <w:p>
      <w:r>
        <w:t>The Institution maintains total reserve value of $1,050,000,000 against supply of 1,000,000,000 MTQ. The reserve ratio is 105%. All tiers contribute to this total. The reserve ratio is maintained at 100% or above at all times.</w:t>
      </w:r>
    </w:p>
    <w:p>
      <w:r>
        <w:t>Invariant 4: No Discretionary Minting</w:t>
      </w:r>
    </w:p>
    <w:p>
      <w:r>
        <w:t>Minting only upon verified deposit of equivalent value.</w:t>
      </w:r>
    </w:p>
    <w:p>
      <w:r>
        <w:t>What This Means in Practice:</w:t>
      </w:r>
    </w:p>
    <w:p>
      <w:r>
        <w:t>Deposits are verified before minting</w:t>
      </w:r>
    </w:p>
    <w:p>
      <w:r>
        <w:t>Minting is automatic upon verification</w:t>
      </w:r>
    </w:p>
    <w:p>
      <w:r>
        <w:t>No discretionary minting exists</w:t>
      </w:r>
    </w:p>
    <w:p>
      <w:r>
        <w:t>Governance bodies cannot authorize discretionary minting</w:t>
      </w:r>
    </w:p>
    <w:p>
      <w:r>
        <w:t>Example:</w:t>
      </w:r>
    </w:p>
    <w:p>
      <w:r>
        <w:t>A participant deposits eligible assets. The deposit is verified. The Institution mints MTQ. The minting is automatic, not discretionary. No Council member can authorize minting without a corresponding deposit.</w:t>
      </w:r>
    </w:p>
    <w:p>
      <w:r>
        <w:t>Invariant 5: No Lending of Reserves</w:t>
      </w:r>
    </w:p>
    <w:p>
      <w:r>
        <w:t>Reserves are not lent, staked, or rehypothecated.</w:t>
      </w:r>
    </w:p>
    <w:p>
      <w:r>
        <w:t>What This Means in Practice:</w:t>
      </w:r>
    </w:p>
    <w:p>
      <w:r>
        <w:t>Reserves are held in custody</w:t>
      </w:r>
    </w:p>
    <w:p>
      <w:r>
        <w:t>Reserves are not used for yield</w:t>
      </w:r>
    </w:p>
    <w:p>
      <w:r>
        <w:t>Reserves are not used as collateral</w:t>
      </w:r>
    </w:p>
    <w:p>
      <w:r>
        <w:t>Reserves are available for redemption</w:t>
      </w:r>
    </w:p>
    <w:p>
      <w:r>
        <w:t>Example:</w:t>
      </w:r>
    </w:p>
    <w:p>
      <w:r>
        <w:t>The Institution holds reserves in custody. No portion of reserves is lent. No portion is staked. No portion is used as collateral. The reserves are available for redemption at all times.</w:t>
      </w:r>
    </w:p>
    <w:p>
      <w:r>
        <w:t>Dynamic Reserve Allocation</w:t>
      </w:r>
    </w:p>
    <w:p>
      <w:r>
        <w:t>The Constitution specifies ranges; Policy determines allocation within ranges.</w:t>
      </w:r>
    </w:p>
    <w:p>
      <w:r>
        <w:t>What This Means in Practice:</w:t>
      </w:r>
    </w:p>
    <w:p>
      <w:r>
        <w:t>The Constitution establishes minimums and maximums for each tier</w:t>
      </w:r>
    </w:p>
    <w:p>
      <w:r>
        <w:t>Policy determines the actual allocation within these ranges</w:t>
      </w:r>
    </w:p>
    <w:p>
      <w:r>
        <w:t>Allocation is optimized based on market conditions</w:t>
      </w:r>
    </w:p>
    <w:p>
      <w:r>
        <w:t>Allocation is reviewed and adjusted as needed</w:t>
      </w:r>
    </w:p>
    <w:p>
      <w:r>
        <w:t>Example:</w:t>
      </w:r>
    </w:p>
    <w:p>
      <w:r>
        <w:t>The Constitution establishes that Tiers 1-3 together constitute 85-95% of reserves. Policy determines the specific allocation: 40% Tier 1, 35% Tier 2, and 20% Tier 3. This allocation is reviewed quarterly and adjusted based on market conditions.</w:t>
      </w:r>
    </w:p>
    <w:p>
      <w:r>
        <w:t>Reserve Range Framework</w:t>
      </w:r>
    </w:p>
    <w:p>
      <w:r>
        <w:t>Note: These ranges are illustrative. The actual ranges are determined by Policy within constitutional constraints. The principal reserve (Tiers 1-3) must constitute a supermajority of reserves.</w:t>
      </w:r>
    </w:p>
    <w:p>
      <w:r>
        <w:t>Reserve Management Principles</w:t>
      </w:r>
    </w:p>
    <w:p>
      <w:pPr>
        <w:pStyle w:val="ListNumber"/>
        <w:ind w:left="425"/>
      </w:pPr>
      <w:r>
        <w:t>Prudence</w:t>
      </w:r>
    </w:p>
    <w:p>
      <w:r>
        <w:t>Reserve management is guided by caution, not speculation.</w:t>
      </w:r>
    </w:p>
    <w:p>
      <w:r>
        <w:t>What This Means in Practice:</w:t>
      </w:r>
    </w:p>
    <w:p>
      <w:r>
        <w:t>Conservative assumptions</w:t>
      </w:r>
    </w:p>
    <w:p>
      <w:r>
        <w:t>Safety over yield</w:t>
      </w:r>
    </w:p>
    <w:p>
      <w:r>
        <w:t>Diversification over concentration</w:t>
      </w:r>
    </w:p>
    <w:p>
      <w:r>
        <w:t>Preservation over return</w:t>
      </w:r>
    </w:p>
    <w:p>
      <w:r>
        <w:t>Example:</w:t>
      </w:r>
    </w:p>
    <w:p>
      <w:r>
        <w:t>The Institution holds reserves in high-quality assets with minimal credit risk. It does not invest in speculative assets, does not lend reserves, and does not take market risk. Prudence guides all reserve management decisions.</w:t>
      </w:r>
    </w:p>
    <w:p>
      <w:pPr>
        <w:pStyle w:val="ListNumber"/>
        <w:ind w:left="425"/>
      </w:pPr>
      <w:r>
        <w:t>Diversification</w:t>
      </w:r>
    </w:p>
    <w:p>
      <w:r>
        <w:t>Reserves are diversified to reduce risk.</w:t>
      </w:r>
    </w:p>
    <w:p>
      <w:r>
        <w:t>What This Means in Practice:</w:t>
      </w:r>
    </w:p>
    <w:p>
      <w:r>
        <w:t>Multiple asset classes</w:t>
      </w:r>
    </w:p>
    <w:p>
      <w:r>
        <w:t>Multiple jurisdictions</w:t>
      </w:r>
    </w:p>
    <w:p>
      <w:r>
        <w:t>Multiple custodians</w:t>
      </w:r>
    </w:p>
    <w:p>
      <w:r>
        <w:t>Multiple maturities</w:t>
      </w:r>
    </w:p>
    <w:p>
      <w:r>
        <w:t>Example:</w:t>
      </w:r>
    </w:p>
    <w:p>
      <w:r>
        <w:t>The Institution holds reserves across all four tiers, in multiple currencies, across multiple jurisdictions, with multiple custodians. Diversification reduces concentration risk and protects reserves from single-point failures.</w:t>
      </w:r>
    </w:p>
    <w:p>
      <w:pPr>
        <w:pStyle w:val="ListNumber"/>
        <w:ind w:left="425"/>
      </w:pPr>
      <w:r>
        <w:t>Liquidity</w:t>
      </w:r>
    </w:p>
    <w:p>
      <w:r>
        <w:t>Sufficient liquidity is maintained for redemptions.</w:t>
      </w:r>
    </w:p>
    <w:p>
      <w:r>
        <w:t>What This Means in Practice:</w:t>
      </w:r>
    </w:p>
    <w:p>
      <w:r>
        <w:t>Liquid assets for immediate redemption</w:t>
      </w:r>
    </w:p>
    <w:p>
      <w:r>
        <w:t>Liquidity buffers for normal operations</w:t>
      </w:r>
    </w:p>
    <w:p>
      <w:r>
        <w:t>Emergency liquidity for stress periods</w:t>
      </w:r>
    </w:p>
    <w:p>
      <w:r>
        <w:t>Regular liquidity stress testing</w:t>
      </w:r>
    </w:p>
    <w:p>
      <w:r>
        <w:t>Example:</w:t>
      </w:r>
    </w:p>
    <w:p>
      <w:r>
        <w:t>The Institution maintains sufficient Tier 1 and Tier 2 assets to meet redemption requests. Liquidity buffers are maintained. Stress testing ensures liquidity is adequate even under adverse conditions.</w:t>
      </w:r>
    </w:p>
    <w:p>
      <w:pPr>
        <w:pStyle w:val="ListNumber"/>
        <w:ind w:left="425"/>
      </w:pPr>
      <w:r>
        <w:t>Security</w:t>
      </w:r>
    </w:p>
    <w:p>
      <w:r>
        <w:t>Reserves are held in secure custody.</w:t>
      </w:r>
    </w:p>
    <w:p>
      <w:r>
        <w:t>What This Means in Practice:</w:t>
      </w:r>
    </w:p>
    <w:p>
      <w:r>
        <w:t>Qualified custodians</w:t>
      </w:r>
    </w:p>
    <w:p>
      <w:r>
        <w:t>Segregated accounts</w:t>
      </w:r>
    </w:p>
    <w:p>
      <w:r>
        <w:t>Insurance coverage</w:t>
      </w:r>
    </w:p>
    <w:p>
      <w:r>
        <w:t>Regular audits</w:t>
      </w:r>
    </w:p>
    <w:p>
      <w:r>
        <w:t>Example:</w:t>
      </w:r>
    </w:p>
    <w:p>
      <w:r>
        <w:t>The Institution holds reserves with qualified custodians in segregated accounts. The reserves are insured. Regular audits verify the reserves. Security is maintained through multiple layers of protection.</w:t>
      </w:r>
    </w:p>
    <w:p>
      <w:pPr>
        <w:pStyle w:val="ListNumber"/>
        <w:ind w:left="425"/>
      </w:pPr>
      <w:r>
        <w:t>Transparency</w:t>
      </w:r>
    </w:p>
    <w:p>
      <w:r>
        <w:t>Reserves are transparent and verifiable.</w:t>
      </w:r>
    </w:p>
    <w:p>
      <w:r>
        <w:t>What This Means in Practice:</w:t>
      </w:r>
    </w:p>
    <w:p>
      <w:r>
        <w:t>Daily proof of reserves</w:t>
      </w:r>
    </w:p>
    <w:p>
      <w:r>
        <w:t>Quarterly independent audits</w:t>
      </w:r>
    </w:p>
    <w:p>
      <w:r>
        <w:t>Real-time reserve data</w:t>
      </w:r>
    </w:p>
    <w:p>
      <w:r>
        <w:t>Public reporting</w:t>
      </w:r>
    </w:p>
    <w:p>
      <w:r>
        <w:t>Example:</w:t>
      </w:r>
    </w:p>
    <w:p>
      <w:r>
        <w:t>The Institution publishes daily proof of reserves, quarterly independent audits, and real-time reserve data. Anyone can verify the Institution's reserve claims. Transparency is maintained through regular, verifiable reporting.</w:t>
      </w:r>
    </w:p>
    <w:p>
      <w:pPr>
        <w:pStyle w:val="ListNumber"/>
        <w:ind w:left="425"/>
      </w:pPr>
      <w:r>
        <w:t>Independence</w:t>
      </w:r>
    </w:p>
    <w:p>
      <w:r>
        <w:t>Reserve management is independent of political and commercial pressure.</w:t>
      </w:r>
    </w:p>
    <w:p>
      <w:r>
        <w:t>What This Means in Practice:</w:t>
      </w:r>
    </w:p>
    <w:p>
      <w:r>
        <w:t>Professional reserve management</w:t>
      </w:r>
    </w:p>
    <w:p>
      <w:r>
        <w:t>Independence from political pressure</w:t>
      </w:r>
    </w:p>
    <w:p>
      <w:r>
        <w:t>Independence from commercial interests</w:t>
      </w:r>
    </w:p>
    <w:p>
      <w:r>
        <w:t>Constitutional constraints</w:t>
      </w:r>
    </w:p>
    <w:p>
      <w:r>
        <w:t>Example:</w:t>
      </w:r>
    </w:p>
    <w:p>
      <w:r>
        <w:t>The Institution's reserve managers make decisions based on constitutional principles and professional judgment, not political or commercial pressure. The reserve management function is independent.</w:t>
      </w:r>
    </w:p>
    <w:p>
      <w:r>
        <w:t>Reserve Audit and Verification</w:t>
      </w:r>
    </w:p>
    <w:p>
      <w:r>
        <w:t>Reserves are verified through multiple mechanisms:</w:t>
      </w:r>
    </w:p>
    <w:p>
      <w:r>
        <w:t>Reserve Evolution</w:t>
      </w:r>
    </w:p>
    <w:p>
      <w:r>
        <w:t>Reserve composition may evolve while maintaining constitutional principles:</w:t>
      </w:r>
    </w:p>
    <w:p>
      <w:r>
        <w:t>What This Means in Practice:</w:t>
      </w:r>
    </w:p>
    <w:p>
      <w:r>
        <w:t>New asset classes may be added</w:t>
      </w:r>
    </w:p>
    <w:p>
      <w:r>
        <w:t>Existing asset classes may be adjusted</w:t>
      </w:r>
    </w:p>
    <w:p>
      <w:r>
        <w:t>Allocation ranges may be refined</w:t>
      </w:r>
    </w:p>
    <w:p>
      <w:r>
        <w:t>Reserve management may improve</w:t>
      </w:r>
    </w:p>
    <w:p>
      <w:r>
        <w:t>Example:</w:t>
      </w:r>
    </w:p>
    <w:p>
      <w:r>
        <w:t>The Institution may add a new asset class to Tier 2 if it meets constitutional criteria. The allocation ranges may be refined based on experience and market conditions. Reserve management may be improved based on learning and best practices.</w:t>
      </w:r>
    </w:p>
    <w:p>
      <w:r>
        <w:t>Constitutional Constraints:</w:t>
      </w:r>
    </w:p>
    <w:p>
      <w:r>
        <w:t>Invariants must be preserved</w:t>
      </w:r>
    </w:p>
    <w:p>
      <w:r>
        <w:t>Principal reserve must be maintained</w:t>
      </w:r>
    </w:p>
    <w:p>
      <w:r>
        <w:t>Tier 4 must be limited</w:t>
      </w:r>
    </w:p>
    <w:p>
      <w:r>
        <w:t>Reserve principles must be followed</w:t>
      </w:r>
    </w:p>
    <w:p>
      <w:r>
        <w:t>Summary Table</w:t>
      </w:r>
    </w:p>
    <w:p>
      <w:r>
        <w:t>Constitutional Interpretation</w:t>
      </w:r>
    </w:p>
    <w:p>
      <w:r>
        <w:t>The Institution's reserves are structured in four tiers:</w:t>
      </w:r>
    </w:p>
    <w:p>
      <w:r>
        <w:t>Central-Bank-Quality Cash — most secure, immediately liquid</w:t>
      </w:r>
    </w:p>
    <w:p>
      <w:r>
        <w:t>Short-Duration Sovereign Securities — secure, liquid, modest return</w:t>
      </w:r>
    </w:p>
    <w:p>
      <w:r>
        <w:t>Allocated Physical Monetary Bullion — ultimate safety, no counterparty risk</w:t>
      </w:r>
    </w:p>
    <w:p>
      <w:r>
        <w:t>Operational Liquidity — regulated stablecoins for operational efficiency</w:t>
      </w:r>
    </w:p>
    <w:p>
      <w:r>
        <w:t>Tiers 1-3 constitute the principal reserve at all times. Tier 4 never becomes the principal reserve. Reserves are managed according to constitutional principles: prudence, diversification, liquidity, security, transparency, and independence.</w:t>
      </w:r>
    </w:p>
    <w:p>
      <w:r>
        <w:t>[END OF ARTICLE III — RESERVE PRINCIPLES]</w:t>
      </w:r>
    </w:p>
    <w:p>
      <w:r>
        <w:t>Article IV: Monetary Metals</w:t>
      </w:r>
    </w:p>
    <w:p>
      <w:r>
        <w:t>The Monetary Metals provisions define the role of physical bullion in the Institution's reserve structure, establishing gold as the primary monetary metal and silver as the secondary monetary metal.</w:t>
      </w:r>
    </w:p>
    <w:p>
      <w:r>
        <w:t>What This Means in Practice:</w:t>
      </w:r>
    </w:p>
    <w:p>
      <w:r>
        <w:t>Gold serves as the ultimate store of value within the reserve structure</w:t>
      </w:r>
    </w:p>
    <w:p>
      <w:r>
        <w:t>Silver provides diversification and additional monetary backing</w:t>
      </w:r>
    </w:p>
    <w:p>
      <w:r>
        <w:t>Both metals are held as allocated physical bullion</w:t>
      </w:r>
    </w:p>
    <w:p>
      <w:r>
        <w:t>No derivatives, futures, ETFs, or unallocated certificates are permitted</w:t>
      </w:r>
    </w:p>
    <w:p>
      <w:r>
        <w:t>Relative allocation is determined by Policy under constitutional principles</w:t>
      </w:r>
    </w:p>
    <w:p>
      <w:r>
        <w:t>Example:</w:t>
      </w:r>
    </w:p>
    <w:p>
      <w:r>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r>
        <w:t>Why This Matters:</w:t>
      </w:r>
    </w:p>
    <w:p>
      <w:r>
        <w:t>Without monetary metals, the Institution lacks the ultimate store of value</w:t>
      </w:r>
    </w:p>
    <w:p>
      <w:r>
        <w:t>Without monetary metals, reserves are exposed to sovereign credit risk</w:t>
      </w:r>
    </w:p>
    <w:p>
      <w:r>
        <w:t>Without monetary metals, the Institution cannot provide the same level of security as fully allocated physical assets</w:t>
      </w:r>
    </w:p>
    <w:p>
      <w:r>
        <w:t>Monetary metals provide resilience against systemic financial crises</w:t>
      </w:r>
    </w:p>
    <w:p>
      <w:r>
        <w:t>Gold: Primary Monetary Metal</w:t>
      </w:r>
    </w:p>
    <w:p>
      <w:r>
        <w:t>Gold is the primary monetary metal of the Institution.</w:t>
      </w:r>
    </w:p>
    <w:p>
      <w:r>
        <w:t>What This Means in Practice:</w:t>
      </w:r>
    </w:p>
    <w:p>
      <w:r>
        <w:t>Gold constitutes the majority of monetary metal holdings</w:t>
      </w:r>
    </w:p>
    <w:p>
      <w:r>
        <w:t>Gold is held as allocated physical bullion</w:t>
      </w:r>
    </w:p>
    <w:p>
      <w:r>
        <w:t>Gold is held to internationally recognized institutional bullion standards</w:t>
      </w:r>
    </w:p>
    <w:p>
      <w:r>
        <w:t>Gold is independently verified and audited</w:t>
      </w:r>
    </w:p>
    <w:p>
      <w:r>
        <w:t>Example:</w:t>
      </w:r>
    </w:p>
    <w:p>
      <w:r>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r>
        <w:t>Why This Matters:</w:t>
      </w:r>
    </w:p>
    <w:p>
      <w:r>
        <w:t>Gold has been a monetary metal for millennia</w:t>
      </w:r>
    </w:p>
    <w:p>
      <w:r>
        <w:t>Gold is universally recognized as a store of value</w:t>
      </w:r>
    </w:p>
    <w:p>
      <w:r>
        <w:t>Gold is independent of sovereign credit risk</w:t>
      </w:r>
    </w:p>
    <w:p>
      <w:r>
        <w:t>Gold provides ultimate reserve security</w:t>
      </w:r>
    </w:p>
    <w:p>
      <w:r>
        <w:t>Gold Standard:</w:t>
      </w:r>
    </w:p>
    <w:p>
      <w:r>
        <w:t>LBMA Good Delivery standard (or equivalent)</w:t>
      </w:r>
    </w:p>
    <w:p>
      <w:r>
        <w:t>Minimum 99.5% purity</w:t>
      </w:r>
    </w:p>
    <w:p>
      <w:r>
        <w:t>Standard bar sizes</w:t>
      </w:r>
    </w:p>
    <w:p>
      <w:r>
        <w:t>Unique serial numbers</w:t>
      </w:r>
    </w:p>
    <w:p>
      <w:r>
        <w:t>Independent verification</w:t>
      </w:r>
    </w:p>
    <w:p>
      <w:r>
        <w:t>Gold Custody:</w:t>
      </w:r>
    </w:p>
    <w:p>
      <w:r>
        <w:t>Allocated physical custody</w:t>
      </w:r>
    </w:p>
    <w:p>
      <w:r>
        <w:t>Segregated from custodian assets</w:t>
      </w:r>
    </w:p>
    <w:p>
      <w:r>
        <w:t>No commingling with other client assets</w:t>
      </w:r>
    </w:p>
    <w:p>
      <w:r>
        <w:t>No rehypothecation or lending</w:t>
      </w:r>
    </w:p>
    <w:p>
      <w:r>
        <w:t>Independent verification</w:t>
      </w:r>
    </w:p>
    <w:p>
      <w:r>
        <w:t>Gold Auditing:</w:t>
      </w:r>
    </w:p>
    <w:p>
      <w:r>
        <w:t>Quarterly physical audits</w:t>
      </w:r>
    </w:p>
    <w:p>
      <w:r>
        <w:t>Serial number verification</w:t>
      </w:r>
    </w:p>
    <w:p>
      <w:r>
        <w:t>Weight verification</w:t>
      </w:r>
    </w:p>
    <w:p>
      <w:r>
        <w:t>Purity verification</w:t>
      </w:r>
    </w:p>
    <w:p>
      <w:r>
        <w:t>Independent auditors</w:t>
      </w:r>
    </w:p>
    <w:p>
      <w:r>
        <w:t>Silver: Secondary Monetary Metal</w:t>
      </w:r>
    </w:p>
    <w:p>
      <w:r>
        <w:t>Silver is the secondary monetary metal of the Institution.</w:t>
      </w:r>
    </w:p>
    <w:p>
      <w:r>
        <w:t>What This Means in Practice:</w:t>
      </w:r>
    </w:p>
    <w:p>
      <w:r>
        <w:t>Silver provides diversification within monetary metal holdings</w:t>
      </w:r>
    </w:p>
    <w:p>
      <w:r>
        <w:t>Silver is held as allocated physical bullion</w:t>
      </w:r>
    </w:p>
    <w:p>
      <w:r>
        <w:t>Silver is held to internationally recognized institutional bullion standards</w:t>
      </w:r>
    </w:p>
    <w:p>
      <w:r>
        <w:t>Silver is independently verified and audited</w:t>
      </w:r>
    </w:p>
    <w:p>
      <w:r>
        <w:t>Example:</w:t>
      </w:r>
    </w:p>
    <w:p>
      <w:r>
        <w:t>The Institution holds physical silver bars in allocated custody, held to applicable institutional bullion standards. Each bar is serialized, verified, and audited quarterly. Silver provides diversification and additional liquidity for smaller transactions.</w:t>
      </w:r>
    </w:p>
    <w:p>
      <w:r>
        <w:t>Why This Matters:</w:t>
      </w:r>
    </w:p>
    <w:p>
      <w:r>
        <w:t>Silver has historical monetary significance</w:t>
      </w:r>
    </w:p>
    <w:p>
      <w:r>
        <w:t>Silver provides diversification from gold</w:t>
      </w:r>
    </w:p>
    <w:p>
      <w:r>
        <w:t>Silver has industrial and monetary demand</w:t>
      </w:r>
    </w:p>
    <w:p>
      <w:r>
        <w:t>Silver provides additional liquidity options</w:t>
      </w:r>
    </w:p>
    <w:p>
      <w:r>
        <w:t>Silver Standard:</w:t>
      </w:r>
    </w:p>
    <w:p>
      <w:r>
        <w:t>Internationally recognized institutional bullion standard</w:t>
      </w:r>
    </w:p>
    <w:p>
      <w:r>
        <w:t>Minimum purity as defined by applicable standard</w:t>
      </w:r>
    </w:p>
    <w:p>
      <w:r>
        <w:t>Standard bar sizes</w:t>
      </w:r>
    </w:p>
    <w:p>
      <w:r>
        <w:t>Unique serial numbers</w:t>
      </w:r>
    </w:p>
    <w:p>
      <w:r>
        <w:t>Independent verification</w:t>
      </w:r>
    </w:p>
    <w:p>
      <w:r>
        <w:t>Silver Custody:</w:t>
      </w:r>
    </w:p>
    <w:p>
      <w:r>
        <w:t>Allocated physical custody</w:t>
      </w:r>
    </w:p>
    <w:p>
      <w:r>
        <w:t>Segregated from custodian assets</w:t>
      </w:r>
    </w:p>
    <w:p>
      <w:r>
        <w:t>No commingling with other client assets</w:t>
      </w:r>
    </w:p>
    <w:p>
      <w:r>
        <w:t>No rehypothecation or lending</w:t>
      </w:r>
    </w:p>
    <w:p>
      <w:r>
        <w:t>Independent verification</w:t>
      </w:r>
    </w:p>
    <w:p>
      <w:r>
        <w:t>Silver Auditing:</w:t>
      </w:r>
    </w:p>
    <w:p>
      <w:r>
        <w:t>Quarterly physical audits</w:t>
      </w:r>
    </w:p>
    <w:p>
      <w:r>
        <w:t>Serial number verification</w:t>
      </w:r>
    </w:p>
    <w:p>
      <w:r>
        <w:t>Weight verification</w:t>
      </w:r>
    </w:p>
    <w:p>
      <w:r>
        <w:t>Purity verification</w:t>
      </w:r>
    </w:p>
    <w:p>
      <w:r>
        <w:t>Independent auditors</w:t>
      </w:r>
    </w:p>
    <w:p>
      <w:r>
        <w:t>Prohibited Instruments</w:t>
      </w:r>
    </w:p>
    <w:p>
      <w:r>
        <w:t>The Institution shall not hold:</w:t>
      </w:r>
    </w:p>
    <w:p>
      <w:r>
        <w:t>Gold derivatives</w:t>
      </w:r>
    </w:p>
    <w:p>
      <w:r>
        <w:t>Silver derivatives</w:t>
      </w:r>
    </w:p>
    <w:p>
      <w:r>
        <w:t>Gold futures</w:t>
      </w:r>
    </w:p>
    <w:p>
      <w:r>
        <w:t>Silver futures</w:t>
      </w:r>
    </w:p>
    <w:p>
      <w:r>
        <w:t>Gold ETFs</w:t>
      </w:r>
    </w:p>
    <w:p>
      <w:r>
        <w:t>Silver ETFs</w:t>
      </w:r>
    </w:p>
    <w:p>
      <w:r>
        <w:t>Unallocated gold</w:t>
      </w:r>
    </w:p>
    <w:p>
      <w:r>
        <w:t>Unallocated silver</w:t>
      </w:r>
    </w:p>
    <w:p>
      <w:r>
        <w:t>Gold certificates (unless fully backed and independently verified)</w:t>
      </w:r>
    </w:p>
    <w:p>
      <w:r>
        <w:t>Silver certificates (unless fully backed and independently verified)</w:t>
      </w:r>
    </w:p>
    <w:p>
      <w:r>
        <w:t>Any instrument that does not represent allocated physical bullion</w:t>
      </w:r>
    </w:p>
    <w:p>
      <w:r>
        <w:t>What This Means in Practice:</w:t>
      </w:r>
    </w:p>
    <w:p>
      <w:r>
        <w:t>Only allocated physical bullion is permitted</w:t>
      </w:r>
    </w:p>
    <w:p>
      <w:r>
        <w:t>Derivatives are prohibited</w:t>
      </w:r>
    </w:p>
    <w:p>
      <w:r>
        <w:t>Futures are prohibited</w:t>
      </w:r>
    </w:p>
    <w:p>
      <w:r>
        <w:t>ETFs are prohibited</w:t>
      </w:r>
    </w:p>
    <w:p>
      <w:r>
        <w:t>Unallocated claims are prohibited</w:t>
      </w:r>
    </w:p>
    <w:p>
      <w:r>
        <w:t>All holdings must be verifiable physical metal</w:t>
      </w:r>
    </w:p>
    <w:p>
      <w:r>
        <w:t>Example:</w:t>
      </w:r>
    </w:p>
    <w:p>
      <w:r>
        <w:t>The Institution does not hold gold futures, does not invest in gold ETFs, and does not accept unallocated gold certificates. It holds only allocated physical gold bars that can be independently verified and audited.</w:t>
      </w:r>
    </w:p>
    <w:p>
      <w:r>
        <w:t>Why This Matters:</w:t>
      </w:r>
    </w:p>
    <w:p>
      <w:r>
        <w:t>Derivatives expose the Institution to counterparty risk</w:t>
      </w:r>
    </w:p>
    <w:p>
      <w:r>
        <w:t>Futures expose the Institution to settlement risk</w:t>
      </w:r>
    </w:p>
    <w:p>
      <w:r>
        <w:t>ETFs expose the Institution to third-party risk</w:t>
      </w:r>
    </w:p>
    <w:p>
      <w:r>
        <w:t>Unallocated claims are not physical metal</w:t>
      </w:r>
    </w:p>
    <w:p>
      <w:r>
        <w:t>Only allocated physical bullion provides the ultimate store of value</w:t>
      </w:r>
    </w:p>
    <w:p>
      <w:r>
        <w:t>Allocation Principles</w:t>
      </w:r>
    </w:p>
    <w:p>
      <w:r>
        <w:t>Relative allocation is determined under constitutional liquidity and stability principles by Policy.</w:t>
      </w:r>
    </w:p>
    <w:p>
      <w:r>
        <w:t>What This Means in Practice:</w:t>
      </w:r>
    </w:p>
    <w:p>
      <w:r>
        <w:t>The Constitution establishes that gold is primary and silver is secondary</w:t>
      </w:r>
    </w:p>
    <w:p>
      <w:r>
        <w:t>The Constitution does not establish fixed percentages</w:t>
      </w:r>
    </w:p>
    <w:p>
      <w:r>
        <w:t>Policy determines the specific allocation</w:t>
      </w:r>
    </w:p>
    <w:p>
      <w:r>
        <w:t>Allocation is reviewed and adjusted as needed</w:t>
      </w:r>
    </w:p>
    <w:p>
      <w:r>
        <w:t>Example:</w:t>
      </w:r>
    </w:p>
    <w:p>
      <w:r>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r>
        <w:t>Why This Matters:</w:t>
      </w:r>
    </w:p>
    <w:p>
      <w:r>
        <w:t>Fixed percentages would be arbitrary</w:t>
      </w:r>
    </w:p>
    <w:p>
      <w:r>
        <w:t>Fixed percentages could be inappropriate in changing conditions</w:t>
      </w:r>
    </w:p>
    <w:p>
      <w:r>
        <w:t>Dynamic allocation allows optimization</w:t>
      </w:r>
    </w:p>
    <w:p>
      <w:r>
        <w:t>Constitutional principles guide allocation decisions</w:t>
      </w:r>
    </w:p>
    <w:p>
      <w:r>
        <w:t>Allocation Considerations</w:t>
      </w:r>
    </w:p>
    <w:p>
      <w:r>
        <w:t>Policy shall consider:</w:t>
      </w:r>
    </w:p>
    <w:p>
      <w:pPr>
        <w:pStyle w:val="ListNumber"/>
        <w:ind w:left="425"/>
      </w:pPr>
      <w:r>
        <w:t>Liquidity</w:t>
      </w:r>
    </w:p>
    <w:p>
      <w:r>
        <w:t>Liquidity of gold and silver markets</w:t>
      </w:r>
    </w:p>
    <w:p>
      <w:r>
        <w:t>Ability to trade without market impact</w:t>
      </w:r>
    </w:p>
    <w:p>
      <w:r>
        <w:t>Settlement speed</w:t>
      </w:r>
    </w:p>
    <w:p>
      <w:r>
        <w:t>Market depth</w:t>
      </w:r>
    </w:p>
    <w:p>
      <w:pPr>
        <w:pStyle w:val="ListNumber"/>
        <w:ind w:left="425"/>
      </w:pPr>
      <w:r>
        <w:t>Stability</w:t>
      </w:r>
    </w:p>
    <w:p>
      <w:r>
        <w:t>Price volatility of gold and silver</w:t>
      </w:r>
    </w:p>
    <w:p>
      <w:r>
        <w:t>Correlation with other reserve assets</w:t>
      </w:r>
    </w:p>
    <w:p>
      <w:r>
        <w:t>Diversification benefits</w:t>
      </w:r>
    </w:p>
    <w:p>
      <w:r>
        <w:t>Long-term store of value</w:t>
      </w:r>
    </w:p>
    <w:p>
      <w:pPr>
        <w:pStyle w:val="ListNumber"/>
        <w:ind w:left="425"/>
      </w:pPr>
      <w:r>
        <w:t>Market Conditions</w:t>
      </w:r>
    </w:p>
    <w:p>
      <w:r>
        <w:t>Supply and demand dynamics</w:t>
      </w:r>
    </w:p>
    <w:p>
      <w:r>
        <w:t>Geopolitical considerations</w:t>
      </w:r>
    </w:p>
    <w:p>
      <w:r>
        <w:t>Monetary policy environment</w:t>
      </w:r>
    </w:p>
    <w:p>
      <w:r>
        <w:t>Inflation expectations</w:t>
      </w:r>
    </w:p>
    <w:p>
      <w:pPr>
        <w:pStyle w:val="ListNumber"/>
        <w:ind w:left="425"/>
      </w:pPr>
      <w:r>
        <w:t>Institutional Needs</w:t>
      </w:r>
    </w:p>
    <w:p>
      <w:r>
        <w:t>Redemption requirements</w:t>
      </w:r>
    </w:p>
    <w:p>
      <w:r>
        <w:t>Operational efficiency</w:t>
      </w:r>
    </w:p>
    <w:p>
      <w:r>
        <w:t>Custody considerations</w:t>
      </w:r>
    </w:p>
    <w:p>
      <w:r>
        <w:t>Regulatory requirements</w:t>
      </w:r>
    </w:p>
    <w:p>
      <w:r>
        <w:t>Allocation Range Framework</w:t>
      </w:r>
    </w:p>
    <w:p>
      <w:r>
        <w:t>Note: These ranges are illustrative. The actual ranges are determined by Policy within constitutional constraints. Gold remains the primary monetary metal; silver remains secondary.</w:t>
      </w:r>
    </w:p>
    <w:p>
      <w:r>
        <w:t>Independent Verification</w:t>
      </w:r>
    </w:p>
    <w:p>
      <w:r>
        <w:t>All monetary metal holdings shall be independently verified:</w:t>
      </w:r>
    </w:p>
    <w:p>
      <w:r>
        <w:t>Constitutional Interpretation</w:t>
      </w:r>
    </w:p>
    <w:p>
      <w:r>
        <w:t>Gold is the primary monetary metal of the Institution. Silver is the secondary monetary metal.</w:t>
      </w:r>
    </w:p>
    <w:p>
      <w: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
        <w:t>[END OF ARTICLE IV — MONETARY METALS]</w:t>
      </w:r>
    </w:p>
    <w:p>
      <w:r>
        <w:t>Article V: Currency Framework</w:t>
      </w:r>
    </w:p>
    <w:p>
      <w:r>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r>
        <w:t>What This Means in Practice:</w:t>
      </w:r>
    </w:p>
    <w:p>
      <w:r>
        <w:t>No currency names are embedded in the Constitution</w:t>
      </w:r>
    </w:p>
    <w:p>
      <w:r>
        <w:t>Eligibility is determined through objective criteria</w:t>
      </w:r>
    </w:p>
    <w:p>
      <w:r>
        <w:t>The Monetary Engine determines weights</w:t>
      </w:r>
    </w:p>
    <w:p>
      <w:r>
        <w:t>Concentration limits prevent over-reliance on any single currency</w:t>
      </w:r>
    </w:p>
    <w:p>
      <w:r>
        <w:t>The framework is politically neutral and algorithmically determined</w:t>
      </w:r>
    </w:p>
    <w:p>
      <w:r>
        <w:t>Example:</w:t>
      </w:r>
    </w:p>
    <w:p>
      <w:r>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r>
        <w:t>Why This Matters:</w:t>
      </w:r>
    </w:p>
    <w:p>
      <w:r>
        <w:t>Without a currency framework, currency selection is arbitrary</w:t>
      </w:r>
    </w:p>
    <w:p>
      <w:r>
        <w:t>Without a currency framework, political considerations could influence selection</w:t>
      </w:r>
    </w:p>
    <w:p>
      <w:r>
        <w:t>Without a currency framework, the basket could become outdated</w:t>
      </w:r>
    </w:p>
    <w:p>
      <w:r>
        <w:t>Without a currency framework, the Institution would lack neutrality</w:t>
      </w:r>
    </w:p>
    <w:p>
      <w:r>
        <w:t>Objective criteria ensure the basket reflects global economic reality</w:t>
      </w:r>
    </w:p>
    <w:p>
      <w:r>
        <w:t>Core Principles</w:t>
      </w:r>
    </w:p>
    <w:p>
      <w:pPr>
        <w:pStyle w:val="ListNumber"/>
        <w:ind w:left="425"/>
      </w:pPr>
      <w:r>
        <w:t>No Currency Names in the Constitution</w:t>
      </w:r>
    </w:p>
    <w:p>
      <w:r>
        <w:t>The Constitution shall not name specific currencies.</w:t>
      </w:r>
    </w:p>
    <w:p>
      <w:r>
        <w:t>What This Means in Practice:</w:t>
      </w:r>
    </w:p>
    <w:p>
      <w:r>
        <w:t>The Constitution does not mention the US dollar, euro, yuan, yen, pound, or any other specific currency</w:t>
      </w:r>
    </w:p>
    <w:p>
      <w:r>
        <w:t>The Constitution refers to currencies by their characteristics, not their names</w:t>
      </w:r>
    </w:p>
    <w:p>
      <w:r>
        <w:t>The Constitution establishes criteria, not a fixed list</w:t>
      </w:r>
    </w:p>
    <w:p>
      <w:r>
        <w:t>The basket evolves as currencies meet or fail to meet criteria</w:t>
      </w:r>
    </w:p>
    <w:p>
      <w:r>
        <w:t>Example:</w:t>
      </w:r>
    </w:p>
    <w:p>
      <w:r>
        <w:t>The Constitution does not state that "the basket shall include the US dollar." It states that "currencies that meet the eligibility criteria shall be included." This allows the basket to evolve without constitutional amendment.</w:t>
      </w:r>
    </w:p>
    <w:p>
      <w:r>
        <w:t>Why This Matters:</w:t>
      </w:r>
    </w:p>
    <w:p>
      <w:r>
        <w:t>Named currencies would require constitutional amendments to change</w:t>
      </w:r>
    </w:p>
    <w:p>
      <w:r>
        <w:t>Named currencies would embed political choices</w:t>
      </w:r>
    </w:p>
    <w:p>
      <w:r>
        <w:t>Named currencies would become outdated</w:t>
      </w:r>
    </w:p>
    <w:p>
      <w:r>
        <w:t>Named currencies would undermine neutrality</w:t>
      </w:r>
    </w:p>
    <w:p>
      <w:pPr>
        <w:pStyle w:val="ListNumber"/>
        <w:ind w:left="425"/>
      </w:pPr>
      <w:r>
        <w:t>Objective Eligibility Criteria</w:t>
      </w:r>
    </w:p>
    <w:p>
      <w:r>
        <w:t>Eligibility is determined through objective, measurable criteria.</w:t>
      </w:r>
    </w:p>
    <w:p>
      <w:r>
        <w:t>What This Means in Practice:</w:t>
      </w:r>
    </w:p>
    <w:p>
      <w:r>
        <w:t>Eligibility criteria are defined</w:t>
      </w:r>
    </w:p>
    <w:p>
      <w:r>
        <w:t>Criteria are measurable</w:t>
      </w:r>
    </w:p>
    <w:p>
      <w:r>
        <w:t>Criteria are applied uniformly</w:t>
      </w:r>
    </w:p>
    <w:p>
      <w:r>
        <w:t>Criteria are reviewed regularly</w:t>
      </w:r>
    </w:p>
    <w:p>
      <w:r>
        <w:t>Example:</w:t>
      </w:r>
    </w:p>
    <w:p>
      <w:r>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r>
        <w:t>Why This Matters:</w:t>
      </w:r>
    </w:p>
    <w:p>
      <w:r>
        <w:t>Objective criteria prevent arbitrary selection</w:t>
      </w:r>
    </w:p>
    <w:p>
      <w:r>
        <w:t>Objective criteria ensure fairness</w:t>
      </w:r>
    </w:p>
    <w:p>
      <w:r>
        <w:t>Objective criteria enable transparency</w:t>
      </w:r>
    </w:p>
    <w:p>
      <w:r>
        <w:t>Objective criteria facilitate auditability</w:t>
      </w:r>
    </w:p>
    <w:p>
      <w:pPr>
        <w:pStyle w:val="ListNumber"/>
        <w:ind w:left="425"/>
      </w:pPr>
      <w:r>
        <w:t>Monetary Engine Determines Weights</w:t>
      </w:r>
    </w:p>
    <w:p>
      <w:r>
        <w:t>Weights are determined algorithmically, not politically.</w:t>
      </w:r>
    </w:p>
    <w:p>
      <w:r>
        <w:t>What This Means in Practice:</w:t>
      </w:r>
    </w:p>
    <w:p>
      <w:r>
        <w:t>The Monetary Engine calculates weights based on data</w:t>
      </w:r>
    </w:p>
    <w:p>
      <w:r>
        <w:t>Weights are objective and transparent</w:t>
      </w:r>
    </w:p>
    <w:p>
      <w:r>
        <w:t>Weights are updated regularly</w:t>
      </w:r>
    </w:p>
    <w:p>
      <w:r>
        <w:t>Weights are not subject to political influence</w:t>
      </w:r>
    </w:p>
    <w:p>
      <w:r>
        <w:t>Example:</w:t>
      </w:r>
    </w:p>
    <w:p>
      <w:r>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r>
        <w:t>Why This Matters:</w:t>
      </w:r>
    </w:p>
    <w:p>
      <w:r>
        <w:t>Political weighting would undermine neutrality</w:t>
      </w:r>
    </w:p>
    <w:p>
      <w:r>
        <w:t>Political weighting would invite manipulation</w:t>
      </w:r>
    </w:p>
    <w:p>
      <w:r>
        <w:t>Political weighting would reduce trust</w:t>
      </w:r>
    </w:p>
    <w:p>
      <w:r>
        <w:t>Algorithmic weighting ensures objectivity</w:t>
      </w:r>
    </w:p>
    <w:p>
      <w:pPr>
        <w:pStyle w:val="ListNumber"/>
        <w:ind w:left="425"/>
      </w:pPr>
      <w:r>
        <w:t>Concentration Limits</w:t>
      </w:r>
    </w:p>
    <w:p>
      <w:r>
        <w:t>Concentration limits prevent over-reliance on any single currency.</w:t>
      </w:r>
    </w:p>
    <w:p>
      <w:r>
        <w:t>What This Means in Practice:</w:t>
      </w:r>
    </w:p>
    <w:p>
      <w:r>
        <w:t>No single currency can dominate the basket</w:t>
      </w:r>
    </w:p>
    <w:p>
      <w:r>
        <w:t>Concentration limits are established</w:t>
      </w:r>
    </w:p>
    <w:p>
      <w:r>
        <w:t>Limits are enforced algorithmically</w:t>
      </w:r>
    </w:p>
    <w:p>
      <w:r>
        <w:t>Limits promote diversification</w:t>
      </w:r>
    </w:p>
    <w:p>
      <w:r>
        <w:t>Example:</w:t>
      </w:r>
    </w:p>
    <w:p>
      <w:r>
        <w:t>A concentration limit of 60% is established. No currency can exceed 60% of the basket, regardless of its share of reserves or trade. If a currency would exceed the limit, its weight is capped and redistributed to other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Currency Eligibility Criteria</w:t>
      </w:r>
    </w:p>
    <w:p>
      <w:r>
        <w:t>Currencies must meet the following objective criteria for inclusion:</w:t>
      </w:r>
    </w:p>
    <w:p>
      <w:pPr>
        <w:pStyle w:val="ListNumber"/>
        <w:ind w:left="425"/>
      </w:pPr>
      <w:r>
        <w:t>Convertibility</w:t>
      </w:r>
    </w:p>
    <w:p>
      <w:r>
        <w:t>The currency must be freely convertible.</w:t>
      </w:r>
    </w:p>
    <w:p>
      <w:r>
        <w:t>What This Means in Practice:</w:t>
      </w:r>
    </w:p>
    <w:p>
      <w:r>
        <w:t>The currency can be exchanged for other currencies without material restriction</w:t>
      </w:r>
    </w:p>
    <w:p>
      <w:r>
        <w:t>The currency is not subject to capital controls</w:t>
      </w:r>
    </w:p>
    <w:p>
      <w:r>
        <w:t>The currency has a functioning spot market</w:t>
      </w:r>
    </w:p>
    <w:p>
      <w:r>
        <w:t>The currency can be used for international transactions</w:t>
      </w:r>
    </w:p>
    <w:p>
      <w:r>
        <w:t>Example:</w:t>
      </w:r>
    </w:p>
    <w:p>
      <w:r>
        <w:t>A currency with capital controls that restrict conversion is not eligible. A currency with a functioning spot market and no material restrictions on conversion is eligible. Convertibility is essential for settlement use.</w:t>
      </w:r>
    </w:p>
    <w:p>
      <w:r>
        <w:t>Why This Matters:</w:t>
      </w:r>
    </w:p>
    <w:p>
      <w:r>
        <w:t>Non-convertible currencies cannot be used for settlement</w:t>
      </w:r>
    </w:p>
    <w:p>
      <w:r>
        <w:t>Non-convertible currencies cannot be held as reserves</w:t>
      </w:r>
    </w:p>
    <w:p>
      <w:r>
        <w:t>Convertibility is essential for the settlement unit's function</w:t>
      </w:r>
    </w:p>
    <w:p>
      <w:r>
        <w:t>Measurement:</w:t>
      </w:r>
    </w:p>
    <w:p>
      <w:r>
        <w:t>IMF classification (freely usable)</w:t>
      </w:r>
    </w:p>
    <w:p>
      <w:r>
        <w:t>Absence of capital controls</w:t>
      </w:r>
    </w:p>
    <w:p>
      <w:r>
        <w:t>Functioning spot market</w:t>
      </w:r>
    </w:p>
    <w:p>
      <w:r>
        <w:t>International usage</w:t>
      </w:r>
    </w:p>
    <w:p>
      <w:pPr>
        <w:pStyle w:val="ListNumber"/>
        <w:ind w:left="425"/>
      </w:pPr>
      <w:r>
        <w:t>Liquidity</w:t>
      </w:r>
    </w:p>
    <w:p>
      <w:r>
        <w:t>The currency must have sufficient market liquidity.</w:t>
      </w:r>
    </w:p>
    <w:p>
      <w:r>
        <w:t>What This Means in Practice:</w:t>
      </w:r>
    </w:p>
    <w:p>
      <w:r>
        <w:t>The currency has deep and liquid markets</w:t>
      </w:r>
    </w:p>
    <w:p>
      <w:r>
        <w:t>The currency can be traded without excessive spread or slippage</w:t>
      </w:r>
    </w:p>
    <w:p>
      <w:r>
        <w:t>The currency has sufficient trading volume</w:t>
      </w:r>
    </w:p>
    <w:p>
      <w:r>
        <w:t>The currency has active market makers</w:t>
      </w:r>
    </w:p>
    <w:p>
      <w:r>
        <w:t>Example:</w:t>
      </w:r>
    </w:p>
    <w:p>
      <w:r>
        <w:t>A currency with low trading volume and wide spreads is not eligible. A currency with deep markets, tight spreads, and high trading volume is eligible. Liquidity is essential for settlement operations.</w:t>
      </w:r>
    </w:p>
    <w:p>
      <w:r>
        <w:t>Why This Matters:</w:t>
      </w:r>
    </w:p>
    <w:p>
      <w:r>
        <w:t>Illiquid currencies cannot be settled efficiently</w:t>
      </w:r>
    </w:p>
    <w:p>
      <w:r>
        <w:t>Illiquid currencies create operational risk</w:t>
      </w:r>
    </w:p>
    <w:p>
      <w:r>
        <w:t>Liquidity is essential for the Institution's function</w:t>
      </w:r>
    </w:p>
    <w:p>
      <w:r>
        <w:t>Measurement:</w:t>
      </w:r>
    </w:p>
    <w:p>
      <w:r>
        <w:t>Trading volume</w:t>
      </w:r>
    </w:p>
    <w:p>
      <w:r>
        <w:t>Bid-ask spread</w:t>
      </w:r>
    </w:p>
    <w:p>
      <w:r>
        <w:t>Market depth</w:t>
      </w:r>
    </w:p>
    <w:p>
      <w:r>
        <w:t>Liquidity resilience</w:t>
      </w:r>
    </w:p>
    <w:p>
      <w:pPr>
        <w:pStyle w:val="ListNumber"/>
        <w:ind w:left="425"/>
      </w:pPr>
      <w:r>
        <w:t>Reserve Usage</w:t>
      </w:r>
    </w:p>
    <w:p>
      <w:r>
        <w:t>The currency must be held as a reserve asset by central banks.</w:t>
      </w:r>
    </w:p>
    <w:p>
      <w:r>
        <w:t>What This Means in Practice:</w:t>
      </w:r>
    </w:p>
    <w:p>
      <w:r>
        <w:t>The currency appears in COFER (IMF Composition of Official Foreign Exchange Reserves)</w:t>
      </w:r>
    </w:p>
    <w:p>
      <w:r>
        <w:t>The currency is held by multiple central banks</w:t>
      </w:r>
    </w:p>
    <w:p>
      <w:r>
        <w:t>The currency has significant reserve share</w:t>
      </w:r>
    </w:p>
    <w:p>
      <w:r>
        <w:t>The currency is used as a reserve asset</w:t>
      </w:r>
    </w:p>
    <w:p>
      <w:r>
        <w:t>Example:</w:t>
      </w:r>
    </w:p>
    <w:p>
      <w:r>
        <w:t>A currency that is not held as a reserve asset is not eligible. A currency that appears in COFER and is held by multiple central banks is eligible. Reserve usage indicates institutional trust.</w:t>
      </w:r>
    </w:p>
    <w:p>
      <w:r>
        <w:t>Why This Matters:</w:t>
      </w:r>
    </w:p>
    <w:p>
      <w:r>
        <w:t>Reserve usage indicates institutional acceptance</w:t>
      </w:r>
    </w:p>
    <w:p>
      <w:r>
        <w:t>Reserve usage provides demand and liquidity</w:t>
      </w:r>
    </w:p>
    <w:p>
      <w:r>
        <w:t>Reserve usage is essential for the settlement unit's function</w:t>
      </w:r>
    </w:p>
    <w:p>
      <w:r>
        <w:t>Measurement:</w:t>
      </w:r>
    </w:p>
    <w:p>
      <w:r>
        <w:t>COFER share</w:t>
      </w:r>
    </w:p>
    <w:p>
      <w:r>
        <w:t>Number of central banks holding the currency</w:t>
      </w:r>
    </w:p>
    <w:p>
      <w:r>
        <w:t>Reserve share trend</w:t>
      </w:r>
    </w:p>
    <w:p>
      <w:r>
        <w:t>Reserve usage diversity</w:t>
      </w:r>
    </w:p>
    <w:p>
      <w:pPr>
        <w:pStyle w:val="ListNumber"/>
        <w:ind w:left="425"/>
      </w:pPr>
      <w:r>
        <w:t>Trade Share</w:t>
      </w:r>
    </w:p>
    <w:p>
      <w:r>
        <w:t>The currency must be used in international trade settlement.</w:t>
      </w:r>
    </w:p>
    <w:p>
      <w:r>
        <w:t>What This Means in Practice:</w:t>
      </w:r>
    </w:p>
    <w:p>
      <w:r>
        <w:t>The currency appears in SWIFT trade data</w:t>
      </w:r>
    </w:p>
    <w:p>
      <w:r>
        <w:t>The currency is used for invoicing trade</w:t>
      </w:r>
    </w:p>
    <w:p>
      <w:r>
        <w:t>The currency is used for trade settlement</w:t>
      </w:r>
    </w:p>
    <w:p>
      <w:r>
        <w:t>The currency has significant trade share</w:t>
      </w:r>
    </w:p>
    <w:p>
      <w:r>
        <w:t>Example:</w:t>
      </w:r>
    </w:p>
    <w:p>
      <w:r>
        <w:t>A currency that is not used for trade settlement is not eligible. A currency that appears in SWIFT trade data and is used for invoicing trade is eligible. Trade share indicates practical utility.</w:t>
      </w:r>
    </w:p>
    <w:p>
      <w:r>
        <w:t>Why This Matters:</w:t>
      </w:r>
    </w:p>
    <w:p>
      <w:r>
        <w:t>Trade share indicates practical utility</w:t>
      </w:r>
    </w:p>
    <w:p>
      <w:r>
        <w:t>Trade share provides demand</w:t>
      </w:r>
    </w:p>
    <w:p>
      <w:r>
        <w:t>Trade share is essential for the settlement unit's function</w:t>
      </w:r>
    </w:p>
    <w:p>
      <w:r>
        <w:t>Measurement:</w:t>
      </w:r>
    </w:p>
    <w:p>
      <w:r>
        <w:t>SWIFT trade share</w:t>
      </w:r>
    </w:p>
    <w:p>
      <w:r>
        <w:t>Trade invoicing data</w:t>
      </w:r>
    </w:p>
    <w:p>
      <w:r>
        <w:t>Trade settlement data</w:t>
      </w:r>
    </w:p>
    <w:p>
      <w:r>
        <w:t>Trade share trend</w:t>
      </w:r>
    </w:p>
    <w:p>
      <w:pPr>
        <w:pStyle w:val="ListNumber"/>
        <w:ind w:left="425"/>
      </w:pPr>
      <w:r>
        <w:t>Market Depth</w:t>
      </w:r>
    </w:p>
    <w:p>
      <w:r>
        <w:t>The currency must have sufficient market depth.</w:t>
      </w:r>
    </w:p>
    <w:p>
      <w:r>
        <w:t>What This Means in Practice:</w:t>
      </w:r>
    </w:p>
    <w:p>
      <w:r>
        <w:t>The currency has deep and resilient markets</w:t>
      </w:r>
    </w:p>
    <w:p>
      <w:r>
        <w:t>The currency can absorb large trades without material impact</w:t>
      </w:r>
    </w:p>
    <w:p>
      <w:r>
        <w:t>The currency has multiple liquidity providers</w:t>
      </w:r>
    </w:p>
    <w:p>
      <w:r>
        <w:t>The currency has diverse market participants</w:t>
      </w:r>
    </w:p>
    <w:p>
      <w:r>
        <w:t>Example:</w:t>
      </w:r>
    </w:p>
    <w:p>
      <w:r>
        <w:t>A currency with shallow markets and limited participants is not eligible.</w:t>
      </w:r>
    </w:p>
    <w:p>
      <w:r>
        <w:t>A currency with deep markets, multiple liquidity providers, and diverse participants is eligible.</w:t>
      </w:r>
    </w:p>
    <w:p>
      <w:r>
        <w:t>Market depth is essential for settlement operations.</w:t>
      </w:r>
    </w:p>
    <w:p>
      <w:r>
        <w:t>Why This Matters:</w:t>
      </w:r>
    </w:p>
    <w:p>
      <w:r>
        <w:t>Shallow markets create execution risk</w:t>
      </w:r>
    </w:p>
    <w:p>
      <w:r>
        <w:t>Shallow markets increase costs</w:t>
      </w:r>
    </w:p>
    <w:p>
      <w:r>
        <w:t>Market depth is essential for institutional settlement</w:t>
      </w:r>
    </w:p>
    <w:p>
      <w:r>
        <w:t>Measurement:</w:t>
      </w:r>
    </w:p>
    <w:p>
      <w:r>
        <w:t>Order book depth</w:t>
      </w:r>
    </w:p>
    <w:p>
      <w:r>
        <w:t>Daily trading volume</w:t>
      </w:r>
    </w:p>
    <w:p>
      <w:r>
        <w:t>Number of market participants</w:t>
      </w:r>
    </w:p>
    <w:p>
      <w:r>
        <w:t>Resilience during stress</w:t>
      </w:r>
    </w:p>
    <w:p>
      <w:pPr>
        <w:pStyle w:val="ListNumber"/>
        <w:ind w:left="425"/>
      </w:pPr>
      <w:r>
        <w:t>Resilience</w:t>
      </w:r>
    </w:p>
    <w:p>
      <w:r>
        <w:t>The currency must demonstrate resilience during stress.</w:t>
      </w:r>
    </w:p>
    <w:p>
      <w:r>
        <w:t>What This Means in Practice:</w:t>
      </w:r>
    </w:p>
    <w:p>
      <w:r>
        <w:t>The currency maintains stability during crises</w:t>
      </w:r>
    </w:p>
    <w:p>
      <w:r>
        <w:t>The currency does not experience excessive volatility</w:t>
      </w:r>
    </w:p>
    <w:p>
      <w:r>
        <w:t>The currency has maintained functionality during stress</w:t>
      </w:r>
    </w:p>
    <w:p>
      <w:r>
        <w:t>The currency has demonstrated institutional resilience</w:t>
      </w:r>
    </w:p>
    <w:p>
      <w:r>
        <w:t>Example:</w:t>
      </w:r>
    </w:p>
    <w:p>
      <w:r>
        <w:t>A currency that experienced excessive volatility and dysfunction during a crisis is not eligible. A currency that maintained stability and functionality during crises is eligible. Resilience indicates reliability.</w:t>
      </w:r>
    </w:p>
    <w:p>
      <w:r>
        <w:t>Why This Matters:</w:t>
      </w:r>
    </w:p>
    <w:p>
      <w:r>
        <w:t>Non-resilient currencies create risk</w:t>
      </w:r>
    </w:p>
    <w:p>
      <w:r>
        <w:t>Non-resilient currencies undermine stability</w:t>
      </w:r>
    </w:p>
    <w:p>
      <w:r>
        <w:t>Resilience is essential for the settlement unit's function</w:t>
      </w:r>
    </w:p>
    <w:p>
      <w:r>
        <w:t>Measurement:</w:t>
      </w:r>
    </w:p>
    <w:p>
      <w:r>
        <w:t>Volatility during crises</w:t>
      </w:r>
    </w:p>
    <w:p>
      <w:r>
        <w:t>Functionality during stress</w:t>
      </w:r>
    </w:p>
    <w:p>
      <w:r>
        <w:t>Recovery from shocks</w:t>
      </w:r>
    </w:p>
    <w:p>
      <w:r>
        <w:t>Long-term stability</w:t>
      </w:r>
    </w:p>
    <w:p>
      <w:pPr>
        <w:pStyle w:val="ListNumber"/>
        <w:ind w:left="425"/>
      </w:pPr>
      <w:r>
        <w:t>Legal Accessibility</w:t>
      </w:r>
    </w:p>
    <w:p>
      <w:r>
        <w:t>The currency must be legally accessible to market participants.</w:t>
      </w:r>
    </w:p>
    <w:p>
      <w:r>
        <w:t>What This Means in Practice:</w:t>
      </w:r>
    </w:p>
    <w:p>
      <w:r>
        <w:t>The currency can be held and transferred without legal restriction</w:t>
      </w:r>
    </w:p>
    <w:p>
      <w:r>
        <w:t>The currency is not subject to material legal barriers</w:t>
      </w:r>
    </w:p>
    <w:p>
      <w:r>
        <w:t>The currency can be used for settlement operations</w:t>
      </w:r>
    </w:p>
    <w:p>
      <w:r>
        <w:t>The currency has clear legal status</w:t>
      </w:r>
    </w:p>
    <w:p>
      <w:r>
        <w:t>Example:</w:t>
      </w:r>
    </w:p>
    <w:p>
      <w:r>
        <w:t>A currency with legal restrictions on foreign holdings is not eligible. A currency that can be freely held and transferred by market participants is eligible. Legal accessibility is essential for settlement operations.</w:t>
      </w:r>
    </w:p>
    <w:p>
      <w:r>
        <w:t>Why This Matters:</w:t>
      </w:r>
    </w:p>
    <w:p>
      <w:r>
        <w:t>Legal barriers prevent usage</w:t>
      </w:r>
    </w:p>
    <w:p>
      <w:r>
        <w:t>Legal barriers create operational risk</w:t>
      </w:r>
    </w:p>
    <w:p>
      <w:r>
        <w:t>Legal accessibility is essential for the Institution's function</w:t>
      </w:r>
    </w:p>
    <w:p>
      <w:r>
        <w:t>Measurement:</w:t>
      </w:r>
    </w:p>
    <w:p>
      <w:r>
        <w:t>Legal status</w:t>
      </w:r>
    </w:p>
    <w:p>
      <w:r>
        <w:t>Foreign holdings restrictions</w:t>
      </w:r>
    </w:p>
    <w:p>
      <w:r>
        <w:t>Transfer restrictions</w:t>
      </w:r>
    </w:p>
    <w:p>
      <w:r>
        <w:t>Legal clarity</w:t>
      </w:r>
    </w:p>
    <w:p>
      <w:r>
        <w:t>Currency Eligibility Summary</w:t>
      </w:r>
    </w:p>
    <w:p>
      <w:r>
        <w:t>The Monetary Engine</w:t>
      </w:r>
    </w:p>
    <w:p>
      <w:r>
        <w:t>The Monetary Engine determines currency weights algorithmically.</w:t>
      </w:r>
    </w:p>
    <w:p>
      <w:r>
        <w:t>Components</w:t>
      </w:r>
    </w:p>
    <w:p>
      <w:pPr>
        <w:pStyle w:val="ListNumber"/>
        <w:ind w:left="425"/>
      </w:pPr>
      <w:r>
        <w:t>Structural Weighting</w:t>
      </w:r>
    </w:p>
    <w:p>
      <w:r>
        <w:t>What This Means in Practice:</w:t>
      </w:r>
    </w:p>
    <w:p>
      <w:r>
        <w:t>Weights are based on objective structural data</w:t>
      </w:r>
    </w:p>
    <w:p>
      <w:r>
        <w:t>Data sources are transparent and auditable</w:t>
      </w:r>
    </w:p>
    <w:p>
      <w:r>
        <w:t>Data is updated regularly</w:t>
      </w:r>
    </w:p>
    <w:p>
      <w:r>
        <w:t>Weights reflect current economic reality</w:t>
      </w:r>
    </w:p>
    <w:p>
      <w:r>
        <w:t>Data Sources:</w:t>
      </w:r>
    </w:p>
    <w:p>
      <w:r>
        <w:t>COFER (IMF Composition of Official Foreign Exchange Reserves)</w:t>
      </w:r>
    </w:p>
    <w:p>
      <w:r>
        <w:t>SWIFT (trade-related payment messages)</w:t>
      </w:r>
    </w:p>
    <w:p>
      <w:r>
        <w:t>BIS (Bank for International Settlements) data</w:t>
      </w:r>
    </w:p>
    <w:p>
      <w:r>
        <w:t>Other objective, verifiable data sources</w:t>
      </w:r>
    </w:p>
    <w:p>
      <w:r>
        <w:t>Example:</w:t>
      </w:r>
    </w:p>
    <w:p>
      <w:r>
        <w:t>The Monetary Engine weights currencies based on a 50/50 weighting of COFER share and SWIFT trade share. This ensures the basket reflects both reserve accumulation and trade settlement flows.</w:t>
      </w:r>
    </w:p>
    <w:p>
      <w:pPr>
        <w:pStyle w:val="ListNumber"/>
        <w:ind w:left="425"/>
      </w:pPr>
      <w:r>
        <w:t>Bounded Momentum</w:t>
      </w:r>
    </w:p>
    <w:p>
      <w:r>
        <w:t>What This Means in Practice:</w:t>
      </w:r>
    </w:p>
    <w:p>
      <w:r>
        <w:t>A momentum factor is applied to structural weights</w:t>
      </w:r>
    </w:p>
    <w:p>
      <w:r>
        <w:t>The momentum factor is bounded to prevent amplification</w:t>
      </w:r>
    </w:p>
    <w:p>
      <w:r>
        <w:t>The factor reflects recent currency performance</w:t>
      </w:r>
    </w:p>
    <w:p>
      <w:r>
        <w:t>The factor is capped to prevent excessive adjustment</w:t>
      </w:r>
    </w:p>
    <w:p>
      <w:r>
        <w:t>Example:</w:t>
      </w:r>
    </w:p>
    <w:p>
      <w:r>
        <w:t>A currency that has appreciated against other currencies receives a modest positive momentum adjustment. The adjustment is capped at 5% to prevent excessive movement. This prevents the algorithm from amplifying short-term trends.</w:t>
      </w:r>
    </w:p>
    <w:p>
      <w:r>
        <w:t>Why This Matters:</w:t>
      </w:r>
    </w:p>
    <w:p>
      <w:r>
        <w:t>Unbounded momentum could amplify cycles</w:t>
      </w:r>
    </w:p>
    <w:p>
      <w:r>
        <w:t>Unbounded momentum could create instability</w:t>
      </w:r>
    </w:p>
    <w:p>
      <w:r>
        <w:t>Bounded momentum provides stability while allowing adaptation</w:t>
      </w:r>
    </w:p>
    <w:p>
      <w:pPr>
        <w:pStyle w:val="ListNumber"/>
        <w:ind w:left="425"/>
      </w:pPr>
      <w:r>
        <w:t>Mean Reversion</w:t>
      </w:r>
    </w:p>
    <w:p>
      <w:r>
        <w:t>What This Means in Practice:</w:t>
      </w:r>
    </w:p>
    <w:p>
      <w:r>
        <w:t>Weights are gently pulled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A currency that has been persistently underweighted is gently increased toward its long-term average. Mean reversion prevents permanent divergence.</w:t>
      </w:r>
    </w:p>
    <w:p>
      <w:r>
        <w:t>Why This Matters:</w:t>
      </w:r>
    </w:p>
    <w:p>
      <w:r>
        <w:t>Without mean reversion, weights could drift indefinitely</w:t>
      </w:r>
    </w:p>
    <w:p>
      <w:r>
        <w:t>Without mean reversion, the basket could become unbalanced</w:t>
      </w:r>
    </w:p>
    <w:p>
      <w:r>
        <w:t>Mean reversion provides stability</w:t>
      </w:r>
    </w:p>
    <w:p>
      <w:pPr>
        <w:pStyle w:val="ListNumber"/>
        <w:ind w:left="425"/>
      </w:pPr>
      <w:r>
        <w:t>Macro Overlays</w:t>
      </w:r>
    </w:p>
    <w:p>
      <w:r>
        <w:t>What This Means in Practice:</w:t>
      </w:r>
    </w:p>
    <w:p>
      <w:r>
        <w:t>Emergency adjustments are possible</w:t>
      </w:r>
    </w:p>
    <w:p>
      <w:r>
        <w:t>Adjustments are bounded and time-limited</w:t>
      </w:r>
    </w:p>
    <w:p>
      <w:r>
        <w:t>Council approval is required</w:t>
      </w:r>
    </w:p>
    <w:p>
      <w:r>
        <w:t>Justification is required</w:t>
      </w:r>
    </w:p>
    <w:p>
      <w:r>
        <w:t>Example:</w:t>
      </w:r>
    </w:p>
    <w:p>
      <w:r>
        <w:t>During a severe currency crisis, the Council may approve a macro overlay that temporarily adjusts a currency's weight. The overlay is bounded (limited to 10% adjustment), time-limited (30 days), and requires justification. The overlay is published and reviewed.</w:t>
      </w:r>
    </w:p>
    <w:p>
      <w:r>
        <w:t>Why This Matters:</w:t>
      </w:r>
    </w:p>
    <w:p>
      <w:r>
        <w:t>Extraordinary circumstances may require extraordinary responses</w:t>
      </w:r>
    </w:p>
    <w:p>
      <w:r>
        <w:t>Macro overlays provide flexibility</w:t>
      </w:r>
    </w:p>
    <w:p>
      <w:r>
        <w:t>Bounds and limits prevent abuse</w:t>
      </w:r>
    </w:p>
    <w:p>
      <w:pPr>
        <w:pStyle w:val="ListNumber"/>
        <w:ind w:left="425"/>
      </w:pPr>
      <w:r>
        <w:t>Shock Absorber</w:t>
      </w:r>
    </w:p>
    <w:p>
      <w:r>
        <w:t>What This Means in Practice:</w:t>
      </w:r>
    </w:p>
    <w:p>
      <w:r>
        <w:t>Weight adjustments are capped during high volatility</w:t>
      </w:r>
    </w:p>
    <w:p>
      <w:r>
        <w:t>This prevents excessive adjustment</w:t>
      </w:r>
    </w:p>
    <w:p>
      <w:r>
        <w:t>This maintains stability</w:t>
      </w:r>
    </w:p>
    <w:p>
      <w:r>
        <w:t>This prevents pro-cyclicality</w:t>
      </w:r>
    </w:p>
    <w:p>
      <w:r>
        <w:t>Example:</w:t>
      </w:r>
    </w:p>
    <w:p>
      <w:r>
        <w:t>During a period of high currency volatility, the shock absorber caps weight adjustments at half the normal rate. This prevents the algorithm from amplifying market movements.</w:t>
      </w:r>
    </w:p>
    <w:p>
      <w:r>
        <w:t>Why This Matters:</w:t>
      </w:r>
    </w:p>
    <w:p>
      <w:r>
        <w:t>High volatility could cause excessive adjustments</w:t>
      </w:r>
    </w:p>
    <w:p>
      <w:r>
        <w:t>Excessive adjustments could create instability</w:t>
      </w:r>
    </w:p>
    <w:p>
      <w:r>
        <w:t>The shock absorber provides stability</w:t>
      </w:r>
    </w:p>
    <w:p>
      <w:r>
        <w:t>Concentration Limits</w:t>
      </w:r>
    </w:p>
    <w:p>
      <w:r>
        <w:t>Concentration limits prevent over-reliance on any single currency:</w:t>
      </w:r>
    </w:p>
    <w:p>
      <w:r>
        <w:t>Single Currency Limit</w:t>
      </w:r>
    </w:p>
    <w:p>
      <w:r>
        <w:t>No single currency shall exceed the Policy-defined concentration limit.</w:t>
      </w:r>
    </w:p>
    <w:p>
      <w:r>
        <w:t>What This Means in Practice:</w:t>
      </w:r>
    </w:p>
    <w:p>
      <w:r>
        <w:t>A maximum percentage is established</w:t>
      </w:r>
    </w:p>
    <w:p>
      <w:r>
        <w:t>No currency can exceed this maximum</w:t>
      </w:r>
    </w:p>
    <w:p>
      <w:r>
        <w:t>If a currency would exceed the limit, its weight is capped</w:t>
      </w:r>
    </w:p>
    <w:p>
      <w:r>
        <w:t>The excess weight is redistributed to other currencies</w:t>
      </w:r>
    </w:p>
    <w:p>
      <w:r>
        <w:t>Example:</w:t>
      </w:r>
    </w:p>
    <w:p>
      <w:r>
        <w:t>The concentration limit is set at 60%. The US dollar's structural weight is 62%. The Monetary Engine caps the dollar at 60% and redistributes the 2% excess to other currencies proportionally.</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Group Concentration Limit</w:t>
      </w:r>
    </w:p>
    <w:p>
      <w:r>
        <w:t>A defined group of related currencies shall not exceed a defined concentration limit.</w:t>
      </w:r>
    </w:p>
    <w:p>
      <w:r>
        <w:t>What This Means in Practice:</w:t>
      </w:r>
    </w:p>
    <w:p>
      <w:r>
        <w:t>A group limit applies to currencies with similar characteristics</w:t>
      </w:r>
    </w:p>
    <w:p>
      <w:r>
        <w:t>The limit prevents regional concentration</w:t>
      </w:r>
    </w:p>
    <w:p>
      <w:r>
        <w:t>The limit promotes diversification</w:t>
      </w:r>
    </w:p>
    <w:p>
      <w:r>
        <w:t>Example:</w:t>
      </w:r>
    </w:p>
    <w:p>
      <w:r>
        <w:t>The concentration limit for a regional group of currencies is set at 70%. No combination of currencies from a single monetary union or economic region can exceed this limit, as determined by Policy.</w:t>
      </w:r>
    </w:p>
    <w:p>
      <w:r>
        <w:t>Why This Matters:</w:t>
      </w:r>
    </w:p>
    <w:p>
      <w:r>
        <w:t>Regional concentration creates vulnerability</w:t>
      </w:r>
    </w:p>
    <w:p>
      <w:r>
        <w:t>Regional concentration reduces diversification</w:t>
      </w:r>
    </w:p>
    <w:p>
      <w:r>
        <w:t>Group limits promote global representation</w:t>
      </w:r>
    </w:p>
    <w:p>
      <w:r>
        <w:t>Reserve Concentration Limit</w:t>
      </w:r>
    </w:p>
    <w:p>
      <w:r>
        <w:t>The basket shall maintain sufficient diversity of reserve currencies.</w:t>
      </w:r>
    </w:p>
    <w:p>
      <w:r>
        <w:t>What This Means in Practice:</w:t>
      </w:r>
    </w:p>
    <w:p>
      <w:r>
        <w:t>The basket must include currencies from multiple reserve holders</w:t>
      </w:r>
    </w:p>
    <w:p>
      <w:r>
        <w:t>The basket must not be dominated by a single issuer</w:t>
      </w:r>
    </w:p>
    <w:p>
      <w:r>
        <w:t>The basket must maintain diversity</w:t>
      </w:r>
    </w:p>
    <w:p>
      <w:r>
        <w:t>Example:</w:t>
      </w:r>
    </w:p>
    <w:p>
      <w:r>
        <w:t>The basket maintains diversity by including currencies from multiple reserve issuers. No single issuer dominates the basket. The basket reflects global reserve diversification.</w:t>
      </w:r>
    </w:p>
    <w:p>
      <w:r>
        <w:t>Why This Matters:</w:t>
      </w:r>
    </w:p>
    <w:p>
      <w:r>
        <w:t>Reserve concentration creates vulnerability</w:t>
      </w:r>
    </w:p>
    <w:p>
      <w:r>
        <w:t>Reserve concentration undermines neutrality</w:t>
      </w:r>
    </w:p>
    <w:p>
      <w:r>
        <w:t>Reserve diversity promotes stability</w:t>
      </w:r>
    </w:p>
    <w:p>
      <w:r>
        <w:t>Review and Adjustment</w:t>
      </w:r>
    </w:p>
    <w:p>
      <w:r>
        <w:t>The Currency Framework is subject to regular review:</w:t>
      </w:r>
    </w:p>
    <w:p>
      <w:r>
        <w:t>Constitutional Interpretation</w:t>
      </w:r>
    </w:p>
    <w:p>
      <w:r>
        <w:t>The Currency Framework establishes objective, neutral, and predictable currency selection and weighting:</w:t>
      </w:r>
    </w:p>
    <w:p>
      <w:r>
        <w:t>No currency names are embedded in the Constitution</w:t>
      </w:r>
    </w:p>
    <w:p>
      <w:r>
        <w:t>Eligibility is determined through objective criteria (convertibility, liquidity, reserve usage, trade share, market depth, resilience, legal accessibility)</w:t>
      </w:r>
    </w:p>
    <w:p>
      <w:r>
        <w:t>The Monetary Engine determines weights algorithmically</w:t>
      </w:r>
    </w:p>
    <w:p>
      <w:r>
        <w:t>Concentration limits prevent over-reliance on any single currency</w:t>
      </w:r>
    </w:p>
    <w:p>
      <w:r>
        <w:t>The Currency Framework is politically neutral and algorithmically determined. It reflects global economic reality, not political preferences.</w:t>
      </w:r>
    </w:p>
    <w:p>
      <w:r>
        <w:t>[END OF ARTICLE V — CURRENCY FRAMEWORK]</w:t>
      </w:r>
    </w:p>
    <w:p>
      <w:r>
        <w:t>Article VI: Monetary Engine</w:t>
      </w:r>
    </w:p>
    <w:p>
      <w:r>
        <w:t>The Monetary Engine is the algorithmic core of the Institution's monetary function. It determines the composition and weighting of the settlement unit's basket, manages stability mechanisms, and ensures predictable, transparent, and neutral monetary operations.</w:t>
      </w:r>
    </w:p>
    <w:p>
      <w:r>
        <w:t>What This Means in Practice:</w:t>
      </w:r>
    </w:p>
    <w:p>
      <w:r>
        <w:t>The Monetary Engine is algorithmic, not discretionary</w:t>
      </w:r>
    </w:p>
    <w:p>
      <w:r>
        <w:t>The Monetary Engine is transparent and auditable</w:t>
      </w:r>
    </w:p>
    <w:p>
      <w:r>
        <w:t>The Monetary Engine adapts to changing conditions</w:t>
      </w:r>
    </w:p>
    <w:p>
      <w:r>
        <w:t>The Monetary Engine preserves constitutional principles</w:t>
      </w:r>
    </w:p>
    <w:p>
      <w:r>
        <w:t>Example:</w:t>
      </w:r>
    </w:p>
    <w:p>
      <w:r>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r>
        <w:t>Why This Matters:</w:t>
      </w:r>
    </w:p>
    <w:p>
      <w:r>
        <w:t>Without a Monetary Engine, weights would be determined politically</w:t>
      </w:r>
    </w:p>
    <w:p>
      <w:r>
        <w:t>Without a Monetary Engine, the basket would be arbitrary</w:t>
      </w:r>
    </w:p>
    <w:p>
      <w:r>
        <w:t>Without a Monetary Engine, the Institution would lack neutrality</w:t>
      </w:r>
    </w:p>
    <w:p>
      <w:r>
        <w:t>Without a Monetary Engine, the Institution could not adapt predictably</w:t>
      </w:r>
    </w:p>
    <w:p>
      <w:r>
        <w:t>The Monetary Engine is the mechanism that implements monetary neutrality</w:t>
      </w:r>
    </w:p>
    <w:p>
      <w:r>
        <w:t>Core Principle: Predictably Adaptive</w:t>
      </w:r>
    </w:p>
    <w:p>
      <w:r>
        <w:t>The Monetary Engine is Predictably Adaptive.</w:t>
      </w:r>
    </w:p>
    <w:p>
      <w:r>
        <w:t>What This Means in Practice:</w:t>
      </w:r>
    </w:p>
    <w:p>
      <w:r>
        <w:t>The Engine adapts to changing conditions</w:t>
      </w:r>
    </w:p>
    <w:p>
      <w:r>
        <w:t>Adaptation follows defined rules</w:t>
      </w:r>
    </w:p>
    <w:p>
      <w:r>
        <w:t>Adaptation is transparent and predictable</w:t>
      </w:r>
    </w:p>
    <w:p>
      <w:r>
        <w:t>Adaptation preserves constitutional principles</w:t>
      </w:r>
    </w:p>
    <w:p>
      <w:r>
        <w:t>Example:</w:t>
      </w:r>
    </w:p>
    <w:p>
      <w:r>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r>
        <w:t>Why This Matters:</w:t>
      </w:r>
    </w:p>
    <w:p>
      <w:r>
        <w:t>Predictable adaptation provides stability</w:t>
      </w:r>
    </w:p>
    <w:p>
      <w:r>
        <w:t>Predictable adaptation enables planning</w:t>
      </w:r>
    </w:p>
    <w:p>
      <w:r>
        <w:t>Predictable adaptation maintains trust</w:t>
      </w:r>
    </w:p>
    <w:p>
      <w:r>
        <w:t>Predictable adaptation prevents arbitrary change</w:t>
      </w:r>
    </w:p>
    <w:p>
      <w:r>
        <w:t>Engine Components</w:t>
      </w:r>
    </w:p>
    <w:p>
      <w:r>
        <w:t>The Monetary Engine consists of five components that work together to determine basket weights:</w:t>
      </w:r>
    </w:p>
    <w:p>
      <w:r>
        <w:t>Structural Weighting</w:t>
      </w:r>
    </w:p>
    <w:p>
      <w:r>
        <w:t>Bounded Momentum</w:t>
      </w:r>
    </w:p>
    <w:p>
      <w:r>
        <w:t>Mean Reversion</w:t>
      </w:r>
    </w:p>
    <w:p>
      <w:r>
        <w:t>Macro Overlays</w:t>
      </w:r>
    </w:p>
    <w:p>
      <w:r>
        <w:t>Shock Absorber</w:t>
      </w:r>
    </w:p>
    <w:p>
      <w:r>
        <w:t>Component 1: Structural Weighting</w:t>
      </w:r>
    </w:p>
    <w:p>
      <w:r>
        <w:t>Structural weights are based on objective economic data.</w:t>
      </w:r>
    </w:p>
    <w:p>
      <w:r>
        <w:t>1.1 Data Sources</w:t>
      </w:r>
    </w:p>
    <w:p>
      <w:r>
        <w:t>The Engine uses objective, verifiable data sources:</w:t>
      </w:r>
    </w:p>
    <w:p>
      <w:r>
        <w:t>What This Means in Practice:</w:t>
      </w:r>
    </w:p>
    <w:p>
      <w:r>
        <w:t>Data sources are publicly available and verifiable</w:t>
      </w:r>
    </w:p>
    <w:p>
      <w:r>
        <w:t>Data sources are independent of the Institution</w:t>
      </w:r>
    </w:p>
    <w:p>
      <w:r>
        <w:t>Data sources are updated regularly</w:t>
      </w:r>
    </w:p>
    <w:p>
      <w:r>
        <w:t>Data sources are auditable</w:t>
      </w:r>
    </w:p>
    <w:p>
      <w:r>
        <w:t>Example:</w:t>
      </w:r>
    </w:p>
    <w:p>
      <w:r>
        <w:t>The Engine uses COFER data from the IMF to measure each currency's share of global reserves. COFER data is publicly available, independently compiled, and updated quarterly. The Engine's use of COFER data is transparent and auditable.</w:t>
      </w:r>
    </w:p>
    <w:p>
      <w:r>
        <w:t>Why This Matters:</w:t>
      </w:r>
    </w:p>
    <w:p>
      <w:r>
        <w:t>Without objective data, weights would be subjective</w:t>
      </w:r>
    </w:p>
    <w:p>
      <w:r>
        <w:t>Without verifiable data, weights could not be audited</w:t>
      </w:r>
    </w:p>
    <w:p>
      <w:r>
        <w:t>Without regular updates, weights would become outdated</w:t>
      </w:r>
    </w:p>
    <w:p>
      <w:r>
        <w:t>Data sources must be independent to ensure neutrality</w:t>
      </w:r>
    </w:p>
    <w:p>
      <w:r>
        <w:t>1.2 Weighting Formula</w:t>
      </w:r>
    </w:p>
    <w:p>
      <w:r>
        <w:t>Structural weights are calculated as a weighted average of data inputs:</w:t>
      </w:r>
    </w:p>
    <w:p>
      <w:r>
        <w:t>Combined Share Calculation:</w:t>
      </w:r>
    </w:p>
    <w:p>
      <w:r>
        <w:t>For each eligible currency:</w:t>
      </w:r>
    </w:p>
    <w:p>
      <w:r>
        <w:t>Combined_Share = (Data_Source_1_Weight × Data_Source_1_Value) + (Data_Source_2_Weight × Data_Source_2_Value) + ...</w:t>
      </w:r>
    </w:p>
    <w:p>
      <w:r>
        <w:t>What This Means in Practice:</w:t>
      </w:r>
    </w:p>
    <w:p>
      <w:r>
        <w:t>Multiple data sources are combined</w:t>
      </w:r>
    </w:p>
    <w:p>
      <w:r>
        <w:t>Each data source has a defined weight</w:t>
      </w:r>
    </w:p>
    <w:p>
      <w:r>
        <w:t>The combined share reflects multiple dimensions of currency importance</w:t>
      </w:r>
    </w:p>
    <w:p>
      <w:r>
        <w:t>The weighting is transparent and auditable</w:t>
      </w:r>
    </w:p>
    <w:p>
      <w:r>
        <w:t>Example:</w:t>
      </w:r>
    </w:p>
    <w:p>
      <w:r>
        <w:t>For a given currency, the Combined_Share = (0.50 × COFER_Share) + (0.40 × SWIFT_Trade_Share) + (0.10 × BIS_Liquidity_Share). This reflects that reserve holdings and trade settlement are the primary determinants of currency importance, with liquidity as a supplementary factor.</w:t>
      </w:r>
    </w:p>
    <w:p>
      <w:r>
        <w:t>Why This Matters:</w:t>
      </w:r>
    </w:p>
    <w:p>
      <w:r>
        <w:t>Single data sources would be incomplete</w:t>
      </w:r>
    </w:p>
    <w:p>
      <w:r>
        <w:t>Multiple data sources provide a comprehensive view</w:t>
      </w:r>
    </w:p>
    <w:p>
      <w:r>
        <w:t>Defined weights ensure consistency</w:t>
      </w:r>
    </w:p>
    <w:p>
      <w:r>
        <w:t>Transparent calculation enables auditability</w:t>
      </w:r>
    </w:p>
    <w:p>
      <w:r>
        <w:t>Component 2: Bounded Momentum</w:t>
      </w:r>
    </w:p>
    <w:p>
      <w:r>
        <w:t>A momentum factor is applied to structural weights, with bounds to prevent amplification.</w:t>
      </w:r>
    </w:p>
    <w:p>
      <w:r>
        <w:t>2.1 Momentum Calculation</w:t>
      </w:r>
    </w:p>
    <w:p>
      <w:r>
        <w:t>Momentum reflects recent currency performance:</w:t>
      </w:r>
    </w:p>
    <w:p>
      <w:r>
        <w:t>What This Means in Practice:</w:t>
      </w:r>
    </w:p>
    <w:p>
      <w:r>
        <w:t>Momentum is calculated over a defined period</w:t>
      </w:r>
    </w:p>
    <w:p>
      <w:r>
        <w:t>Momentum reflects relative currency strength or weakness</w:t>
      </w:r>
    </w:p>
    <w:p>
      <w:r>
        <w:t>Momentum is bounded to prevent excessive adjustment</w:t>
      </w:r>
    </w:p>
    <w:p>
      <w:r>
        <w:t>Momentum is calculated consistently across currencies</w:t>
      </w:r>
    </w:p>
    <w:p>
      <w:r>
        <w:t>Example:</w:t>
      </w:r>
    </w:p>
    <w:p>
      <w:r>
        <w:t>A currency that has appreciated against other currencies receives a positive momentum adjustment. The adjustment is calculated based on exchange rate movements over the prior period. The adjustment is capped to prevent excessive movement.</w:t>
      </w:r>
    </w:p>
    <w:p>
      <w:r>
        <w:t>Why This Matters:</w:t>
      </w:r>
    </w:p>
    <w:p>
      <w:r>
        <w:t>Without momentum, the basket would not reflect recent trends</w:t>
      </w:r>
    </w:p>
    <w:p>
      <w:r>
        <w:t>Without bounds, momentum could amplify cycles</w:t>
      </w:r>
    </w:p>
    <w:p>
      <w:r>
        <w:t>Bounded momentum provides stability while allowing adaptation</w:t>
      </w:r>
    </w:p>
    <w:p>
      <w:r>
        <w:t>2.2 Momentum Bounds</w:t>
      </w:r>
    </w:p>
    <w:p>
      <w:r>
        <w:t>Momentum is bounded to prevent amplification:</w:t>
      </w:r>
    </w:p>
    <w:p>
      <w:r>
        <w:t>What This Means in Practice:</w:t>
      </w:r>
    </w:p>
    <w:p>
      <w:r>
        <w:t>Momentum adjustments are capped</w:t>
      </w:r>
    </w:p>
    <w:p>
      <w:r>
        <w:t>The cap prevents excessive adjustment</w:t>
      </w:r>
    </w:p>
    <w:p>
      <w:r>
        <w:t>The cap provides stability</w:t>
      </w:r>
    </w:p>
    <w:p>
      <w:r>
        <w:t>The cap is defined and transparent</w:t>
      </w:r>
    </w:p>
    <w:p>
      <w:r>
        <w:t>Example:</w:t>
      </w:r>
    </w:p>
    <w:p>
      <w:r>
        <w:t>The momentum adjustment is capped at ±5%. A currency cannot gain or lose more than 5% of its weight due to momentum. This prevents the algorithm from amplifying short-term trends.</w:t>
      </w:r>
    </w:p>
    <w:p>
      <w:r>
        <w:t>Why This Matters:</w:t>
      </w:r>
    </w:p>
    <w:p>
      <w:r>
        <w:t>Unbounded momentum could cause instability</w:t>
      </w:r>
    </w:p>
    <w:p>
      <w:r>
        <w:t>Unbounded momentum could amplify cycles</w:t>
      </w:r>
    </w:p>
    <w:p>
      <w:r>
        <w:t>Bounds provide stability while allowing adaptation</w:t>
      </w:r>
    </w:p>
    <w:p>
      <w:r>
        <w:t>Component 3: Mean Reversion</w:t>
      </w:r>
    </w:p>
    <w:p>
      <w:r>
        <w:t>Weights are gently pulled toward long-term averages.</w:t>
      </w:r>
    </w:p>
    <w:p>
      <w:r>
        <w:t>What This Means in Practice:</w:t>
      </w:r>
    </w:p>
    <w:p>
      <w:r>
        <w:t>The Engine applies a gentle pull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The reduction is gradual and does not cause abrupt changes. This ensures the basket maintains a stable long-term composition.</w:t>
      </w:r>
    </w:p>
    <w:p>
      <w:r>
        <w:t>Why This Matters:</w:t>
      </w:r>
    </w:p>
    <w:p>
      <w:r>
        <w:t>Without mean reversion, weights could drift indefinitely</w:t>
      </w:r>
    </w:p>
    <w:p>
      <w:r>
        <w:t>Without mean reversion, the basket could become unbalanced</w:t>
      </w:r>
    </w:p>
    <w:p>
      <w:r>
        <w:t>Mean reversion provides stability</w:t>
      </w:r>
    </w:p>
    <w:p>
      <w:r>
        <w:t>Mean reversion ensures the basket reflects long-term fundamentals</w:t>
      </w:r>
    </w:p>
    <w:p>
      <w:r>
        <w:t>Component 4: Macro Overlays</w:t>
      </w:r>
    </w:p>
    <w:p>
      <w:r>
        <w:t>Emergency adjustments for extraordinary circumstances.</w:t>
      </w:r>
    </w:p>
    <w:p>
      <w:r>
        <w:t>4.1 Activation Conditions</w:t>
      </w:r>
    </w:p>
    <w:p>
      <w:r>
        <w:t>Macro overlays are activated only under defined conditions:</w:t>
      </w:r>
    </w:p>
    <w:p>
      <w:r>
        <w:t>What This Means in Practice:</w:t>
      </w:r>
    </w:p>
    <w:p>
      <w:r>
        <w:t>Conditions are defined in advance</w:t>
      </w:r>
    </w:p>
    <w:p>
      <w:r>
        <w:t>Activation is triggered by objective criteria</w:t>
      </w:r>
    </w:p>
    <w:p>
      <w:r>
        <w:t>Activation requires Council approval</w:t>
      </w:r>
    </w:p>
    <w:p>
      <w:r>
        <w:t>Activation is time-limited and bounded</w:t>
      </w:r>
    </w:p>
    <w:p>
      <w:r>
        <w:t>Example:</w:t>
      </w:r>
    </w:p>
    <w:p>
      <w:r>
        <w:t>A currency crisis triggers a macro overlay. The criteria for activation are defined in advance: 5% NAV deviation, sustained currency volatility, or other objective measures. The Council approves the overlay, which is bounded and time-limited.</w:t>
      </w:r>
    </w:p>
    <w:p>
      <w:r>
        <w:t>Why This Matters:</w:t>
      </w:r>
    </w:p>
    <w:p>
      <w:r>
        <w:t>Extraordinary circumstances may require extraordinary responses</w:t>
      </w:r>
    </w:p>
    <w:p>
      <w:r>
        <w:t>Macro overlays provide flexibility</w:t>
      </w:r>
    </w:p>
    <w:p>
      <w:r>
        <w:t>Defined conditions prevent arbitrary activation</w:t>
      </w:r>
    </w:p>
    <w:p>
      <w:r>
        <w:t>Bounds and limits prevent abuse</w:t>
      </w:r>
    </w:p>
    <w:p>
      <w:r>
        <w:t>4.2 Bounds and Limits</w:t>
      </w:r>
    </w:p>
    <w:p>
      <w:r>
        <w:t>Macro overlays are bounded and time-limited:</w:t>
      </w:r>
    </w:p>
    <w:p>
      <w:r>
        <w:t>What This Means in Practice:</w:t>
      </w:r>
    </w:p>
    <w:p>
      <w:r>
        <w:t>Overlays have a maximum adjustment</w:t>
      </w:r>
    </w:p>
    <w:p>
      <w:r>
        <w:t>Overlays have a defined duration</w:t>
      </w:r>
    </w:p>
    <w:p>
      <w:r>
        <w:t>Overlays require justification</w:t>
      </w:r>
    </w:p>
    <w:p>
      <w:r>
        <w:t>Overlays are reviewed and published</w:t>
      </w:r>
    </w:p>
    <w:p>
      <w:r>
        <w:t>Example:</w:t>
      </w:r>
    </w:p>
    <w:p>
      <w:r>
        <w:t>A macro overlay is limited to a 10% adjustment and expires after 30 days. The Council must justify the overlay and publish the justification. The overlay is reviewed after 30 days and may be extended only with additional justification.</w:t>
      </w:r>
    </w:p>
    <w:p>
      <w:r>
        <w:t>Why This Matters:</w:t>
      </w:r>
    </w:p>
    <w:p>
      <w:r>
        <w:t>Without bounds, overlays could be excessive</w:t>
      </w:r>
    </w:p>
    <w:p>
      <w:r>
        <w:t>Without time limits, overlays could become permanent</w:t>
      </w:r>
    </w:p>
    <w:p>
      <w:r>
        <w:t>Without justification, overlays could be arbitrary</w:t>
      </w:r>
    </w:p>
    <w:p>
      <w:r>
        <w:t>Bounds and limits protect constitutional principles</w:t>
      </w:r>
    </w:p>
    <w:p>
      <w:r>
        <w:t>Component 5: Shock Absorber</w:t>
      </w:r>
    </w:p>
    <w:p>
      <w:r>
        <w:t>Weight adjustments are capped during high volatility.</w:t>
      </w:r>
    </w:p>
    <w:p>
      <w:r>
        <w:t>What This Means in Practice:</w:t>
      </w:r>
    </w:p>
    <w:p>
      <w:r>
        <w:t>The Engine monitors volatility</w:t>
      </w:r>
    </w:p>
    <w:p>
      <w:r>
        <w:t>During high volatility, adjustments are capped</w:t>
      </w:r>
    </w:p>
    <w:p>
      <w:r>
        <w:t>The cap is temporary and proportional</w:t>
      </w:r>
    </w:p>
    <w:p>
      <w:r>
        <w:t>The cap prevents excessive adjustment</w:t>
      </w:r>
    </w:p>
    <w:p>
      <w:r>
        <w:t>Example:</w:t>
      </w:r>
    </w:p>
    <w:p>
      <w:r>
        <w:t>During a period of high currency volatility, the shock absorber caps weight adjustments at half the normal rate. This prevents the algorithm from amplifying market movements. Once volatility subsides, normal adjustments resume.</w:t>
      </w:r>
    </w:p>
    <w:p>
      <w:r>
        <w:t>Why This Matters:</w:t>
      </w:r>
    </w:p>
    <w:p>
      <w:r>
        <w:t>High volatility could cause excessive adjustments</w:t>
      </w:r>
    </w:p>
    <w:p>
      <w:r>
        <w:t>Excessive adjustments could create instability</w:t>
      </w:r>
    </w:p>
    <w:p>
      <w:r>
        <w:t>The shock absorber provides stability</w:t>
      </w:r>
    </w:p>
    <w:p>
      <w:r>
        <w:t>The shock absorber prevents pro-cyclicality</w:t>
      </w:r>
    </w:p>
    <w:p>
      <w:r>
        <w:t>Engine Execution</w:t>
      </w:r>
    </w:p>
    <w:p>
      <w:r>
        <w:t>The Monetary Engine executes on a defined schedule:</w:t>
      </w:r>
    </w:p>
    <w:p>
      <w:r>
        <w:t>Execution Frequency</w:t>
      </w:r>
    </w:p>
    <w:p>
      <w:r>
        <w:t>Execution Process</w:t>
      </w:r>
    </w:p>
    <w:p>
      <w:r>
        <w:t>Step 1: Data Collection</w:t>
      </w:r>
    </w:p>
    <w:p>
      <w:r>
        <w:t>Collect COFER, SWIFT, and BIS data</w:t>
      </w:r>
    </w:p>
    <w:p>
      <w:r>
        <w:t>Verify data completeness and quality</w:t>
      </w:r>
    </w:p>
    <w:p>
      <w:r>
        <w:t>Validate data against expected ranges</w:t>
      </w:r>
    </w:p>
    <w:p>
      <w:r>
        <w:t>Prepare data for processing</w:t>
      </w:r>
    </w:p>
    <w:p>
      <w:r>
        <w:t>Step 2: Structural Weighting</w:t>
      </w:r>
    </w:p>
    <w:p>
      <w:r>
        <w:t>Calculate Combined_Share for each eligible currency</w:t>
      </w:r>
    </w:p>
    <w:p>
      <w:r>
        <w:t>Apply weights to data sources</w:t>
      </w:r>
    </w:p>
    <w:p>
      <w:r>
        <w:t>Generate preliminary structural weights</w:t>
      </w:r>
    </w:p>
    <w:p>
      <w:r>
        <w:t>Normalize to sum to 100%</w:t>
      </w:r>
    </w:p>
    <w:p>
      <w:r>
        <w:t>Step 3: Momentum Adjustment</w:t>
      </w:r>
    </w:p>
    <w:p>
      <w:r>
        <w:t>Calculate momentum factors for each currency</w:t>
      </w:r>
    </w:p>
    <w:p>
      <w:r>
        <w:t>Apply bounds to momentum</w:t>
      </w:r>
    </w:p>
    <w:p>
      <w:r>
        <w:t>Apply momentum to structural weights</w:t>
      </w:r>
    </w:p>
    <w:p>
      <w:r>
        <w:t>Re-normalize</w:t>
      </w:r>
    </w:p>
    <w:p>
      <w:r>
        <w:t>Step 4: Mean Reversion</w:t>
      </w:r>
    </w:p>
    <w:p>
      <w:r>
        <w:t>Calculate long-term averages</w:t>
      </w:r>
    </w:p>
    <w:p>
      <w:r>
        <w:t>Apply gentle pull toward averages</w:t>
      </w:r>
    </w:p>
    <w:p>
      <w:r>
        <w:t>Re-normalize</w:t>
      </w:r>
    </w:p>
    <w:p>
      <w:r>
        <w:t>Step 5: Concentration Limit Application</w:t>
      </w:r>
    </w:p>
    <w:p>
      <w:r>
        <w:t>Check concentration limits</w:t>
      </w:r>
    </w:p>
    <w:p>
      <w:r>
        <w:t>Cap any currency exceeding limits</w:t>
      </w:r>
    </w:p>
    <w:p>
      <w:r>
        <w:t>Redistribute excess weight</w:t>
      </w:r>
    </w:p>
    <w:p>
      <w:r>
        <w:t>Re-normalize</w:t>
      </w:r>
    </w:p>
    <w:p>
      <w:r>
        <w:t>Step 6: Shock Absorber Check</w:t>
      </w:r>
    </w:p>
    <w:p>
      <w:r>
        <w:t>Check volatility levels</w:t>
      </w:r>
    </w:p>
    <w:p>
      <w:r>
        <w:t>Apply cap if necessary</w:t>
      </w:r>
    </w:p>
    <w:p>
      <w:r>
        <w:t>Re-normalize</w:t>
      </w:r>
    </w:p>
    <w:p>
      <w:r>
        <w:t>Step 7: Final Weights</w:t>
      </w:r>
    </w:p>
    <w:p>
      <w:r>
        <w:t>Finalize weights</w:t>
      </w:r>
    </w:p>
    <w:p>
      <w:r>
        <w:t>Publish weights</w:t>
      </w:r>
    </w:p>
    <w:p>
      <w:r>
        <w:t>Document changes</w:t>
      </w:r>
    </w:p>
    <w:p>
      <w:r>
        <w:t>Review results</w:t>
      </w:r>
    </w:p>
    <w:p>
      <w:r>
        <w:t>Engine Governance</w:t>
      </w:r>
    </w:p>
    <w:p>
      <w:r>
        <w:t>The Monetary Engine is governed by defined principles:</w:t>
      </w:r>
    </w:p>
    <w:p>
      <w:pPr>
        <w:pStyle w:val="ListNumber"/>
        <w:ind w:left="425"/>
      </w:pPr>
      <w:r>
        <w:t>Transparency</w:t>
      </w:r>
    </w:p>
    <w:p>
      <w:r>
        <w:t>All Engine calculations are transparent and auditable.</w:t>
      </w:r>
    </w:p>
    <w:p>
      <w:r>
        <w:t>What This Means in Practice:</w:t>
      </w:r>
    </w:p>
    <w:p>
      <w:r>
        <w:t>Calculation methodology is published</w:t>
      </w:r>
    </w:p>
    <w:p>
      <w:r>
        <w:t>Data sources are disclosed</w:t>
      </w:r>
    </w:p>
    <w:p>
      <w:r>
        <w:t>Historical calculations are preserved</w:t>
      </w:r>
    </w:p>
    <w:p>
      <w:r>
        <w:t>Changes are documented</w:t>
      </w:r>
    </w:p>
    <w:p>
      <w:r>
        <w:t>Example:</w:t>
      </w:r>
    </w:p>
    <w:p>
      <w:r>
        <w:t>The Institution publishes the complete calculation methodology, the data sources used, the historical calculation results, and any changes to the methodology. Anyone can audit the Engine's calculations.</w:t>
      </w:r>
    </w:p>
    <w:p>
      <w:pPr>
        <w:pStyle w:val="ListNumber"/>
        <w:ind w:left="425"/>
      </w:pPr>
      <w:r>
        <w:t>Determinism</w:t>
      </w:r>
    </w:p>
    <w:p>
      <w:r>
        <w:t>The Engine produces deterministic results from given inputs.</w:t>
      </w:r>
    </w:p>
    <w:p>
      <w:r>
        <w:t>What This Means in Practice:</w:t>
      </w:r>
    </w:p>
    <w:p>
      <w:r>
        <w:t>Same inputs produce same outputs</w:t>
      </w:r>
    </w:p>
    <w:p>
      <w:r>
        <w:t>No discretionary adjustment</w:t>
      </w:r>
    </w:p>
    <w:p>
      <w:r>
        <w:t>No hidden parameters</w:t>
      </w:r>
    </w:p>
    <w:p>
      <w:r>
        <w:t>Results are reproducible</w:t>
      </w:r>
    </w:p>
    <w:p>
      <w:r>
        <w:t>Example:</w:t>
      </w:r>
    </w:p>
    <w:p>
      <w:r>
        <w:t>Given the same data inputs, the Engine produces the same weights. There is no discretionary adjustment. The calculations are reproducible by any third party.</w:t>
      </w:r>
    </w:p>
    <w:p>
      <w:pPr>
        <w:pStyle w:val="ListNumber"/>
        <w:ind w:left="425"/>
      </w:pPr>
      <w:r>
        <w:t>Neutrality</w:t>
      </w:r>
    </w:p>
    <w:p>
      <w:r>
        <w:t>The Engine is politically neutral.</w:t>
      </w:r>
    </w:p>
    <w:p>
      <w:r>
        <w:t>What This Means in Practice:</w:t>
      </w:r>
    </w:p>
    <w:p>
      <w:r>
        <w:t>No political influence on calculations</w:t>
      </w:r>
    </w:p>
    <w:p>
      <w:r>
        <w:t>No political adjustment of results</w:t>
      </w:r>
    </w:p>
    <w:p>
      <w:r>
        <w:t>No political override</w:t>
      </w:r>
    </w:p>
    <w:p>
      <w:r>
        <w:t>Algorithmic determination</w:t>
      </w:r>
    </w:p>
    <w:p>
      <w:r>
        <w:t>Example:</w:t>
      </w:r>
    </w:p>
    <w:p>
      <w:r>
        <w:t>The Engine does not consider political factors. It considers only objective data. No political body can override the Engine's calculations (except through bounded, time-limited macro overlays that require justification).</w:t>
      </w:r>
    </w:p>
    <w:p>
      <w:pPr>
        <w:pStyle w:val="ListNumber"/>
        <w:ind w:left="425"/>
      </w:pPr>
      <w:r>
        <w:t>Auditability</w:t>
      </w:r>
    </w:p>
    <w:p>
      <w:r>
        <w:t>The Engine is independently auditable.</w:t>
      </w:r>
    </w:p>
    <w:p>
      <w:r>
        <w:t>What This Means in Practice:</w:t>
      </w:r>
    </w:p>
    <w:p>
      <w:r>
        <w:t>Complete calculation records</w:t>
      </w:r>
    </w:p>
    <w:p>
      <w:r>
        <w:t>Independent verification</w:t>
      </w:r>
    </w:p>
    <w:p>
      <w:r>
        <w:t>Public availability</w:t>
      </w:r>
    </w:p>
    <w:p>
      <w:r>
        <w:t>Regular review</w:t>
      </w:r>
    </w:p>
    <w:p>
      <w:r>
        <w:t>Example:</w:t>
      </w:r>
    </w:p>
    <w:p>
      <w:r>
        <w:t>The Institution maintains complete records of all Engine calculations. The Independent Review Panel audits the Engine every five years. The calculation methodology is publicly available.</w:t>
      </w:r>
    </w:p>
    <w:p>
      <w:r>
        <w:t>Engine Review and Evolution</w:t>
      </w:r>
    </w:p>
    <w:p>
      <w:r>
        <w:t>The Monetary Engine is subject to regular review:</w:t>
      </w:r>
    </w:p>
    <w:p>
      <w:r>
        <w:t>Summary Table</w:t>
      </w:r>
    </w:p>
    <w:p>
      <w:r>
        <w:t>Constitutional Interpretation</w:t>
      </w:r>
    </w:p>
    <w:p>
      <w:r>
        <w:t>The Monetary Engine is the algorithmic core of the Institution's monetary function:</w:t>
      </w:r>
    </w:p>
    <w:p>
      <w:r>
        <w:t>It determines basket weights objectively through Structural Weighting</w:t>
      </w:r>
    </w:p>
    <w:p>
      <w:r>
        <w:t>It reflects recent trends through Bounded Momentum</w:t>
      </w:r>
    </w:p>
    <w:p>
      <w:r>
        <w:t>It maintains stability through Mean Reversion</w:t>
      </w:r>
    </w:p>
    <w:p>
      <w:r>
        <w:t>It provides emergency flexibility through Macro Overlays</w:t>
      </w:r>
    </w:p>
    <w:p>
      <w:r>
        <w:t>It manages volatility through the Shock Absorber</w:t>
      </w:r>
    </w:p>
    <w:p>
      <w:r>
        <w:t>The Monetary Engine is Predictably Adaptive. It adapts to changing conditions through defined, transparent, and auditable processes. It preserves constitutional principles while enabling predictable adaptation.</w:t>
      </w:r>
    </w:p>
    <w:p>
      <w:r>
        <w:t>[END OF ARTICLE VI — MONETARY ENGINE]</w:t>
      </w:r>
    </w:p>
    <w:p>
      <w:r>
        <w:t>Article VII: Proof of Reserves</w:t>
      </w:r>
    </w:p>
    <w:p>
      <w:r>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r>
        <w:t>What This Means in Practice:</w:t>
      </w:r>
    </w:p>
    <w:p>
      <w:r>
        <w:t>The Institution publishes cryptographic proof of solvency at regular intervals</w:t>
      </w:r>
    </w:p>
    <w:p>
      <w:r>
        <w:t>The proof verifies that reserve assets equal or exceed circulating supply</w:t>
      </w:r>
    </w:p>
    <w:p>
      <w:r>
        <w:t>The proof is privacy-preserving and does not reveal sensitive information</w:t>
      </w:r>
    </w:p>
    <w:p>
      <w:r>
        <w:t>The proof is independently auditable and verifiable by any party</w:t>
      </w:r>
    </w:p>
    <w:p>
      <w:r>
        <w:t>The proof provides real-time assurance of institutional solvency</w:t>
      </w:r>
    </w:p>
    <w:p>
      <w:r>
        <w:t>Example:</w:t>
      </w:r>
    </w:p>
    <w:p>
      <w:r>
        <w:t>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p>
      <w:r>
        <w:t>Why This Matters:</w:t>
      </w:r>
    </w:p>
    <w:p>
      <w:r>
        <w:t>Without proof of reserves, solvency is an assertion, not a demonstration</w:t>
      </w:r>
    </w:p>
    <w:p>
      <w:r>
        <w:t>Without proof of reserves, participants must trust the Institution's word</w:t>
      </w:r>
    </w:p>
    <w:p>
      <w:r>
        <w:t>Without proof of reserves, the Institution is indistinguishable from opaque financial systems</w:t>
      </w:r>
    </w:p>
    <w:p>
      <w:r>
        <w:t>Without proof of reserves, there is no mechanism for continuous accountability</w:t>
      </w:r>
    </w:p>
    <w:p>
      <w:r>
        <w:t>Proof of reserves is the foundation of institutional trust</w:t>
      </w:r>
    </w:p>
    <w:p>
      <w:r>
        <w:t>Core Principles</w:t>
      </w:r>
    </w:p>
    <w:p>
      <w:pPr>
        <w:pStyle w:val="ListNumber"/>
        <w:ind w:left="425"/>
      </w:pPr>
      <w:r>
        <w:t>Cryptographic Verification</w:t>
      </w:r>
    </w:p>
    <w:p>
      <w:r>
        <w:t>Proof of reserves shall be cryptographically verified.</w:t>
      </w:r>
    </w:p>
    <w:p>
      <w:r>
        <w:t>What This Means in Practice:</w:t>
      </w:r>
    </w:p>
    <w:p>
      <w:r>
        <w:t>The proof uses cryptographic techniques</w:t>
      </w:r>
    </w:p>
    <w:p>
      <w:r>
        <w:t>The proof is mathematically verifiable</w:t>
      </w:r>
    </w:p>
    <w:p>
      <w:r>
        <w:t>The proof cannot be forged</w:t>
      </w:r>
    </w:p>
    <w:p>
      <w:r>
        <w:t>The proof provides certainty</w:t>
      </w:r>
    </w:p>
    <w:p>
      <w:r>
        <w:t>Example:</w:t>
      </w:r>
    </w:p>
    <w:p>
      <w:r>
        <w:t>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p>
    <w:p>
      <w:r>
        <w:t>Why This Matters:</w:t>
      </w:r>
    </w:p>
    <w:p>
      <w:r>
        <w:t>Cryptographic proof is stronger than attestation</w:t>
      </w:r>
    </w:p>
    <w:p>
      <w:r>
        <w:t>Cryptographic proof is independently verifiable</w:t>
      </w:r>
    </w:p>
    <w:p>
      <w:r>
        <w:t>Cryptographic proof cannot be forged</w:t>
      </w:r>
    </w:p>
    <w:p>
      <w:r>
        <w:t>Cryptographic proof provides mathematical certainty</w:t>
      </w:r>
    </w:p>
    <w:p>
      <w:pPr>
        <w:pStyle w:val="ListNumber"/>
        <w:ind w:left="425"/>
      </w:pPr>
      <w:r>
        <w:t>Privacy-Preserving</w:t>
      </w:r>
    </w:p>
    <w:p>
      <w:r>
        <w:t>Proof of reserves preserves institutional and counterparty privacy.</w:t>
      </w:r>
    </w:p>
    <w:p>
      <w:r>
        <w:t>What This Means in Practice:</w:t>
      </w:r>
    </w:p>
    <w:p>
      <w:r>
        <w:t>The proof does not reveal individual reserve holdings</w:t>
      </w:r>
    </w:p>
    <w:p>
      <w:r>
        <w:t>The proof does not reveal counterparty identities</w:t>
      </w:r>
    </w:p>
    <w:p>
      <w:r>
        <w:t>The proof does not reveal composition details</w:t>
      </w:r>
    </w:p>
    <w:p>
      <w:r>
        <w:t>The proof demonstrates solvency without revealing sensitive information</w:t>
      </w:r>
    </w:p>
    <w:p>
      <w:r>
        <w:t>Example:</w:t>
      </w:r>
    </w:p>
    <w:p>
      <w:r>
        <w:t>The proof demonstrates that reserve value exceeds supply value. It does not reveal which assets are held, with which custodians, or in what proportions. This preserves commercial confidentiality while demonstrating solvency.</w:t>
      </w:r>
    </w:p>
    <w:p>
      <w:r>
        <w:t>Why This Matters:</w:t>
      </w:r>
    </w:p>
    <w:p>
      <w:r>
        <w:t>Without privacy, counterparty positions could be exposed</w:t>
      </w:r>
    </w:p>
    <w:p>
      <w:r>
        <w:t>Without privacy, the Institution would be vulnerable to market manipulation</w:t>
      </w:r>
    </w:p>
    <w:p>
      <w:r>
        <w:t>Without privacy, commercial confidentiality would be compromised</w:t>
      </w:r>
    </w:p>
    <w:p>
      <w:r>
        <w:t>Privacy-preserving proof balances transparency with confidentiality</w:t>
      </w:r>
    </w:p>
    <w:p>
      <w:pPr>
        <w:pStyle w:val="ListNumber"/>
        <w:ind w:left="425"/>
      </w:pPr>
      <w:r>
        <w:t>Independent Audit</w:t>
      </w:r>
    </w:p>
    <w:p>
      <w:r>
        <w:t>Proof of reserves shall be independently audited.</w:t>
      </w:r>
    </w:p>
    <w:p>
      <w:r>
        <w:t>What This Means in Practice:</w:t>
      </w:r>
    </w:p>
    <w:p>
      <w:r>
        <w:t>Independent auditors verify the proof</w:t>
      </w:r>
    </w:p>
    <w:p>
      <w:r>
        <w:t>Auditors confirm the accuracy of the proof</w:t>
      </w:r>
    </w:p>
    <w:p>
      <w:r>
        <w:t>Auditors publish their findings</w:t>
      </w:r>
    </w:p>
    <w:p>
      <w:r>
        <w:t>Auditors provide assurance</w:t>
      </w:r>
    </w:p>
    <w:p>
      <w:r>
        <w:t>Example:</w:t>
      </w:r>
    </w:p>
    <w:p>
      <w:r>
        <w:t>An independent accounting firm audits the Institution's reserves quarterly. They verify the cryptographic proof, conduct physical inspections, and confirm that reserve assets match the proof's representations. Their findings are published publicly.</w:t>
      </w:r>
    </w:p>
    <w:p>
      <w:r>
        <w:t>Why This Matters:</w:t>
      </w:r>
    </w:p>
    <w:p>
      <w:r>
        <w:t>Independent audit provides additional assurance</w:t>
      </w:r>
    </w:p>
    <w:p>
      <w:r>
        <w:t>Independent audit verifies the cryptographic proof</w:t>
      </w:r>
    </w:p>
    <w:p>
      <w:r>
        <w:t>Independent audit provides third-party validation</w:t>
      </w:r>
    </w:p>
    <w:p>
      <w:r>
        <w:t>Independent audit builds institutional trust</w:t>
      </w:r>
    </w:p>
    <w:p>
      <w:pPr>
        <w:pStyle w:val="ListNumber"/>
        <w:ind w:left="425"/>
      </w:pPr>
      <w:r>
        <w:t>Regular Publication</w:t>
      </w:r>
    </w:p>
    <w:p>
      <w:r>
        <w:t>Proof of reserves shall be published at regular intervals.</w:t>
      </w:r>
    </w:p>
    <w:p>
      <w:r>
        <w:t>What This Means in Practice:</w:t>
      </w:r>
    </w:p>
    <w:p>
      <w:r>
        <w:t>Publication occurs at defined intervals</w:t>
      </w:r>
    </w:p>
    <w:p>
      <w:r>
        <w:t>Publication is consistent and reliable</w:t>
      </w:r>
    </w:p>
    <w:p>
      <w:r>
        <w:t>Publication is accessible to all</w:t>
      </w:r>
    </w:p>
    <w:p>
      <w:r>
        <w:t>Publication is accompanied by documentation</w:t>
      </w:r>
    </w:p>
    <w:p>
      <w:r>
        <w:t>Example:</w:t>
      </w:r>
    </w:p>
    <w:p>
      <w:r>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r>
        <w:t>Why This Matters:</w:t>
      </w:r>
    </w:p>
    <w:p>
      <w:r>
        <w:t>Without regular publication, proof is intermittent</w:t>
      </w:r>
    </w:p>
    <w:p>
      <w:r>
        <w:t>Without regular publication, gaps in coverage exist</w:t>
      </w:r>
    </w:p>
    <w:p>
      <w:r>
        <w:t>Without regular publication, trust is intermittent</w:t>
      </w:r>
    </w:p>
    <w:p>
      <w:r>
        <w:t>Regular publication provides continuous assurance</w:t>
      </w:r>
    </w:p>
    <w:p>
      <w:r>
        <w:t>Proof Mechanism</w:t>
      </w:r>
    </w:p>
    <w:p>
      <w:r>
        <w:t>The proof mechanism shall demonstrate:</w:t>
      </w:r>
    </w:p>
    <w:p>
      <w:r>
        <w:t>Invariant Proven</w:t>
      </w:r>
    </w:p>
    <w:p>
      <w:r>
        <w:t>Reserve Value ≥ Supply Value</w:t>
      </w:r>
    </w:p>
    <w:p>
      <w:r>
        <w:t>What This Means in Practice:</w:t>
      </w:r>
    </w:p>
    <w:p>
      <w:r>
        <w:t>The proof demonstrates that reserve assets equal or exceed circulating supply</w:t>
      </w:r>
    </w:p>
    <w:p>
      <w:r>
        <w:t>The proof covers all reserve assets</w:t>
      </w:r>
    </w:p>
    <w:p>
      <w:r>
        <w:t>The proof covers all circulating supply</w:t>
      </w:r>
    </w:p>
    <w:p>
      <w:r>
        <w:t>The proof is comprehensive</w:t>
      </w:r>
    </w:p>
    <w:p>
      <w:r>
        <w:t>Example:</w:t>
      </w:r>
    </w:p>
    <w:p>
      <w:r>
        <w:t>The proof demonstrates that reserve value of $1,050,000,000 exceeds supply value of 1,000,000,000 MTQ. The reserve ratio is 105%. The proof confirms that the Institution maintains constitutional solvency.</w:t>
      </w:r>
    </w:p>
    <w:p>
      <w:r>
        <w:t>Why This Matters:</w:t>
      </w:r>
    </w:p>
    <w:p>
      <w:r>
        <w:t>This is the core constitutional invariant</w:t>
      </w:r>
    </w:p>
    <w:p>
      <w:r>
        <w:t>This is the foundation of redemption certainty</w:t>
      </w:r>
    </w:p>
    <w:p>
      <w:r>
        <w:t>This is the primary assurance for holders</w:t>
      </w:r>
    </w:p>
    <w:p>
      <w:r>
        <w:t>This is the essential proof of institutional integrity</w:t>
      </w:r>
    </w:p>
    <w:p>
      <w:r>
        <w:t>Privacy Constraints</w:t>
      </w:r>
    </w:p>
    <w:p>
      <w:r>
        <w:t>The proof shall not reveal:</w:t>
      </w:r>
    </w:p>
    <w:p>
      <w:r>
        <w:t>Individual reserve holdings</w:t>
      </w:r>
    </w:p>
    <w:p>
      <w:r>
        <w:t>Counterparty identities</w:t>
      </w:r>
    </w:p>
    <w:p>
      <w:r>
        <w:t>Composition details</w:t>
      </w:r>
    </w:p>
    <w:p>
      <w:r>
        <w:t>Proprietary information</w:t>
      </w:r>
    </w:p>
    <w:p>
      <w:r>
        <w:t>What This Means in Practice:</w:t>
      </w:r>
    </w:p>
    <w:p>
      <w:r>
        <w:t>The proof is privacy-preserving</w:t>
      </w:r>
    </w:p>
    <w:p>
      <w:r>
        <w:t>Sensitive information is protected</w:t>
      </w:r>
    </w:p>
    <w:p>
      <w:r>
        <w:t>Commercial confidentiality is maintained</w:t>
      </w:r>
    </w:p>
    <w:p>
      <w:r>
        <w:t>The proof is verifiable without revealing details</w:t>
      </w:r>
    </w:p>
    <w:p>
      <w:r>
        <w:t>Example:</w:t>
      </w:r>
    </w:p>
    <w:p>
      <w:r>
        <w:t>The proof demonstrates aggregate reserve value exceeding aggregate supply value. It does not reveal which assets are held, with which custodians, or in what proportions. This preserves commercial confidentiality while demonstrating solvency.</w:t>
      </w:r>
    </w:p>
    <w:p>
      <w:r>
        <w:t>Why This Matters:</w:t>
      </w:r>
    </w:p>
    <w:p>
      <w:r>
        <w:t>Privacy protects the Institution</w:t>
      </w:r>
    </w:p>
    <w:p>
      <w:r>
        <w:t>Privacy protects counterparties</w:t>
      </w:r>
    </w:p>
    <w:p>
      <w:r>
        <w:t>Privacy prevents market manipulation</w:t>
      </w:r>
    </w:p>
    <w:p>
      <w:r>
        <w:t>Privacy preserves commercial viability</w:t>
      </w:r>
    </w:p>
    <w:p>
      <w:r>
        <w:t>Publication Schedule</w:t>
      </w:r>
    </w:p>
    <w:p>
      <w:r>
        <w:t>Proof of reserves shall be published at defined intervals:</w:t>
      </w:r>
    </w:p>
    <w:p>
      <w:r>
        <w:t>Verification Process</w:t>
      </w:r>
    </w:p>
    <w:p>
      <w:r>
        <w:t>The verification process shall be:</w:t>
      </w:r>
    </w:p>
    <w:p>
      <w:r>
        <w:t>Step 1: Data Collection</w:t>
      </w:r>
    </w:p>
    <w:p>
      <w:r>
        <w:t>Collect reserve data from all sources:</w:t>
      </w:r>
    </w:p>
    <w:p>
      <w:r>
        <w:t>Custody account balances</w:t>
      </w:r>
    </w:p>
    <w:p>
      <w:r>
        <w:t>Physical bullion holdings</w:t>
      </w:r>
    </w:p>
    <w:p>
      <w:r>
        <w:t>Other reserve assets</w:t>
      </w:r>
    </w:p>
    <w:p>
      <w:r>
        <w:t>All sources are verified and reconciled</w:t>
      </w:r>
    </w:p>
    <w:p>
      <w:r>
        <w:t>Example:</w:t>
      </w:r>
    </w:p>
    <w:p>
      <w:r>
        <w:t>The Institution collects data from all custody accounts, physical vaults, and other reserve asset sources. The data is reconciled and verified for completeness and accuracy.</w:t>
      </w:r>
    </w:p>
    <w:p>
      <w:r>
        <w:t>Why This Matters:</w:t>
      </w:r>
    </w:p>
    <w:p>
      <w:r>
        <w:t>Complete data is essential for accurate proof</w:t>
      </w:r>
    </w:p>
    <w:p>
      <w:r>
        <w:t>Incomplete data would undermine the proof</w:t>
      </w:r>
    </w:p>
    <w:p>
      <w:r>
        <w:t>Verified data ensures reliability</w:t>
      </w:r>
    </w:p>
    <w:p>
      <w:r>
        <w:t>Step 2: Proof Generation</w:t>
      </w:r>
    </w:p>
    <w:p>
      <w:r>
        <w:t>Generate cryptographic proof of solvency:</w:t>
      </w:r>
    </w:p>
    <w:p>
      <w:r>
        <w:t>The proof demonstrates Reserve Value ≥ Supply Value</w:t>
      </w:r>
    </w:p>
    <w:p>
      <w:r>
        <w:t>The proof is privacy-preserving</w:t>
      </w:r>
    </w:p>
    <w:p>
      <w:r>
        <w:t>The proof is cryptographically verified</w:t>
      </w:r>
    </w:p>
    <w:p>
      <w:r>
        <w:t>The proof is mathematically certain</w:t>
      </w:r>
    </w:p>
    <w:p>
      <w:r>
        <w:t>Example:</w:t>
      </w:r>
    </w:p>
    <w:p>
      <w:r>
        <w:t>The proof is generated using ZK-SNARK technology. It demonstrates that reserve value exceeds supply value without revealing sensitive details. The proof is mathematically verified.</w:t>
      </w:r>
    </w:p>
    <w:p>
      <w:r>
        <w:t>Why This Matters:</w:t>
      </w:r>
    </w:p>
    <w:p>
      <w:r>
        <w:t>Cryptographic proof provides certainty</w:t>
      </w:r>
    </w:p>
    <w:p>
      <w:r>
        <w:t>Privacy-preserving proof protects confidentiality</w:t>
      </w:r>
    </w:p>
    <w:p>
      <w:r>
        <w:t>Mathematical verification ensures reliability</w:t>
      </w:r>
    </w:p>
    <w:p>
      <w:r>
        <w:t>Step 3: Publication</w:t>
      </w:r>
    </w:p>
    <w:p>
      <w:r>
        <w:t>Publish the proof and supporting information:</w:t>
      </w:r>
    </w:p>
    <w:p>
      <w:r>
        <w:t>The proof is published</w:t>
      </w:r>
    </w:p>
    <w:p>
      <w:r>
        <w:t>Supporting data is published</w:t>
      </w:r>
    </w:p>
    <w:p>
      <w:r>
        <w:t>Documentation is provided</w:t>
      </w:r>
    </w:p>
    <w:p>
      <w:r>
        <w:t>Verification instructions are provided</w:t>
      </w:r>
    </w:p>
    <w:p>
      <w:r>
        <w:t>Example:</w:t>
      </w:r>
    </w:p>
    <w:p>
      <w:r>
        <w:t>The proof is published on the Institution's website and through independent verification channels. The proof includes verification instructions. Anyone can verify the proof independently.</w:t>
      </w:r>
    </w:p>
    <w:p>
      <w:r>
        <w:t>Why This Matters:</w:t>
      </w:r>
    </w:p>
    <w:p>
      <w:r>
        <w:t>Publication ensures transparency</w:t>
      </w:r>
    </w:p>
    <w:p>
      <w:r>
        <w:t>Supporting data provides context</w:t>
      </w:r>
    </w:p>
    <w:p>
      <w:r>
        <w:t>Verification instructions enable independent verification</w:t>
      </w:r>
    </w:p>
    <w:p>
      <w:r>
        <w:t>Public access ensures accountability</w:t>
      </w:r>
    </w:p>
    <w:p>
      <w:r>
        <w:t>Step 4: Independent Verification</w:t>
      </w:r>
    </w:p>
    <w:p>
      <w:r>
        <w:t>Independent verification of the proof:</w:t>
      </w:r>
    </w:p>
    <w:p>
      <w:r>
        <w:t>Auditors verify the proof</w:t>
      </w:r>
    </w:p>
    <w:p>
      <w:r>
        <w:t>Auditors conduct physical inspections</w:t>
      </w:r>
    </w:p>
    <w:p>
      <w:r>
        <w:t>Auditors confirm accuracy</w:t>
      </w:r>
    </w:p>
    <w:p>
      <w:r>
        <w:t>Auditors publish findings</w:t>
      </w:r>
    </w:p>
    <w:p>
      <w:r>
        <w:t>Example:</w:t>
      </w:r>
    </w:p>
    <w:p>
      <w:r>
        <w:t>An independent accounting firm verifies the proof, conducts physical inspections of reserve assets, and confirms that reserve assets match the proof's representations. Their findings are published publicly.</w:t>
      </w:r>
    </w:p>
    <w:p>
      <w:r>
        <w:t>Why This Matters:</w:t>
      </w:r>
    </w:p>
    <w:p>
      <w:r>
        <w:t>Independent verification provides additional assurance</w:t>
      </w:r>
    </w:p>
    <w:p>
      <w:r>
        <w:t>Physical inspections verify actual holdings</w:t>
      </w:r>
    </w:p>
    <w:p>
      <w:r>
        <w:t>Published findings ensure transparency</w:t>
      </w:r>
    </w:p>
    <w:p>
      <w:r>
        <w:t>Auditor independence ensures objectivity</w:t>
      </w:r>
    </w:p>
    <w:p>
      <w:r>
        <w:t>Audit Requirements</w:t>
      </w:r>
    </w:p>
    <w:p>
      <w:r>
        <w:t>Independent audits shall be conducted:</w:t>
      </w:r>
    </w:p>
    <w:p>
      <w:r>
        <w:t>Audit Scope</w:t>
      </w:r>
    </w:p>
    <w:p>
      <w:r>
        <w:t>Auditor Independence</w:t>
      </w:r>
    </w:p>
    <w:p>
      <w:r>
        <w:t>Auditors shall be independent:</w:t>
      </w:r>
    </w:p>
    <w:p>
      <w:r>
        <w:t>What This Means in Practice:</w:t>
      </w:r>
    </w:p>
    <w:p>
      <w:r>
        <w:t>Auditors have no financial interest in the Institution</w:t>
      </w:r>
    </w:p>
    <w:p>
      <w:r>
        <w:t>Auditors are not affiliated with the Institution</w:t>
      </w:r>
    </w:p>
    <w:p>
      <w:r>
        <w:t>Auditors are professionally qualified</w:t>
      </w:r>
    </w:p>
    <w:p>
      <w:r>
        <w:t>Auditors are subject to professional standards</w:t>
      </w:r>
    </w:p>
    <w:p>
      <w:r>
        <w:t>Example:</w:t>
      </w:r>
    </w:p>
    <w:p>
      <w:r>
        <w:t>The Institution engages independent accounting firms to conduct audits. The auditors have no financial interest in the Institution, are not affiliated with the Institution, and are subject to professional standards.</w:t>
      </w:r>
    </w:p>
    <w:p>
      <w:r>
        <w:t>Why This Matters:</w:t>
      </w:r>
    </w:p>
    <w:p>
      <w:r>
        <w:t>Independent auditors provide objective assurance</w:t>
      </w:r>
    </w:p>
    <w:p>
      <w:r>
        <w:t>Independent auditors are not influenced by the Institution</w:t>
      </w:r>
    </w:p>
    <w:p>
      <w:r>
        <w:t>Independent auditors maintain professional standards</w:t>
      </w:r>
    </w:p>
    <w:p>
      <w:r>
        <w:t>Independent audit builds institutional trust</w:t>
      </w:r>
    </w:p>
    <w:p>
      <w:r>
        <w:t>Audit Publication</w:t>
      </w:r>
    </w:p>
    <w:p>
      <w:r>
        <w:t>Audit findings shall be published:</w:t>
      </w:r>
    </w:p>
    <w:p>
      <w:r>
        <w:t>What This Means in Practice:</w:t>
      </w:r>
    </w:p>
    <w:p>
      <w:r>
        <w:t>Audit reports are published publicly</w:t>
      </w:r>
    </w:p>
    <w:p>
      <w:r>
        <w:t>Audit findings are disclosed</w:t>
      </w:r>
    </w:p>
    <w:p>
      <w:r>
        <w:t>Any exceptions are explained</w:t>
      </w:r>
    </w:p>
    <w:p>
      <w:r>
        <w:t>Remediation plans are published</w:t>
      </w:r>
    </w:p>
    <w:p>
      <w:r>
        <w:t>Example:</w:t>
      </w:r>
    </w:p>
    <w:p>
      <w:r>
        <w:t>The Institution publishes quarterly audit reports. The reports include the audit findings, any exceptions identified, and remediation plans. The reports are publicly accessible.</w:t>
      </w:r>
    </w:p>
    <w:p>
      <w:r>
        <w:t>Why This Matters:</w:t>
      </w:r>
    </w:p>
    <w:p>
      <w:r>
        <w:t>Publication ensures transparency</w:t>
      </w:r>
    </w:p>
    <w:p>
      <w:r>
        <w:t>Disclosure ensures accountability</w:t>
      </w:r>
    </w:p>
    <w:p>
      <w:r>
        <w:t>Exception explanation ensures understanding</w:t>
      </w:r>
    </w:p>
    <w:p>
      <w:r>
        <w:t>Remediation plans ensure improvement</w:t>
      </w:r>
    </w:p>
    <w:p>
      <w:r>
        <w:t>Verification Technology</w:t>
      </w:r>
    </w:p>
    <w:p>
      <w:r>
        <w:t>The Institution shall use appropriate verification technology:</w:t>
      </w:r>
    </w:p>
    <w:p>
      <w:r>
        <w:t>Cryptographic Techniques</w:t>
      </w:r>
    </w:p>
    <w:p>
      <w:r>
        <w:t>Technology Selection</w:t>
      </w:r>
    </w:p>
    <w:p>
      <w:r>
        <w:t>What This Means in Practice:</w:t>
      </w:r>
    </w:p>
    <w:p>
      <w:r>
        <w:t>The Institution selects appropriate technology</w:t>
      </w:r>
    </w:p>
    <w:p>
      <w:r>
        <w:t>Technology is evaluated against constitutional criteria</w:t>
      </w:r>
    </w:p>
    <w:p>
      <w:r>
        <w:t>Technology is reviewed regularly</w:t>
      </w:r>
    </w:p>
    <w:p>
      <w:r>
        <w:t>Technology evolves as needed</w:t>
      </w:r>
    </w:p>
    <w:p>
      <w:r>
        <w:t>Example:</w:t>
      </w:r>
    </w:p>
    <w:p>
      <w:r>
        <w:t>The Institution uses ZK-SNARKs for proof generation because they provide mathematical certainty and privacy preservation. The Technology Committee evaluates alternatives regularly and may recommend changes as technology evolves.</w:t>
      </w:r>
    </w:p>
    <w:p>
      <w:r>
        <w:t>Why This Matters:</w:t>
      </w:r>
    </w:p>
    <w:p>
      <w:r>
        <w:t>Technology must be appropriate for the task</w:t>
      </w:r>
    </w:p>
    <w:p>
      <w:r>
        <w:t>Technology must evolve with advances</w:t>
      </w:r>
    </w:p>
    <w:p>
      <w:r>
        <w:t>Technology must be reviewed regularly</w:t>
      </w:r>
    </w:p>
    <w:p>
      <w:r>
        <w:t>Technology choices must serve the Institution</w:t>
      </w:r>
    </w:p>
    <w:p>
      <w:r>
        <w:t>Verification by Participants</w:t>
      </w:r>
    </w:p>
    <w:p>
      <w:r>
        <w:t>Participants can verify proof of reserves independently:</w:t>
      </w:r>
    </w:p>
    <w:p>
      <w:r>
        <w:t>Verification Steps</w:t>
      </w:r>
    </w:p>
    <w:p>
      <w:pPr>
        <w:pStyle w:val="ListNumber"/>
        <w:ind w:left="425"/>
      </w:pPr>
      <w:r>
        <w:t>Obtain the Proof</w:t>
      </w:r>
    </w:p>
    <w:p>
      <w:r>
        <w:t>Access the published proof</w:t>
      </w:r>
    </w:p>
    <w:p>
      <w:r>
        <w:t>Download the proof data</w:t>
      </w:r>
    </w:p>
    <w:p>
      <w:r>
        <w:t>Review the proof format</w:t>
      </w:r>
    </w:p>
    <w:p>
      <w:pPr>
        <w:pStyle w:val="ListNumber"/>
        <w:ind w:left="425"/>
      </w:pPr>
      <w:r>
        <w:t>Verify the Proof</w:t>
      </w:r>
    </w:p>
    <w:p>
      <w:r>
        <w:t>Run the verification algorithm</w:t>
      </w:r>
    </w:p>
    <w:p>
      <w:r>
        <w:t>Confirm proof validity</w:t>
      </w:r>
    </w:p>
    <w:p>
      <w:r>
        <w:t>Check the reserve ratio</w:t>
      </w:r>
    </w:p>
    <w:p>
      <w:pPr>
        <w:pStyle w:val="ListNumber"/>
        <w:ind w:left="425"/>
      </w:pPr>
      <w:r>
        <w:t>Review Supporting Information</w:t>
      </w:r>
    </w:p>
    <w:p>
      <w:r>
        <w:t>Review published data</w:t>
      </w:r>
    </w:p>
    <w:p>
      <w:r>
        <w:t>Check against independent sources</w:t>
      </w:r>
    </w:p>
    <w:p>
      <w:r>
        <w:t>Assess any discrepancies</w:t>
      </w:r>
    </w:p>
    <w:p>
      <w:pPr>
        <w:pStyle w:val="ListNumber"/>
        <w:ind w:left="425"/>
      </w:pPr>
      <w:r>
        <w:t>Take Action If Needed</w:t>
      </w:r>
    </w:p>
    <w:p>
      <w:r>
        <w:t>Raise questions if concerns exist</w:t>
      </w:r>
    </w:p>
    <w:p>
      <w:r>
        <w:t>Request clarification</w:t>
      </w:r>
    </w:p>
    <w:p>
      <w:r>
        <w:t>Escalate if issues identified</w:t>
      </w:r>
    </w:p>
    <w:p>
      <w:r>
        <w:t>Summary Table</w:t>
      </w:r>
    </w:p>
    <w:p>
      <w:r>
        <w:t>Constitutional Interpretation</w:t>
      </w:r>
    </w:p>
    <w:p>
      <w:r>
        <w:t>Proof of Reserves is the constitutional mechanism for demonstrating solvency:</w:t>
      </w:r>
    </w:p>
    <w:p>
      <w:r>
        <w:t>The proof demonstrates Reserve Value ≥ Supply Value</w:t>
      </w:r>
    </w:p>
    <w:p>
      <w:r>
        <w:t>The proof is cryptographic, privacy-preserving, and verifiable</w:t>
      </w:r>
    </w:p>
    <w:p>
      <w:r>
        <w:t>The proof is published at defined intervals</w:t>
      </w:r>
    </w:p>
    <w:p>
      <w:r>
        <w:t>The proof is independently audited</w:t>
      </w:r>
    </w:p>
    <w:p>
      <w:r>
        <w:t>The proof provides continuous assurance to participants</w:t>
      </w:r>
    </w:p>
    <w:p>
      <w:r>
        <w:t>Proof of Reserves transforms the claim of "100%+ reserves" into a demonstrable, auditable reality. It is the foundation of institutional trust and the primary accountability mechanism for constitutional solvency.</w:t>
      </w:r>
    </w:p>
    <w:p>
      <w:r>
        <w:t>[END OF ARTICLE VII — PROOF OF RESERVES]</w:t>
      </w:r>
    </w:p>
    <w:p>
      <w:r>
        <w:t>Article VIII: Yield Separation</w:t>
      </w:r>
    </w:p>
    <w:p>
      <w:r>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r>
        <w:t>What This Means in Practice:</w:t>
      </w:r>
    </w:p>
    <w:p>
      <w:r>
        <w:t>The settlement function is strictly separate from yield generation</w:t>
      </w:r>
    </w:p>
    <w:p>
      <w:r>
        <w:t>Settlement reserves are not used to generate yield</w:t>
      </w:r>
    </w:p>
    <w:p>
      <w:r>
        <w:t>Yield-generating activities do not affect settlement solvency</w:t>
      </w:r>
    </w:p>
    <w:p>
      <w:r>
        <w:t>The separation is absolute and constitutionally protected</w:t>
      </w:r>
    </w:p>
    <w:p>
      <w:r>
        <w:t>Example:</w:t>
      </w:r>
    </w:p>
    <w:p>
      <w:r>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r>
        <w:t>Why This Matters:</w:t>
      </w:r>
    </w:p>
    <w:p>
      <w:r>
        <w:t>Without separation, yield activities could expose settlement reserves to risk</w:t>
      </w:r>
    </w:p>
    <w:p>
      <w:r>
        <w:t>Without separation, the Institution would be engaging in activities beyond its constitutional purpose</w:t>
      </w:r>
    </w:p>
    <w:p>
      <w:r>
        <w:t>Without separation, the Institution would face securities law risk</w:t>
      </w:r>
    </w:p>
    <w:p>
      <w:r>
        <w:t>Without separation, the Institution's neutrality and constitutional identity would be compromised</w:t>
      </w:r>
    </w:p>
    <w:p>
      <w:r>
        <w:t>Separation protects the settlement function from yield-seeking risks</w:t>
      </w:r>
    </w:p>
    <w:p>
      <w:r>
        <w:t>Core Principle: Absolute Separation</w:t>
      </w:r>
    </w:p>
    <w:p>
      <w:r>
        <w:t>The settlement function and yield generation are absolutely separate.</w:t>
      </w:r>
    </w:p>
    <w:p>
      <w:r>
        <w:t>What This Means in Practice:</w:t>
      </w:r>
    </w:p>
    <w:p>
      <w:r>
        <w:t>Settlement reserves are never used for yield generation</w:t>
      </w:r>
    </w:p>
    <w:p>
      <w:r>
        <w:t>Yield-generating assets are never used for settlement backing</w:t>
      </w:r>
    </w:p>
    <w:p>
      <w:r>
        <w:t>The yield vehicle is a separate legal entity or structure</w:t>
      </w:r>
    </w:p>
    <w:p>
      <w:r>
        <w:t>The yield vehicle operates under separate governance</w:t>
      </w:r>
    </w:p>
    <w:p>
      <w:r>
        <w:t>The separation is auditable and constitutionally protected</w:t>
      </w:r>
    </w:p>
    <w:p>
      <w:r>
        <w:t>Example:</w:t>
      </w:r>
    </w:p>
    <w:p>
      <w:r>
        <w:t>The Institution operates the settlement function. A separate regulated investment vehicle operates the yield function. The two are legally separate, operationally separate, and financially separate. No assets, liabilities, or risks cross between them.</w:t>
      </w:r>
    </w:p>
    <w:p>
      <w:r>
        <w:t>Why This Matters:</w:t>
      </w:r>
    </w:p>
    <w:p>
      <w:r>
        <w:t>Absolute separation prevents risk contagion</w:t>
      </w:r>
    </w:p>
    <w:p>
      <w:r>
        <w:t>Absolute separation preserves settlement integrity</w:t>
      </w:r>
    </w:p>
    <w:p>
      <w:r>
        <w:t>Absolute separation protects the Institution's constitutional purpose</w:t>
      </w:r>
    </w:p>
    <w:p>
      <w:r>
        <w:t>Absolute separation provides clarity for participants</w:t>
      </w:r>
    </w:p>
    <w:p>
      <w:r>
        <w:t>The Yield Vehicle</w:t>
      </w:r>
    </w:p>
    <w:p>
      <w:r>
        <w:t>Structure</w:t>
      </w:r>
    </w:p>
    <w:p>
      <w:r>
        <w:t>The yield vehicle is a separate, regulated legal investment vehicle.</w:t>
      </w:r>
    </w:p>
    <w:p>
      <w:r>
        <w:t>What This Means in Practice:</w:t>
      </w:r>
    </w:p>
    <w:p>
      <w:r>
        <w:t>The yield vehicle is a separate legal entity</w:t>
      </w:r>
    </w:p>
    <w:p>
      <w:r>
        <w:t>The yield vehicle is regulated by competent authorities</w:t>
      </w:r>
    </w:p>
    <w:p>
      <w:r>
        <w:t>The yield vehicle operates under separate governance</w:t>
      </w:r>
    </w:p>
    <w:p>
      <w:r>
        <w:t>The yield vehicle has separate financial statements</w:t>
      </w:r>
    </w:p>
    <w:p>
      <w:r>
        <w:t>The yield vehicle is audited separately</w:t>
      </w:r>
    </w:p>
    <w:p>
      <w:r>
        <w:t>Example:</w:t>
      </w:r>
    </w:p>
    <w:p>
      <w:r>
        <w:t>The yield vehicle is structured as a regulated investment fund or similar entity. It is licensed and supervised by competent authorities. It has its own board, its own management, and its own auditors. It operates independently of the Institution's settlement function.</w:t>
      </w:r>
    </w:p>
    <w:p>
      <w:r>
        <w:t>Why This Matters:</w:t>
      </w:r>
    </w:p>
    <w:p>
      <w:r>
        <w:t>Separate legal structure provides legal protection</w:t>
      </w:r>
    </w:p>
    <w:p>
      <w:r>
        <w:t>Separate regulation ensures compliance</w:t>
      </w:r>
    </w:p>
    <w:p>
      <w:r>
        <w:t>Separate governance prevents conflicts</w:t>
      </w:r>
    </w:p>
    <w:p>
      <w:r>
        <w:t>Separate audits enable verification</w:t>
      </w:r>
    </w:p>
    <w:p>
      <w:r>
        <w:t>Asset Composition</w:t>
      </w:r>
    </w:p>
    <w:p>
      <w:r>
        <w:t>The yield vehicle invests in sukuk/asset-backed income instruments.</w:t>
      </w:r>
    </w:p>
    <w:p>
      <w:r>
        <w:t>What This Means in Practice:</w:t>
      </w:r>
    </w:p>
    <w:p>
      <w:r>
        <w:t>Investments are Sharia-compliant</w:t>
      </w:r>
    </w:p>
    <w:p>
      <w:r>
        <w:t>Investments are asset-backed</w:t>
      </w:r>
    </w:p>
    <w:p>
      <w:r>
        <w:t>Investments are income-generating</w:t>
      </w:r>
    </w:p>
    <w:p>
      <w:r>
        <w:t>Investments are consistent with institutional principles</w:t>
      </w:r>
    </w:p>
    <w:p>
      <w:r>
        <w:t>Example:</w:t>
      </w:r>
    </w:p>
    <w:p>
      <w:r>
        <w:t>The yield vehicle invests in sukuk (Islamic bonds), asset-backed securities, and other Sharia-compliant income-generating instruments. The investments are asset-backed and provide regular income. The composition is reviewed by the Sharia Committee.</w:t>
      </w:r>
    </w:p>
    <w:p>
      <w:r>
        <w:t>Why This Matters:</w:t>
      </w:r>
    </w:p>
    <w:p>
      <w:r>
        <w:t>Sharia compliance maintains institutional integrity</w:t>
      </w:r>
    </w:p>
    <w:p>
      <w:r>
        <w:t>Asset backing reduces risk</w:t>
      </w:r>
    </w:p>
    <w:p>
      <w:r>
        <w:t>Income generation provides the yield</w:t>
      </w:r>
    </w:p>
    <w:p>
      <w:r>
        <w:t>Institutional alignment maintains consistency</w:t>
      </w:r>
    </w:p>
    <w:p>
      <w:r>
        <w:t>What the Yield Vehicle Does</w:t>
      </w:r>
    </w:p>
    <w:p>
      <w:r>
        <w:t>The yield vehicle accepts fiat subscriptions only.</w:t>
      </w:r>
    </w:p>
    <w:p>
      <w:r>
        <w:t>What This Means in Practice:</w:t>
      </w:r>
    </w:p>
    <w:p>
      <w:r>
        <w:t>Subscriptions are in fiat currency</w:t>
      </w:r>
    </w:p>
    <w:p>
      <w:r>
        <w:t>No MTQ is accepted for subscription</w:t>
      </w:r>
    </w:p>
    <w:p>
      <w:r>
        <w:t>No MTQ is held by the yield vehicle</w:t>
      </w:r>
    </w:p>
    <w:p>
      <w:r>
        <w:t>The yield vehicle is separate from MTQ operations</w:t>
      </w:r>
    </w:p>
    <w:p>
      <w:r>
        <w:t>Example:</w:t>
      </w:r>
    </w:p>
    <w:p>
      <w:r>
        <w:t>An institutional investor subscribes to the yield vehicle using fiat currency. The investor does not use MTQ for subscription. The yield vehicle does not hold MTQ. The yield vehicle is entirely separate from the settlement unit.</w:t>
      </w:r>
    </w:p>
    <w:p>
      <w:r>
        <w:t>Why This Matters:</w:t>
      </w:r>
    </w:p>
    <w:p>
      <w:r>
        <w:t>Fiat-only subscription prevents MTQ exposure</w:t>
      </w:r>
    </w:p>
    <w:p>
      <w:r>
        <w:t>Fiat-only subscription preserves MTQ neutrality</w:t>
      </w:r>
    </w:p>
    <w:p>
      <w:r>
        <w:t>Fiat-only subscription maintains separation</w:t>
      </w:r>
    </w:p>
    <w:p>
      <w:r>
        <w:t>Fiat-only subscription prevents commingling</w:t>
      </w:r>
    </w:p>
    <w:p>
      <w:r>
        <w:t>What the Yield Vehicle Does Not Do</w:t>
      </w:r>
    </w:p>
    <w:p>
      <w:r>
        <w:t>The yield vehicle shall never:</w:t>
      </w:r>
    </w:p>
    <w:p>
      <w:r>
        <w:t>Hold MTQ</w:t>
      </w:r>
    </w:p>
    <w:p>
      <w:r>
        <w:t>Lend MTQ</w:t>
      </w:r>
    </w:p>
    <w:p>
      <w:r>
        <w:t>Stake MTQ</w:t>
      </w:r>
    </w:p>
    <w:p>
      <w:r>
        <w:t>Use MTQ as collateral</w:t>
      </w:r>
    </w:p>
    <w:p>
      <w:r>
        <w:t>Redeem MTQ</w:t>
      </w:r>
    </w:p>
    <w:p>
      <w:r>
        <w:t>Commingle with Institution reserves</w:t>
      </w:r>
    </w:p>
    <w:p>
      <w:r>
        <w:t>Affect Institution solvency</w:t>
      </w:r>
    </w:p>
    <w:p>
      <w:r>
        <w:t>Use Institution reserves for any purpose</w:t>
      </w:r>
    </w:p>
    <w:p>
      <w:r>
        <w:t>What This Means in Practice:</w:t>
      </w:r>
    </w:p>
    <w:p>
      <w:r>
        <w:t>The yield vehicle has no MTQ exposure</w:t>
      </w:r>
    </w:p>
    <w:p>
      <w:r>
        <w:t>The yield vehicle has no impact on settlement operations</w:t>
      </w:r>
    </w:p>
    <w:p>
      <w:r>
        <w:t>The yield vehicle is operationally and financially independent</w:t>
      </w:r>
    </w:p>
    <w:p>
      <w:r>
        <w:t>The yield vehicle cannot affect settlement reserves</w:t>
      </w:r>
    </w:p>
    <w:p>
      <w:r>
        <w:t>Example:</w:t>
      </w:r>
    </w:p>
    <w:p>
      <w:r>
        <w:t>The yield vehicle does not hold any MTQ, does not lend any MTQ, and does not use MTQ as collateral. It is entirely independent of the settlement operation. Its activities have no impact on settlement reserves or operations.</w:t>
      </w:r>
    </w:p>
    <w:p>
      <w:r>
        <w:t>Why This Matters:</w:t>
      </w:r>
    </w:p>
    <w:p>
      <w:r>
        <w:t>No MTQ exposure prevents risk transmission</w:t>
      </w:r>
    </w:p>
    <w:p>
      <w:r>
        <w:t>No MTQ lending protects the settlement unit</w:t>
      </w:r>
    </w:p>
    <w:p>
      <w:r>
        <w:t>No MTQ collateral prevents contagion</w:t>
      </w:r>
    </w:p>
    <w:p>
      <w:r>
        <w:t>Independence protects settlement integrity</w:t>
      </w:r>
    </w:p>
    <w:p>
      <w:r>
        <w:t>Invariants Regarding Commingling</w:t>
      </w:r>
    </w:p>
    <w:p>
      <w:r>
        <w:t>Invariant: No Commingling</w:t>
      </w:r>
    </w:p>
    <w:p>
      <w:r>
        <w:t>Yield Program assets never mix with settlement reserves.</w:t>
      </w:r>
    </w:p>
    <w:p>
      <w:r>
        <w:t>What This Means in Practice:</w:t>
      </w:r>
    </w:p>
    <w:p>
      <w:r>
        <w:t>Settlement reserves are held in separate custody accounts</w:t>
      </w:r>
    </w:p>
    <w:p>
      <w:r>
        <w:t>Yield vehicle assets are held in separate custody accounts</w:t>
      </w:r>
    </w:p>
    <w:p>
      <w:r>
        <w:t>No assets are transferred between them</w:t>
      </w:r>
    </w:p>
    <w:p>
      <w:r>
        <w:t>No liabilities are shared between them</w:t>
      </w:r>
    </w:p>
    <w:p>
      <w:r>
        <w:t>Example:</w:t>
      </w:r>
    </w:p>
    <w:p>
      <w:r>
        <w:t>The Institution's settlement reserves are held in Custody Account A. The yield vehicle's assets are held in Custody Account B. The accounts are separate, the legal entities are separate, and the governance is separate. No assets, liabilities, or risks cross between them.</w:t>
      </w:r>
    </w:p>
    <w:p>
      <w:r>
        <w:t>Why This Matters:</w:t>
      </w:r>
    </w:p>
    <w:p>
      <w:r>
        <w:t>No commingling prevents risk contagion</w:t>
      </w:r>
    </w:p>
    <w:p>
      <w:r>
        <w:t>No commingling maintains reserve integrity</w:t>
      </w:r>
    </w:p>
    <w:p>
      <w:r>
        <w:t>No commingling enables auditability</w:t>
      </w:r>
    </w:p>
    <w:p>
      <w:r>
        <w:t>No commingling protects institutional purpose</w:t>
      </w:r>
    </w:p>
    <w:p>
      <w:r>
        <w:t>Verification of Separation</w:t>
      </w:r>
    </w:p>
    <w:p>
      <w:r>
        <w:t>The separation is verified through multiple mechanisms:</w:t>
      </w:r>
    </w:p>
    <w:p>
      <w:r>
        <w:t>Governance of the Yield Vehicle</w:t>
      </w:r>
    </w:p>
    <w:p>
      <w:r>
        <w:t>Independence</w:t>
      </w:r>
    </w:p>
    <w:p>
      <w:r>
        <w:t>The yield vehicle operates under separate governance.</w:t>
      </w:r>
    </w:p>
    <w:p>
      <w:r>
        <w:t>What This Means in Practice:</w:t>
      </w:r>
    </w:p>
    <w:p>
      <w:r>
        <w:t>The yield vehicle has its own governance structure</w:t>
      </w:r>
    </w:p>
    <w:p>
      <w:r>
        <w:t>The yield vehicle's governance is independent of the Council</w:t>
      </w:r>
    </w:p>
    <w:p>
      <w:r>
        <w:t>The yield vehicle's governance is accountable to its own investors</w:t>
      </w:r>
    </w:p>
    <w:p>
      <w:r>
        <w:t>The yield vehicle's governance does not affect the Institution</w:t>
      </w:r>
    </w:p>
    <w:p>
      <w:r>
        <w:t>Example:</w:t>
      </w:r>
    </w:p>
    <w:p>
      <w:r>
        <w:t>The yield vehicle has its own board of directors, its own management team, and its own governance framework. The board is responsible for the yield vehicle's operations. The Council does not govern the yield vehicle. The separation is complete.</w:t>
      </w:r>
    </w:p>
    <w:p>
      <w:r>
        <w:t>Why This Matters:</w:t>
      </w:r>
    </w:p>
    <w:p>
      <w:r>
        <w:t>Independent governance prevents conflicts</w:t>
      </w:r>
    </w:p>
    <w:p>
      <w:r>
        <w:t>Independent governance ensures proper oversight</w:t>
      </w:r>
    </w:p>
    <w:p>
      <w:r>
        <w:t>Independent governance protects the Institution</w:t>
      </w:r>
    </w:p>
    <w:p>
      <w:r>
        <w:t>Independent governance enables specialization</w:t>
      </w:r>
    </w:p>
    <w:p>
      <w:r>
        <w:t>Oversight</w:t>
      </w:r>
    </w:p>
    <w:p>
      <w:r>
        <w:t>The yield vehicle is subject to appropriate oversight.</w:t>
      </w:r>
    </w:p>
    <w:p>
      <w:r>
        <w:t>What This Means in Practice:</w:t>
      </w:r>
    </w:p>
    <w:p>
      <w:r>
        <w:t>The yield vehicle is regulated by competent authorities</w:t>
      </w:r>
    </w:p>
    <w:p>
      <w:r>
        <w:t>The yield vehicle is audited by independent auditors</w:t>
      </w:r>
    </w:p>
    <w:p>
      <w:r>
        <w:t>The yield vehicle is subject to reporting requirements</w:t>
      </w:r>
    </w:p>
    <w:p>
      <w:r>
        <w:t>The yield vehicle is accountable to its investors</w:t>
      </w:r>
    </w:p>
    <w:p>
      <w:r>
        <w:t>Example:</w:t>
      </w:r>
    </w:p>
    <w:p>
      <w:r>
        <w:t>The yield vehicle is licensed and supervised by a competent regulatory authority. It is audited annually by independent auditors. It files regular reports with regulators. It provides regular reports to its investors. The oversight is comprehensive.</w:t>
      </w:r>
    </w:p>
    <w:p>
      <w:r>
        <w:t>Why This Matters:</w:t>
      </w:r>
    </w:p>
    <w:p>
      <w:r>
        <w:t>Oversight ensures compliance</w:t>
      </w:r>
    </w:p>
    <w:p>
      <w:r>
        <w:t>Oversight provides assurance</w:t>
      </w:r>
    </w:p>
    <w:p>
      <w:r>
        <w:t>Oversight builds trust</w:t>
      </w:r>
    </w:p>
    <w:p>
      <w:r>
        <w:t>Oversight protects investors</w:t>
      </w:r>
    </w:p>
    <w:p>
      <w:r>
        <w:t>Reporting</w:t>
      </w:r>
    </w:p>
    <w:p>
      <w:r>
        <w:t>The yield vehicle provides regular reporting.</w:t>
      </w:r>
    </w:p>
    <w:p>
      <w:r>
        <w:t>What This Means in Practice:</w:t>
      </w:r>
    </w:p>
    <w:p>
      <w:r>
        <w:t>Financial statements are published</w:t>
      </w:r>
    </w:p>
    <w:p>
      <w:r>
        <w:t>Performance is reported</w:t>
      </w:r>
    </w:p>
    <w:p>
      <w:r>
        <w:t>Portfolio composition is disclosed</w:t>
      </w:r>
    </w:p>
    <w:p>
      <w:r>
        <w:t>Risks are disclosed</w:t>
      </w:r>
    </w:p>
    <w:p>
      <w:r>
        <w:t>Example:</w:t>
      </w:r>
    </w:p>
    <w:p>
      <w:r>
        <w:t>The yield vehicle publishes quarterly financial statements, monthly performance reports, and annual comprehensive reports. The portfolio composition is disclosed. Risks are identified and explained. Investors have full visibility.</w:t>
      </w:r>
    </w:p>
    <w:p>
      <w:r>
        <w:t>Why This Matters:</w:t>
      </w:r>
    </w:p>
    <w:p>
      <w:r>
        <w:t>Reporting ensures transparency</w:t>
      </w:r>
    </w:p>
    <w:p>
      <w:r>
        <w:t>Reporting enables accountability</w:t>
      </w:r>
    </w:p>
    <w:p>
      <w:r>
        <w:t>Reporting builds trust</w:t>
      </w:r>
    </w:p>
    <w:p>
      <w:r>
        <w:t>Reporting informs investment decisions</w:t>
      </w:r>
    </w:p>
    <w:p>
      <w:r>
        <w:t>Relationship to Settlement Function</w:t>
      </w:r>
    </w:p>
    <w:p>
      <w:r>
        <w:t>No Impact on Solvency</w:t>
      </w:r>
    </w:p>
    <w:p>
      <w:r>
        <w:t>Yield vehicle activities shall not affect settlement solvency.</w:t>
      </w:r>
    </w:p>
    <w:p>
      <w:r>
        <w:t>What This Means in Practice:</w:t>
      </w:r>
    </w:p>
    <w:p>
      <w:r>
        <w:t>Settlement reserves are not used for yield activities</w:t>
      </w:r>
    </w:p>
    <w:p>
      <w:r>
        <w:t>Yield vehicle losses do not affect settlement reserves</w:t>
      </w:r>
    </w:p>
    <w:p>
      <w:r>
        <w:t>Settlement solvency is independent of yield vehicle performance</w:t>
      </w:r>
    </w:p>
    <w:p>
      <w:r>
        <w:t>The two are operationally, financially, and legally separate</w:t>
      </w:r>
    </w:p>
    <w:p>
      <w:r>
        <w:t>Example:</w:t>
      </w:r>
    </w:p>
    <w:p>
      <w:r>
        <w:t>The yield vehicle experiences losses. These losses are borne by the yield vehicle's investors. The Institution's settlement reserves are unaffected. Settlement solvency is maintained. The separation is absolute.</w:t>
      </w:r>
    </w:p>
    <w:p>
      <w:r>
        <w:t>Why This Matters:</w:t>
      </w:r>
    </w:p>
    <w:p>
      <w:r>
        <w:t>No impact on solvency protects holders</w:t>
      </w:r>
    </w:p>
    <w:p>
      <w:r>
        <w:t>No impact on solvency maintains redemption certainty</w:t>
      </w:r>
    </w:p>
    <w:p>
      <w:r>
        <w:t>No impact on solvency preserves constitutional integrity</w:t>
      </w:r>
    </w:p>
    <w:p>
      <w:r>
        <w:t>No impact on solvency ensures institutional stability</w:t>
      </w:r>
    </w:p>
    <w:p>
      <w:r>
        <w:t>No Impact on Redemption</w:t>
      </w:r>
    </w:p>
    <w:p>
      <w:r>
        <w:t>Yield vehicle activities shall not affect redemption.</w:t>
      </w:r>
    </w:p>
    <w:p>
      <w:r>
        <w:t>What This Means in Practice:</w:t>
      </w:r>
    </w:p>
    <w:p>
      <w:r>
        <w:t>Redemption is independent of yield vehicle operations</w:t>
      </w:r>
    </w:p>
    <w:p>
      <w:r>
        <w:t>Redemption capacity is unaffected by yield vehicle activities</w:t>
      </w:r>
    </w:p>
    <w:p>
      <w:r>
        <w:t>Redemption certainty is maintained</w:t>
      </w:r>
    </w:p>
    <w:p>
      <w:r>
        <w:t>Redemption is available at all times</w:t>
      </w:r>
    </w:p>
    <w:p>
      <w:r>
        <w:t>Example:</w:t>
      </w:r>
    </w:p>
    <w:p>
      <w:r>
        <w:t>The yield vehicle experiences a liquidity issue. The Institution's redemption operations are unaffected. Holders can redeem MTQ at any time. Redemption certainty is maintained. The separation is absolute.</w:t>
      </w:r>
    </w:p>
    <w:p>
      <w:r>
        <w:t>Why This Matters:</w:t>
      </w:r>
    </w:p>
    <w:p>
      <w:r>
        <w:t>No impact on redemption protects holders</w:t>
      </w:r>
    </w:p>
    <w:p>
      <w:r>
        <w:t>No impact on redemption maintains trust</w:t>
      </w:r>
    </w:p>
    <w:p>
      <w:r>
        <w:t>No impact on redemption preserves institutional purpose</w:t>
      </w:r>
    </w:p>
    <w:p>
      <w:r>
        <w:t>No impact on redemption ensures constitutional function</w:t>
      </w:r>
    </w:p>
    <w:p>
      <w:r>
        <w:t>No Impact on NAV</w:t>
      </w:r>
    </w:p>
    <w:p>
      <w:r>
        <w:t>Yield vehicle activities shall not affect NAV.</w:t>
      </w:r>
    </w:p>
    <w:p>
      <w:r>
        <w:t>What This Means in Practice:</w:t>
      </w:r>
    </w:p>
    <w:p>
      <w:r>
        <w:t>NAV is calculated based on settlement reserves</w:t>
      </w:r>
    </w:p>
    <w:p>
      <w:r>
        <w:t>NAV does not reflect yield vehicle performance</w:t>
      </w:r>
    </w:p>
    <w:p>
      <w:r>
        <w:t>NAV is independent of yield vehicle operations</w:t>
      </w:r>
    </w:p>
    <w:p>
      <w:r>
        <w:t>NAV remains a measure of settlement unit value</w:t>
      </w:r>
    </w:p>
    <w:p>
      <w:r>
        <w:t>Example:</w:t>
      </w:r>
    </w:p>
    <w:p>
      <w:r>
        <w:t>The yield vehicle performs well and generates significant returns. The NAV of MTQ is unaffected. The NAV reflects only settlement reserves. The yield vehicle's performance does not affect the settlement unit's value.</w:t>
      </w:r>
    </w:p>
    <w:p>
      <w:r>
        <w:t>Why This Matters:</w:t>
      </w:r>
    </w:p>
    <w:p>
      <w:r>
        <w:t>No impact on NAV maintains clarity</w:t>
      </w:r>
    </w:p>
    <w:p>
      <w:r>
        <w:t>No impact on NAV preserves the settlement unit's purpose</w:t>
      </w:r>
    </w:p>
    <w:p>
      <w:r>
        <w:t>No impact on NAV prevents confusion</w:t>
      </w:r>
    </w:p>
    <w:p>
      <w:r>
        <w:t>No impact on NAV ensures the NAV reflects only reserves</w:t>
      </w:r>
    </w:p>
    <w:p>
      <w:r>
        <w:t>Accounting and Audit</w:t>
      </w:r>
    </w:p>
    <w:p>
      <w:r>
        <w:t>Separate Accounting</w:t>
      </w:r>
    </w:p>
    <w:p>
      <w:r>
        <w:t>The yield vehicle maintains separate accounting.</w:t>
      </w:r>
    </w:p>
    <w:p>
      <w:r>
        <w:t>What This Means in Practice:</w:t>
      </w:r>
    </w:p>
    <w:p>
      <w:r>
        <w:t>Separate financial statements</w:t>
      </w:r>
    </w:p>
    <w:p>
      <w:r>
        <w:t>Separate asset accounting</w:t>
      </w:r>
    </w:p>
    <w:p>
      <w:r>
        <w:t>Separate liability accounting</w:t>
      </w:r>
    </w:p>
    <w:p>
      <w:r>
        <w:t>Separate income and expense accounting</w:t>
      </w:r>
    </w:p>
    <w:p>
      <w:r>
        <w:t>Example:</w:t>
      </w:r>
    </w:p>
    <w:p>
      <w:r>
        <w:t>The yield vehicle has its own chart of accounts, its own financial statements, and its own accounting policies. It maintains separate books and records. The accounting is entirely independent of the Institution's settlement accounting.</w:t>
      </w:r>
    </w:p>
    <w:p>
      <w:r>
        <w:t>Why This Matters:</w:t>
      </w:r>
    </w:p>
    <w:p>
      <w:r>
        <w:t>Separate accounting enables verification</w:t>
      </w:r>
    </w:p>
    <w:p>
      <w:r>
        <w:t>Separate accounting prevents commingling</w:t>
      </w:r>
    </w:p>
    <w:p>
      <w:r>
        <w:t>Separate accounting supports auditability</w:t>
      </w:r>
    </w:p>
    <w:p>
      <w:r>
        <w:t>Separate accounting provides clarity</w:t>
      </w:r>
    </w:p>
    <w:p>
      <w:r>
        <w:t>Independent Audit</w:t>
      </w:r>
    </w:p>
    <w:p>
      <w:r>
        <w:t>The yield vehicle is independently audited.</w:t>
      </w:r>
    </w:p>
    <w:p>
      <w:r>
        <w:t>What This Means in Practice:</w:t>
      </w:r>
    </w:p>
    <w:p>
      <w:r>
        <w:t>Auditors are independent</w:t>
      </w:r>
    </w:p>
    <w:p>
      <w:r>
        <w:t>Auditors are professionally qualified</w:t>
      </w:r>
    </w:p>
    <w:p>
      <w:r>
        <w:t>Audit findings are published</w:t>
      </w:r>
    </w:p>
    <w:p>
      <w:r>
        <w:t>Audit recommendations are implemented</w:t>
      </w:r>
    </w:p>
    <w:p>
      <w:r>
        <w:t>Example:</w:t>
      </w:r>
    </w:p>
    <w:p>
      <w:r>
        <w:t>The yield vehicle engages independent auditors to audit its financial statements annually. The auditors are independent, professionally qualified, and subject to professional standards. The audit findings are published.</w:t>
      </w:r>
    </w:p>
    <w:p>
      <w:r>
        <w:t>Why This Matters:</w:t>
      </w:r>
    </w:p>
    <w:p>
      <w:r>
        <w:t>Independent audit provides assurance</w:t>
      </w:r>
    </w:p>
    <w:p>
      <w:r>
        <w:t>Independent audit verifies compliance</w:t>
      </w:r>
    </w:p>
    <w:p>
      <w:r>
        <w:t>Independent audit builds trust</w:t>
      </w:r>
    </w:p>
    <w:p>
      <w:r>
        <w:t>Independent audit supports accountability</w:t>
      </w:r>
    </w:p>
    <w:p>
      <w:r>
        <w:t>Sharia Audit</w:t>
      </w:r>
    </w:p>
    <w:p>
      <w:r>
        <w:t>The yield vehicle is subject to Sharia audit.</w:t>
      </w:r>
    </w:p>
    <w:p>
      <w:r>
        <w:t>What This Means in Practice:</w:t>
      </w:r>
    </w:p>
    <w:p>
      <w:r>
        <w:t>Sharia Committee reviews the yield vehicle</w:t>
      </w:r>
    </w:p>
    <w:p>
      <w:r>
        <w:t>Sharia Committee confirms compliance</w:t>
      </w:r>
    </w:p>
    <w:p>
      <w:r>
        <w:t>Sharia Committee publishes findings</w:t>
      </w:r>
    </w:p>
    <w:p>
      <w:r>
        <w:t>Sharia Committee provides assurance</w:t>
      </w:r>
    </w:p>
    <w:p>
      <w:r>
        <w:t>Example:</w:t>
      </w:r>
    </w:p>
    <w:p>
      <w:r>
        <w:t>The Sharia Committee reviews the yield vehicle's investment portfolio, structures, and operations annually. The Committee confirms that all activities are Sharia-compliant. The Committee's findings are published.</w:t>
      </w:r>
    </w:p>
    <w:p>
      <w:r>
        <w:t>Why This Matters:</w:t>
      </w:r>
    </w:p>
    <w:p>
      <w:r>
        <w:t>Sharia audit ensures compliance</w:t>
      </w:r>
    </w:p>
    <w:p>
      <w:r>
        <w:t>Sharia audit maintains institutional integrity</w:t>
      </w:r>
    </w:p>
    <w:p>
      <w:r>
        <w:t>Sharia audit builds trust in Islamic markets</w:t>
      </w:r>
    </w:p>
    <w:p>
      <w:r>
        <w:t>Sharia audit provides religious assurance</w:t>
      </w:r>
    </w:p>
    <w:p>
      <w:r>
        <w:t>Constitutional Interpretation</w:t>
      </w:r>
    </w:p>
    <w:p>
      <w:r>
        <w:t>Yield Separation is an absolute constitutional principle:</w:t>
      </w:r>
    </w:p>
    <w:p>
      <w:r>
        <w:t>The settlement function and yield generation are separate</w:t>
      </w:r>
    </w:p>
    <w:p>
      <w:r>
        <w:t>Settlement reserves are never used for yield</w:t>
      </w:r>
    </w:p>
    <w:p>
      <w:r>
        <w:t>The yield vehicle is a separate legal entity</w:t>
      </w:r>
    </w:p>
    <w:p>
      <w:r>
        <w:t>The yield vehicle accepts fiat subscriptions only</w:t>
      </w:r>
    </w:p>
    <w:p>
      <w:r>
        <w:t>The yield vehicle never holds, lends, or uses MTQ</w:t>
      </w:r>
    </w:p>
    <w:p>
      <w:r>
        <w:t>The separation is auditable and constitutionally protected</w:t>
      </w:r>
    </w:p>
    <w:p>
      <w:r>
        <w:t>The yield vehicle is not MTQ. MTQ is the settlement unit. The yield vehicle is a separate investment vehicle for institutional investors. The settlement function is protected from yield activities. The separation is absolute.</w:t>
      </w:r>
    </w:p>
    <w:p>
      <w:r>
        <w:t>[END OF ARTICLE VIII — YIELD SEPARATION]</w:t>
      </w:r>
    </w:p>
    <w:p>
      <w:r>
        <w:t>Article IX: Sharia Compliance</w:t>
      </w:r>
    </w:p>
    <w:p>
      <w:r>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r>
        <w:t>What This Means in Practice:</w:t>
      </w:r>
    </w:p>
    <w:p>
      <w:r>
        <w:t>All aspects of the Institution's operations are subject to Sharia review</w:t>
      </w:r>
    </w:p>
    <w:p>
      <w:r>
        <w:t>The Sharia Committee has independent authority and binding powers</w:t>
      </w:r>
    </w:p>
    <w:p>
      <w:r>
        <w:t>Non-compliant structures are prohibited</w:t>
      </w:r>
    </w:p>
    <w:p>
      <w:r>
        <w:t>Annual certification ensures ongoing compliance</w:t>
      </w:r>
    </w:p>
    <w:p>
      <w:r>
        <w:t>The Institution is accessible to Islamic financial institutions and markets</w:t>
      </w:r>
    </w:p>
    <w:p>
      <w:r>
        <w:t>Example:</w:t>
      </w:r>
    </w:p>
    <w:p>
      <w:r>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r>
        <w:t>Why This Matters:</w:t>
      </w:r>
    </w:p>
    <w:p>
      <w:r>
        <w:t>Without Sharia compliance, the Institution cannot serve Islamic markets</w:t>
      </w:r>
    </w:p>
    <w:p>
      <w:r>
        <w:t>Without Sharia compliance, the Institution would exclude 1.9 billion Muslims</w:t>
      </w:r>
    </w:p>
    <w:p>
      <w:r>
        <w:t>Without Sharia compliance, the Institution's neutrality is incomplete</w:t>
      </w:r>
    </w:p>
    <w:p>
      <w:r>
        <w:t>Without Sharia compliance, the Institution violates its constitutional mandate for inclusivity</w:t>
      </w:r>
    </w:p>
    <w:p>
      <w:r>
        <w:t>Sharia compliance is a constitutional requirement, not an optional feature</w:t>
      </w:r>
    </w:p>
    <w:p>
      <w:r>
        <w:t>Core Principles</w:t>
      </w:r>
    </w:p>
    <w:p>
      <w:pPr>
        <w:pStyle w:val="ListNumber"/>
        <w:ind w:left="425"/>
      </w:pPr>
      <w:r>
        <w:t>AAOIFI Standards</w:t>
      </w:r>
    </w:p>
    <w:p>
      <w:r>
        <w:t>All reserve assets, yield mechanisms, and risk protection instruments comply with AAOIFI Sharia standards.</w:t>
      </w:r>
    </w:p>
    <w:p>
      <w:r>
        <w:t>What This Means in Practice:</w:t>
      </w:r>
    </w:p>
    <w:p>
      <w:r>
        <w:t>AAOIFI standards are the authoritative reference</w:t>
      </w:r>
    </w:p>
    <w:p>
      <w:r>
        <w:t>All structures are evaluated against AAOIFI standards</w:t>
      </w:r>
    </w:p>
    <w:p>
      <w:r>
        <w:t>Non-compliance is not permitted</w:t>
      </w:r>
    </w:p>
    <w:p>
      <w:r>
        <w:t>Compliance is verified by the Sharia Committee</w:t>
      </w:r>
    </w:p>
    <w:p>
      <w:r>
        <w:t>Example:</w:t>
      </w:r>
    </w:p>
    <w:p>
      <w:r>
        <w:t>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p>
      <w:r>
        <w:t>Why This Matters:</w:t>
      </w:r>
    </w:p>
    <w:p>
      <w:r>
        <w:t>AAOIFI is the global standard for Islamic finance</w:t>
      </w:r>
    </w:p>
    <w:p>
      <w:r>
        <w:t>AAOIFI compliance provides institutional legitimacy</w:t>
      </w:r>
    </w:p>
    <w:p>
      <w:r>
        <w:t>AAOIFI compliance ensures consistency</w:t>
      </w:r>
    </w:p>
    <w:p>
      <w:r>
        <w:t>AAOIFI compliance facilitates cross-border Islamic finance</w:t>
      </w:r>
    </w:p>
    <w:p>
      <w:pPr>
        <w:pStyle w:val="ListNumber"/>
        <w:ind w:left="425"/>
      </w:pPr>
      <w:r>
        <w:t>Independent Sharia Committee</w:t>
      </w:r>
    </w:p>
    <w:p>
      <w:r>
        <w:t>The Institution maintains a permanent, independent Sharia Committee.</w:t>
      </w:r>
    </w:p>
    <w:p>
      <w:r>
        <w:t>What This Means in Practice:</w:t>
      </w:r>
    </w:p>
    <w:p>
      <w:r>
        <w:t>The Committee is independent of commercial pressure</w:t>
      </w:r>
    </w:p>
    <w:p>
      <w:r>
        <w:t>The Committee has binding authority</w:t>
      </w:r>
    </w:p>
    <w:p>
      <w:r>
        <w:t>The Committee is composed of qualified scholars</w:t>
      </w:r>
    </w:p>
    <w:p>
      <w:r>
        <w:t>The Committee is permanent, not ad hoc</w:t>
      </w:r>
    </w:p>
    <w:p>
      <w:r>
        <w:t>Example:</w:t>
      </w:r>
    </w:p>
    <w:p>
      <w:r>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r>
        <w:t>Why This Matters:</w:t>
      </w:r>
    </w:p>
    <w:p>
      <w:r>
        <w:t>Independence ensures objective rulings</w:t>
      </w:r>
    </w:p>
    <w:p>
      <w:r>
        <w:t>Binding authority ensures compliance</w:t>
      </w:r>
    </w:p>
    <w:p>
      <w:r>
        <w:t>Permanent status ensures continuity</w:t>
      </w:r>
    </w:p>
    <w:p>
      <w:r>
        <w:t>Qualified scholars ensure proper expertise</w:t>
      </w:r>
    </w:p>
    <w:p>
      <w:pPr>
        <w:pStyle w:val="ListNumber"/>
        <w:ind w:left="425"/>
      </w:pPr>
      <w:r>
        <w:t>Prohibition of Riba</w:t>
      </w:r>
    </w:p>
    <w:p>
      <w:r>
        <w:t>All structures are free from interest (riba).</w:t>
      </w:r>
    </w:p>
    <w:p>
      <w:r>
        <w:t>What This Means in Practice:</w:t>
      </w:r>
    </w:p>
    <w:p>
      <w:r>
        <w:t>No interest-based lending or borrowing</w:t>
      </w:r>
    </w:p>
    <w:p>
      <w:r>
        <w:t>No interest-based investment</w:t>
      </w:r>
    </w:p>
    <w:p>
      <w:r>
        <w:t>No interest-bearing instruments</w:t>
      </w:r>
    </w:p>
    <w:p>
      <w:r>
        <w:t>No guaranteed returns</w:t>
      </w:r>
    </w:p>
    <w:p>
      <w:r>
        <w:t>Example:</w:t>
      </w:r>
    </w:p>
    <w:p>
      <w:r>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r>
        <w:t>Why This Matters:</w:t>
      </w:r>
    </w:p>
    <w:p>
      <w:r>
        <w:t>Riba is strictly prohibited in Islamic finance</w:t>
      </w:r>
    </w:p>
    <w:p>
      <w:r>
        <w:t>Riba undermines ethical finance principles</w:t>
      </w:r>
    </w:p>
    <w:p>
      <w:r>
        <w:t>Riba creates unjust enrichment</w:t>
      </w:r>
    </w:p>
    <w:p>
      <w:r>
        <w:t>Riba is incompatible with constitutional principles of fairness</w:t>
      </w:r>
    </w:p>
    <w:p>
      <w:pPr>
        <w:pStyle w:val="ListNumber"/>
        <w:ind w:left="425"/>
      </w:pPr>
      <w:r>
        <w:t>Prohibition of Gharar</w:t>
      </w:r>
    </w:p>
    <w:p>
      <w:r>
        <w:t>All structures are free from excessive uncertainty (gharar).</w:t>
      </w:r>
    </w:p>
    <w:p>
      <w:r>
        <w:t>What This Means in Practice:</w:t>
      </w:r>
    </w:p>
    <w:p>
      <w:r>
        <w:t>Terms are clear and known to all parties</w:t>
      </w:r>
    </w:p>
    <w:p>
      <w:r>
        <w:t>Assets are identifiable and verifiable</w:t>
      </w:r>
    </w:p>
    <w:p>
      <w:r>
        <w:t>Transactions are not speculative</w:t>
      </w:r>
    </w:p>
    <w:p>
      <w:r>
        <w:t>Uncertainties are minimized</w:t>
      </w:r>
    </w:p>
    <w:p>
      <w:r>
        <w:t>Example:</w:t>
      </w:r>
    </w:p>
    <w:p>
      <w:r>
        <w:t>The Institution's reserve assets are identifiable, verifiable, and auditable. The yield vehicle's investments are in identifiable assets. The Takaful mechanism has defined contributions and defined payouts. No speculative transactions are permitted.</w:t>
      </w:r>
    </w:p>
    <w:p>
      <w:r>
        <w:t>Why This Matters:</w:t>
      </w:r>
    </w:p>
    <w:p>
      <w:r>
        <w:t>Gharar is prohibited in Islamic finance</w:t>
      </w:r>
    </w:p>
    <w:p>
      <w:r>
        <w:t>Gharar undermines trust</w:t>
      </w:r>
    </w:p>
    <w:p>
      <w:r>
        <w:t>Gharar creates unfair risk</w:t>
      </w:r>
    </w:p>
    <w:p>
      <w:r>
        <w:t>Gharar is incompatible with constitutional principles of transparency</w:t>
      </w:r>
    </w:p>
    <w:p>
      <w:pPr>
        <w:pStyle w:val="ListNumber"/>
        <w:ind w:left="425"/>
      </w:pPr>
      <w:r>
        <w:t>Prohibition of Haram Industries</w:t>
      </w:r>
    </w:p>
    <w:p>
      <w:r>
        <w:t>All investments are screened for prohibited industries.</w:t>
      </w:r>
    </w:p>
    <w:p>
      <w:r>
        <w:t>What This Means in Practice:</w:t>
      </w:r>
    </w:p>
    <w:p>
      <w:r>
        <w:t>No investment in alcohol</w:t>
      </w:r>
    </w:p>
    <w:p>
      <w:r>
        <w:t>No investment in gambling</w:t>
      </w:r>
    </w:p>
    <w:p>
      <w:r>
        <w:t>No investment in pork products</w:t>
      </w:r>
    </w:p>
    <w:p>
      <w:r>
        <w:t>No investment in conventional financial services</w:t>
      </w:r>
    </w:p>
    <w:p>
      <w:r>
        <w:t>No investment in any industry prohibited by Sharia</w:t>
      </w:r>
    </w:p>
    <w:p>
      <w:r>
        <w:t>Example:</w:t>
      </w:r>
    </w:p>
    <w:p>
      <w:r>
        <w:t>The Institution's reserve assets are screened to ensure they do not include instruments from prohibited industries. The yield vehicle's investments are screened against Sharia compliance criteria. The Sharia Committee maintains a list of prohibited industries.</w:t>
      </w:r>
    </w:p>
    <w:p>
      <w:r>
        <w:t>Why This Matters:</w:t>
      </w:r>
    </w:p>
    <w:p>
      <w:r>
        <w:t>Haram industries are strictly prohibited</w:t>
      </w:r>
    </w:p>
    <w:p>
      <w:r>
        <w:t>Screening ensures compliance</w:t>
      </w:r>
    </w:p>
    <w:p>
      <w:r>
        <w:t>Screening maintains institutional integrity</w:t>
      </w:r>
    </w:p>
    <w:p>
      <w:r>
        <w:t>Screening is essential for Sharia certification</w:t>
      </w:r>
    </w:p>
    <w:p>
      <w:r>
        <w:t>The Sharia Committee</w:t>
      </w:r>
    </w:p>
    <w:p>
      <w:r>
        <w:t>Composition</w:t>
      </w:r>
    </w:p>
    <w:p>
      <w:r>
        <w:t>The Sharia Committee shall comprise a minimum of three members.</w:t>
      </w:r>
    </w:p>
    <w:p>
      <w:r>
        <w:t>What This Means in Practice:</w:t>
      </w:r>
    </w:p>
    <w:p>
      <w:r>
        <w:t>Members are AAOIFI-certified</w:t>
      </w:r>
    </w:p>
    <w:p>
      <w:r>
        <w:t>Members have relevant expertise</w:t>
      </w:r>
    </w:p>
    <w:p>
      <w:r>
        <w:t>Members are independent</w:t>
      </w:r>
    </w:p>
    <w:p>
      <w:r>
        <w:t>Members serve defined terms</w:t>
      </w:r>
    </w:p>
    <w:p>
      <w:r>
        <w:t>Example:</w:t>
      </w:r>
    </w:p>
    <w:p>
      <w:r>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r>
        <w:t>Why This Matters:</w:t>
      </w:r>
    </w:p>
    <w:p>
      <w:r>
        <w:t>Minimum three members provides collective judgment</w:t>
      </w:r>
    </w:p>
    <w:p>
      <w:r>
        <w:t>AAOIFI certification ensures proper qualifications</w:t>
      </w:r>
    </w:p>
    <w:p>
      <w:r>
        <w:t>Expertise diversity ensures comprehensive review</w:t>
      </w:r>
    </w:p>
    <w:p>
      <w:r>
        <w:t>Independent status ensures objectivity</w:t>
      </w:r>
    </w:p>
    <w:p>
      <w:r>
        <w:t>Qualifications</w:t>
      </w:r>
    </w:p>
    <w:p>
      <w:r>
        <w:t>Each member shall:</w:t>
      </w:r>
    </w:p>
    <w:p>
      <w:r>
        <w:t>Hold AAOIFI certification</w:t>
      </w:r>
    </w:p>
    <w:p>
      <w:r>
        <w:t>Have expertise in Islamic finance</w:t>
      </w:r>
    </w:p>
    <w:p>
      <w:r>
        <w:t>Have experience with trade finance or asset-backed instruments</w:t>
      </w:r>
    </w:p>
    <w:p>
      <w:r>
        <w:t>Have experience with digital assets or modern financial instruments (where relevant)</w:t>
      </w:r>
    </w:p>
    <w:p>
      <w:r>
        <w:t>Be independent of the Institution's commercial interests</w:t>
      </w:r>
    </w:p>
    <w:p>
      <w:r>
        <w:t>Example:</w:t>
      </w:r>
    </w:p>
    <w:p>
      <w:r>
        <w:t>A candidate for the Sharia Committee holds AAOIFI certification, has 15 years of experience in Islamic finance, has expertise in trade finance, has experience with digital assets, and is independent of any commercial interests that could create a conflict of interest.</w:t>
      </w:r>
    </w:p>
    <w:p>
      <w:r>
        <w:t>Why This Matters:</w:t>
      </w:r>
    </w:p>
    <w:p>
      <w:r>
        <w:t>Proper qualifications ensure proper judgment</w:t>
      </w:r>
    </w:p>
    <w:p>
      <w:r>
        <w:t>Relevant expertise ensures understanding</w:t>
      </w:r>
    </w:p>
    <w:p>
      <w:r>
        <w:t>Independence ensures objectivity</w:t>
      </w:r>
    </w:p>
    <w:p>
      <w:r>
        <w:t>Certification ensures professional standards</w:t>
      </w:r>
    </w:p>
    <w:p>
      <w:r>
        <w:t>Powers</w:t>
      </w:r>
    </w:p>
    <w:p>
      <w:r>
        <w:t>The Sharia Committee has binding powers.</w:t>
      </w:r>
    </w:p>
    <w:p>
      <w:r>
        <w:t>What This Means in Practice:</w:t>
      </w:r>
    </w:p>
    <w:p>
      <w:r>
        <w:t>Committee rulings are binding on the Institution</w:t>
      </w:r>
    </w:p>
    <w:p>
      <w:r>
        <w:t>Committee approval is required for new structures</w:t>
      </w:r>
    </w:p>
    <w:p>
      <w:r>
        <w:t>Committee veto power over non-compliant instruments</w:t>
      </w:r>
    </w:p>
    <w:p>
      <w:r>
        <w:t>Committee can require changes to non-compliant structures</w:t>
      </w:r>
    </w:p>
    <w:p>
      <w:r>
        <w:t>Example:</w:t>
      </w:r>
    </w:p>
    <w:p>
      <w:r>
        <w:t>The Sharia Committee reviews a new investment instrument. The Committee determines that the instrument is not Sharia-compliant. The Institution cannot use the instrument. The Committee's ruling is binding. There is no appeal to the Council or any other body.</w:t>
      </w:r>
    </w:p>
    <w:p>
      <w:r>
        <w:t>Why This Matters:</w:t>
      </w:r>
    </w:p>
    <w:p>
      <w:r>
        <w:t>Binding powers ensure compliance</w:t>
      </w:r>
    </w:p>
    <w:p>
      <w:r>
        <w:t>Binding powers prevent commercial pressure</w:t>
      </w:r>
    </w:p>
    <w:p>
      <w:r>
        <w:t>Binding powers maintain institutional integrity</w:t>
      </w:r>
    </w:p>
    <w:p>
      <w:r>
        <w:t>Binding powers protect the Institution's Sharia certification</w:t>
      </w:r>
    </w:p>
    <w:p>
      <w:r>
        <w:t>Responsibilities</w:t>
      </w:r>
    </w:p>
    <w:p>
      <w:r>
        <w:t>The Sharia Committee is responsible for:</w:t>
      </w:r>
    </w:p>
    <w:p>
      <w:r>
        <w:t>Compliance Principles</w:t>
      </w:r>
    </w:p>
    <w:p>
      <w:pPr>
        <w:pStyle w:val="ListNumber"/>
        <w:ind w:left="425"/>
      </w:pPr>
      <w:r>
        <w:t>Asset-Backed Reserves</w:t>
      </w:r>
    </w:p>
    <w:p>
      <w:r>
        <w:t>Reserves must be asset-backed and tangible.</w:t>
      </w:r>
    </w:p>
    <w:p>
      <w:r>
        <w:t>What This Means in Practice:</w:t>
      </w:r>
    </w:p>
    <w:p>
      <w:r>
        <w:t>Reserves are held in tangible assets</w:t>
      </w:r>
    </w:p>
    <w:p>
      <w:r>
        <w:t>Reserves are identifiable and verifiable</w:t>
      </w:r>
    </w:p>
    <w:p>
      <w:r>
        <w:t>Reserves are not debt-based</w:t>
      </w:r>
    </w:p>
    <w:p>
      <w:r>
        <w:t>Reserves are Sharia-compliant</w:t>
      </w:r>
    </w:p>
    <w:p>
      <w:r>
        <w:t>Example:</w:t>
      </w:r>
    </w:p>
    <w:p>
      <w:r>
        <w:t>The Institution holds reserves in central-bank-quality cash, short-duration sovereign securities, and allocated physical bullion. These are tangible, identifiable, and verifiable assets. They are not debt-based instruments. They are Sharia-compliant.</w:t>
      </w:r>
    </w:p>
    <w:p>
      <w:r>
        <w:t>Why This Matters:</w:t>
      </w:r>
    </w:p>
    <w:p>
      <w:r>
        <w:t>Asset backing is essential for Sharia compliance</w:t>
      </w:r>
    </w:p>
    <w:p>
      <w:r>
        <w:t>Tangible assets are preferred over debt-based instruments</w:t>
      </w:r>
    </w:p>
    <w:p>
      <w:r>
        <w:t>Identifiable assets provide certainty</w:t>
      </w:r>
    </w:p>
    <w:p>
      <w:r>
        <w:t>Verifiable assets ensure transparency</w:t>
      </w:r>
    </w:p>
    <w:p>
      <w:pPr>
        <w:pStyle w:val="ListNumber"/>
        <w:ind w:left="425"/>
      </w:pPr>
      <w:r>
        <w:t>No Interest-Bearing Instruments</w:t>
      </w:r>
    </w:p>
    <w:p>
      <w:r>
        <w:t>Reserves shall not include interest-bearing instruments.</w:t>
      </w:r>
    </w:p>
    <w:p>
      <w:r>
        <w:t>What This Means in Practice:</w:t>
      </w:r>
    </w:p>
    <w:p>
      <w:r>
        <w:t>No conventional bonds</w:t>
      </w:r>
    </w:p>
    <w:p>
      <w:r>
        <w:t>No interest-bearing deposits</w:t>
      </w:r>
    </w:p>
    <w:p>
      <w:r>
        <w:t>No interest-bearing loans</w:t>
      </w:r>
    </w:p>
    <w:p>
      <w:r>
        <w:t>No interest-based investments</w:t>
      </w:r>
    </w:p>
    <w:p>
      <w:r>
        <w:t>Example:</w:t>
      </w:r>
    </w:p>
    <w:p>
      <w:r>
        <w:t>The Institution holds short-duration sovereign securities. These are evaluated for Sharia compliance. If they are interest-bearing conventional bonds, they are not permitted. The Institution may hold sukuk (Islamic bonds) instead.</w:t>
      </w:r>
    </w:p>
    <w:p>
      <w:r>
        <w:t>Why This Matters:</w:t>
      </w:r>
    </w:p>
    <w:p>
      <w:r>
        <w:t>Interest-bearing instruments contain riba</w:t>
      </w:r>
    </w:p>
    <w:p>
      <w:r>
        <w:t>Riba is strictly prohibited</w:t>
      </w:r>
    </w:p>
    <w:p>
      <w:r>
        <w:t>Riba undermines Islamic finance principles</w:t>
      </w:r>
    </w:p>
    <w:p>
      <w:r>
        <w:t>Riba is incompatible with constitutional principles</w:t>
      </w:r>
    </w:p>
    <w:p>
      <w:pPr>
        <w:pStyle w:val="ListNumber"/>
        <w:ind w:left="425"/>
      </w:pPr>
      <w:r>
        <w:t>Prohibited Industry Screening</w:t>
      </w:r>
    </w:p>
    <w:p>
      <w:r>
        <w:t>All investments shall be screened for prohibited industries.</w:t>
      </w:r>
    </w:p>
    <w:p>
      <w:r>
        <w:t>What This Means in Practice:</w:t>
      </w:r>
    </w:p>
    <w:p>
      <w:r>
        <w:t>Alcohol is prohibited</w:t>
      </w:r>
    </w:p>
    <w:p>
      <w:r>
        <w:t>Gambling is prohibited</w:t>
      </w:r>
    </w:p>
    <w:p>
      <w:r>
        <w:t>Pork products are prohibited</w:t>
      </w:r>
    </w:p>
    <w:p>
      <w:r>
        <w:t>Conventional financial services are prohibited</w:t>
      </w:r>
    </w:p>
    <w:p>
      <w:r>
        <w:t>Other prohibited industries are identified</w:t>
      </w:r>
    </w:p>
    <w:p>
      <w:r>
        <w:t>Example:</w:t>
      </w:r>
    </w:p>
    <w:p>
      <w:r>
        <w:t>The Institution screens all reserve assets and yield vehicle investments against a list of prohibited industries. Any instrument from a prohibited industry is rejected. The list is maintained by the Sharia Committee and reviewed annually.</w:t>
      </w:r>
    </w:p>
    <w:p>
      <w:r>
        <w:t>Why This Matters:</w:t>
      </w:r>
    </w:p>
    <w:p>
      <w:r>
        <w:t>Prohibited industries are strictly prohibited</w:t>
      </w:r>
    </w:p>
    <w:p>
      <w:r>
        <w:t>Screening ensures compliance</w:t>
      </w:r>
    </w:p>
    <w:p>
      <w:r>
        <w:t>Screening maintains institutional integrity</w:t>
      </w:r>
    </w:p>
    <w:p>
      <w:r>
        <w:t>Screening is essential for Sharia certification</w:t>
      </w:r>
    </w:p>
    <w:p>
      <w:pPr>
        <w:pStyle w:val="ListNumber"/>
        <w:ind w:left="425"/>
      </w:pPr>
      <w:r>
        <w:t>Ethical Finance</w:t>
      </w:r>
    </w:p>
    <w:p>
      <w:r>
        <w:t>All operations shall conform to ethical finance principles.</w:t>
      </w:r>
    </w:p>
    <w:p>
      <w:r>
        <w:t>What This Means in Practice:</w:t>
      </w:r>
    </w:p>
    <w:p>
      <w:r>
        <w:t>Fairness in all transactions</w:t>
      </w:r>
    </w:p>
    <w:p>
      <w:r>
        <w:t>Transparency in all dealings</w:t>
      </w:r>
    </w:p>
    <w:p>
      <w:r>
        <w:t>Justice in all exchanges</w:t>
      </w:r>
    </w:p>
    <w:p>
      <w:r>
        <w:t>Honesty in all communications</w:t>
      </w:r>
    </w:p>
    <w:p>
      <w:r>
        <w:t>Example:</w:t>
      </w:r>
    </w:p>
    <w:p>
      <w:r>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r>
        <w:t>Why This Matters:</w:t>
      </w:r>
    </w:p>
    <w:p>
      <w:r>
        <w:t>Ethical finance is a core Islamic principle</w:t>
      </w:r>
    </w:p>
    <w:p>
      <w:r>
        <w:t>Ethical finance builds trust</w:t>
      </w:r>
    </w:p>
    <w:p>
      <w:r>
        <w:t>Ethical finance reduces risk</w:t>
      </w:r>
    </w:p>
    <w:p>
      <w:r>
        <w:t>Ethical finance aligns with constitutional principles</w:t>
      </w:r>
    </w:p>
    <w:p>
      <w:r>
        <w:t>Compliance Mechanism</w:t>
      </w:r>
    </w:p>
    <w:p>
      <w:r>
        <w:t>Review Process</w:t>
      </w:r>
    </w:p>
    <w:p>
      <w:r>
        <w:t>The Sharia Committee reviews all structures and instruments:</w:t>
      </w:r>
    </w:p>
    <w:p>
      <w:r>
        <w:t>Step 1: Submission</w:t>
      </w:r>
    </w:p>
    <w:p>
      <w:r>
        <w:t>Proposed structure submitted to Sharia Committee</w:t>
      </w:r>
    </w:p>
    <w:p>
      <w:r>
        <w:t>Documentation is provided</w:t>
      </w:r>
    </w:p>
    <w:p>
      <w:r>
        <w:t>Rationale is explained</w:t>
      </w:r>
    </w:p>
    <w:p>
      <w:r>
        <w:t>Timeline is established</w:t>
      </w:r>
    </w:p>
    <w:p>
      <w:r>
        <w:t>Step 2: Review</w:t>
      </w:r>
    </w:p>
    <w:p>
      <w:r>
        <w:t>Committee reviews the structure</w:t>
      </w:r>
    </w:p>
    <w:p>
      <w:r>
        <w:t>Committee analyzes Sharia compliance</w:t>
      </w:r>
    </w:p>
    <w:p>
      <w:r>
        <w:t>Committee consults relevant standards</w:t>
      </w:r>
    </w:p>
    <w:p>
      <w:r>
        <w:t>Committee seeks clarification if needed</w:t>
      </w:r>
    </w:p>
    <w:p>
      <w:r>
        <w:t>Step 3: Ruling</w:t>
      </w:r>
    </w:p>
    <w:p>
      <w:r>
        <w:t>Committee issues a ruling</w:t>
      </w:r>
    </w:p>
    <w:p>
      <w:r>
        <w:t>Ruling is binding</w:t>
      </w:r>
    </w:p>
    <w:p>
      <w:r>
        <w:t>Ruling is documented</w:t>
      </w:r>
    </w:p>
    <w:p>
      <w:r>
        <w:t>Ruling is published (as appropriate)</w:t>
      </w:r>
    </w:p>
    <w:p>
      <w:r>
        <w:t>Step 4: Implementation</w:t>
      </w:r>
    </w:p>
    <w:p>
      <w:r>
        <w:t>If compliant, structure is implemented</w:t>
      </w:r>
    </w:p>
    <w:p>
      <w:r>
        <w:t>If non-compliant, structure is modified or abandoned</w:t>
      </w:r>
    </w:p>
    <w:p>
      <w:r>
        <w:t>Implementation is monitored</w:t>
      </w:r>
    </w:p>
    <w:p>
      <w:r>
        <w:t>Ongoing compliance is verified</w:t>
      </w:r>
    </w:p>
    <w:p>
      <w:r>
        <w:t>Annual Certification</w:t>
      </w:r>
    </w:p>
    <w:p>
      <w:r>
        <w:t>The Sharia Committee certifies compliance annually.</w:t>
      </w:r>
    </w:p>
    <w:p>
      <w:r>
        <w:t>What This Means in Practice:</w:t>
      </w:r>
    </w:p>
    <w:p>
      <w:r>
        <w:t>Annual comprehensive review</w:t>
      </w:r>
    </w:p>
    <w:p>
      <w:r>
        <w:t>Compliance certification</w:t>
      </w:r>
    </w:p>
    <w:p>
      <w:r>
        <w:t>Public disclosure</w:t>
      </w:r>
    </w:p>
    <w:p>
      <w:r>
        <w:t>Accountability</w:t>
      </w:r>
    </w:p>
    <w:p>
      <w:r>
        <w:t>Example:</w:t>
      </w:r>
    </w:p>
    <w:p>
      <w:r>
        <w:t>The Sharia Committee conducts an annual comprehensive review of all structures, assets, and instruments. The Committee issues a compliance certificate confirming that all operations are Sharia-compliant. The certificate is published publicly.</w:t>
      </w:r>
    </w:p>
    <w:p>
      <w:r>
        <w:t>Why This Matters:</w:t>
      </w:r>
    </w:p>
    <w:p>
      <w:r>
        <w:t>Annual certification provides assurance</w:t>
      </w:r>
    </w:p>
    <w:p>
      <w:r>
        <w:t>Annual certification maintains accountability</w:t>
      </w:r>
    </w:p>
    <w:p>
      <w:r>
        <w:t>Annual certification builds trust</w:t>
      </w:r>
    </w:p>
    <w:p>
      <w:r>
        <w:t>Annual certification enables ongoing compliance</w:t>
      </w:r>
    </w:p>
    <w:p>
      <w:r>
        <w:t>Ongoing Monitoring</w:t>
      </w:r>
    </w:p>
    <w:p>
      <w:r>
        <w:t>The Sharia Committee monitors compliance continuously.</w:t>
      </w:r>
    </w:p>
    <w:p>
      <w:r>
        <w:t>What This Means in Practice:</w:t>
      </w:r>
    </w:p>
    <w:p>
      <w:r>
        <w:t>Continuous monitoring of structures</w:t>
      </w:r>
    </w:p>
    <w:p>
      <w:r>
        <w:t>Continuous monitoring of assets</w:t>
      </w:r>
    </w:p>
    <w:p>
      <w:r>
        <w:t>Continuous monitoring of investments</w:t>
      </w:r>
    </w:p>
    <w:p>
      <w:r>
        <w:t>Continuous monitoring of operations</w:t>
      </w:r>
    </w:p>
    <w:p>
      <w:r>
        <w:t>Example:</w:t>
      </w:r>
    </w:p>
    <w:p>
      <w:r>
        <w:t>The Sharia Committee monitors the Institution's operations throughout the year. It reviews new instruments, changes to existing structures, and any issues that arise. It ensures ongoing compliance.</w:t>
      </w:r>
    </w:p>
    <w:p>
      <w:r>
        <w:t>Why This Matters:</w:t>
      </w:r>
    </w:p>
    <w:p>
      <w:r>
        <w:t>Continuous monitoring ensures compliance</w:t>
      </w:r>
    </w:p>
    <w:p>
      <w:r>
        <w:t>Continuous monitoring catches issues early</w:t>
      </w:r>
    </w:p>
    <w:p>
      <w:r>
        <w:t>Continuous monitoring prevents problems</w:t>
      </w:r>
    </w:p>
    <w:p>
      <w:r>
        <w:t>Continuous monitoring maintains integrity</w:t>
      </w:r>
    </w:p>
    <w:p>
      <w:r>
        <w:t>Sharia Compliance in Reserve Management</w:t>
      </w:r>
    </w:p>
    <w:p>
      <w:r>
        <w:t>Cash Holdings</w:t>
      </w:r>
    </w:p>
    <w:p>
      <w:r>
        <w:t>Cash holdings must be held in Sharia-compliant accounts.</w:t>
      </w:r>
    </w:p>
    <w:p>
      <w:r>
        <w:t>What This Means in Practice:</w:t>
      </w:r>
    </w:p>
    <w:p>
      <w:r>
        <w:t>Accounts are Sharia-compliant</w:t>
      </w:r>
    </w:p>
    <w:p>
      <w:r>
        <w:t>Accounts are not interest-bearing</w:t>
      </w:r>
    </w:p>
    <w:p>
      <w:r>
        <w:t>Accounts are not used for conventional lending</w:t>
      </w:r>
    </w:p>
    <w:p>
      <w:r>
        <w:t>Accounts maintain cash for operational needs</w:t>
      </w:r>
    </w:p>
    <w:p>
      <w:r>
        <w:t>Example:</w:t>
      </w:r>
    </w:p>
    <w:p>
      <w:r>
        <w:t>The Institution holds cash in Sharia-compliant accounts. The accounts do not earn interest. The accounts are not used for conventional lending. The cash is held for operational and redemption needs.</w:t>
      </w:r>
    </w:p>
    <w:p>
      <w:r>
        <w:t>Why This Matters:</w:t>
      </w:r>
    </w:p>
    <w:p>
      <w:r>
        <w:t>Cash is a reserve asset</w:t>
      </w:r>
    </w:p>
    <w:p>
      <w:r>
        <w:t>Cash must be Sharia-compliant</w:t>
      </w:r>
    </w:p>
    <w:p>
      <w:r>
        <w:t>Interest-bearing accounts would violate compliance</w:t>
      </w:r>
    </w:p>
    <w:p>
      <w:r>
        <w:t>Sharia-compliant accounts maintain integrity</w:t>
      </w:r>
    </w:p>
    <w:p>
      <w:r>
        <w:t>Bullion Holdings</w:t>
      </w:r>
    </w:p>
    <w:p>
      <w:r>
        <w:t>Gold and silver holdings are Sharia-compliant as tangible assets.</w:t>
      </w:r>
    </w:p>
    <w:p>
      <w:r>
        <w:t>What This Means in Practice:</w:t>
      </w:r>
    </w:p>
    <w:p>
      <w:r>
        <w:t>Bullion is tangible property</w:t>
      </w:r>
    </w:p>
    <w:p>
      <w:r>
        <w:t>Bullion is allocated physical metal</w:t>
      </w:r>
    </w:p>
    <w:p>
      <w:r>
        <w:t>Bullion is not derivative-based</w:t>
      </w:r>
    </w:p>
    <w:p>
      <w:r>
        <w:t>Bullion is Sharia-compliant</w:t>
      </w:r>
    </w:p>
    <w:p>
      <w:r>
        <w:t>Example:</w:t>
      </w:r>
    </w:p>
    <w:p>
      <w:r>
        <w:t>The Institution holds physical gold and silver bars. The bullion is allocated physical metal, not derivatives or unallocated claims. The bullion is Sharia-compliant as tangible property.</w:t>
      </w:r>
    </w:p>
    <w:p>
      <w:r>
        <w:t>Why This Matters:</w:t>
      </w:r>
    </w:p>
    <w:p>
      <w:r>
        <w:t>Bullion is an ideal Sharia-compliant asset</w:t>
      </w:r>
    </w:p>
    <w:p>
      <w:r>
        <w:t>Bullion provides stability</w:t>
      </w:r>
    </w:p>
    <w:p>
      <w:r>
        <w:t>Bullion is universally recognized</w:t>
      </w:r>
    </w:p>
    <w:p>
      <w:r>
        <w:t>Bullion maintains institutional integrity</w:t>
      </w:r>
    </w:p>
    <w:p>
      <w:r>
        <w:t>Sukuk Holdings</w:t>
      </w:r>
    </w:p>
    <w:p>
      <w:r>
        <w:t>Where sovereign securities are held, sukuk are preferred over conventional bonds.</w:t>
      </w:r>
    </w:p>
    <w:p>
      <w:r>
        <w:t>What This Means in Practice:</w:t>
      </w:r>
    </w:p>
    <w:p>
      <w:r>
        <w:t>Sukuk are asset-backed</w:t>
      </w:r>
    </w:p>
    <w:p>
      <w:r>
        <w:t>Sukuk are Sharia-compliant</w:t>
      </w:r>
    </w:p>
    <w:p>
      <w:r>
        <w:t>Sukuk provide income without interest</w:t>
      </w:r>
    </w:p>
    <w:p>
      <w:r>
        <w:t>Sukuk are consistent with Islamic principles</w:t>
      </w:r>
    </w:p>
    <w:p>
      <w:r>
        <w:t>Example:</w:t>
      </w:r>
    </w:p>
    <w:p>
      <w:r>
        <w:t>When the Institution holds sovereign securities, it prioritizes sukuk over conventional bonds. Sukuk are asset-backed Islamic bonds that provide income without interest. They are Sharia-compliant.</w:t>
      </w:r>
    </w:p>
    <w:p>
      <w:r>
        <w:t>Why This Matters:</w:t>
      </w:r>
    </w:p>
    <w:p>
      <w:r>
        <w:t>Sukuk provide Sharia-compliant returns</w:t>
      </w:r>
    </w:p>
    <w:p>
      <w:r>
        <w:t>Sukuk are widely available</w:t>
      </w:r>
    </w:p>
    <w:p>
      <w:r>
        <w:t>Sukuk are recognized by AAOIFI</w:t>
      </w:r>
    </w:p>
    <w:p>
      <w:r>
        <w:t>Sukuk maintain institutional integrity</w:t>
      </w:r>
    </w:p>
    <w:p>
      <w:r>
        <w:t>Sharia Compliance in the Yield Vehicle</w:t>
      </w:r>
    </w:p>
    <w:p>
      <w:r>
        <w:t>Investment Screening</w:t>
      </w:r>
    </w:p>
    <w:p>
      <w:r>
        <w:t>All yield vehicle investments are screened for Sharia compliance.</w:t>
      </w:r>
    </w:p>
    <w:p>
      <w:r>
        <w:t>What This Means in Practice:</w:t>
      </w:r>
    </w:p>
    <w:p>
      <w:r>
        <w:t>Investments are in Sharia-compliant instruments</w:t>
      </w:r>
    </w:p>
    <w:p>
      <w:r>
        <w:t>Investments are in sukuk, asset-backed instruments, and other Sharia-compliant vehicles</w:t>
      </w:r>
    </w:p>
    <w:p>
      <w:r>
        <w:t>Investments are not in prohibited industries</w:t>
      </w:r>
    </w:p>
    <w:p>
      <w:r>
        <w:t>Investments are reviewed by the Sharia Committee</w:t>
      </w:r>
    </w:p>
    <w:p>
      <w:r>
        <w:t>Example:</w:t>
      </w:r>
    </w:p>
    <w:p>
      <w:r>
        <w:t>The yield vehicle invests in a diversified portfolio of sukuk, asset-backed securities, and Sharia-compliant instruments. All investments are screened for Sharia compliance. The portfolio is reviewed quarterly by the Sharia Committee.</w:t>
      </w:r>
    </w:p>
    <w:p>
      <w:r>
        <w:t>Why This Matters:</w:t>
      </w:r>
    </w:p>
    <w:p>
      <w:r>
        <w:t>Screening ensures compliance</w:t>
      </w:r>
    </w:p>
    <w:p>
      <w:r>
        <w:t>Screening protects investors</w:t>
      </w:r>
    </w:p>
    <w:p>
      <w:r>
        <w:t>Screening maintains integrity</w:t>
      </w:r>
    </w:p>
    <w:p>
      <w:r>
        <w:t>Screening is essential for Sharia certification</w:t>
      </w:r>
    </w:p>
    <w:p>
      <w:r>
        <w:t>Income Treatment</w:t>
      </w:r>
    </w:p>
    <w:p>
      <w:r>
        <w:t>Income from the yield vehicle is treated as asset growth, not interest.</w:t>
      </w:r>
    </w:p>
    <w:p>
      <w:r>
        <w:t>What This Means in Practice:</w:t>
      </w:r>
    </w:p>
    <w:p>
      <w:r>
        <w:t>Income is from asset growth</w:t>
      </w:r>
    </w:p>
    <w:p>
      <w:r>
        <w:t>Income is not fixed interest</w:t>
      </w:r>
    </w:p>
    <w:p>
      <w:r>
        <w:t>Income is variable and risk-based</w:t>
      </w:r>
    </w:p>
    <w:p>
      <w:r>
        <w:t>Income is Sharia-compliant</w:t>
      </w:r>
    </w:p>
    <w:p>
      <w:r>
        <w:t>Example:</w:t>
      </w:r>
    </w:p>
    <w:p>
      <w:r>
        <w:t>The yield vehicle's returns are derived from asset growth, not fixed interest. The returns are variable and reflect actual investment performance. This is consistent with Islamic principles of risk-sharing.</w:t>
      </w:r>
    </w:p>
    <w:p>
      <w:r>
        <w:t>Why This Matters:</w:t>
      </w:r>
    </w:p>
    <w:p>
      <w:r>
        <w:t>Asset growth is Sharia-compliant</w:t>
      </w:r>
    </w:p>
    <w:p>
      <w:r>
        <w:t>Fixed interest is riba and prohibited</w:t>
      </w:r>
    </w:p>
    <w:p>
      <w:r>
        <w:t>Variable returns are consistent with Islamic principles</w:t>
      </w:r>
    </w:p>
    <w:p>
      <w:r>
        <w:t>Risk-sharing is fundamental to Islamic finance</w:t>
      </w:r>
    </w:p>
    <w:p>
      <w:r>
        <w:t>Sharia Compliance in Risk Protection</w:t>
      </w:r>
    </w:p>
    <w:p>
      <w:r>
        <w:t>Takaful Mechanism</w:t>
      </w:r>
    </w:p>
    <w:p>
      <w:r>
        <w:t>Risk protection is structured as Takaful, not conventional insurance.</w:t>
      </w:r>
    </w:p>
    <w:p>
      <w:r>
        <w:t>What This Means in Practice:</w:t>
      </w:r>
    </w:p>
    <w:p>
      <w:r>
        <w:t>Takaful is mutual risk-sharing</w:t>
      </w:r>
    </w:p>
    <w:p>
      <w:r>
        <w:t>Takaful is Sharia-compliant</w:t>
      </w:r>
    </w:p>
    <w:p>
      <w:r>
        <w:t>Takaful is not conventional insurance</w:t>
      </w:r>
    </w:p>
    <w:p>
      <w:r>
        <w:t>Takaful is reviewed by the Sharia Committee</w:t>
      </w:r>
    </w:p>
    <w:p>
      <w:r>
        <w:t>Example:</w:t>
      </w:r>
    </w:p>
    <w:p>
      <w:r>
        <w:t>The Institution's risk protection mechanism is structured as Takaful (Islamic mutual insurance). Participants contribute to a mutual pool. The pool is invested in Sharia-compliant assets. The structure is reviewed by the Sharia Committee.</w:t>
      </w:r>
    </w:p>
    <w:p>
      <w:r>
        <w:t>Why This Matters:</w:t>
      </w:r>
    </w:p>
    <w:p>
      <w:r>
        <w:t>Takaful is Sharia-compliant</w:t>
      </w:r>
    </w:p>
    <w:p>
      <w:r>
        <w:t>Conventional insurance may not be Sharia-compliant</w:t>
      </w:r>
    </w:p>
    <w:p>
      <w:r>
        <w:t>Takaful is consistent with Islamic principles</w:t>
      </w:r>
    </w:p>
    <w:p>
      <w:r>
        <w:t>Takaful is widely recognized in Islamic finance</w:t>
      </w:r>
    </w:p>
    <w:p>
      <w:r>
        <w:t>Takaful Principles</w:t>
      </w:r>
    </w:p>
    <w:p>
      <w:r>
        <w:t>Takaful structure conforms to Islamic principles:</w:t>
      </w:r>
    </w:p>
    <w:p>
      <w:r>
        <w:t>What This Means in Practice:</w:t>
      </w:r>
    </w:p>
    <w:p>
      <w:r>
        <w:t>Tabarru' (donation) principle</w:t>
      </w:r>
    </w:p>
    <w:p>
      <w:r>
        <w:t>Mutual risk-sharing</w:t>
      </w:r>
    </w:p>
    <w:p>
      <w:r>
        <w:t>No interest-based investments</w:t>
      </w:r>
    </w:p>
    <w:p>
      <w:r>
        <w:t>Sharia-compliant investments</w:t>
      </w:r>
    </w:p>
    <w:p>
      <w:r>
        <w:t>Example:</w:t>
      </w:r>
    </w:p>
    <w:p>
      <w:r>
        <w:t>The Takaful fund operates on the principle of Tabarru' (donation). Participants contribute to a mutual pool. The pool is invested in Sharia-compliant assets. Claims are paid from the pool. The structure is reviewed by the Sharia Committee.</w:t>
      </w:r>
    </w:p>
    <w:p>
      <w:r>
        <w:t>Why This Matters:</w:t>
      </w:r>
    </w:p>
    <w:p>
      <w:r>
        <w:t>Takaful principles are well-established</w:t>
      </w:r>
    </w:p>
    <w:p>
      <w:r>
        <w:t>Takaful is consistent with Islamic finance</w:t>
      </w:r>
    </w:p>
    <w:p>
      <w:r>
        <w:t>Takaful provides protection without riba</w:t>
      </w:r>
    </w:p>
    <w:p>
      <w:r>
        <w:t>Takaful is recognized by AAOIFI</w:t>
      </w:r>
    </w:p>
    <w:p>
      <w:r>
        <w:t>Sharia Compliance Reporting</w:t>
      </w:r>
    </w:p>
    <w:p>
      <w:r>
        <w:t>Annual Sharia Audit</w:t>
      </w:r>
    </w:p>
    <w:p>
      <w:r>
        <w:t>The Sharia Committee conducts an annual Sharia audit.</w:t>
      </w:r>
    </w:p>
    <w:p>
      <w:r>
        <w:t>What This Means in Practice:</w:t>
      </w:r>
    </w:p>
    <w:p>
      <w:r>
        <w:t>Comprehensive review of all structures</w:t>
      </w:r>
    </w:p>
    <w:p>
      <w:r>
        <w:t>Compliance assessment</w:t>
      </w:r>
    </w:p>
    <w:p>
      <w:r>
        <w:t>Findings and recommendations</w:t>
      </w:r>
    </w:p>
    <w:p>
      <w:r>
        <w:t>Certification or non-certification</w:t>
      </w:r>
    </w:p>
    <w:p>
      <w:r>
        <w:t>Example:</w:t>
      </w:r>
    </w:p>
    <w:p>
      <w:r>
        <w:t>The Sharia Committee conducts an annual audit of all structures, assets, and instruments. The audit reviews compliance with AAOIFI standards. The audit findings are published. If compliant, the Committee issues a Sharia compliance certificate.</w:t>
      </w:r>
    </w:p>
    <w:p>
      <w:r>
        <w:t>Why This Matters:</w:t>
      </w:r>
    </w:p>
    <w:p>
      <w:r>
        <w:t>Annual audit provides assurance</w:t>
      </w:r>
    </w:p>
    <w:p>
      <w:r>
        <w:t>Annual audit ensures ongoing compliance</w:t>
      </w:r>
    </w:p>
    <w:p>
      <w:r>
        <w:t>Annual audit builds trust</w:t>
      </w:r>
    </w:p>
    <w:p>
      <w:r>
        <w:t>Annual audit maintains accountability</w:t>
      </w:r>
    </w:p>
    <w:p>
      <w:r>
        <w:t>Public Disclosure</w:t>
      </w:r>
    </w:p>
    <w:p>
      <w:r>
        <w:t>Sharia compliance findings are publicly disclosed.</w:t>
      </w:r>
    </w:p>
    <w:p>
      <w:r>
        <w:t>What This Means in Practice:</w:t>
      </w:r>
    </w:p>
    <w:p>
      <w:r>
        <w:t>Compliance certificate is published</w:t>
      </w:r>
    </w:p>
    <w:p>
      <w:r>
        <w:t>Audit findings are published</w:t>
      </w:r>
    </w:p>
    <w:p>
      <w:r>
        <w:t>Non-compliance issues are disclosed</w:t>
      </w:r>
    </w:p>
    <w:p>
      <w:r>
        <w:t>Remediation plans are published</w:t>
      </w:r>
    </w:p>
    <w:p>
      <w:r>
        <w:t>Example:</w:t>
      </w:r>
    </w:p>
    <w:p>
      <w:r>
        <w:t>The Institution publishes the Sharia Committee's compliance certificate annually. The certificate confirms that all operations are Sharia-compliant. If any issues are identified, they are disclosed along with remediation plans.</w:t>
      </w:r>
    </w:p>
    <w:p>
      <w:r>
        <w:t>Why This Matters:</w:t>
      </w:r>
    </w:p>
    <w:p>
      <w:r>
        <w:t>Public disclosure builds trust</w:t>
      </w:r>
    </w:p>
    <w:p>
      <w:r>
        <w:t>Public disclosure ensures accountability</w:t>
      </w:r>
    </w:p>
    <w:p>
      <w:r>
        <w:t>Public disclosure enables verification</w:t>
      </w:r>
    </w:p>
    <w:p>
      <w:r>
        <w:t>Public disclosure maintains transparency</w:t>
      </w:r>
    </w:p>
    <w:p>
      <w:r>
        <w:t>Summary Table</w:t>
      </w:r>
    </w:p>
    <w:p>
      <w:r>
        <w:t>Constitutional Interpretation</w:t>
      </w:r>
    </w:p>
    <w:p>
      <w:r>
        <w:t>Sharia Compliance is a constitutional requirement:</w:t>
      </w:r>
    </w:p>
    <w:p>
      <w:r>
        <w:t>All reserve assets, yield mechanisms, and risk protection instruments must comply with AAOIFI Sharia standards</w:t>
      </w:r>
    </w:p>
    <w:p>
      <w:r>
        <w:t>An independent Sharia Committee of minimum 3 scholars certifies compliance annually</w:t>
      </w:r>
    </w:p>
    <w:p>
      <w:r>
        <w:t>Riba (interest), gharar (excessive uncertainty), and haram industries are prohibited</w:t>
      </w:r>
    </w:p>
    <w:p>
      <w:r>
        <w:t>The Sharia Committee has binding authority over Sharia matters</w:t>
      </w:r>
    </w:p>
    <w:p>
      <w:r>
        <w:t>Compliance is transparent and publicly disclosed</w:t>
      </w:r>
    </w:p>
    <w:p>
      <w:r>
        <w:t>Sharia Compliance is not a marketing claim. It is a constitutional obligation. The Sharia Committee's rulings are binding. Non-compliant structures are prohibited. The Institution is accessible to Islamic markets because Sharia compliance is absolute.</w:t>
      </w:r>
    </w:p>
    <w:p>
      <w:r>
        <w:t>[END OF PART 2 — LAYER 2: MONETARY CONSTITUTION]</w:t>
      </w:r>
    </w:p>
    <w:p>
      <w:r>
        <w:t>Part 3: Layer 3 — Policy Framework</w:t>
      </w:r>
    </w:p>
    <w:p>
      <w:r>
        <w:t>Introduction — The Policy Framework</w:t>
      </w:r>
    </w:p>
    <w:p>
      <w:r>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r>
        <w:t>What This Means in Practice:</w:t>
      </w:r>
    </w:p>
    <w:p>
      <w:r>
        <w:t>Policy implements constitutional principles</w:t>
      </w:r>
    </w:p>
    <w:p>
      <w:r>
        <w:t>Policy is more flexible than the Constitution</w:t>
      </w:r>
    </w:p>
    <w:p>
      <w:r>
        <w:t>Policy is reviewed and updated regularly</w:t>
      </w:r>
    </w:p>
    <w:p>
      <w:r>
        <w:t>Policy is transparent and auditable</w:t>
      </w:r>
    </w:p>
    <w:p>
      <w:r>
        <w:t>Policy operates within constitutional constraints</w:t>
      </w:r>
    </w:p>
    <w:p>
      <w:r>
        <w:t>Example:</w:t>
      </w:r>
    </w:p>
    <w:p>
      <w:r>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r>
        <w:t>Why This Matters:</w:t>
      </w:r>
    </w:p>
    <w:p>
      <w:r>
        <w:t>Without Policy, constitutional principles cannot be implemented</w:t>
      </w:r>
    </w:p>
    <w:p>
      <w:r>
        <w:t>Without Policy, operations would be arbitrary</w:t>
      </w:r>
    </w:p>
    <w:p>
      <w:r>
        <w:t>Without Policy, the Institution would lack operational guidance</w:t>
      </w:r>
    </w:p>
    <w:p>
      <w:r>
        <w:t>Without Policy, constitutional principles would remain abstract</w:t>
      </w:r>
    </w:p>
    <w:p>
      <w:r>
        <w:t>Policy provides the operational framework for constitutional governance</w:t>
      </w:r>
    </w:p>
    <w:p>
      <w:r>
        <w:t>Core Principles of the Policy Framework</w:t>
      </w:r>
    </w:p>
    <w:p>
      <w:pPr>
        <w:pStyle w:val="ListNumber"/>
        <w:ind w:left="425"/>
      </w:pPr>
      <w:r>
        <w:t>Constitutional Supremacy</w:t>
      </w:r>
    </w:p>
    <w:p>
      <w:r>
        <w:t>All Policy operates within constitutional constraints.</w:t>
      </w:r>
    </w:p>
    <w:p>
      <w:r>
        <w:t>What This Means in Practice:</w:t>
      </w:r>
    </w:p>
    <w:p>
      <w:r>
        <w:t>Policy cannot violate constitutional invariants</w:t>
      </w:r>
    </w:p>
    <w:p>
      <w:r>
        <w:t>Policy cannot violate constitutional principles</w:t>
      </w:r>
    </w:p>
    <w:p>
      <w:r>
        <w:t>Policy cannot exceed constitutional authority</w:t>
      </w:r>
    </w:p>
    <w:p>
      <w:r>
        <w:t>Policy is subordinate to the Constitution</w:t>
      </w:r>
    </w:p>
    <w:p>
      <w:r>
        <w:t>Example:</w:t>
      </w:r>
    </w:p>
    <w:p>
      <w:r>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Transparency</w:t>
      </w:r>
    </w:p>
    <w:p>
      <w:r>
        <w:t>All Policy is transparent and publicly disclosed.</w:t>
      </w:r>
    </w:p>
    <w:p>
      <w:r>
        <w:t>What This Means in Practice:</w:t>
      </w:r>
    </w:p>
    <w:p>
      <w:r>
        <w:t>Policy is published</w:t>
      </w:r>
    </w:p>
    <w:p>
      <w:r>
        <w:t>Policy is accessible</w:t>
      </w:r>
    </w:p>
    <w:p>
      <w:r>
        <w:t>Policy is explained</w:t>
      </w:r>
    </w:p>
    <w:p>
      <w:r>
        <w:t>Policy is auditable</w:t>
      </w:r>
    </w:p>
    <w:p>
      <w:r>
        <w:t>Example:</w:t>
      </w:r>
    </w:p>
    <w:p>
      <w:r>
        <w:t>The Institution publishes all policies on its website. Each policy includes the rationale, the implementation details, and the review schedule. Participants can understand how the Institution operates and can verify that policy complies with constitutional principles.</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Review and Update</w:t>
      </w:r>
    </w:p>
    <w:p>
      <w:r>
        <w:t>Policy is reviewed and updated regularly.</w:t>
      </w:r>
    </w:p>
    <w:p>
      <w:r>
        <w:t>What This Means in Practice:</w:t>
      </w:r>
    </w:p>
    <w:p>
      <w:r>
        <w:t>Policy has defined review cycles</w:t>
      </w:r>
    </w:p>
    <w:p>
      <w:r>
        <w:t>Policy is updated based on experience</w:t>
      </w:r>
    </w:p>
    <w:p>
      <w:r>
        <w:t>Policy is updated based on changing conditions</w:t>
      </w:r>
    </w:p>
    <w:p>
      <w:r>
        <w:t>Policy is updated through defined processes</w:t>
      </w:r>
    </w:p>
    <w:p>
      <w:r>
        <w:t>Example:</w:t>
      </w:r>
    </w:p>
    <w:p>
      <w:r>
        <w:t>The reserve allocation policy is reviewed quarterly. Fee policy is reviewed annually. Sanctions policy is reviewed monthly. All reviews follow defined processes and result in documented updates or confirmation of existing policy.</w:t>
      </w:r>
    </w:p>
    <w:p>
      <w:r>
        <w:t>Why This Matters:</w:t>
      </w:r>
    </w:p>
    <w:p>
      <w:r>
        <w:t>Without review, policy becomes outdated</w:t>
      </w:r>
    </w:p>
    <w:p>
      <w:r>
        <w:t>Without review, policy cannot adapt to changing conditions</w:t>
      </w:r>
    </w:p>
    <w:p>
      <w:r>
        <w:t>Without review, policy is not improved</w:t>
      </w:r>
    </w:p>
    <w:p>
      <w:r>
        <w:t>Regular review ensures policy remains effective</w:t>
      </w:r>
    </w:p>
    <w:p>
      <w:pPr>
        <w:pStyle w:val="ListNumber"/>
        <w:ind w:left="425"/>
      </w:pPr>
      <w:r>
        <w:t>Predictable Adaptation</w:t>
      </w:r>
    </w:p>
    <w:p>
      <w:r>
        <w:t>Policy changes follow predictable processes.</w:t>
      </w:r>
    </w:p>
    <w:p>
      <w:r>
        <w:t>What This Means in Practice:</w:t>
      </w:r>
    </w:p>
    <w:p>
      <w:r>
        <w:t>Changes are announced in advance</w:t>
      </w:r>
    </w:p>
    <w:p>
      <w:r>
        <w:t>Changes include rationale</w:t>
      </w:r>
    </w:p>
    <w:p>
      <w:r>
        <w:t>Changes are implemented gradually where appropriate</w:t>
      </w:r>
    </w:p>
    <w:p>
      <w:r>
        <w:t>Changes are subject to appropriate approval</w:t>
      </w:r>
    </w:p>
    <w:p>
      <w:r>
        <w:t>Example:</w:t>
      </w:r>
    </w:p>
    <w:p>
      <w:r>
        <w:t>A fee adjustment is announced 30 days before implementation. The announcement includes the rationale, the new fee schedule, and the implementation timeline. Participants can prepare for the change.</w:t>
      </w:r>
    </w:p>
    <w:p>
      <w:r>
        <w:t>Why This Matters:</w:t>
      </w:r>
    </w:p>
    <w:p>
      <w:r>
        <w:t>Predictable adaptation enables planning</w:t>
      </w:r>
    </w:p>
    <w:p>
      <w:r>
        <w:t>Predictable adaptation maintains stability</w:t>
      </w:r>
    </w:p>
    <w:p>
      <w:r>
        <w:t>Predictable adaptation builds trust</w:t>
      </w:r>
    </w:p>
    <w:p>
      <w:r>
        <w:t>Predictable adaptation prevents surprise</w:t>
      </w:r>
    </w:p>
    <w:p>
      <w:pPr>
        <w:pStyle w:val="ListNumber"/>
        <w:ind w:left="425"/>
      </w:pPr>
      <w:r>
        <w:t>Documentation</w:t>
      </w:r>
    </w:p>
    <w:p>
      <w:r>
        <w:t>All Policy is documented.</w:t>
      </w:r>
    </w:p>
    <w:p>
      <w:r>
        <w:t>What This Means in Practice:</w:t>
      </w:r>
    </w:p>
    <w:p>
      <w:r>
        <w:t>Policy is written</w:t>
      </w:r>
    </w:p>
    <w:p>
      <w:r>
        <w:t>Policy is complete</w:t>
      </w:r>
    </w:p>
    <w:p>
      <w:r>
        <w:t>Policy is clear</w:t>
      </w:r>
    </w:p>
    <w:p>
      <w:r>
        <w:t>Policy is maintained</w:t>
      </w:r>
    </w:p>
    <w:p>
      <w:r>
        <w:t>Example:</w:t>
      </w:r>
    </w:p>
    <w:p>
      <w:r>
        <w:t>The Institution maintains a complete Policy Manual. The manual includes all policies, their rationales, their effective dates, and their review schedules. The manual is updated whenever policy changes. The manual is publicly available.</w:t>
      </w:r>
    </w:p>
    <w:p>
      <w:r>
        <w:t>Why This Matters:</w:t>
      </w:r>
    </w:p>
    <w:p>
      <w:r>
        <w:t>Documentation ensures clarity</w:t>
      </w:r>
    </w:p>
    <w:p>
      <w:r>
        <w:t>Documentation enables review</w:t>
      </w:r>
    </w:p>
    <w:p>
      <w:r>
        <w:t>Documentation supports training</w:t>
      </w:r>
    </w:p>
    <w:p>
      <w:r>
        <w:t>Documentation provides institutional memory</w:t>
      </w:r>
    </w:p>
    <w:p>
      <w:r>
        <w:t>Relationship to Higher Layers</w:t>
      </w:r>
    </w:p>
    <w:p>
      <w:r>
        <w:t>What This Means in Practice:</w:t>
      </w:r>
    </w:p>
    <w:p>
      <w:r>
        <w:t>Higher layers are more stable</w:t>
      </w:r>
    </w:p>
    <w:p>
      <w:r>
        <w:t>Lower layers are more flexible</w:t>
      </w:r>
    </w:p>
    <w:p>
      <w:r>
        <w:t>Policy is the operational expression of constitutional principles</w:t>
      </w:r>
    </w:p>
    <w:p>
      <w:r>
        <w:t>Policy adapts while constitutional principles endure</w:t>
      </w:r>
    </w:p>
    <w:p>
      <w:r>
        <w:t>Example:</w:t>
      </w:r>
    </w:p>
    <w:p>
      <w:r>
        <w:t>The Constitution establishes that fees are permissible. Policy establishes the specific fee rates. The Constitution is stable; Policy adapts to changing conditions. This separation enables stability and adaptability.</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Policy Scope</w:t>
      </w:r>
    </w:p>
    <w:p>
      <w:r>
        <w:t>Policy covers the following areas:</w:t>
      </w:r>
    </w:p>
    <w:p>
      <w:pPr>
        <w:pStyle w:val="ListNumber"/>
        <w:ind w:left="425"/>
      </w:pPr>
      <w:r>
        <w:t>Dynamic Reserve Ranges</w:t>
      </w:r>
    </w:p>
    <w:p>
      <w:r>
        <w:t>Asset allocation percentages</w:t>
      </w:r>
    </w:p>
    <w:p>
      <w:r>
        <w:t>Tier allocation ranges</w:t>
      </w:r>
    </w:p>
    <w:p>
      <w:r>
        <w:t>Rebalancing thresholds</w:t>
      </w:r>
    </w:p>
    <w:p>
      <w:r>
        <w:t>Liquidity requirements</w:t>
      </w:r>
    </w:p>
    <w:p>
      <w:pPr>
        <w:pStyle w:val="ListNumber"/>
        <w:ind w:left="425"/>
      </w:pPr>
      <w:r>
        <w:t>Committee Mandates</w:t>
      </w:r>
    </w:p>
    <w:p>
      <w:r>
        <w:t>Council responsibilities</w:t>
      </w:r>
    </w:p>
    <w:p>
      <w:r>
        <w:t>Committee powers</w:t>
      </w:r>
    </w:p>
    <w:p>
      <w:r>
        <w:t>Decision thresholds</w:t>
      </w:r>
    </w:p>
    <w:p>
      <w:r>
        <w:t>Reporting requirements</w:t>
      </w:r>
    </w:p>
    <w:p>
      <w:pPr>
        <w:pStyle w:val="ListNumber"/>
        <w:ind w:left="425"/>
      </w:pPr>
      <w:r>
        <w:t>Fee Schedules</w:t>
      </w:r>
    </w:p>
    <w:p>
      <w:r>
        <w:t>Minting fees</w:t>
      </w:r>
    </w:p>
    <w:p>
      <w:r>
        <w:t>Redemption fees</w:t>
      </w:r>
    </w:p>
    <w:p>
      <w:r>
        <w:t>Transfer fees</w:t>
      </w:r>
    </w:p>
    <w:p>
      <w:r>
        <w:t>Custody fees</w:t>
      </w:r>
    </w:p>
    <w:p>
      <w:r>
        <w:t>Fee caps and exemptions</w:t>
      </w:r>
    </w:p>
    <w:p>
      <w:pPr>
        <w:pStyle w:val="ListNumber"/>
        <w:ind w:left="425"/>
      </w:pPr>
      <w:r>
        <w:t>Sanctions Mechanics</w:t>
      </w:r>
    </w:p>
    <w:p>
      <w:r>
        <w:t>Sanctions screening</w:t>
      </w:r>
    </w:p>
    <w:p>
      <w:r>
        <w:t>Sanctions enforcement</w:t>
      </w:r>
    </w:p>
    <w:p>
      <w:r>
        <w:t>Freeze procedures</w:t>
      </w:r>
    </w:p>
    <w:p>
      <w:r>
        <w:t>Reporting requirements</w:t>
      </w:r>
    </w:p>
    <w:p>
      <w:pPr>
        <w:pStyle w:val="ListNumber"/>
        <w:ind w:left="425"/>
      </w:pPr>
      <w:r>
        <w:t>Risk Tolerances</w:t>
      </w:r>
    </w:p>
    <w:p>
      <w:r>
        <w:t>Volatility thresholds</w:t>
      </w:r>
    </w:p>
    <w:p>
      <w:r>
        <w:t>Liquidity thresholds</w:t>
      </w:r>
    </w:p>
    <w:p>
      <w:r>
        <w:t>Concentration limits</w:t>
      </w:r>
    </w:p>
    <w:p>
      <w:r>
        <w:t>Stress test requirements</w:t>
      </w:r>
    </w:p>
    <w:p>
      <w:pPr>
        <w:pStyle w:val="ListNumber"/>
        <w:ind w:left="425"/>
      </w:pPr>
      <w:r>
        <w:t>Maturity Stages</w:t>
      </w:r>
    </w:p>
    <w:p>
      <w:r>
        <w:t>Formation requirements</w:t>
      </w:r>
    </w:p>
    <w:p>
      <w:r>
        <w:t>Operational parameters</w:t>
      </w:r>
    </w:p>
    <w:p>
      <w:r>
        <w:t>Expansion criteria</w:t>
      </w:r>
    </w:p>
    <w:p>
      <w:r>
        <w:t>Emergency procedures</w:t>
      </w:r>
    </w:p>
    <w:p>
      <w:pPr>
        <w:pStyle w:val="ListNumber"/>
        <w:ind w:left="425"/>
      </w:pPr>
      <w:r>
        <w:t>Review Cycles</w:t>
      </w:r>
    </w:p>
    <w:p>
      <w:r>
        <w:t>Quarterly reviews</w:t>
      </w:r>
    </w:p>
    <w:p>
      <w:r>
        <w:t>Annual reviews</w:t>
      </w:r>
    </w:p>
    <w:p>
      <w:r>
        <w:t>Five-year reviews</w:t>
      </w:r>
    </w:p>
    <w:p>
      <w:r>
        <w:t>Emergency reviews</w:t>
      </w:r>
    </w:p>
    <w:p>
      <w:pPr>
        <w:pStyle w:val="ListNumber"/>
        <w:ind w:left="425"/>
      </w:pPr>
      <w:r>
        <w:t>Physical Redemption Terms</w:t>
      </w:r>
    </w:p>
    <w:p>
      <w:r>
        <w:t>Minimum redemption amounts</w:t>
      </w:r>
    </w:p>
    <w:p>
      <w:r>
        <w:t>Redemption premiums</w:t>
      </w:r>
    </w:p>
    <w:p>
      <w:r>
        <w:t>Delivery logistics</w:t>
      </w:r>
    </w:p>
    <w:p>
      <w:r>
        <w:t>Documentation requirements</w:t>
      </w:r>
    </w:p>
    <w:p>
      <w:r>
        <w:t>Dynamic Range Framework</w:t>
      </w:r>
    </w:p>
    <w:p>
      <w:r>
        <w:t>Policy establishes dynamic ranges for constitutional parameters:</w:t>
      </w:r>
    </w:p>
    <w:p>
      <w:r>
        <w:t>What This Means in Practice:</w:t>
      </w:r>
    </w:p>
    <w:p>
      <w:r>
        <w:t>Ranges are established for key parameters</w:t>
      </w:r>
    </w:p>
    <w:p>
      <w:r>
        <w:t>Ranges are reviewed and updated regularly</w:t>
      </w:r>
    </w:p>
    <w:p>
      <w:r>
        <w:t>Ranges provide flexibility within constitutional constraints</w:t>
      </w:r>
    </w:p>
    <w:p>
      <w:r>
        <w:t>Ranges enable adaptation to changing conditions</w:t>
      </w:r>
    </w:p>
    <w:p>
      <w:r>
        <w:t>Example:</w:t>
      </w:r>
    </w:p>
    <w:p>
      <w:r>
        <w:t>The Constitution establishes that gold is the primary monetary metal. Policy establishes the target allocation range (70-85%). The Constitution establishes that reserves are held in Tiers 1-4. Policy establishes the target allocation ranges for each tier.</w:t>
      </w:r>
    </w:p>
    <w:p>
      <w:r>
        <w:t>Why This Matters:</w:t>
      </w:r>
    </w:p>
    <w:p>
      <w:r>
        <w:t>Ranges provide flexibility</w:t>
      </w:r>
    </w:p>
    <w:p>
      <w:r>
        <w:t>Ranges prevent arbitrary allocation</w:t>
      </w:r>
    </w:p>
    <w:p>
      <w:r>
        <w:t>Ranges maintain stability</w:t>
      </w:r>
    </w:p>
    <w:p>
      <w:r>
        <w:t>Ranges enable adaptation</w:t>
      </w:r>
    </w:p>
    <w:p>
      <w:r>
        <w:t>Reserve Allocation Ranges</w:t>
      </w:r>
    </w:p>
    <w:p>
      <w:r>
        <w:t>Note: These ranges are illustrative. Actual ranges are determined by Policy within constitutional constraints.</w:t>
      </w:r>
    </w:p>
    <w:p>
      <w:r>
        <w:t>Metal Allocation Ranges</w:t>
      </w:r>
    </w:p>
    <w:p>
      <w:r>
        <w:t>Note: These ranges are illustrative. Actual ranges are determined by Policy within constitutional constraints.</w:t>
      </w:r>
    </w:p>
    <w:p>
      <w:r>
        <w:t>Liquidity Requirements</w:t>
      </w:r>
    </w:p>
    <w:p>
      <w:r>
        <w:t>Note: These values are illustrative. Actual values are determined by Policy.</w:t>
      </w:r>
    </w:p>
    <w:p>
      <w:r>
        <w:t>Fee Schedule Policy</w:t>
      </w:r>
    </w:p>
    <w:p>
      <w:r>
        <w:t>Policy establishes fees for institutional operations:</w:t>
      </w:r>
    </w:p>
    <w:p>
      <w:r>
        <w:t>Fee Principles</w:t>
      </w:r>
    </w:p>
    <w:p>
      <w:pPr>
        <w:pStyle w:val="ListNumber"/>
        <w:ind w:left="425"/>
      </w:pPr>
      <w:r>
        <w:t>Transparency</w:t>
      </w:r>
    </w:p>
    <w:p>
      <w:r>
        <w:t>Fees are published and clearly explained.</w:t>
      </w:r>
    </w:p>
    <w:p>
      <w:r>
        <w:t>What This Means in Practice:</w:t>
      </w:r>
    </w:p>
    <w:p>
      <w:r>
        <w:t>Fee schedule is publicly available</w:t>
      </w:r>
    </w:p>
    <w:p>
      <w:r>
        <w:t>Fee rationale is explained</w:t>
      </w:r>
    </w:p>
    <w:p>
      <w:r>
        <w:t>Fee changes are announced in advance</w:t>
      </w:r>
    </w:p>
    <w:p>
      <w:r>
        <w:t>No hidden fees exist</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w:t>
      </w:r>
    </w:p>
    <w:p>
      <w:r>
        <w:t>Fees are reviewed regularly</w:t>
      </w:r>
    </w:p>
    <w:p>
      <w:pPr>
        <w:pStyle w:val="ListNumber"/>
        <w:ind w:left="425"/>
      </w:pPr>
      <w:r>
        <w:t>Non-Profit</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Fee Structure</w:t>
      </w:r>
    </w:p>
    <w:p>
      <w:r>
        <w:t>Note: These rates are illustrative. Actual rates are determined by Policy.</w:t>
      </w:r>
    </w:p>
    <w:p>
      <w:r>
        <w:t>Fee Adjustment Policy</w:t>
      </w:r>
    </w:p>
    <w:p>
      <w:r>
        <w:t>What This Means in Practice:</w:t>
      </w:r>
    </w:p>
    <w:p>
      <w:r>
        <w:t>Fees are reviewed annually</w:t>
      </w:r>
    </w:p>
    <w:p>
      <w:r>
        <w:t>Fees are adjusted based on cost analysis</w:t>
      </w:r>
    </w:p>
    <w:p>
      <w:r>
        <w:t>Fee adjustments follow defined process</w:t>
      </w:r>
    </w:p>
    <w:p>
      <w:r>
        <w:t>Fee adjustments are transparent</w:t>
      </w:r>
    </w:p>
    <w:p>
      <w:r>
        <w:t>Example:</w:t>
      </w:r>
    </w:p>
    <w:p>
      <w:r>
        <w:t>The annual fee review assesses operational costs, compares fees to benchmarks, and recommends adjustments. Any fee change is announced 30 days before implementation. The rationale is published.</w:t>
      </w:r>
    </w:p>
    <w:p>
      <w:r>
        <w:t>Committee Mandates</w:t>
      </w:r>
    </w:p>
    <w:p>
      <w:r>
        <w:t>Policy defines committee mandates:</w:t>
      </w:r>
    </w:p>
    <w:p>
      <w:r>
        <w:t>Monetary Council Mandate</w:t>
      </w:r>
    </w:p>
    <w:p>
      <w:r>
        <w:t>Risk Committee Mandate</w:t>
      </w:r>
    </w:p>
    <w:p>
      <w:r>
        <w:t>Technical Committee Mandate</w:t>
      </w:r>
    </w:p>
    <w:p>
      <w:r>
        <w:t>Audit Committee Mandate</w:t>
      </w:r>
    </w:p>
    <w:p>
      <w:r>
        <w:t>Sharia Committee Mandate</w:t>
      </w:r>
    </w:p>
    <w:p>
      <w:r>
        <w:t>Sanctions Mechanics</w:t>
      </w:r>
    </w:p>
    <w:p>
      <w:r>
        <w:t>Policy establishes sanctions compliance procedures:</w:t>
      </w:r>
    </w:p>
    <w:p>
      <w:r>
        <w:t>Principles</w:t>
      </w:r>
    </w:p>
    <w:p>
      <w:pPr>
        <w:pStyle w:val="ListNumber"/>
        <w:ind w:left="425"/>
      </w:pPr>
      <w:r>
        <w:t>Mandatory Compliance</w:t>
      </w:r>
    </w:p>
    <w:p>
      <w:r>
        <w:t>All applicable sanctions must be complied with.</w:t>
      </w:r>
    </w:p>
    <w:p>
      <w:pPr>
        <w:pStyle w:val="ListNumber"/>
        <w:ind w:left="425"/>
      </w:pPr>
      <w:r>
        <w:t>Neutral Compliance</w:t>
      </w:r>
    </w:p>
    <w:p>
      <w:r>
        <w:t>Compliance is operational, not political.</w:t>
      </w:r>
    </w:p>
    <w:p>
      <w:pPr>
        <w:pStyle w:val="ListNumber"/>
        <w:ind w:left="425"/>
      </w:pPr>
      <w:r>
        <w:t>Transparent Compliance</w:t>
      </w:r>
    </w:p>
    <w:p>
      <w:r>
        <w:t>Compliance procedures are transparent.</w:t>
      </w:r>
    </w:p>
    <w:p>
      <w:pPr>
        <w:pStyle w:val="ListNumber"/>
        <w:ind w:left="425"/>
      </w:pPr>
      <w:r>
        <w:t>Consistent Compliance</w:t>
      </w:r>
    </w:p>
    <w:p>
      <w:r>
        <w:t>Compliance is applied consistently to all participants.</w:t>
      </w:r>
    </w:p>
    <w:p>
      <w:r>
        <w:t>Sanctions Screening</w:t>
      </w:r>
    </w:p>
    <w:p>
      <w:r>
        <w:t>Sanctions Enforcement</w:t>
      </w:r>
    </w:p>
    <w:p>
      <w:r>
        <w:t>Risk Tolerances</w:t>
      </w:r>
    </w:p>
    <w:p>
      <w:r>
        <w:t>Policy defines risk tolerances:</w:t>
      </w:r>
    </w:p>
    <w:p>
      <w:r>
        <w:t>Volatility Tolerances</w:t>
      </w:r>
    </w:p>
    <w:p>
      <w:r>
        <w:t>Liquidity Tolerances</w:t>
      </w:r>
    </w:p>
    <w:p>
      <w:r>
        <w:t>Concentration Tolerances</w:t>
      </w:r>
    </w:p>
    <w:p>
      <w:r>
        <w:t>Maturity Stages</w:t>
      </w:r>
    </w:p>
    <w:p>
      <w:r>
        <w:t>Policy defines operational maturity stages:</w:t>
      </w:r>
    </w:p>
    <w:p>
      <w:r>
        <w:t>Stage 1: Formation</w:t>
      </w:r>
    </w:p>
    <w:p>
      <w:r>
        <w:t>Requirements:</w:t>
      </w:r>
    </w:p>
    <w:p>
      <w:r>
        <w:t>Governance established</w:t>
      </w:r>
    </w:p>
    <w:p>
      <w:r>
        <w:t>Reserves established</w:t>
      </w:r>
    </w:p>
    <w:p>
      <w:r>
        <w:t>Operational readiness</w:t>
      </w:r>
    </w:p>
    <w:p>
      <w:r>
        <w:t>Legal compliance</w:t>
      </w:r>
    </w:p>
    <w:p>
      <w:r>
        <w:t>Initial participants</w:t>
      </w:r>
    </w:p>
    <w:p>
      <w:r>
        <w:t>Duration:</w:t>
      </w:r>
    </w:p>
    <w:p>
      <w:r>
        <w:t>As required for operational readiness</w:t>
      </w:r>
    </w:p>
    <w:p>
      <w:r>
        <w:t>Typically 6-18 months</w:t>
      </w:r>
    </w:p>
    <w:p>
      <w:r>
        <w:t>Activities:</w:t>
      </w:r>
    </w:p>
    <w:p>
      <w:r>
        <w:t>Establish governance</w:t>
      </w:r>
    </w:p>
    <w:p>
      <w:r>
        <w:t>Establish reserves</w:t>
      </w:r>
    </w:p>
    <w:p>
      <w:r>
        <w:t>Establish operations</w:t>
      </w:r>
    </w:p>
    <w:p>
      <w:r>
        <w:t>Establish compliance</w:t>
      </w:r>
    </w:p>
    <w:p>
      <w:r>
        <w:t>Onboard initial participants</w:t>
      </w:r>
    </w:p>
    <w:p>
      <w:r>
        <w:t>Stage 2: Operational</w:t>
      </w:r>
    </w:p>
    <w:p>
      <w:r>
        <w:t>Requirements:</w:t>
      </w:r>
    </w:p>
    <w:p>
      <w:r>
        <w:t>Full operational capability</w:t>
      </w:r>
    </w:p>
    <w:p>
      <w:r>
        <w:t>All reserves in place</w:t>
      </w:r>
    </w:p>
    <w:p>
      <w:r>
        <w:t>All governance bodies active</w:t>
      </w:r>
    </w:p>
    <w:p>
      <w:r>
        <w:t>All compliance procedures active</w:t>
      </w:r>
    </w:p>
    <w:p>
      <w:r>
        <w:t>Duration:</w:t>
      </w:r>
    </w:p>
    <w:p>
      <w:r>
        <w:t>Indefinite</w:t>
      </w:r>
    </w:p>
    <w:p>
      <w:r>
        <w:t>The default operational state</w:t>
      </w:r>
    </w:p>
    <w:p>
      <w:r>
        <w:t>Activities:</w:t>
      </w:r>
    </w:p>
    <w:p>
      <w:r>
        <w:t>Settlement operations</w:t>
      </w:r>
    </w:p>
    <w:p>
      <w:r>
        <w:t>Reserve management</w:t>
      </w:r>
    </w:p>
    <w:p>
      <w:r>
        <w:t>Governance oversight</w:t>
      </w:r>
    </w:p>
    <w:p>
      <w:r>
        <w:t>Compliance monitoring</w:t>
      </w:r>
    </w:p>
    <w:p>
      <w:r>
        <w:t>Transparency reporting</w:t>
      </w:r>
    </w:p>
    <w:p>
      <w:r>
        <w:t>Stage 3: Expansion</w:t>
      </w:r>
    </w:p>
    <w:p>
      <w:r>
        <w:t>Requirements:</w:t>
      </w:r>
    </w:p>
    <w:p>
      <w:r>
        <w:t>Successful operational stage</w:t>
      </w:r>
    </w:p>
    <w:p>
      <w:r>
        <w:t>Demonstrated capability</w:t>
      </w:r>
    </w:p>
    <w:p>
      <w:r>
        <w:t>Identified opportunities</w:t>
      </w:r>
    </w:p>
    <w:p>
      <w:r>
        <w:t>Constitutional compatibility</w:t>
      </w:r>
    </w:p>
    <w:p>
      <w:r>
        <w:t>Activities:</w:t>
      </w:r>
    </w:p>
    <w:p>
      <w:r>
        <w:t>Add jurisdictions</w:t>
      </w:r>
    </w:p>
    <w:p>
      <w:r>
        <w:t>Add counterparties</w:t>
      </w:r>
    </w:p>
    <w:p>
      <w:r>
        <w:t>Add functions (within constitutional limits)</w:t>
      </w:r>
    </w:p>
    <w:p>
      <w:r>
        <w:t>Expand operations</w:t>
      </w:r>
    </w:p>
    <w:p>
      <w:r>
        <w:t>Stage 4: Emergency</w:t>
      </w:r>
    </w:p>
    <w:p>
      <w:r>
        <w:t>Requirements:</w:t>
      </w:r>
    </w:p>
    <w:p>
      <w:r>
        <w:t>Emergency trigger</w:t>
      </w:r>
    </w:p>
    <w:p>
      <w:r>
        <w:t>Defined activation</w:t>
      </w:r>
    </w:p>
    <w:p>
      <w:r>
        <w:t>Limited governance</w:t>
      </w:r>
    </w:p>
    <w:p>
      <w:r>
        <w:t>Preservation focus</w:t>
      </w:r>
    </w:p>
    <w:p>
      <w:r>
        <w:t>Activities:</w:t>
      </w:r>
    </w:p>
    <w:p>
      <w:r>
        <w:t>Emergency protocols</w:t>
      </w:r>
    </w:p>
    <w:p>
      <w:r>
        <w:t>Limited governance</w:t>
      </w:r>
    </w:p>
    <w:p>
      <w:r>
        <w:t>Preservation operations</w:t>
      </w:r>
    </w:p>
    <w:p>
      <w:r>
        <w:t>Recovery planning</w:t>
      </w:r>
    </w:p>
    <w:p>
      <w:r>
        <w:t>Stage 5: Resolution</w:t>
      </w:r>
    </w:p>
    <w:p>
      <w:r>
        <w:t>Requirements:</w:t>
      </w:r>
    </w:p>
    <w:p>
      <w:r>
        <w:t>Invariants permanently unattainable</w:t>
      </w:r>
    </w:p>
    <w:p>
      <w:r>
        <w:t>Council declaration</w:t>
      </w:r>
    </w:p>
    <w:p>
      <w:r>
        <w:t>Independent Review Panel confirmation</w:t>
      </w:r>
    </w:p>
    <w:p>
      <w:r>
        <w:t>Activities:</w:t>
      </w:r>
    </w:p>
    <w:p>
      <w:r>
        <w:t>Orderly wind-down</w:t>
      </w:r>
    </w:p>
    <w:p>
      <w:r>
        <w:t>Final redemption</w:t>
      </w:r>
    </w:p>
    <w:p>
      <w:r>
        <w:t>Reserve distribution</w:t>
      </w:r>
    </w:p>
    <w:p>
      <w:r>
        <w:t>Dissolution</w:t>
      </w:r>
    </w:p>
    <w:p>
      <w:r>
        <w:t>Review Cycles</w:t>
      </w:r>
    </w:p>
    <w:p>
      <w:r>
        <w:t>Policy defines review cycles:</w:t>
      </w:r>
    </w:p>
    <w:p>
      <w:r>
        <w:t>Quarterly Reviews</w:t>
      </w:r>
    </w:p>
    <w:p>
      <w:r>
        <w:t>Annual Reviews</w:t>
      </w:r>
    </w:p>
    <w:p>
      <w:r>
        <w:t>Five-Year Reviews</w:t>
      </w:r>
    </w:p>
    <w:p>
      <w:r>
        <w:t>Physical Redemption Terms</w:t>
      </w:r>
    </w:p>
    <w:p>
      <w:r>
        <w:t>Policy defines physical redemption terms:</w:t>
      </w:r>
    </w:p>
    <w:p>
      <w:r>
        <w:t>Minimum Redemption Amounts</w:t>
      </w:r>
    </w:p>
    <w:p>
      <w:r>
        <w:t>What This Means in Practice:</w:t>
      </w:r>
    </w:p>
    <w:p>
      <w:r>
        <w:t>Minimum amounts are established for physical redemption</w:t>
      </w:r>
    </w:p>
    <w:p>
      <w:r>
        <w:t>Minimum amounts are defined in Policy</w:t>
      </w:r>
    </w:p>
    <w:p>
      <w:r>
        <w:t>Minimum amounts are reviewed regularly</w:t>
      </w:r>
    </w:p>
    <w:p>
      <w:r>
        <w:t>Minimum amounts are transparent</w:t>
      </w:r>
    </w:p>
    <w:p>
      <w:r>
        <w:t>Example:</w:t>
      </w:r>
    </w:p>
    <w:p>
      <w:r>
        <w:t>Policy establishes a minimum redemption amount of 1 kilogram for physical gold redemption. This minimum may be adjusted based on operational considerations. Any adjustment is reviewed by the Council.</w:t>
      </w:r>
    </w:p>
    <w:p>
      <w:r>
        <w:t>Redemption Premiums</w:t>
      </w:r>
    </w:p>
    <w:p>
      <w:r>
        <w:t>What This Means in Practice:</w:t>
      </w:r>
    </w:p>
    <w:p>
      <w:r>
        <w:t>Premiums may apply to physical redemption</w:t>
      </w:r>
    </w:p>
    <w:p>
      <w:r>
        <w:t>Premiums cover logistics and processing</w:t>
      </w:r>
    </w:p>
    <w:p>
      <w:r>
        <w:t>Premiums are transparent and disclosed</w:t>
      </w:r>
    </w:p>
    <w:p>
      <w:r>
        <w:t>Premiums are reasonable</w:t>
      </w:r>
    </w:p>
    <w:p>
      <w:r>
        <w:t>Example:</w:t>
      </w:r>
    </w:p>
    <w:p>
      <w:r>
        <w:t>Policy establishes a redemption premium of 1% above NAV for physical gold redemption. This premium covers logistics, handling, and operational costs. The premium is disclosed and reviewed annually.</w:t>
      </w:r>
    </w:p>
    <w:p>
      <w:r>
        <w:t>Delivery Logistics</w:t>
      </w:r>
    </w:p>
    <w:p>
      <w:r>
        <w:t>What This Means in Practice:</w:t>
      </w:r>
    </w:p>
    <w:p>
      <w:r>
        <w:t>Delivery procedures are defined</w:t>
      </w:r>
    </w:p>
    <w:p>
      <w:r>
        <w:t>Delivery timelines are established</w:t>
      </w:r>
    </w:p>
    <w:p>
      <w:r>
        <w:t>Delivery locations are identified</w:t>
      </w:r>
    </w:p>
    <w:p>
      <w:r>
        <w:t>Delivery costs are disclosed</w:t>
      </w:r>
    </w:p>
    <w:p>
      <w:r>
        <w:t>Example:</w:t>
      </w:r>
    </w:p>
    <w:p>
      <w:r>
        <w:t>Policy establishes that physical gold redemption is available at designated vault locations. Redemption requests are processed within defined timeframes. Delivery logistics are coordinated with the custodian.</w:t>
      </w:r>
    </w:p>
    <w:p>
      <w:r>
        <w:t>Documentation Requirements</w:t>
      </w:r>
    </w:p>
    <w:p>
      <w:r>
        <w:t>What This Means in Practice:</w:t>
      </w:r>
    </w:p>
    <w:p>
      <w:r>
        <w:t>Documentation is required for physical redemption</w:t>
      </w:r>
    </w:p>
    <w:p>
      <w:r>
        <w:t>Documentation ensures proper identity verification</w:t>
      </w:r>
    </w:p>
    <w:p>
      <w:r>
        <w:t>Documentation ensures proper asset transfer</w:t>
      </w:r>
    </w:p>
    <w:p>
      <w:r>
        <w:t>Documentation is maintained</w:t>
      </w:r>
    </w:p>
    <w:p>
      <w:r>
        <w:t>Example:</w:t>
      </w:r>
    </w:p>
    <w:p>
      <w:r>
        <w:t>Policy establishes that physical redemption requires identity verification, proof of ownership, and delivery instructions. This documentation ensures the redemption is properly processed and the assets are properly transferred.</w:t>
      </w:r>
    </w:p>
    <w:p>
      <w:r>
        <w:t>Summary Table</w:t>
      </w:r>
    </w:p>
    <w:p>
      <w:r>
        <w:t>Constitutional Interpretation</w:t>
      </w:r>
    </w:p>
    <w:p>
      <w:r>
        <w:t>The Policy Framework is the operational expression of constitutional principles. It establishes:</w:t>
      </w:r>
    </w:p>
    <w:p>
      <w:r>
        <w:t>Dynamic ranges for reserve allocation and metal allocation</w:t>
      </w:r>
    </w:p>
    <w:p>
      <w:r>
        <w:t>Committee mandates and decision thresholds</w:t>
      </w:r>
    </w:p>
    <w:p>
      <w:r>
        <w:t>Fee schedules and adjustment processes</w:t>
      </w:r>
    </w:p>
    <w:p>
      <w:r>
        <w:t>Sanctions mechanics and enforcement procedures</w:t>
      </w:r>
    </w:p>
    <w:p>
      <w:r>
        <w:t>Risk tolerances for volatility, liquidity, and concentration</w:t>
      </w:r>
    </w:p>
    <w:p>
      <w:r>
        <w:t>Maturity stages for institutional evolution</w:t>
      </w:r>
    </w:p>
    <w:p>
      <w:r>
        <w:t>Review cycles for ongoing assessment</w:t>
      </w:r>
    </w:p>
    <w:p>
      <w:r>
        <w:t>Physical redemption terms and procedures</w:t>
      </w:r>
    </w:p>
    <w:p>
      <w: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r>
        <w:t>[END OF PART 3 — LAYER 3: POLICY FRAMEWORK — INTRODUCTION]</w:t>
      </w:r>
    </w:p>
    <w:p>
      <w:r>
        <w:t>Part 3: Layer 3 — Policy Framework</w:t>
      </w:r>
    </w:p>
    <w:p>
      <w:r>
        <w:t>Article I: Dynamic Reserve Ranges</w:t>
      </w:r>
    </w:p>
    <w:p>
      <w:r>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r>
        <w:t>What This Means in Practice:</w:t>
      </w:r>
    </w:p>
    <w:p>
      <w:r>
        <w:t>The Constitution establishes that reserves are held in Tiers 1-4</w:t>
      </w:r>
    </w:p>
    <w:p>
      <w:r>
        <w:t>Policy establishes the specific percentage allocations</w:t>
      </w:r>
    </w:p>
    <w:p>
      <w:r>
        <w:t>Allocations are reviewed and adjusted quarterly</w:t>
      </w:r>
    </w:p>
    <w:p>
      <w:r>
        <w:t>Allocations operate within constitutional minimums and maximums</w:t>
      </w:r>
    </w:p>
    <w:p>
      <w:r>
        <w:t>Allocations are transparent and publicly disclosed</w:t>
      </w:r>
    </w:p>
    <w:p>
      <w:r>
        <w:t>Example:</w:t>
      </w:r>
    </w:p>
    <w:p>
      <w:r>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r>
        <w:t>Why This Matters:</w:t>
      </w:r>
    </w:p>
    <w:p>
      <w:r>
        <w:t>Without specific allocations, reserve management would be arbitrary</w:t>
      </w:r>
    </w:p>
    <w:p>
      <w:r>
        <w:t>Without specific allocations, participants cannot predict reserve composition</w:t>
      </w:r>
    </w:p>
    <w:p>
      <w:r>
        <w:t>Without specific allocations, the Institution lacks operational guidance</w:t>
      </w:r>
    </w:p>
    <w:p>
      <w:r>
        <w:t>Dynamic ranges provide stability while enabling adaptation</w:t>
      </w:r>
    </w:p>
    <w:p>
      <w:r>
        <w:t>Specific allocations enable accountability and auditability</w:t>
      </w:r>
    </w:p>
    <w:p>
      <w:r>
        <w:t>Core Principles of Reserve Allocation</w:t>
      </w:r>
    </w:p>
    <w:p>
      <w:pPr>
        <w:pStyle w:val="ListNumber"/>
        <w:ind w:left="425"/>
      </w:pPr>
      <w:r>
        <w:t>Constitutional Supremacy</w:t>
      </w:r>
    </w:p>
    <w:p>
      <w:r>
        <w:t>All policy allocations operate within constitutional minimums and maximums.</w:t>
      </w:r>
    </w:p>
    <w:p>
      <w:r>
        <w:t>What This Means in Practice:</w:t>
      </w:r>
    </w:p>
    <w:p>
      <w:r>
        <w:t>Policy cannot establish allocations outside constitutional ranges</w:t>
      </w:r>
    </w:p>
    <w:p>
      <w:r>
        <w:t>Policy must respect constitutional minimums</w:t>
      </w:r>
    </w:p>
    <w:p>
      <w:r>
        <w:t>Policy must respect constitutional maximums</w:t>
      </w:r>
    </w:p>
    <w:p>
      <w:r>
        <w:t>Policy must maintain the principal reserve (Tiers 1-3)</w:t>
      </w:r>
    </w:p>
    <w:p>
      <w:r>
        <w:t>Example:</w:t>
      </w:r>
    </w:p>
    <w:p>
      <w:r>
        <w:t>The Constitution establishes that Tier 4 (operational liquidity) cannot exceed 10% of reserves. Policy establishes a target of 5% with a range of 2-8%. This respects the constitutional maximum while providing operational flexibility.</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Prudence</w:t>
      </w:r>
    </w:p>
    <w:p>
      <w:r>
        <w:t>Allocations are guided by prudence, not speculation.</w:t>
      </w:r>
    </w:p>
    <w:p>
      <w:r>
        <w:t>What This Means in Practice:</w:t>
      </w:r>
    </w:p>
    <w:p>
      <w:r>
        <w:t>Allocations prioritize safety over yield</w:t>
      </w:r>
    </w:p>
    <w:p>
      <w:r>
        <w:t>Allocations prioritize liquidity over return</w:t>
      </w:r>
    </w:p>
    <w:p>
      <w:r>
        <w:t>Allocations prioritize stability over growth</w:t>
      </w:r>
    </w:p>
    <w:p>
      <w:r>
        <w:t>Allocations are conservative and risk-aware</w:t>
      </w:r>
    </w:p>
    <w:p>
      <w:r>
        <w:t>Example:</w:t>
      </w:r>
    </w:p>
    <w:p>
      <w:r>
        <w:t>Policy establishes a higher allocation to Tier 1 (central-bank-quality cash) and Tier 2 (short-duration sovereign securities) than to Tier 3 (bullion) or Tier 4 (operational liquidity). This prioritizes safety and liquidity over potential returns from other assets.</w:t>
      </w:r>
    </w:p>
    <w:p>
      <w:r>
        <w:t>Why This Matters:</w:t>
      </w:r>
    </w:p>
    <w:p>
      <w:r>
        <w:t>Prudence protects reserves from unnecessary risk</w:t>
      </w:r>
    </w:p>
    <w:p>
      <w:r>
        <w:t>Prudence ensures redemption capacity</w:t>
      </w:r>
    </w:p>
    <w:p>
      <w:r>
        <w:t>Prudence maintains constitutional solvency</w:t>
      </w:r>
    </w:p>
    <w:p>
      <w:r>
        <w:t>Prudence builds institutional trust</w:t>
      </w:r>
    </w:p>
    <w:p>
      <w:pPr>
        <w:pStyle w:val="ListNumber"/>
        <w:ind w:left="425"/>
      </w:pPr>
      <w:r>
        <w:t>Diversification</w:t>
      </w:r>
    </w:p>
    <w:p>
      <w:r>
        <w:t>Allocations are diversified across asset classes, jurisdictions, and custodians.</w:t>
      </w:r>
    </w:p>
    <w:p>
      <w:r>
        <w:t>What This Means in Practice:</w:t>
      </w:r>
    </w:p>
    <w:p>
      <w:r>
        <w:t>No single asset class dominates reserves</w:t>
      </w:r>
    </w:p>
    <w:p>
      <w:r>
        <w:t>No single jurisdiction holds too much</w:t>
      </w:r>
    </w:p>
    <w:p>
      <w:r>
        <w:t>No single custodian holds too much</w:t>
      </w:r>
    </w:p>
    <w:p>
      <w:r>
        <w:t>Diversification reduces concentration risk</w:t>
      </w:r>
    </w:p>
    <w:p>
      <w:r>
        <w:t>Example:</w:t>
      </w:r>
    </w:p>
    <w:p>
      <w:r>
        <w:t>Policy establishes that no single jurisdiction can hold more than 40% of reserves. No single custodian can hold more than 40% of reserves. This ensures that the failure of any single jurisdiction or custodian does not compromise reserve integrity.</w:t>
      </w:r>
    </w:p>
    <w:p>
      <w:r>
        <w:t>Why This Matters:</w:t>
      </w:r>
    </w:p>
    <w:p>
      <w:r>
        <w:t>Diversification reduces risk</w:t>
      </w:r>
    </w:p>
    <w:p>
      <w:r>
        <w:t>Diversification prevents concentration</w:t>
      </w:r>
    </w:p>
    <w:p>
      <w:r>
        <w:t>Diversification enables resilience</w:t>
      </w:r>
    </w:p>
    <w:p>
      <w:r>
        <w:t>Diversification protects holders</w:t>
      </w:r>
    </w:p>
    <w:p>
      <w:pPr>
        <w:pStyle w:val="ListNumber"/>
        <w:ind w:left="425"/>
      </w:pPr>
      <w:r>
        <w:t>Transparency</w:t>
      </w:r>
    </w:p>
    <w:p>
      <w:r>
        <w:t>All allocations are transparent and publicly disclosed.</w:t>
      </w:r>
    </w:p>
    <w:p>
      <w:r>
        <w:t>What This Means in Practice:</w:t>
      </w:r>
    </w:p>
    <w:p>
      <w:r>
        <w:t>Current allocations are published</w:t>
      </w:r>
    </w:p>
    <w:p>
      <w:r>
        <w:t>Allocation changes are announced in advance</w:t>
      </w:r>
    </w:p>
    <w:p>
      <w:r>
        <w:t>Allocation rationale is explained</w:t>
      </w:r>
    </w:p>
    <w:p>
      <w:r>
        <w:t>Allocations are auditable</w:t>
      </w:r>
    </w:p>
    <w:p>
      <w:r>
        <w:t>Example:</w:t>
      </w:r>
    </w:p>
    <w:p>
      <w:r>
        <w:t>The Institution publishes its current reserve allocation quarterly. Any allocation change is announced 30 days before implementation. The rationale for the change is explained. Participants can understand and verify allocation decisions.</w:t>
      </w:r>
    </w:p>
    <w:p>
      <w:r>
        <w:t>Why This Matters:</w:t>
      </w:r>
    </w:p>
    <w:p>
      <w:r>
        <w:t>Transparency builds trust</w:t>
      </w:r>
    </w:p>
    <w:p>
      <w:r>
        <w:t>Transparency enables verification</w:t>
      </w:r>
    </w:p>
    <w:p>
      <w:r>
        <w:t>Transparency ensures accountability</w:t>
      </w:r>
    </w:p>
    <w:p>
      <w:r>
        <w:t>Transparency prevents arbitrary decisions</w:t>
      </w:r>
    </w:p>
    <w:p>
      <w:r>
        <w:t>Reserve Tier Allocation Policy</w:t>
      </w:r>
    </w:p>
    <w:p>
      <w:r>
        <w:t>Tier 1: Central-Bank-Quality Cash / Eligible Sovereign Cash</w:t>
      </w:r>
    </w:p>
    <w:p>
      <w:r>
        <w:t>Policy Parameters:</w:t>
      </w:r>
    </w:p>
    <w:p>
      <w:r>
        <w:t>What This Means in Practice:</w:t>
      </w:r>
    </w:p>
    <w:p>
      <w:r>
        <w:t>Tier 1 constitutes the largest portion of reserves</w:t>
      </w:r>
    </w:p>
    <w:p>
      <w:r>
        <w:t>Tier 1 provides immediate liquidity for redemption</w:t>
      </w:r>
    </w:p>
    <w:p>
      <w:r>
        <w:t>Tier 1 is diversified across currencies, custodians, and jurisdictions</w:t>
      </w:r>
    </w:p>
    <w:p>
      <w:r>
        <w:t>Tier 1 is held in the most secure accounts</w:t>
      </w:r>
    </w:p>
    <w:p>
      <w:r>
        <w:t>Example:</w:t>
      </w:r>
    </w:p>
    <w:p>
      <w:r>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r>
        <w:t>Why This Matters:</w:t>
      </w:r>
    </w:p>
    <w:p>
      <w:r>
        <w:t>Tier 1 is the most secure reserve asset</w:t>
      </w:r>
    </w:p>
    <w:p>
      <w:r>
        <w:t>Tier 1 provides immediate liquidity</w:t>
      </w:r>
    </w:p>
    <w:p>
      <w:r>
        <w:t>Tier 1 is the foundation of redemption capacity</w:t>
      </w:r>
    </w:p>
    <w:p>
      <w:r>
        <w:t>Tier 1 must be protected and diversified</w:t>
      </w:r>
    </w:p>
    <w:p>
      <w:r>
        <w:t>Rationale for Range:</w:t>
      </w:r>
    </w:p>
    <w:p>
      <w:r>
        <w:t>35% minimum ensures sufficient liquidity for redemptions</w:t>
      </w:r>
    </w:p>
    <w:p>
      <w:r>
        <w:t>45% maximum prevents over-concentration in cash</w:t>
      </w:r>
    </w:p>
    <w:p>
      <w:r>
        <w:t>Target of 40% balances liquidity with diversification</w:t>
      </w:r>
    </w:p>
    <w:p>
      <w:r>
        <w:t>Tier 2: Short-Duration Sovereign Securities</w:t>
      </w:r>
    </w:p>
    <w:p>
      <w:r>
        <w:t>Policy Parameters:</w:t>
      </w:r>
    </w:p>
    <w:p>
      <w:r>
        <w:t>What This Means in Practice:</w:t>
      </w:r>
    </w:p>
    <w:p>
      <w:r>
        <w:t>Tier 2 provides safety and modest return</w:t>
      </w:r>
    </w:p>
    <w:p>
      <w:r>
        <w:t>Tier 2 is liquid and marketable</w:t>
      </w:r>
    </w:p>
    <w:p>
      <w:r>
        <w:t>Tier 2 is held in high-quality sovereign securities</w:t>
      </w:r>
    </w:p>
    <w:p>
      <w:r>
        <w:t>Tier 2 is diversified across currencies and issuers</w:t>
      </w:r>
    </w:p>
    <w:p>
      <w:r>
        <w:t>Example:</w:t>
      </w:r>
    </w:p>
    <w:p>
      <w:r>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r>
        <w:t>Why This Matters:</w:t>
      </w:r>
    </w:p>
    <w:p>
      <w:r>
        <w:t>Tier 2 provides safety with modest return</w:t>
      </w:r>
    </w:p>
    <w:p>
      <w:r>
        <w:t>Tier 2 is liquid and marketable</w:t>
      </w:r>
    </w:p>
    <w:p>
      <w:r>
        <w:t>Tier 2 provides diversification from cash</w:t>
      </w:r>
    </w:p>
    <w:p>
      <w:r>
        <w:t>Tier 2 contributes to overall reserve stability</w:t>
      </w:r>
    </w:p>
    <w:p>
      <w:r>
        <w:t>Rationale for Range:</w:t>
      </w:r>
    </w:p>
    <w:p>
      <w:r>
        <w:t>30% minimum ensures sufficient liquid securities for operational needs</w:t>
      </w:r>
    </w:p>
    <w:p>
      <w:r>
        <w:t>40% maximum prevents over-concentration in any single asset class</w:t>
      </w:r>
    </w:p>
    <w:p>
      <w:r>
        <w:t>Target of 35% balances yield with safety</w:t>
      </w:r>
    </w:p>
    <w:p>
      <w:r>
        <w:t>Tier 3: Allocated Physical Monetary Bullion</w:t>
      </w:r>
    </w:p>
    <w:p>
      <w:r>
        <w:t>Policy Parameters:</w:t>
      </w:r>
    </w:p>
    <w:p>
      <w:r>
        <w:t>What This Means in Practice:</w:t>
      </w:r>
    </w:p>
    <w:p>
      <w:r>
        <w:t>Tier 3 provides the ultimate store of value</w:t>
      </w:r>
    </w:p>
    <w:p>
      <w:r>
        <w:t>Tier 3 is held as allocated physical bullion</w:t>
      </w:r>
    </w:p>
    <w:p>
      <w:r>
        <w:t>Tier 3 is diversified across vaults and jurisdictions</w:t>
      </w:r>
    </w:p>
    <w:p>
      <w:r>
        <w:t>Tier 3 is independently verified and audited</w:t>
      </w:r>
    </w:p>
    <w:p>
      <w:r>
        <w:t>Example:</w:t>
      </w:r>
    </w:p>
    <w:p>
      <w:r>
        <w:t>The Institution holds 20% of reserves in allocated physical bullion. This is 80% gold and 20% silver, held in vaults across three jurisdictions, with no single jurisdiction holding more than 8% of total reserves. The bullion is independently audited quarterly.</w:t>
      </w:r>
    </w:p>
    <w:p>
      <w:r>
        <w:t>Why This Matters:</w:t>
      </w:r>
    </w:p>
    <w:p>
      <w:r>
        <w:t>Tier 3 is independent of sovereign credit risk</w:t>
      </w:r>
    </w:p>
    <w:p>
      <w:r>
        <w:t>Tier 3 provides ultimate safety</w:t>
      </w:r>
    </w:p>
    <w:p>
      <w:r>
        <w:t>Tier 3 is a store of value across millennia</w:t>
      </w:r>
    </w:p>
    <w:p>
      <w:r>
        <w:t>Tier 3 provides resilience against systemic financial crises</w:t>
      </w:r>
    </w:p>
    <w:p>
      <w:r>
        <w:t>Rationale for Range:</w:t>
      </w:r>
    </w:p>
    <w:p>
      <w:r>
        <w:t>15% minimum ensures sufficient bullion for ultimate safety</w:t>
      </w:r>
    </w:p>
    <w:p>
      <w:r>
        <w:t>25% maximum prevents over-concentration in a single asset class</w:t>
      </w:r>
    </w:p>
    <w:p>
      <w:r>
        <w:t>Target of 20% balances safety with diversification</w:t>
      </w:r>
    </w:p>
    <w:p>
      <w:r>
        <w:t>Tier 4: Operational Liquidity</w:t>
      </w:r>
    </w:p>
    <w:p>
      <w:r>
        <w:t>Policy Parameters:</w:t>
      </w:r>
    </w:p>
    <w:p>
      <w:r>
        <w:t>What This Means in Practice:</w:t>
      </w:r>
    </w:p>
    <w:p>
      <w:r>
        <w:t>Tier 4 provides operational efficiency</w:t>
      </w:r>
    </w:p>
    <w:p>
      <w:r>
        <w:t>Tier 4 is limited to operational needs</w:t>
      </w:r>
    </w:p>
    <w:p>
      <w:r>
        <w:t>Tier 4 never becomes the principal reserve</w:t>
      </w:r>
    </w:p>
    <w:p>
      <w:r>
        <w:t>Tier 4 is subject to rigorous oversight</w:t>
      </w:r>
    </w:p>
    <w:p>
      <w:r>
        <w:t>Example:</w:t>
      </w:r>
    </w:p>
    <w:p>
      <w:r>
        <w:t>The Institution holds 5% of reserves in regulated stablecoins. These are held with multiple issuers, with no single issuer holding more than 1% of total reserves. The stablecoins are held in qualified custody and are subject to monthly attestation.</w:t>
      </w:r>
    </w:p>
    <w:p>
      <w:r>
        <w:t>Why This Matters:</w:t>
      </w:r>
    </w:p>
    <w:p>
      <w:r>
        <w:t>Tier 4 provides operational efficiency</w:t>
      </w:r>
    </w:p>
    <w:p>
      <w:r>
        <w:t>Tier 4 is limited to prevent concentration risk</w:t>
      </w:r>
    </w:p>
    <w:p>
      <w:r>
        <w:t>Tier 4 is subject to rigorous oversight</w:t>
      </w:r>
    </w:p>
    <w:p>
      <w:r>
        <w:t>Tier 4 never threatens constitutional solvency</w:t>
      </w:r>
    </w:p>
    <w:p>
      <w:r>
        <w:t>Rationale for Range:</w:t>
      </w:r>
    </w:p>
    <w:p>
      <w:r>
        <w:t>2% minimum ensures sufficient operational liquidity</w:t>
      </w:r>
    </w:p>
    <w:p>
      <w:r>
        <w:t>8% maximum prevents operational liquidity from becoming the principal reserve</w:t>
      </w:r>
    </w:p>
    <w:p>
      <w:r>
        <w:t>Target of 5% balances efficiency with constitutional constraints</w:t>
      </w:r>
    </w:p>
    <w:p>
      <w:r>
        <w:t>Total Reserve Allocation Summary</w:t>
      </w:r>
    </w:p>
    <w:p>
      <w:r>
        <w:t>Note: These allocations are illustrative. Actual allocations are determined by Policy and adjusted quarterly based on market conditions, risk assessment, and institutional needs.</w:t>
      </w:r>
    </w:p>
    <w:p>
      <w:r>
        <w:t>Rebalancing Policy</w:t>
      </w:r>
    </w:p>
    <w:p>
      <w:r>
        <w:t>Rebalancing Thresholds</w:t>
      </w:r>
    </w:p>
    <w:p>
      <w:r>
        <w:t>Policy establishes rebalancing triggers:</w:t>
      </w:r>
    </w:p>
    <w:p>
      <w:r>
        <w:t>What This Means in Practice:</w:t>
      </w:r>
    </w:p>
    <w:p>
      <w:r>
        <w:t>Rebalancing is triggered by defined deviations</w:t>
      </w:r>
    </w:p>
    <w:p>
      <w:r>
        <w:t>Rebalancing is executed within defined timeframes</w:t>
      </w:r>
    </w:p>
    <w:p>
      <w:r>
        <w:t>Rebalancing is transparent and documented</w:t>
      </w:r>
    </w:p>
    <w:p>
      <w:r>
        <w:t>Rebalancing is reviewed quarterly</w:t>
      </w:r>
    </w:p>
    <w:p>
      <w:r>
        <w:t>Example:</w:t>
      </w:r>
    </w:p>
    <w:p>
      <w:r>
        <w:t>Tier 1 allocation moves to 48% (above the 45% maximum). The rebalancing threshold is triggered. The Institution rebalances Tier 1 down to 40% within 30 days. The rebalancing is documented and reviewed.</w:t>
      </w:r>
    </w:p>
    <w:p>
      <w:r>
        <w:t>Why This Matters:</w:t>
      </w:r>
    </w:p>
    <w:p>
      <w:r>
        <w:t>Defined thresholds prevent arbitrary rebalancing</w:t>
      </w:r>
    </w:p>
    <w:p>
      <w:r>
        <w:t>Defined timeframes ensure timely action</w:t>
      </w:r>
    </w:p>
    <w:p>
      <w:r>
        <w:t>Transparency enables verification</w:t>
      </w:r>
    </w:p>
    <w:p>
      <w:r>
        <w:t>Quarterly review ensures ongoing appropriateness</w:t>
      </w:r>
    </w:p>
    <w:p>
      <w:r>
        <w:t>Rebalancing Process</w:t>
      </w:r>
    </w:p>
    <w:p>
      <w:r>
        <w:t>Step 1: Monitoring</w:t>
      </w:r>
    </w:p>
    <w:p>
      <w:r>
        <w:t>Reserve composition is monitored continuously</w:t>
      </w:r>
    </w:p>
    <w:p>
      <w:r>
        <w:t>Allocations are calculated daily</w:t>
      </w:r>
    </w:p>
    <w:p>
      <w:r>
        <w:t>Deviations are identified</w:t>
      </w:r>
    </w:p>
    <w:p>
      <w:r>
        <w:t>Step 2: Assessment</w:t>
      </w:r>
    </w:p>
    <w:p>
      <w:r>
        <w:t>Deviation is assessed</w:t>
      </w:r>
    </w:p>
    <w:p>
      <w:r>
        <w:t>Cause is identified</w:t>
      </w:r>
    </w:p>
    <w:p>
      <w:r>
        <w:t>Options are evaluated</w:t>
      </w:r>
    </w:p>
    <w:p>
      <w:r>
        <w:t>Step 3: Decision</w:t>
      </w:r>
    </w:p>
    <w:p>
      <w:r>
        <w:t>Rebalancing decision is made</w:t>
      </w:r>
    </w:p>
    <w:p>
      <w:r>
        <w:t>Amount is determined</w:t>
      </w:r>
    </w:p>
    <w:p>
      <w:r>
        <w:t>Timeline is established</w:t>
      </w:r>
    </w:p>
    <w:p>
      <w:r>
        <w:t>Step 4: Execution</w:t>
      </w:r>
    </w:p>
    <w:p>
      <w:r>
        <w:t>Rebalancing is executed</w:t>
      </w:r>
    </w:p>
    <w:p>
      <w:r>
        <w:t>Trades are settled</w:t>
      </w:r>
    </w:p>
    <w:p>
      <w:r>
        <w:t>Confirmation is obtained</w:t>
      </w:r>
    </w:p>
    <w:p>
      <w:r>
        <w:t>Step 5: Verification</w:t>
      </w:r>
    </w:p>
    <w:p>
      <w:r>
        <w:t>New allocation is confirmed</w:t>
      </w:r>
    </w:p>
    <w:p>
      <w:r>
        <w:t>Rebalancing is verified</w:t>
      </w:r>
    </w:p>
    <w:p>
      <w:r>
        <w:t>Documentation is completed</w:t>
      </w:r>
    </w:p>
    <w:p>
      <w:r>
        <w:t>Step 6: Reporting</w:t>
      </w:r>
    </w:p>
    <w:p>
      <w:r>
        <w:t>Rebalancing is reported</w:t>
      </w:r>
    </w:p>
    <w:p>
      <w:r>
        <w:t>Rationale is explained</w:t>
      </w:r>
    </w:p>
    <w:p>
      <w:r>
        <w:t>Results are published</w:t>
      </w:r>
    </w:p>
    <w:p>
      <w:r>
        <w:t>Rebalancing Frequency</w:t>
      </w:r>
    </w:p>
    <w:p>
      <w:r>
        <w:t>Liquidity Requirements</w:t>
      </w:r>
    </w:p>
    <w:p>
      <w:r>
        <w:t>Liquidity Coverage Ratio</w:t>
      </w:r>
    </w:p>
    <w:p>
      <w:r>
        <w:t>What This Means in Practice:</w:t>
      </w:r>
    </w:p>
    <w:p>
      <w:r>
        <w:t>LCR measures liquid assets against net cash outflows</w:t>
      </w:r>
    </w:p>
    <w:p>
      <w:r>
        <w:t>LCR is calculated daily</w:t>
      </w:r>
    </w:p>
    <w:p>
      <w:r>
        <w:t>LCR is maintained above minimum</w:t>
      </w:r>
    </w:p>
    <w:p>
      <w:r>
        <w:t>LCR is reported and reviewed</w:t>
      </w:r>
    </w:p>
    <w:p>
      <w:r>
        <w:t>Example:</w:t>
      </w:r>
    </w:p>
    <w:p>
      <w:r>
        <w:t>The Institution calculates its LCR daily. The target is 125%. The minimum is 100%. If the LCR falls below 110%, enhanced monitoring is triggered. If it falls below 100%, emergency protocols are activated.</w:t>
      </w:r>
    </w:p>
    <w:p>
      <w:r>
        <w:t>Why This Matters:</w:t>
      </w:r>
    </w:p>
    <w:p>
      <w:r>
        <w:t>LCR ensures sufficient liquidity for redemptions</w:t>
      </w:r>
    </w:p>
    <w:p>
      <w:r>
        <w:t>LCR protects against liquidity crises</w:t>
      </w:r>
    </w:p>
    <w:p>
      <w:r>
        <w:t>LCR maintains redemption certainty</w:t>
      </w:r>
    </w:p>
    <w:p>
      <w:r>
        <w:t>LCR is an industry standard</w:t>
      </w:r>
    </w:p>
    <w:p>
      <w:r>
        <w:t>Redemption Buffer</w:t>
      </w:r>
    </w:p>
    <w:p>
      <w:r>
        <w:t>What This Means in Practice:</w:t>
      </w:r>
    </w:p>
    <w:p>
      <w:r>
        <w:t>A redemption buffer is maintained</w:t>
      </w:r>
    </w:p>
    <w:p>
      <w:r>
        <w:t>The buffer is in liquid assets</w:t>
      </w:r>
    </w:p>
    <w:p>
      <w:r>
        <w:t>The buffer is available for immediate redemption</w:t>
      </w:r>
    </w:p>
    <w:p>
      <w:r>
        <w:t>The buffer is reviewed daily</w:t>
      </w:r>
    </w:p>
    <w:p>
      <w:r>
        <w:t>Example:</w:t>
      </w:r>
    </w:p>
    <w:p>
      <w:r>
        <w:t>The Institution maintains 5% of reserves in highly liquid assets specifically for redemption. This buffer can cover 7 days of average redemption volume. It is held in Tier 1 assets and is available immediately.</w:t>
      </w:r>
    </w:p>
    <w:p>
      <w:r>
        <w:t>Why This Matters:</w:t>
      </w:r>
    </w:p>
    <w:p>
      <w:r>
        <w:t>The redemption buffer ensures immediate redemption capacity</w:t>
      </w:r>
    </w:p>
    <w:p>
      <w:r>
        <w:t>The redemption buffer provides confidence to holders</w:t>
      </w:r>
    </w:p>
    <w:p>
      <w:r>
        <w:t>The redemption buffer protects against spikes in redemption demand</w:t>
      </w:r>
    </w:p>
    <w:p>
      <w:r>
        <w:t>The redemption buffer is the first line of defense against liquidity pressure</w:t>
      </w:r>
    </w:p>
    <w:p>
      <w:r>
        <w:t>Liquidity Stress Testing</w:t>
      </w:r>
    </w:p>
    <w:p>
      <w:r>
        <w:t>Policy requires quarterly liquidity stress testing:</w:t>
      </w:r>
    </w:p>
    <w:p>
      <w:r>
        <w:t>What This Means in Practice:</w:t>
      </w:r>
    </w:p>
    <w:p>
      <w:r>
        <w:t>Liquidity is stress-tested quarterly</w:t>
      </w:r>
    </w:p>
    <w:p>
      <w:r>
        <w:t>Multiple scenarios are evaluated</w:t>
      </w:r>
    </w:p>
    <w:p>
      <w:r>
        <w:t>Results are reported</w:t>
      </w:r>
    </w:p>
    <w:p>
      <w:r>
        <w:t>Actions are taken based on results</w:t>
      </w:r>
    </w:p>
    <w:p>
      <w:r>
        <w:t>Example:</w:t>
      </w:r>
    </w:p>
    <w:p>
      <w:r>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r>
        <w:t>Why This Matters:</w:t>
      </w:r>
    </w:p>
    <w:p>
      <w:r>
        <w:t>Stress testing identifies vulnerabilities</w:t>
      </w:r>
    </w:p>
    <w:p>
      <w:r>
        <w:t>Stress testing enables preparation</w:t>
      </w:r>
    </w:p>
    <w:p>
      <w:r>
        <w:t>Stress testing maintains resilience</w:t>
      </w:r>
    </w:p>
    <w:p>
      <w:r>
        <w:t>Stress testing is an industry standard</w:t>
      </w:r>
    </w:p>
    <w:p>
      <w:r>
        <w:t>Currency Concentration Policy</w:t>
      </w:r>
    </w:p>
    <w:p>
      <w:r>
        <w:t>Single Currency Limit</w:t>
      </w:r>
    </w:p>
    <w:p>
      <w:r>
        <w:t>What This Means in Practice:</w:t>
      </w:r>
    </w:p>
    <w:p>
      <w:r>
        <w:t>No single currency dominates reserves</w:t>
      </w:r>
    </w:p>
    <w:p>
      <w:r>
        <w:t>No single currency dominates the basket</w:t>
      </w:r>
    </w:p>
    <w:p>
      <w:r>
        <w:t>Sufficient currency diversity is maintained</w:t>
      </w:r>
    </w:p>
    <w:p>
      <w:r>
        <w:t>Concentration is monitored quarterly</w:t>
      </w:r>
    </w:p>
    <w:p>
      <w:r>
        <w:t>Example:</w:t>
      </w:r>
    </w:p>
    <w:p>
      <w:r>
        <w:t>Policy establishes that no single currency can exceed 50% of reserves. This prevents over-concentration in any single currency. If a currency approaches the limit, the Institution diversifies into other eligible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Jurisdiction Concentration Limit</w:t>
      </w:r>
    </w:p>
    <w:p>
      <w:r>
        <w:t>What This Means in Practice:</w:t>
      </w:r>
    </w:p>
    <w:p>
      <w:r>
        <w:t>No single jurisdiction dominates reserves</w:t>
      </w:r>
    </w:p>
    <w:p>
      <w:r>
        <w:t>Sufficient jurisdiction diversity is maintained</w:t>
      </w:r>
    </w:p>
    <w:p>
      <w:r>
        <w:t>Jurisdiction concentration is monitored quarterly</w:t>
      </w:r>
    </w:p>
    <w:p>
      <w:r>
        <w:t>Jurisdiction limits protect against sovereign risk</w:t>
      </w:r>
    </w:p>
    <w:p>
      <w:r>
        <w:t>Example:</w:t>
      </w:r>
    </w:p>
    <w:p>
      <w:r>
        <w:t>Policy establishes that no single jurisdiction can exceed 40% of reserves. This prevents over-concentration in any single jurisdiction. If a jurisdiction approaches the limit, the Institution diversifies into other eligible jurisdictions.</w:t>
      </w:r>
    </w:p>
    <w:p>
      <w:r>
        <w:t>Why This Matters:</w:t>
      </w:r>
    </w:p>
    <w:p>
      <w:r>
        <w:t>Jurisdiction concentration creates sovereign risk</w:t>
      </w:r>
    </w:p>
    <w:p>
      <w:r>
        <w:t>Jurisdiction concentration reduces diversification</w:t>
      </w:r>
    </w:p>
    <w:p>
      <w:r>
        <w:t>Jurisdiction concentration undermines resilience</w:t>
      </w:r>
    </w:p>
    <w:p>
      <w:r>
        <w:t>Jurisdiction limits protect against regulatory freeze risk</w:t>
      </w:r>
    </w:p>
    <w:p>
      <w:r>
        <w:t>Review and Adjustment</w:t>
      </w:r>
    </w:p>
    <w:p>
      <w:r>
        <w:t>Review Process</w:t>
      </w:r>
    </w:p>
    <w:p>
      <w:r>
        <w:t>Step 1: Data Collection</w:t>
      </w:r>
    </w:p>
    <w:p>
      <w:r>
        <w:t>Reserve composition data is collected</w:t>
      </w:r>
    </w:p>
    <w:p>
      <w:r>
        <w:t>Market conditions are assessed</w:t>
      </w:r>
    </w:p>
    <w:p>
      <w:r>
        <w:t>Risk metrics are reviewed</w:t>
      </w:r>
    </w:p>
    <w:p>
      <w:r>
        <w:t>Step 2: Analysis</w:t>
      </w:r>
    </w:p>
    <w:p>
      <w:r>
        <w:t>Allocation effectiveness is evaluated</w:t>
      </w:r>
    </w:p>
    <w:p>
      <w:r>
        <w:t>Rebalancing needs are identified</w:t>
      </w:r>
    </w:p>
    <w:p>
      <w:r>
        <w:t>Recommendations are developed</w:t>
      </w:r>
    </w:p>
    <w:p>
      <w:r>
        <w:t>Step 3: Review</w:t>
      </w:r>
    </w:p>
    <w:p>
      <w:r>
        <w:t>The Council reviews the analysis</w:t>
      </w:r>
    </w:p>
    <w:p>
      <w:r>
        <w:t>The Council considers recommendations</w:t>
      </w:r>
    </w:p>
    <w:p>
      <w:r>
        <w:t>The Council makes decisions</w:t>
      </w:r>
    </w:p>
    <w:p>
      <w:r>
        <w:t>Step 4: Approval</w:t>
      </w:r>
    </w:p>
    <w:p>
      <w:r>
        <w:t>Changes are approved</w:t>
      </w:r>
    </w:p>
    <w:p>
      <w:r>
        <w:t>Timeline is established</w:t>
      </w:r>
    </w:p>
    <w:p>
      <w:r>
        <w:t>Implementation is planned</w:t>
      </w:r>
    </w:p>
    <w:p>
      <w:r>
        <w:t>Step 5: Implementation</w:t>
      </w:r>
    </w:p>
    <w:p>
      <w:r>
        <w:t>Changes are implemented</w:t>
      </w:r>
    </w:p>
    <w:p>
      <w:r>
        <w:t>Rebalancing is executed</w:t>
      </w:r>
    </w:p>
    <w:p>
      <w:r>
        <w:t>Verification is completed</w:t>
      </w:r>
    </w:p>
    <w:p>
      <w:r>
        <w:t>Step 6: Reporting</w:t>
      </w:r>
    </w:p>
    <w:p>
      <w:r>
        <w:t>Changes are reported</w:t>
      </w:r>
    </w:p>
    <w:p>
      <w:r>
        <w:t>Rationale is explained</w:t>
      </w:r>
    </w:p>
    <w:p>
      <w:r>
        <w:t>Results are published</w:t>
      </w:r>
    </w:p>
    <w:p>
      <w:r>
        <w:t>Review Schedule</w:t>
      </w:r>
    </w:p>
    <w:p>
      <w:r>
        <w:t>Summary Table</w:t>
      </w:r>
    </w:p>
    <w:p>
      <w:r>
        <w:t>Constitutional Interpretation</w:t>
      </w:r>
    </w:p>
    <w:p>
      <w:r>
        <w:t>The Dynamic Reserve Ranges policy establishes the operational parameters for reserve allocation:</w:t>
      </w:r>
    </w:p>
    <w:p>
      <w:r>
        <w:t>Tier 1 (central-bank-quality cash): Target 40%, Range 35-45%</w:t>
      </w:r>
    </w:p>
    <w:p>
      <w:r>
        <w:t>Tier 2 (short-duration sovereign securities): Target 35%, Range 30-40%</w:t>
      </w:r>
    </w:p>
    <w:p>
      <w:r>
        <w:t>Tier 3 (allocated physical bullion): Target 20%, Range 15-25%</w:t>
      </w:r>
    </w:p>
    <w:p>
      <w:r>
        <w:t>Tier 4 (operational liquidity): Target 5%, Range 2-8%</w:t>
      </w:r>
    </w:p>
    <w:p>
      <w:r>
        <w:t>These ranges operate within constitutional minimums and maximums. They are reviewed quarterly and adjusted as conditions change. They provide the operational framework for constitutional reserve principles.</w:t>
      </w:r>
    </w:p>
    <w:p>
      <w:r>
        <w:t>[END OF PART 3, ARTICLE I — DYNAMIC RESERVE RANGES]</w:t>
      </w:r>
    </w:p>
    <w:p>
      <w:r>
        <w:t>Article II: Committee Mandates</w:t>
      </w:r>
    </w:p>
    <w:p>
      <w:r>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r>
        <w:t>What This Means in Practice:</w:t>
      </w:r>
    </w:p>
    <w:p>
      <w:r>
        <w:t>The Constitution establishes that governance bodies exist</w:t>
      </w:r>
    </w:p>
    <w:p>
      <w:r>
        <w:t>Policy establishes what each body does</w:t>
      </w:r>
    </w:p>
    <w:p>
      <w:r>
        <w:t>Policy establishes how each body makes decisions</w:t>
      </w:r>
    </w:p>
    <w:p>
      <w:r>
        <w:t>Policy establishes how each body is accountable</w:t>
      </w:r>
    </w:p>
    <w:p>
      <w:r>
        <w:t>Policy enables effective governance while preserving constitutional principles</w:t>
      </w:r>
    </w:p>
    <w:p>
      <w:r>
        <w:t>Example:</w:t>
      </w:r>
    </w:p>
    <w:p>
      <w:r>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r>
        <w:t>Why This Matters:</w:t>
      </w:r>
    </w:p>
    <w:p>
      <w:r>
        <w:t>Without defined mandates, governance bodies lack direction</w:t>
      </w:r>
    </w:p>
    <w:p>
      <w:r>
        <w:t>Without defined mandates, governance bodies may exceed their authority</w:t>
      </w:r>
    </w:p>
    <w:p>
      <w:r>
        <w:t>Without defined mandates, governance bodies may fail to fulfill their responsibilities</w:t>
      </w:r>
    </w:p>
    <w:p>
      <w:r>
        <w:t>Without defined mandates, accountability is impossible</w:t>
      </w:r>
    </w:p>
    <w:p>
      <w:r>
        <w:t>Clear mandates enable effective, accountable governance</w:t>
      </w:r>
    </w:p>
    <w:p>
      <w:r>
        <w:t>Core Principles of Committee Mandates</w:t>
      </w:r>
    </w:p>
    <w:p>
      <w:pPr>
        <w:pStyle w:val="ListNumber"/>
        <w:ind w:left="425"/>
      </w:pPr>
      <w:r>
        <w:t>Separation of Powers</w:t>
      </w:r>
    </w:p>
    <w:p>
      <w:r>
        <w:t>Different committees have different powers and responsibilities.</w:t>
      </w:r>
    </w:p>
    <w:p>
      <w:r>
        <w:t>What This Means in Practice:</w:t>
      </w:r>
    </w:p>
    <w:p>
      <w:r>
        <w:t>The Council sets policy</w:t>
      </w:r>
    </w:p>
    <w:p>
      <w:r>
        <w:t>The Risk Committee oversees risk</w:t>
      </w:r>
    </w:p>
    <w:p>
      <w:r>
        <w:t>The Technical Committee oversees technical operations</w:t>
      </w:r>
    </w:p>
    <w:p>
      <w:r>
        <w:t>The Audit Committee oversees audit</w:t>
      </w:r>
    </w:p>
    <w:p>
      <w:r>
        <w:t>The Sharia Committee oversees Sharia compliance</w:t>
      </w:r>
    </w:p>
    <w:p>
      <w:r>
        <w:t>Example:</w:t>
      </w:r>
    </w:p>
    <w:p>
      <w:r>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r>
        <w:t>Why This Matters:</w:t>
      </w:r>
    </w:p>
    <w:p>
      <w:r>
        <w:t>Separation of powers prevents concentration of authority</w:t>
      </w:r>
    </w:p>
    <w:p>
      <w:r>
        <w:t>Separation of powers enables checks and balances</w:t>
      </w:r>
    </w:p>
    <w:p>
      <w:r>
        <w:t>Separation of powers ensures specialized expertise</w:t>
      </w:r>
    </w:p>
    <w:p>
      <w:r>
        <w:t>Separation of powers protects institutional integrity</w:t>
      </w:r>
    </w:p>
    <w:p>
      <w:pPr>
        <w:pStyle w:val="ListNumber"/>
        <w:ind w:left="425"/>
      </w:pPr>
      <w:r>
        <w:t>Checks and Balances</w:t>
      </w:r>
    </w:p>
    <w:p>
      <w:r>
        <w:t>Committees check and balance each other.</w:t>
      </w:r>
    </w:p>
    <w:p>
      <w:r>
        <w:t>What This Means in Practice:</w:t>
      </w:r>
    </w:p>
    <w:p>
      <w:r>
        <w:t>The Council oversees all committees</w:t>
      </w:r>
    </w:p>
    <w:p>
      <w:r>
        <w:t>Committees report to the Council</w:t>
      </w:r>
    </w:p>
    <w:p>
      <w:r>
        <w:t>Committees are independently accountable</w:t>
      </w:r>
    </w:p>
    <w:p>
      <w:r>
        <w:t>No single body has unchecked power</w:t>
      </w:r>
    </w:p>
    <w:p>
      <w:r>
        <w:t>Example:</w:t>
      </w:r>
    </w:p>
    <w:p>
      <w:r>
        <w:t>The Technical Committee proposes a technical change. The Council reviews the proposal and must approve it. The Audit Committee reviews the implementation. The Risk Committee assesses the risks. Multiple bodies check the change.</w:t>
      </w:r>
    </w:p>
    <w:p>
      <w:r>
        <w:t>Why This Matters:</w:t>
      </w:r>
    </w:p>
    <w:p>
      <w:r>
        <w:t>Checks and balances prevent abuse of power</w:t>
      </w:r>
    </w:p>
    <w:p>
      <w:r>
        <w:t>Checks and balances ensure oversight</w:t>
      </w:r>
    </w:p>
    <w:p>
      <w:r>
        <w:t>Checks and balances maintain accountability</w:t>
      </w:r>
    </w:p>
    <w:p>
      <w:r>
        <w:t>Checks and balances protect constitutional principles</w:t>
      </w:r>
    </w:p>
    <w:p>
      <w:pPr>
        <w:pStyle w:val="ListNumber"/>
        <w:ind w:left="425"/>
      </w:pPr>
      <w:r>
        <w:t>Clear Accountability</w:t>
      </w:r>
    </w:p>
    <w:p>
      <w:r>
        <w:t>Each committee is accountable for its responsibilities.</w:t>
      </w:r>
    </w:p>
    <w:p>
      <w:r>
        <w:t>What This Means in Practice:</w:t>
      </w:r>
    </w:p>
    <w:p>
      <w:r>
        <w:t>Committees report regularly</w:t>
      </w:r>
    </w:p>
    <w:p>
      <w:r>
        <w:t>Committees are subject to review</w:t>
      </w:r>
    </w:p>
    <w:p>
      <w:r>
        <w:t>Committees are accountable to the Council</w:t>
      </w:r>
    </w:p>
    <w:p>
      <w:r>
        <w:t>Committees are accountable to the public</w:t>
      </w:r>
    </w:p>
    <w:p>
      <w:r>
        <w:t>Example:</w:t>
      </w:r>
    </w:p>
    <w:p>
      <w:r>
        <w:t>The Technical Committee reports to the Council quarterly. The Council reviews the report. The report is published publicly. The Committee is accountable for its performance.</w:t>
      </w:r>
    </w:p>
    <w:p>
      <w:r>
        <w:t>Why This Matters:</w:t>
      </w:r>
    </w:p>
    <w:p>
      <w:r>
        <w:t>Accountability ensures responsibility</w:t>
      </w:r>
    </w:p>
    <w:p>
      <w:r>
        <w:t>Accountability enables evaluation</w:t>
      </w:r>
    </w:p>
    <w:p>
      <w:r>
        <w:t>Accountability builds trust</w:t>
      </w:r>
    </w:p>
    <w:p>
      <w:r>
        <w:t>Accountability maintains institutional integrity</w:t>
      </w:r>
    </w:p>
    <w:p>
      <w:pPr>
        <w:pStyle w:val="ListNumber"/>
        <w:ind w:left="425"/>
      </w:pPr>
      <w:r>
        <w:t>Independence</w:t>
      </w:r>
    </w:p>
    <w:p>
      <w:r>
        <w:t>Committees operate independently within their mandates.</w:t>
      </w:r>
    </w:p>
    <w:p>
      <w:r>
        <w:t>What This Means in Practice:</w:t>
      </w:r>
    </w:p>
    <w:p>
      <w:r>
        <w:t>Committees make independent decisions</w:t>
      </w:r>
    </w:p>
    <w:p>
      <w:r>
        <w:t>Committees are not subject to improper influence</w:t>
      </w:r>
    </w:p>
    <w:p>
      <w:r>
        <w:t>Committees have independent expertise</w:t>
      </w:r>
    </w:p>
    <w:p>
      <w:r>
        <w:t>Committees are independent of commercial interests</w:t>
      </w:r>
    </w:p>
    <w:p>
      <w:r>
        <w:t>Example:</w:t>
      </w:r>
    </w:p>
    <w:p>
      <w:r>
        <w:t>The Sharia Committee makes independent rulings on Sharia compliance. No commercial interest can influence these rulings. The Committee's independence is protected by the Constitution and Policy.</w:t>
      </w:r>
    </w:p>
    <w:p>
      <w:r>
        <w:t>Why This Matters:</w:t>
      </w:r>
    </w:p>
    <w:p>
      <w:r>
        <w:t>Independence ensures objectivity</w:t>
      </w:r>
    </w:p>
    <w:p>
      <w:r>
        <w:t>Independence prevents capture</w:t>
      </w:r>
    </w:p>
    <w:p>
      <w:r>
        <w:t>Independence maintains integrity</w:t>
      </w:r>
    </w:p>
    <w:p>
      <w:r>
        <w:t>Independence builds trust</w:t>
      </w:r>
    </w:p>
    <w:p>
      <w:pPr>
        <w:pStyle w:val="ListNumber"/>
        <w:ind w:left="425"/>
      </w:pPr>
      <w:r>
        <w:t>Transparency</w:t>
      </w:r>
    </w:p>
    <w:p>
      <w:r>
        <w:t>Committee operations are transparent.</w:t>
      </w:r>
    </w:p>
    <w:p>
      <w:r>
        <w:t>What This Means in Practice:</w:t>
      </w:r>
    </w:p>
    <w:p>
      <w:r>
        <w:t>Committee decisions are published</w:t>
      </w:r>
    </w:p>
    <w:p>
      <w:r>
        <w:t>Committee meetings are documented</w:t>
      </w:r>
    </w:p>
    <w:p>
      <w:r>
        <w:t>Committee reports are publicly available</w:t>
      </w:r>
    </w:p>
    <w:p>
      <w:r>
        <w:t>Committee operations are auditable</w:t>
      </w:r>
    </w:p>
    <w:p>
      <w:r>
        <w:t>Example:</w:t>
      </w:r>
    </w:p>
    <w:p>
      <w:r>
        <w:t>The Council publishes its meeting minutes. The Risk Committee publishes its risk assessments. The Technical Committee publishes its technical reports. All committee operations are transparent.</w:t>
      </w:r>
    </w:p>
    <w:p>
      <w:r>
        <w:t>Why This Matters:</w:t>
      </w:r>
    </w:p>
    <w:p>
      <w:r>
        <w:t>Transparency builds trust</w:t>
      </w:r>
    </w:p>
    <w:p>
      <w:r>
        <w:t>Transparency enables verification</w:t>
      </w:r>
    </w:p>
    <w:p>
      <w:r>
        <w:t>Transparency ensures accountability</w:t>
      </w:r>
    </w:p>
    <w:p>
      <w:r>
        <w:t>Transparency prevents arbitrariness</w:t>
      </w:r>
    </w:p>
    <w:p>
      <w:r>
        <w:t>The Monetary Council Mandate</w:t>
      </w:r>
    </w:p>
    <w:p>
      <w:r>
        <w:t>Composition</w:t>
      </w:r>
    </w:p>
    <w:p>
      <w:r>
        <w:t>What This Means in Practice:</w:t>
      </w:r>
    </w:p>
    <w:p>
      <w:r>
        <w:t>The Council is the primary decision-making body</w:t>
      </w:r>
    </w:p>
    <w:p>
      <w:r>
        <w:t>The Council is composed of qualified professionals</w:t>
      </w:r>
    </w:p>
    <w:p>
      <w:r>
        <w:t>The Council is independent and accountable</w:t>
      </w:r>
    </w:p>
    <w:p>
      <w:r>
        <w:t>The Council meets regularly to conduct business</w:t>
      </w:r>
    </w:p>
    <w:p>
      <w:r>
        <w:t>Example:</w:t>
      </w:r>
    </w:p>
    <w:p>
      <w:r>
        <w:t>The Council comprises 11 members with diverse expertise: central banking, finance, law, technology, trade, and Islamic finance. Members serve 4-year staggered terms. The Chair is elected by the Council. The Council meets quarterly, with special meetings as needed.</w:t>
      </w:r>
    </w:p>
    <w:p>
      <w:r>
        <w:t>Why This Matters:</w:t>
      </w:r>
    </w:p>
    <w:p>
      <w:r>
        <w:t>Diverse expertise ensures comprehensive governance</w:t>
      </w:r>
    </w:p>
    <w:p>
      <w:r>
        <w:t>Staggered terms ensure continuity</w:t>
      </w:r>
    </w:p>
    <w:p>
      <w:r>
        <w:t>Independent membership prevents capture</w:t>
      </w:r>
    </w:p>
    <w:p>
      <w:r>
        <w:t>Regular meetings ensure effective oversight</w:t>
      </w:r>
    </w:p>
    <w:p>
      <w:r>
        <w:t>Decision-Making Authority</w:t>
      </w:r>
    </w:p>
    <w:p>
      <w:r>
        <w:t>What This Means in Practice:</w:t>
      </w:r>
    </w:p>
    <w:p>
      <w:r>
        <w:t>Most decisions require a simple majority</w:t>
      </w:r>
    </w:p>
    <w:p>
      <w:r>
        <w:t>Significant decisions require supermajority</w:t>
      </w:r>
    </w:p>
    <w:p>
      <w:r>
        <w:t>Quorum ensures sufficient participation</w:t>
      </w:r>
    </w:p>
    <w:p>
      <w:r>
        <w:t>Timelocks prevent rushed decisions</w:t>
      </w:r>
    </w:p>
    <w:p>
      <w:r>
        <w:t>Example:</w:t>
      </w:r>
    </w:p>
    <w:p>
      <w:r>
        <w:t>The Council votes on a budget change. Simple majority is required. At least 50%+1 of members must be present. The decision is subject to a 30-day timelock before implementation. This ensures deliberation and transparency.</w:t>
      </w:r>
    </w:p>
    <w:p>
      <w:r>
        <w:t>Why This Matters:</w:t>
      </w:r>
    </w:p>
    <w:p>
      <w:r>
        <w:t>Defined thresholds prevent arbitrary decisions</w:t>
      </w:r>
    </w:p>
    <w:p>
      <w:r>
        <w:t>Quorum ensures legitimate decision-making</w:t>
      </w:r>
    </w:p>
    <w:p>
      <w:r>
        <w:t>Timelocks prevent rushed decisions</w:t>
      </w:r>
    </w:p>
    <w:p>
      <w:r>
        <w:t>Supermajority protects significant decisions</w:t>
      </w:r>
    </w:p>
    <w:p>
      <w:r>
        <w:t>Key Responsibilities</w:t>
      </w:r>
    </w:p>
    <w:p>
      <w:r>
        <w:t>Reporting Requirements</w:t>
      </w:r>
    </w:p>
    <w:p>
      <w:r>
        <w:t>The Risk Committee Mandate</w:t>
      </w:r>
    </w:p>
    <w:p>
      <w:r>
        <w:t>Composition</w:t>
      </w:r>
    </w:p>
    <w:p>
      <w:r>
        <w:t>What This Means in Practice:</w:t>
      </w:r>
    </w:p>
    <w:p>
      <w:r>
        <w:t>The Risk Committee provides independent risk oversight</w:t>
      </w:r>
    </w:p>
    <w:p>
      <w:r>
        <w:t>The Committee is composed of risk management professionals</w:t>
      </w:r>
    </w:p>
    <w:p>
      <w:r>
        <w:t>The Committee is independent of operational management</w:t>
      </w:r>
    </w:p>
    <w:p>
      <w:r>
        <w:t>The Committee meets regularly to assess risks</w:t>
      </w:r>
    </w:p>
    <w:p>
      <w:r>
        <w:t>Example:</w:t>
      </w:r>
    </w:p>
    <w:p>
      <w:r>
        <w:t>The Risk Committee comprises 5 members with expertise in financial risk, operational risk, and cybersecurity. Members serve 3-year staggered terms. The Chair is elected by the Committee. The Committee meets monthly, with special meetings as needed.</w:t>
      </w:r>
    </w:p>
    <w:p>
      <w:r>
        <w:t>Why This Matters:</w:t>
      </w:r>
    </w:p>
    <w:p>
      <w:r>
        <w:t>Risk expertise ensures proper risk assessment</w:t>
      </w:r>
    </w:p>
    <w:p>
      <w:r>
        <w:t>Independence ensures objective risk oversight</w:t>
      </w:r>
    </w:p>
    <w:p>
      <w:r>
        <w:t>Regular meetings ensure continuous risk monitoring</w:t>
      </w:r>
    </w:p>
    <w:p>
      <w:r>
        <w:t>Professional qualifications ensure proper judgment</w:t>
      </w:r>
    </w:p>
    <w:p>
      <w:r>
        <w:t>Decision-Making Authority</w:t>
      </w:r>
    </w:p>
    <w:p>
      <w:r>
        <w:t>What This Means in Practice:</w:t>
      </w:r>
    </w:p>
    <w:p>
      <w:r>
        <w:t>Risk decisions require consensus or supermajority</w:t>
      </w:r>
    </w:p>
    <w:p>
      <w:r>
        <w:t>Quorum ensures sufficient participation</w:t>
      </w:r>
    </w:p>
    <w:p>
      <w:r>
        <w:t>Emergency escalation requires strong consensus</w:t>
      </w:r>
    </w:p>
    <w:p>
      <w:r>
        <w:t>Risk decisions are independent of operational pressure</w:t>
      </w:r>
    </w:p>
    <w:p>
      <w:r>
        <w:t>Example:</w:t>
      </w:r>
    </w:p>
    <w:p>
      <w:r>
        <w:t>The Risk Committee identifies a new risk. The Committee assesses the risk and recommends mitigation. The recommendation is made by consensus. If consensus cannot be reached, the matter is escalated to the Council.</w:t>
      </w:r>
    </w:p>
    <w:p>
      <w:r>
        <w:t>Why This Matters:</w:t>
      </w:r>
    </w:p>
    <w:p>
      <w:r>
        <w:t>Consensus ensures thorough deliberation</w:t>
      </w:r>
    </w:p>
    <w:p>
      <w:r>
        <w:t>Independence ensures objective assessment</w:t>
      </w:r>
    </w:p>
    <w:p>
      <w:r>
        <w:t>Supermajority protects against hasty decisions</w:t>
      </w:r>
    </w:p>
    <w:p>
      <w:r>
        <w:t>Escalation ensures significant risks are addressed</w:t>
      </w:r>
    </w:p>
    <w:p>
      <w:r>
        <w:t>Key Responsibilities</w:t>
      </w:r>
    </w:p>
    <w:p>
      <w:r>
        <w:t>Risk Categories</w:t>
      </w:r>
    </w:p>
    <w:p>
      <w:r>
        <w:t>Reporting Requirements</w:t>
      </w:r>
    </w:p>
    <w:p>
      <w:r>
        <w:t>The Technical Committee Mandate</w:t>
      </w:r>
    </w:p>
    <w:p>
      <w:r>
        <w:t>Composition</w:t>
      </w:r>
    </w:p>
    <w:p>
      <w:r>
        <w:t>What This Means in Practice:</w:t>
      </w:r>
    </w:p>
    <w:p>
      <w:r>
        <w:t>The Technical Committee provides technical oversight</w:t>
      </w:r>
    </w:p>
    <w:p>
      <w:r>
        <w:t>The Committee is composed of technical experts</w:t>
      </w:r>
    </w:p>
    <w:p>
      <w:r>
        <w:t>The Committee is independent of technology vendors</w:t>
      </w:r>
    </w:p>
    <w:p>
      <w:r>
        <w:t>The Committee meets regularly to assess technical operations</w:t>
      </w:r>
    </w:p>
    <w:p>
      <w:r>
        <w:t>Example:</w:t>
      </w:r>
    </w:p>
    <w:p>
      <w:r>
        <w:t>The Technical Committee comprises 5 members with expertise in cryptography, distributed systems, security, and blockchain technology. Members serve 3-year staggered terms. The Chair is elected by the Committee. The Committee meets monthly.</w:t>
      </w:r>
    </w:p>
    <w:p>
      <w:r>
        <w:t>Why This Matters:</w:t>
      </w:r>
    </w:p>
    <w:p>
      <w:r>
        <w:t>Technical expertise ensures proper technical oversight</w:t>
      </w:r>
    </w:p>
    <w:p>
      <w:r>
        <w:t>Independence from vendors prevents capture</w:t>
      </w:r>
    </w:p>
    <w:p>
      <w:r>
        <w:t>Regular meetings ensure continuous technical monitoring</w:t>
      </w:r>
    </w:p>
    <w:p>
      <w:r>
        <w:t>Professional qualifications ensure proper judgment</w:t>
      </w:r>
    </w:p>
    <w:p>
      <w:r>
        <w:t>Decision-Making Authority</w:t>
      </w:r>
    </w:p>
    <w:p>
      <w:r>
        <w:t>What This Means in Practice:</w:t>
      </w:r>
    </w:p>
    <w:p>
      <w:r>
        <w:t>Technical decisions require consensus or supermajority</w:t>
      </w:r>
    </w:p>
    <w:p>
      <w:r>
        <w:t>Quorum ensures sufficient participation</w:t>
      </w:r>
    </w:p>
    <w:p>
      <w:r>
        <w:t>Security actions require strong consensus</w:t>
      </w:r>
    </w:p>
    <w:p>
      <w:r>
        <w:t>Emergency actions require very strong consensus</w:t>
      </w:r>
    </w:p>
    <w:p>
      <w:r>
        <w:t>Example:</w:t>
      </w:r>
    </w:p>
    <w:p>
      <w:r>
        <w:t>The Technical Committee recommends a technical upgrade. The recommendation is made by consensus. The Council reviews and approves the recommendation. The upgrade is implemented.</w:t>
      </w:r>
    </w:p>
    <w:p>
      <w:r>
        <w:t>Why This Matters:</w:t>
      </w:r>
    </w:p>
    <w:p>
      <w:r>
        <w:t>Consensus ensures thorough deliberation</w:t>
      </w:r>
    </w:p>
    <w:p>
      <w:r>
        <w:t>Supermajority protects against hasty technical changes</w:t>
      </w:r>
    </w:p>
    <w:p>
      <w:r>
        <w:t>Security actions require strong justification</w:t>
      </w:r>
    </w:p>
    <w:p>
      <w:r>
        <w:t>Emergency actions require maximum caution</w:t>
      </w:r>
    </w:p>
    <w:p>
      <w:r>
        <w:t>Key Responsibilities</w:t>
      </w:r>
    </w:p>
    <w:p>
      <w:r>
        <w:t>Technical Domains</w:t>
      </w:r>
    </w:p>
    <w:p>
      <w:r>
        <w:t>Reporting Requirements</w:t>
      </w:r>
    </w:p>
    <w:p>
      <w:r>
        <w:t>The Audit Committee Mandate</w:t>
      </w:r>
    </w:p>
    <w:p>
      <w:r>
        <w:t>Composition</w:t>
      </w:r>
    </w:p>
    <w:p>
      <w:r>
        <w:t>What This Means in Practice:</w:t>
      </w:r>
    </w:p>
    <w:p>
      <w:r>
        <w:t>The Audit Committee provides independent audit oversight</w:t>
      </w:r>
    </w:p>
    <w:p>
      <w:r>
        <w:t>The Committee is composed of audit professionals</w:t>
      </w:r>
    </w:p>
    <w:p>
      <w:r>
        <w:t>The Committee is independent of management</w:t>
      </w:r>
    </w:p>
    <w:p>
      <w:r>
        <w:t>The Committee meets quarterly to review audit findings</w:t>
      </w:r>
    </w:p>
    <w:p>
      <w:r>
        <w:t>Example:</w:t>
      </w:r>
    </w:p>
    <w:p>
      <w:r>
        <w:t>The Audit Committee comprises 5 members with expertise in accounting, auditing, and financial control. Members serve 3-year staggered terms. The Chair is elected by the Committee. The Committee meets quarterly.</w:t>
      </w:r>
    </w:p>
    <w:p>
      <w:r>
        <w:t>Why This Matters:</w:t>
      </w:r>
    </w:p>
    <w:p>
      <w:r>
        <w:t>Audit expertise ensures proper audit oversight</w:t>
      </w:r>
    </w:p>
    <w:p>
      <w:r>
        <w:t>Independence from management ensures objectivity</w:t>
      </w:r>
    </w:p>
    <w:p>
      <w:r>
        <w:t>Regular meetings ensure continuous audit oversight</w:t>
      </w:r>
    </w:p>
    <w:p>
      <w:r>
        <w:t>Professional qualifications ensure proper judgment</w:t>
      </w:r>
    </w:p>
    <w:p>
      <w:r>
        <w:t>Decision-Making Authority</w:t>
      </w:r>
    </w:p>
    <w:p>
      <w:r>
        <w:t>What This Means in Practice:</w:t>
      </w:r>
    </w:p>
    <w:p>
      <w:r>
        <w:t>Audit decisions require majority</w:t>
      </w:r>
    </w:p>
    <w:p>
      <w:r>
        <w:t>Quorum ensures sufficient participation</w:t>
      </w:r>
    </w:p>
    <w:p>
      <w:r>
        <w:t>Audit findings are escalated as needed</w:t>
      </w:r>
    </w:p>
    <w:p>
      <w:r>
        <w:t>Audit independence is protected</w:t>
      </w:r>
    </w:p>
    <w:p>
      <w:r>
        <w:t>Example:</w:t>
      </w:r>
    </w:p>
    <w:p>
      <w:r>
        <w:t>The Audit Committee appoints an independent auditor. The appointment is made by majority vote. The auditor conducts the audit and reports findings. The Committee reviews the findings and escalates material issues.</w:t>
      </w:r>
    </w:p>
    <w:p>
      <w:r>
        <w:t>Why This Matters:</w:t>
      </w:r>
    </w:p>
    <w:p>
      <w:r>
        <w:t>Audit independence ensures objective findings</w:t>
      </w:r>
    </w:p>
    <w:p>
      <w:r>
        <w:t>Majority decisions ensure balanced judgment</w:t>
      </w:r>
    </w:p>
    <w:p>
      <w:r>
        <w:t>Escalation ensures material issues are addressed</w:t>
      </w:r>
    </w:p>
    <w:p>
      <w:r>
        <w:t>Professional standards ensure proper audit quality</w:t>
      </w:r>
    </w:p>
    <w:p>
      <w:r>
        <w:t>Key Responsibilities</w:t>
      </w:r>
    </w:p>
    <w:p>
      <w:r>
        <w:t>Audit Areas</w:t>
      </w:r>
    </w:p>
    <w:p>
      <w:r>
        <w:t>Reporting Requirements</w:t>
      </w:r>
    </w:p>
    <w:p>
      <w:r>
        <w:t>The Sharia Committee Mandate</w:t>
      </w:r>
    </w:p>
    <w:p>
      <w:r>
        <w:t>Composition</w:t>
      </w:r>
    </w:p>
    <w:p>
      <w:r>
        <w:t>What This Means in Practice:</w:t>
      </w:r>
    </w:p>
    <w:p>
      <w:r>
        <w:t>The Sharia Committee provides independent Sharia oversight</w:t>
      </w:r>
    </w:p>
    <w:p>
      <w:r>
        <w:t>The Committee is composed of AAOIFI-certified scholars</w:t>
      </w:r>
    </w:p>
    <w:p>
      <w:r>
        <w:t>The Committee is self-governing and independent</w:t>
      </w:r>
    </w:p>
    <w:p>
      <w:r>
        <w:t>The Committee meets quarterly to review Sharia compliance</w:t>
      </w:r>
    </w:p>
    <w:p>
      <w:r>
        <w:t>Example:</w:t>
      </w:r>
    </w:p>
    <w:p>
      <w:r>
        <w:t>The Sharia Committee comprises 3 AAOIFI-certified scholars with expertise in Islamic finance, trade finance, and digital assets. Members serve 5-year staggered terms. The Chair is elected by the Committee. The Committee meets quarterly.</w:t>
      </w:r>
    </w:p>
    <w:p>
      <w:r>
        <w:t>Why This Matters:</w:t>
      </w:r>
    </w:p>
    <w:p>
      <w:r>
        <w:t>Sharia expertise ensures proper compliance</w:t>
      </w:r>
    </w:p>
    <w:p>
      <w:r>
        <w:t>Self-governance ensures independence</w:t>
      </w:r>
    </w:p>
    <w:p>
      <w:r>
        <w:t>Staggered terms ensure continuity</w:t>
      </w:r>
    </w:p>
    <w:p>
      <w:r>
        <w:t>Professional qualifications ensure proper judgment</w:t>
      </w:r>
    </w:p>
    <w:p>
      <w:r>
        <w:t>Decision-Making Authority</w:t>
      </w:r>
    </w:p>
    <w:p>
      <w:r>
        <w:t>What This Means in Practice:</w:t>
      </w:r>
    </w:p>
    <w:p>
      <w:r>
        <w:t>Sharia decisions require consensus</w:t>
      </w:r>
    </w:p>
    <w:p>
      <w:r>
        <w:t>All members must agree for binding rulings</w:t>
      </w:r>
    </w:p>
    <w:p>
      <w:r>
        <w:t>Veto power requires complete consensus</w:t>
      </w:r>
    </w:p>
    <w:p>
      <w:r>
        <w:t>No single member can be overruled</w:t>
      </w:r>
    </w:p>
    <w:p>
      <w:r>
        <w:t>Example:</w:t>
      </w:r>
    </w:p>
    <w:p>
      <w:r>
        <w:t>The Sharia Committee reviews a new investment instrument. All three members must agree on the ruling. If any member finds it non-compliant, the instrument is rejected. The ruling is binding and cannot be overruled.</w:t>
      </w:r>
    </w:p>
    <w:p>
      <w:r>
        <w:t>Why This Matters:</w:t>
      </w:r>
    </w:p>
    <w:p>
      <w:r>
        <w:t>Consensus ensures thorough deliberation</w:t>
      </w:r>
    </w:p>
    <w:p>
      <w:r>
        <w:t>Unanimity protects against divided rulings</w:t>
      </w:r>
    </w:p>
    <w:p>
      <w:r>
        <w:t>Veto power ensures compliance</w:t>
      </w:r>
    </w:p>
    <w:p>
      <w:r>
        <w:t>Independence prevents commercial pressure</w:t>
      </w:r>
    </w:p>
    <w:p>
      <w:r>
        <w:t>Key Responsibilities</w:t>
      </w:r>
    </w:p>
    <w:p>
      <w:r>
        <w:t>Review Areas</w:t>
      </w:r>
    </w:p>
    <w:p>
      <w:r>
        <w:t>Reporting Requirements</w:t>
      </w:r>
    </w:p>
    <w:p>
      <w:r>
        <w:t>Committee Interaction and Coordination</w:t>
      </w:r>
    </w:p>
    <w:p>
      <w:r>
        <w:t>Council Oversight</w:t>
      </w:r>
    </w:p>
    <w:p>
      <w:r>
        <w:t>All committees report to the Council.</w:t>
      </w:r>
    </w:p>
    <w:p>
      <w:r>
        <w:t>What This Means in Practice:</w:t>
      </w:r>
    </w:p>
    <w:p>
      <w:r>
        <w:t>Committees are accountable to the Council</w:t>
      </w:r>
    </w:p>
    <w:p>
      <w:r>
        <w:t>Committees provide regular reports</w:t>
      </w:r>
    </w:p>
    <w:p>
      <w:r>
        <w:t>The Council reviews committee performance</w:t>
      </w:r>
    </w:p>
    <w:p>
      <w:r>
        <w:t>The Council provides oversight</w:t>
      </w:r>
    </w:p>
    <w:p>
      <w:r>
        <w:t>Example:</w:t>
      </w:r>
    </w:p>
    <w:p>
      <w:r>
        <w:t>The Risk Committee reports to the Council quarterly. The Council reviews the report, asks questions, and provides guidance. The Council holds the Committee accountable for its performance.</w:t>
      </w:r>
    </w:p>
    <w:p>
      <w:r>
        <w:t>Why This Matters:</w:t>
      </w:r>
    </w:p>
    <w:p>
      <w:r>
        <w:t>Oversight ensures accountability</w:t>
      </w:r>
    </w:p>
    <w:p>
      <w:r>
        <w:t>Oversight enables coordination</w:t>
      </w:r>
    </w:p>
    <w:p>
      <w:r>
        <w:t>Oversight prevents fragmentation</w:t>
      </w:r>
    </w:p>
    <w:p>
      <w:r>
        <w:t>Oversight maintains institutional integrity</w:t>
      </w:r>
    </w:p>
    <w:p>
      <w:r>
        <w:t>Committee Coordination</w:t>
      </w:r>
    </w:p>
    <w:p>
      <w:r>
        <w:t>Committees coordinate with each other as needed.</w:t>
      </w:r>
    </w:p>
    <w:p>
      <w:r>
        <w:t>What This Means in Practice:</w:t>
      </w:r>
    </w:p>
    <w:p>
      <w:r>
        <w:t>Committees share information</w:t>
      </w:r>
    </w:p>
    <w:p>
      <w:r>
        <w:t>Committees coordinate on overlapping issues</w:t>
      </w:r>
    </w:p>
    <w:p>
      <w:r>
        <w:t>Committees avoid duplication</w:t>
      </w:r>
    </w:p>
    <w:p>
      <w:r>
        <w:t>Committees work together effectively</w:t>
      </w:r>
    </w:p>
    <w:p>
      <w:r>
        <w:t>Example:</w:t>
      </w:r>
    </w:p>
    <w:p>
      <w:r>
        <w:t>The Risk Committee identifies a risk that requires technical attention. The Committee coordinates with the Technical Committee. The Technical Committee addresses the risk. The Risk Committee monitors the resolution.</w:t>
      </w:r>
    </w:p>
    <w:p>
      <w:r>
        <w:t>Why This Matters:</w:t>
      </w:r>
    </w:p>
    <w:p>
      <w:r>
        <w:t>Coordination prevents gaps</w:t>
      </w:r>
    </w:p>
    <w:p>
      <w:r>
        <w:t>Coordination enables effective response</w:t>
      </w:r>
    </w:p>
    <w:p>
      <w:r>
        <w:t>Coordination prevents duplication</w:t>
      </w:r>
    </w:p>
    <w:p>
      <w:r>
        <w:t>Coordination ensures comprehensive governance</w:t>
      </w:r>
    </w:p>
    <w:p>
      <w:r>
        <w:t>Conflict Resolution</w:t>
      </w:r>
    </w:p>
    <w:p>
      <w:r>
        <w:t>Inter-committee conflicts are resolved by the Council.</w:t>
      </w:r>
    </w:p>
    <w:p>
      <w:r>
        <w:t>What This Means in Practice:</w:t>
      </w:r>
    </w:p>
    <w:p>
      <w:r>
        <w:t>The Council resolves disputes</w:t>
      </w:r>
    </w:p>
    <w:p>
      <w:r>
        <w:t>The Council provides final decision</w:t>
      </w:r>
    </w:p>
    <w:p>
      <w:r>
        <w:t>The Council ensures coordination</w:t>
      </w:r>
    </w:p>
    <w:p>
      <w:r>
        <w:t>The Council maintains institutional integrity</w:t>
      </w:r>
    </w:p>
    <w:p>
      <w:r>
        <w:t>Example:</w:t>
      </w:r>
    </w:p>
    <w:p>
      <w:r>
        <w:t>The Risk Committee and Technical Committee disagree on a technical risk assessment. The matter is escalated to the Council. The Council reviews the issue and makes a final decision.</w:t>
      </w:r>
    </w:p>
    <w:p>
      <w:r>
        <w:t>Why This Matters:</w:t>
      </w:r>
    </w:p>
    <w:p>
      <w:r>
        <w:t>Defined resolution prevents deadlock</w:t>
      </w:r>
    </w:p>
    <w:p>
      <w:r>
        <w:t>Council authority ensures resolution</w:t>
      </w:r>
    </w:p>
    <w:p>
      <w:r>
        <w:t>Coordination maintains institutional integrity</w:t>
      </w:r>
    </w:p>
    <w:p>
      <w:r>
        <w:t>Clear process prevents fragmentation</w:t>
      </w:r>
    </w:p>
    <w:p>
      <w:r>
        <w:t>Summary Table</w:t>
      </w:r>
    </w:p>
    <w:p>
      <w:r>
        <w:t>Constitutional Interpretation</w:t>
      </w:r>
    </w:p>
    <w:p>
      <w:r>
        <w:t>The Committee Mandates policy establishes the operational framework for governance:</w:t>
      </w:r>
    </w:p>
    <w:p>
      <w:r>
        <w:t>The Monetary Council is the primary decision-making body</w:t>
      </w:r>
    </w:p>
    <w:p>
      <w:r>
        <w:t>The Risk Committee provides independent risk oversight</w:t>
      </w:r>
    </w:p>
    <w:p>
      <w:r>
        <w:t>The Technical Committee provides independent technical oversight</w:t>
      </w:r>
    </w:p>
    <w:p>
      <w:r>
        <w:t>The Audit Committee provides independent audit oversight</w:t>
      </w:r>
    </w:p>
    <w:p>
      <w:r>
        <w:t>The Sharia Committee provides independent Sharia oversight</w:t>
      </w:r>
    </w:p>
    <w:p>
      <w: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r>
        <w:t>[END OF PART 3, ARTICLE II — COMMITTEE MANDATES]</w:t>
      </w:r>
    </w:p>
    <w:p>
      <w:r>
        <w:t>Article III: Fee Schedules</w:t>
      </w:r>
    </w:p>
    <w:p>
      <w:r>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r>
        <w:t>What This Means in Practice:</w:t>
      </w:r>
    </w:p>
    <w:p>
      <w:r>
        <w:t>The Constitution establishes that fees are permissible for operational sustainability</w:t>
      </w:r>
    </w:p>
    <w:p>
      <w:r>
        <w:t>Policy establishes the specific fee rates and structures</w:t>
      </w:r>
    </w:p>
    <w:p>
      <w:r>
        <w:t>Fees are reviewed annually and adjusted as needed</w:t>
      </w:r>
    </w:p>
    <w:p>
      <w:r>
        <w:t>Fees are transparent and publicly disclosed</w:t>
      </w:r>
    </w:p>
    <w:p>
      <w:r>
        <w:t>Fees are reasonable and proportional to services provided</w:t>
      </w:r>
    </w:p>
    <w:p>
      <w:r>
        <w:t>Example:</w:t>
      </w:r>
    </w:p>
    <w:p>
      <w:r>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r>
        <w:t>Why This Matters:</w:t>
      </w:r>
    </w:p>
    <w:p>
      <w:r>
        <w:t>Without specific fees, operations would be unfunded</w:t>
      </w:r>
    </w:p>
    <w:p>
      <w:r>
        <w:t>Without specific fees, fee decisions would be arbitrary</w:t>
      </w:r>
    </w:p>
    <w:p>
      <w:r>
        <w:t>Without specific fees, participants would lack predictability</w:t>
      </w:r>
    </w:p>
    <w:p>
      <w:r>
        <w:t>Clear fee schedules enable operational planning</w:t>
      </w:r>
    </w:p>
    <w:p>
      <w:r>
        <w:t>Fee transparency builds trust and prevents exploitation</w:t>
      </w:r>
    </w:p>
    <w:p>
      <w:r>
        <w:t>Core Principles of Fee Policy</w:t>
      </w:r>
    </w:p>
    <w:p>
      <w:pPr>
        <w:pStyle w:val="ListNumber"/>
        <w:ind w:left="425"/>
      </w:pPr>
      <w:r>
        <w:t>Sustainability</w:t>
      </w:r>
    </w:p>
    <w:p>
      <w:r>
        <w:t>Fees must be sufficient for sustainable operation.</w:t>
      </w:r>
    </w:p>
    <w:p>
      <w:r>
        <w:t>What This Means in Practice:</w:t>
      </w:r>
    </w:p>
    <w:p>
      <w:r>
        <w:t>Fees cover operational costs</w:t>
      </w:r>
    </w:p>
    <w:p>
      <w:r>
        <w:t>Fees fund necessary services</w:t>
      </w:r>
    </w:p>
    <w:p>
      <w:r>
        <w:t>Fees are not profit-generating</w:t>
      </w:r>
    </w:p>
    <w:p>
      <w:r>
        <w:t>Fees are reviewed to ensure sustainability</w:t>
      </w:r>
    </w:p>
    <w:p>
      <w:r>
        <w:t>Example:</w:t>
      </w:r>
    </w:p>
    <w:p>
      <w:r>
        <w:t>The Institution calculates its annual operating costs: staffing, technology, custody, insurance, audits, and legal. It sets fees at levels that cover these costs without generating profit. If costs increase, fees are adjusted accordingly. If costs decrease, fees are reduced.</w:t>
      </w:r>
    </w:p>
    <w:p>
      <w:r>
        <w:t>Why This Matters:</w:t>
      </w:r>
    </w:p>
    <w:p>
      <w:r>
        <w:t>Without sustainable fees, the Institution cannot operate</w:t>
      </w:r>
    </w:p>
    <w:p>
      <w:r>
        <w:t>Without sustainable fees, the Institution would rely on external funding</w:t>
      </w:r>
    </w:p>
    <w:p>
      <w:r>
        <w:t>Without sustainable fees, operational integrity would be compromised</w:t>
      </w:r>
    </w:p>
    <w:p>
      <w:r>
        <w:t>Sustainability ensures long-term viability</w:t>
      </w:r>
    </w:p>
    <w:p>
      <w:pPr>
        <w:pStyle w:val="ListNumber"/>
        <w:ind w:left="425"/>
      </w:pPr>
      <w:r>
        <w:t>Transparency</w:t>
      </w:r>
    </w:p>
    <w:p>
      <w:r>
        <w:t>Fees are transparent and publicly disclosed.</w:t>
      </w:r>
    </w:p>
    <w:p>
      <w:r>
        <w:t>What This Means in Practice:</w:t>
      </w:r>
    </w:p>
    <w:p>
      <w:r>
        <w:t>Fee schedules are published</w:t>
      </w:r>
    </w:p>
    <w:p>
      <w:r>
        <w:t>Fee rationale is explained</w:t>
      </w:r>
    </w:p>
    <w:p>
      <w:r>
        <w:t>Fee changes are announced in advance</w:t>
      </w:r>
    </w:p>
    <w:p>
      <w:r>
        <w:t>No hidden fees exist</w:t>
      </w:r>
    </w:p>
    <w:p>
      <w:r>
        <w:t>Example:</w:t>
      </w:r>
    </w:p>
    <w:p>
      <w:r>
        <w:t>The Institution publishes its complete fee schedule on its website. The schedule includes all fees, their rates, their rationale, and their effective dates. Any fee change is announced 30 days before implementation with a clear explanation.</w:t>
      </w:r>
    </w:p>
    <w:p>
      <w:r>
        <w:t>Why This Matters:</w:t>
      </w:r>
    </w:p>
    <w:p>
      <w:r>
        <w:t>Transparency builds trust</w:t>
      </w:r>
    </w:p>
    <w:p>
      <w:r>
        <w:t>Transparency enables comparison</w:t>
      </w:r>
    </w:p>
    <w:p>
      <w:r>
        <w:t>Transparency prevents surprises</w:t>
      </w:r>
    </w:p>
    <w:p>
      <w:r>
        <w:t>Transparency ensures accountability</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 by costs</w:t>
      </w:r>
    </w:p>
    <w:p>
      <w:r>
        <w:t>Fees are comparable to industry standards</w:t>
      </w:r>
    </w:p>
    <w:p>
      <w:r>
        <w:t>Example:</w:t>
      </w:r>
    </w:p>
    <w:p>
      <w:r>
        <w:t>The Institution charges a 0.05% minting fee. This is comparable to similar services in the industry. The fee covers the operational costs of minting. The fee is reasonable and proportional to the service provided.</w:t>
      </w:r>
    </w:p>
    <w:p>
      <w:r>
        <w:t>Why This Matters:</w:t>
      </w:r>
    </w:p>
    <w:p>
      <w:r>
        <w:t>Proportionality prevents exploitation</w:t>
      </w:r>
    </w:p>
    <w:p>
      <w:r>
        <w:t>Proportionality ensures fairness</w:t>
      </w:r>
    </w:p>
    <w:p>
      <w:r>
        <w:t>Proportionality maintains competitiveness</w:t>
      </w:r>
    </w:p>
    <w:p>
      <w:r>
        <w:t>Proportionality builds participant trust</w:t>
      </w:r>
    </w:p>
    <w:p>
      <w:pPr>
        <w:pStyle w:val="ListNumber"/>
        <w:ind w:left="425"/>
      </w:pPr>
      <w:r>
        <w:t>Non-Profit Character</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Example:</w:t>
      </w:r>
    </w:p>
    <w:p>
      <w:r>
        <w:t>The Institution collects fees to cover operational costs. If fees exceed costs, the surplus is not retained as profit. Surplus is directed to reserve strengthening, Takaful, or fee reductions. No fees are distributed to founders, investors, or token holders.</w:t>
      </w:r>
    </w:p>
    <w:p>
      <w:r>
        <w:t>Why This Matters:</w:t>
      </w:r>
    </w:p>
    <w:p>
      <w:r>
        <w:t>Non-profit character preserves constitutional identity</w:t>
      </w:r>
    </w:p>
    <w:p>
      <w:r>
        <w:t>Non-profit character prevents profit-seeking</w:t>
      </w:r>
    </w:p>
    <w:p>
      <w:r>
        <w:t>Non-profit character maintains neutrality</w:t>
      </w:r>
    </w:p>
    <w:p>
      <w:r>
        <w:t>Non-profit character builds institutional trust</w:t>
      </w:r>
    </w:p>
    <w:p>
      <w:pPr>
        <w:pStyle w:val="ListNumber"/>
        <w:ind w:left="425"/>
      </w:pPr>
      <w:r>
        <w:t>Predictability</w:t>
      </w:r>
    </w:p>
    <w:p>
      <w:r>
        <w:t>Fees are predictable for participants.</w:t>
      </w:r>
    </w:p>
    <w:p>
      <w:r>
        <w:t>What This Means in Practice:</w:t>
      </w:r>
    </w:p>
    <w:p>
      <w:r>
        <w:t>Fee schedules are fixed</w:t>
      </w:r>
    </w:p>
    <w:p>
      <w:r>
        <w:t>Fee changes are announced in advance</w:t>
      </w:r>
    </w:p>
    <w:p>
      <w:r>
        <w:t>Fee structures are consistent</w:t>
      </w:r>
    </w:p>
    <w:p>
      <w:r>
        <w:t>Participants can plan for fees</w:t>
      </w:r>
    </w:p>
    <w:p>
      <w:r>
        <w:t>Example:</w:t>
      </w:r>
    </w:p>
    <w:p>
      <w:r>
        <w:t>The Institution maintains a stable fee schedule. Fee changes are announced 30 days in advance. Participants can plan their operations with predictable fees. This predictability builds trust and enables operational planning.</w:t>
      </w:r>
    </w:p>
    <w:p>
      <w:r>
        <w:t>Why This Matters:</w:t>
      </w:r>
    </w:p>
    <w:p>
      <w:r>
        <w:t>Predictability enables planning</w:t>
      </w:r>
    </w:p>
    <w:p>
      <w:r>
        <w:t>Predictability reduces uncertainty</w:t>
      </w:r>
    </w:p>
    <w:p>
      <w:r>
        <w:t>Predictability builds trust</w:t>
      </w:r>
    </w:p>
    <w:p>
      <w:r>
        <w:t>Predictability supports institutional adoption</w:t>
      </w:r>
    </w:p>
    <w:p>
      <w:r>
        <w:t>Fee Structure</w:t>
      </w:r>
    </w:p>
    <w:p>
      <w:r>
        <w:t>Minting Fee</w:t>
      </w:r>
    </w:p>
    <w:p>
      <w:r>
        <w:t>Policy Parameters:</w:t>
      </w:r>
    </w:p>
    <w:p>
      <w:r>
        <w:t>What This Means in Practice:</w:t>
      </w:r>
    </w:p>
    <w:p>
      <w:r>
        <w:t>A fee is charged when new units are minted</w:t>
      </w:r>
    </w:p>
    <w:p>
      <w:r>
        <w:t>The fee is a percentage of the minted amount</w:t>
      </w:r>
    </w:p>
    <w:p>
      <w:r>
        <w:t>The fee is capped to prevent excessive charges for large transactions</w:t>
      </w:r>
    </w:p>
    <w:p>
      <w:r>
        <w:t>The fee is deducted from the minted amount</w:t>
      </w:r>
    </w:p>
    <w:p>
      <w:r>
        <w:t>Example:</w:t>
      </w:r>
    </w:p>
    <w:p>
      <w:r>
        <w:t>A participant mints 1,000,000 MTQ at NAV of $1.00. The minting fee is 0.05% or $500. The participant receives 999,500 MTQ. The fee is reasonable and transparent.</w:t>
      </w:r>
    </w:p>
    <w:p>
      <w:r>
        <w:t>Rationale:</w:t>
      </w:r>
    </w:p>
    <w:p>
      <w:r>
        <w:t>Minting requires operational resources</w:t>
      </w:r>
    </w:p>
    <w:p>
      <w:r>
        <w:t>The fee covers minting costs</w:t>
      </w:r>
    </w:p>
    <w:p>
      <w:r>
        <w:t>The cap protects large minters</w:t>
      </w:r>
    </w:p>
    <w:p>
      <w:r>
        <w:t>The rate is comparable to industry standards</w:t>
      </w:r>
    </w:p>
    <w:p>
      <w:r>
        <w:t>Fee Calculation:</w:t>
      </w:r>
    </w:p>
    <w:p>
      <w:r>
        <w:t>text</w:t>
      </w:r>
    </w:p>
    <w:p>
      <w:r>
        <w:t>Fee = min(Amount × Fee Rate, Fee Cap)</w:t>
      </w:r>
    </w:p>
    <w:p>
      <w:r>
        <w:t>Example: 1,000,000 × 0.0005 = $500; min($500, $5,000) = $500</w:t>
      </w:r>
    </w:p>
    <w:p>
      <w:r>
        <w:t>Redemption Fee</w:t>
      </w:r>
    </w:p>
    <w:p>
      <w:r>
        <w:t>Policy Parameters:</w:t>
      </w:r>
    </w:p>
    <w:p>
      <w:r>
        <w:t>What This Means in Practice:</w:t>
      </w:r>
    </w:p>
    <w:p>
      <w:r>
        <w:t>A fee is charged when units are redeemed</w:t>
      </w:r>
    </w:p>
    <w:p>
      <w:r>
        <w:t>The fee is a percentage of the redemption value</w:t>
      </w:r>
    </w:p>
    <w:p>
      <w:r>
        <w:t>The fee is capped to prevent excessive charges for large transactions</w:t>
      </w:r>
    </w:p>
    <w:p>
      <w:r>
        <w:t>The fee is deducted from the redemption claim</w:t>
      </w:r>
    </w:p>
    <w:p>
      <w:r>
        <w:t>Example:</w:t>
      </w:r>
    </w:p>
    <w:p>
      <w:r>
        <w:t>A participant redeems 1,000,000 MTQ at NAV of $1.00. The redemption fee is 0.05% or $500. The participant receives $999,500. The fee is reasonable and transparent.</w:t>
      </w:r>
    </w:p>
    <w:p>
      <w:r>
        <w:t>Rationale:</w:t>
      </w:r>
    </w:p>
    <w:p>
      <w:r>
        <w:t>Redemption requires operational resources</w:t>
      </w:r>
    </w:p>
    <w:p>
      <w:r>
        <w:t>The fee covers redemption costs</w:t>
      </w:r>
    </w:p>
    <w:p>
      <w:r>
        <w:t>The cap protects large redeemers</w:t>
      </w:r>
    </w:p>
    <w:p>
      <w:r>
        <w:t>The rate is comparable to industry standards</w:t>
      </w:r>
    </w:p>
    <w:p>
      <w:r>
        <w:t>Fee Calculation:</w:t>
      </w:r>
    </w:p>
    <w:p>
      <w:r>
        <w:t>text</w:t>
      </w:r>
    </w:p>
    <w:p>
      <w:r>
        <w:t>Fee = min(Amount × NAV × Fee Rate, Fee Cap)</w:t>
      </w:r>
    </w:p>
    <w:p>
      <w:r>
        <w:t>Example: 1,000,000 × $1.00 × 0.0005 = $500; min($500, $5,000) = $500</w:t>
      </w:r>
    </w:p>
    <w:p>
      <w:r>
        <w:t>Transfer Fee</w:t>
      </w:r>
    </w:p>
    <w:p>
      <w:r>
        <w:t>Policy Parameters:</w:t>
      </w:r>
    </w:p>
    <w:p>
      <w:r>
        <w:t>What This Means in Practice:</w:t>
      </w:r>
    </w:p>
    <w:p>
      <w:r>
        <w:t>A fee is charged when units are transferred between participants</w:t>
      </w:r>
    </w:p>
    <w:p>
      <w:r>
        <w:t>The fee is a percentage of the transferred amount</w:t>
      </w:r>
    </w:p>
    <w:p>
      <w:r>
        <w:t>The fee is capped to prevent excessive charges for large transactions</w:t>
      </w:r>
    </w:p>
    <w:p>
      <w:r>
        <w:t>The fee is deducted from the transferred amount</w:t>
      </w:r>
    </w:p>
    <w:p>
      <w:r>
        <w:t>Example:</w:t>
      </w:r>
    </w:p>
    <w:p>
      <w:r>
        <w:t>A participant transfers 1,000,000 MTQ to another participant. The transfer fee is 0.01% or $100. The recipient receives 999,900 MTQ. The fee is reasonable and transparent.</w:t>
      </w:r>
    </w:p>
    <w:p>
      <w:r>
        <w:t>Rationale:</w:t>
      </w:r>
    </w:p>
    <w:p>
      <w:r>
        <w:t>Transfers require operational resources</w:t>
      </w:r>
    </w:p>
    <w:p>
      <w:r>
        <w:t>The fee covers transfer costs</w:t>
      </w:r>
    </w:p>
    <w:p>
      <w:r>
        <w:t>The cap protects large transfers</w:t>
      </w:r>
    </w:p>
    <w:p>
      <w:r>
        <w:t>The rate is low to encourage usage</w:t>
      </w:r>
    </w:p>
    <w:p>
      <w:r>
        <w:t>Fee Calculation:</w:t>
      </w:r>
    </w:p>
    <w:p>
      <w:r>
        <w:t>text</w:t>
      </w:r>
    </w:p>
    <w:p>
      <w:r>
        <w:t>Fee = min(Amount × Fee Rate, Fee Cap)</w:t>
      </w:r>
    </w:p>
    <w:p>
      <w:r>
        <w:t>Example: 1,000,000 × 0.0001 = $100; min($100, $1,000) = $100</w:t>
      </w:r>
    </w:p>
    <w:p>
      <w:r>
        <w:t>Custody Fee</w:t>
      </w:r>
    </w:p>
    <w:p>
      <w:r>
        <w:t>Policy Parameters:</w:t>
      </w:r>
    </w:p>
    <w:p>
      <w:r>
        <w:t>What This Means in Practice:</w:t>
      </w:r>
    </w:p>
    <w:p>
      <w:r>
        <w:t>A fee is charged for custody services</w:t>
      </w:r>
    </w:p>
    <w:p>
      <w:r>
        <w:t>The fee is a percentage of reserves held</w:t>
      </w:r>
    </w:p>
    <w:p>
      <w:r>
        <w:t>The fee is charged annually, collected monthly</w:t>
      </w:r>
    </w:p>
    <w:p>
      <w:r>
        <w:t>The fee covers custody, insurance, and reconciliation costs</w:t>
      </w:r>
    </w:p>
    <w:p>
      <w:r>
        <w:t>Example:</w:t>
      </w:r>
    </w:p>
    <w:p>
      <w:r>
        <w:t>The Institution holds $1,000,000,000 in reserves. The custody fee is 0.10% per annum or $1,000,000 per year. The fee is collected monthly: $83,333 per month. This covers custody, insurance, and reconciliation costs.</w:t>
      </w:r>
    </w:p>
    <w:p>
      <w:r>
        <w:t>Rationale:</w:t>
      </w:r>
    </w:p>
    <w:p>
      <w:r>
        <w:t>Custody requires significant operational resources</w:t>
      </w:r>
    </w:p>
    <w:p>
      <w:r>
        <w:t>The fee covers custody, insurance, and reconciliation</w:t>
      </w:r>
    </w:p>
    <w:p>
      <w:r>
        <w:t>The rate is comparable to industry standards</w:t>
      </w:r>
    </w:p>
    <w:p>
      <w:r>
        <w:t>Monthly collection aligns with cost incurrence</w:t>
      </w:r>
    </w:p>
    <w:p>
      <w:r>
        <w:t>Fee Calculation:</w:t>
      </w:r>
    </w:p>
    <w:p>
      <w:r>
        <w:t>text</w:t>
      </w:r>
    </w:p>
    <w:p>
      <w:r>
        <w:t>Fee = (Reserve Value × Fee Rate) / 12</w:t>
      </w:r>
    </w:p>
    <w:p>
      <w:r>
        <w:t>Example: ($1,000,000,000 × 0.001) / 12 = $83,333 per month</w:t>
      </w:r>
    </w:p>
    <w:p>
      <w:r>
        <w:t>Rebalancing Fee</w:t>
      </w:r>
    </w:p>
    <w:p>
      <w:r>
        <w:t>Policy Parameters:</w:t>
      </w:r>
    </w:p>
    <w:p>
      <w:r>
        <w:t>What This Means in Practice:</w:t>
      </w:r>
    </w:p>
    <w:p>
      <w:r>
        <w:t>A fee is charged when reserves are rebalanced</w:t>
      </w:r>
    </w:p>
    <w:p>
      <w:r>
        <w:t>The fee is a percentage of the rebalanced amount</w:t>
      </w:r>
    </w:p>
    <w:p>
      <w:r>
        <w:t>The fee covers rebalancing operational costs</w:t>
      </w:r>
    </w:p>
    <w:p>
      <w:r>
        <w:t>The fee is low to minimize impact</w:t>
      </w:r>
    </w:p>
    <w:p>
      <w:r>
        <w:t>Example:</w:t>
      </w:r>
    </w:p>
    <w:p>
      <w:r>
        <w:t>The Institution rebalances $100,000,000 in reserves. The rebalancing fee is 0.01% or $10,000. This covers the operational costs of rebalancing.</w:t>
      </w:r>
    </w:p>
    <w:p>
      <w:r>
        <w:t>Rationale:</w:t>
      </w:r>
    </w:p>
    <w:p>
      <w:r>
        <w:t>Rebalancing requires operational resources</w:t>
      </w:r>
    </w:p>
    <w:p>
      <w:r>
        <w:t>The fee covers rebalancing costs</w:t>
      </w:r>
    </w:p>
    <w:p>
      <w:r>
        <w:t>The rate is low to minimize impact on reserve value</w:t>
      </w:r>
    </w:p>
    <w:p>
      <w:r>
        <w:t>The fee is only charged when rebalancing occurs</w:t>
      </w:r>
    </w:p>
    <w:p>
      <w:r>
        <w:t>Fee Schedule Summary</w:t>
      </w:r>
    </w:p>
    <w:p>
      <w:r>
        <w:t>Fee Adjustments</w:t>
      </w:r>
    </w:p>
    <w:p>
      <w:r>
        <w:t>Annual Fee Review</w:t>
      </w:r>
    </w:p>
    <w:p>
      <w:r>
        <w:t>What This Means in Practice:</w:t>
      </w:r>
    </w:p>
    <w:p>
      <w:r>
        <w:t>Fees are reviewed annually</w:t>
      </w:r>
    </w:p>
    <w:p>
      <w:r>
        <w:t>Costs are assessed</w:t>
      </w:r>
    </w:p>
    <w:p>
      <w:r>
        <w:t>Fees are benchmarked against industry standards</w:t>
      </w:r>
    </w:p>
    <w:p>
      <w:r>
        <w:t>Adjustments are recommended and approved</w:t>
      </w:r>
    </w:p>
    <w:p>
      <w:r>
        <w:t>Changes are implemented with advance notice</w:t>
      </w:r>
    </w:p>
    <w:p>
      <w:r>
        <w:t>Example:</w:t>
      </w:r>
    </w:p>
    <w:p>
      <w:r>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r>
        <w:t>Why This Matters:</w:t>
      </w:r>
    </w:p>
    <w:p>
      <w:r>
        <w:t>Regular review ensures fees remain appropriate</w:t>
      </w:r>
    </w:p>
    <w:p>
      <w:r>
        <w:t>Cost assessment ensures sustainability</w:t>
      </w:r>
    </w:p>
    <w:p>
      <w:r>
        <w:t>Benchmarking ensures competitiveness</w:t>
      </w:r>
    </w:p>
    <w:p>
      <w:r>
        <w:t>Advance notice ensures predictability</w:t>
      </w:r>
    </w:p>
    <w:p>
      <w:r>
        <w:t>Fee Adjustment Process</w:t>
      </w:r>
    </w:p>
    <w:p>
      <w:r>
        <w:t>Step 1: Cost Assessment</w:t>
      </w:r>
    </w:p>
    <w:p>
      <w:r>
        <w:t>Operational costs are assessed</w:t>
      </w:r>
    </w:p>
    <w:p>
      <w:r>
        <w:t>Cost drivers are identified</w:t>
      </w:r>
    </w:p>
    <w:p>
      <w:r>
        <w:t>Cost trends are analyzed</w:t>
      </w:r>
    </w:p>
    <w:p>
      <w:r>
        <w:t>Step 2: Benchmarking</w:t>
      </w:r>
    </w:p>
    <w:p>
      <w:r>
        <w:t>Fees are compared to industry standards</w:t>
      </w:r>
    </w:p>
    <w:p>
      <w:r>
        <w:t>Competitor fees are reviewed</w:t>
      </w:r>
    </w:p>
    <w:p>
      <w:r>
        <w:t>Market conditions are assessed</w:t>
      </w:r>
    </w:p>
    <w:p>
      <w:r>
        <w:t>Step 3: Recommendation</w:t>
      </w:r>
    </w:p>
    <w:p>
      <w:r>
        <w:t>Fee adjustments are recommended</w:t>
      </w:r>
    </w:p>
    <w:p>
      <w:r>
        <w:t>Rationale is provided</w:t>
      </w:r>
    </w:p>
    <w:p>
      <w:r>
        <w:t>Impact is assessed</w:t>
      </w:r>
    </w:p>
    <w:p>
      <w:r>
        <w:t>Step 4: Review</w:t>
      </w:r>
    </w:p>
    <w:p>
      <w:r>
        <w:t>The Council reviews the recommendation</w:t>
      </w:r>
    </w:p>
    <w:p>
      <w:r>
        <w:t>The Council considers alternatives</w:t>
      </w:r>
    </w:p>
    <w:p>
      <w:r>
        <w:t>The Council makes a decision</w:t>
      </w:r>
    </w:p>
    <w:p>
      <w:r>
        <w:t>Step 5: Approval</w:t>
      </w:r>
    </w:p>
    <w:p>
      <w:r>
        <w:t>The Council approves the adjustment</w:t>
      </w:r>
    </w:p>
    <w:p>
      <w:r>
        <w:t>The adjustment is documented</w:t>
      </w:r>
    </w:p>
    <w:p>
      <w:r>
        <w:t>The effective date is set</w:t>
      </w:r>
    </w:p>
    <w:p>
      <w:r>
        <w:t>Step 6: Communication</w:t>
      </w:r>
    </w:p>
    <w:p>
      <w:r>
        <w:t>The adjustment is announced</w:t>
      </w:r>
    </w:p>
    <w:p>
      <w:r>
        <w:t>The rationale is explained</w:t>
      </w:r>
    </w:p>
    <w:p>
      <w:r>
        <w:t>Participants are notified</w:t>
      </w:r>
    </w:p>
    <w:p>
      <w:r>
        <w:t>Step 7: Implementation</w:t>
      </w:r>
    </w:p>
    <w:p>
      <w:r>
        <w:t>The adjustment is implemented</w:t>
      </w:r>
    </w:p>
    <w:p>
      <w:r>
        <w:t>Systems are updated</w:t>
      </w:r>
    </w:p>
    <w:p>
      <w:r>
        <w:t>Fees are collected at the new rate</w:t>
      </w:r>
    </w:p>
    <w:p>
      <w:r>
        <w:t>Adjustment Triggers</w:t>
      </w:r>
    </w:p>
    <w:p>
      <w:r>
        <w:t>Policy-defined triggers for fee adjustments:</w:t>
      </w:r>
    </w:p>
    <w:p>
      <w:r>
        <w:t>Fee Collection</w:t>
      </w:r>
    </w:p>
    <w:p>
      <w:r>
        <w:t>Collection Mechanism</w:t>
      </w:r>
    </w:p>
    <w:p>
      <w:r>
        <w:t>What This Means in Practice:</w:t>
      </w:r>
    </w:p>
    <w:p>
      <w:r>
        <w:t>Fees are collected automatically</w:t>
      </w:r>
    </w:p>
    <w:p>
      <w:r>
        <w:t>Fees are collected at the time of transaction</w:t>
      </w:r>
    </w:p>
    <w:p>
      <w:r>
        <w:t>Fees are transparently calculated</w:t>
      </w:r>
    </w:p>
    <w:p>
      <w:r>
        <w:t>Fees are documented</w:t>
      </w:r>
    </w:p>
    <w:p>
      <w:r>
        <w:t>Example:</w:t>
      </w:r>
    </w:p>
    <w:p>
      <w:r>
        <w:t>When a participant mints MTQ, the minting fee is automatically calculated and deducted. The participant sees the fee deducted. The fee is recorded in the transaction record. The participant can verify the fee calculation.</w:t>
      </w:r>
    </w:p>
    <w:p>
      <w:r>
        <w:t>Why This Matters:</w:t>
      </w:r>
    </w:p>
    <w:p>
      <w:r>
        <w:t>Automatic collection reduces operational burden</w:t>
      </w:r>
    </w:p>
    <w:p>
      <w:r>
        <w:t>Real-time collection ensures accuracy</w:t>
      </w:r>
    </w:p>
    <w:p>
      <w:r>
        <w:t>Transparency enables verification</w:t>
      </w:r>
    </w:p>
    <w:p>
      <w:r>
        <w:t>Documentation supports auditability</w:t>
      </w:r>
    </w:p>
    <w:p>
      <w:r>
        <w:t>Fee Revenue Management</w:t>
      </w:r>
    </w:p>
    <w:p>
      <w:r>
        <w:t>What This Means in Practice:</w:t>
      </w:r>
    </w:p>
    <w:p>
      <w:r>
        <w:t>Fee revenue is tracked</w:t>
      </w:r>
    </w:p>
    <w:p>
      <w:r>
        <w:t>Fee revenue is allocated appropriately</w:t>
      </w:r>
    </w:p>
    <w:p>
      <w:r>
        <w:t>Fee revenue is audited</w:t>
      </w:r>
    </w:p>
    <w:p>
      <w:r>
        <w:t>Fee revenue is transparently reported</w:t>
      </w:r>
    </w:p>
    <w:p>
      <w:r>
        <w:t>Example:</w:t>
      </w:r>
    </w:p>
    <w:p>
      <w:r>
        <w:t>The Institution tracks all fee revenue. Fee revenue is used to cover operational costs. Any surplus is directed to reserve strengthening, Takaful, or fee reductions. Fee revenue is audited quarterly and reported annually.</w:t>
      </w:r>
    </w:p>
    <w:p>
      <w:r>
        <w:t>Why This Matters:</w:t>
      </w:r>
    </w:p>
    <w:p>
      <w:r>
        <w:t>Fee tracking ensures accountability</w:t>
      </w:r>
    </w:p>
    <w:p>
      <w:r>
        <w:t>Fee allocation ensures proper use</w:t>
      </w:r>
    </w:p>
    <w:p>
      <w:r>
        <w:t>Audit ensures integrity</w:t>
      </w:r>
    </w:p>
    <w:p>
      <w:r>
        <w:t>Reporting ensures transparency</w:t>
      </w:r>
    </w:p>
    <w:p>
      <w:r>
        <w:t>Fee Allocation</w:t>
      </w:r>
    </w:p>
    <w:p>
      <w:r>
        <w:t>What This Means in Practice:</w:t>
      </w:r>
    </w:p>
    <w:p>
      <w:r>
        <w:t>Fees are allocated to cover costs</w:t>
      </w:r>
    </w:p>
    <w:p>
      <w:r>
        <w:t>Fees are not allocated to profit</w:t>
      </w:r>
    </w:p>
    <w:p>
      <w:r>
        <w:t>Fees are not distributed to founders, investors, or token holders</w:t>
      </w:r>
    </w:p>
    <w:p>
      <w:r>
        <w:t>Example:</w:t>
      </w:r>
    </w:p>
    <w:p>
      <w:r>
        <w:t>Fee revenue is allocated to operational costs: staffing (40%), technology (25%), custody (15%), insurance (10%), audits (5%), and legal (5%). All fee revenue is used for operational purposes. No fee revenue is distributed as profit.</w:t>
      </w:r>
    </w:p>
    <w:p>
      <w:r>
        <w:t>Why This Matters:</w:t>
      </w:r>
    </w:p>
    <w:p>
      <w:r>
        <w:t>Proper allocation ensures sustainability</w:t>
      </w:r>
    </w:p>
    <w:p>
      <w:r>
        <w:t>Non-profit character preserves constitutional identity</w:t>
      </w:r>
    </w:p>
    <w:p>
      <w:r>
        <w:t>No profit distribution prevents exploitation</w:t>
      </w:r>
    </w:p>
    <w:p>
      <w:r>
        <w:t>Transparency enables verification</w:t>
      </w:r>
    </w:p>
    <w:p>
      <w:r>
        <w:t>Fee Exemptions</w:t>
      </w:r>
    </w:p>
    <w:p>
      <w:r>
        <w:t>Eligible Exemptions</w:t>
      </w:r>
    </w:p>
    <w:p>
      <w:r>
        <w:t>Policy may exempt certain participants or transactions:</w:t>
      </w:r>
    </w:p>
    <w:p>
      <w:r>
        <w:t>What This Means in Practice:</w:t>
      </w:r>
    </w:p>
    <w:p>
      <w:r>
        <w:t>Some participants may be eligible for fee exemptions</w:t>
      </w:r>
    </w:p>
    <w:p>
      <w:r>
        <w:t>Exemptions are based on objective criteria</w:t>
      </w:r>
    </w:p>
    <w:p>
      <w:r>
        <w:t>Exemptions are reviewed regularly</w:t>
      </w:r>
    </w:p>
    <w:p>
      <w:r>
        <w:t>Exemptions are transparently disclosed</w:t>
      </w:r>
    </w:p>
    <w:p>
      <w:r>
        <w:t>Example:</w:t>
      </w:r>
    </w:p>
    <w:p>
      <w:r>
        <w:t>A central bank participant with a formal partnership agreement may be exempt from transfer fees. The exemption is based on objective criteria, is reviewed annually, and is transparently disclosed.</w:t>
      </w:r>
    </w:p>
    <w:p>
      <w:r>
        <w:t>Why This Matters:</w:t>
      </w:r>
    </w:p>
    <w:p>
      <w:r>
        <w:t>Exemptions can facilitate institutional adoption</w:t>
      </w:r>
    </w:p>
    <w:p>
      <w:r>
        <w:t>Objective criteria prevent arbitrariness</w:t>
      </w:r>
    </w:p>
    <w:p>
      <w:r>
        <w:t>Regular review prevents abuse</w:t>
      </w:r>
    </w:p>
    <w:p>
      <w:r>
        <w:t>Transparency maintains accountability</w:t>
      </w:r>
    </w:p>
    <w:p>
      <w:r>
        <w:t>Exemption Process</w:t>
      </w:r>
    </w:p>
    <w:p>
      <w:r>
        <w:t>Step 1: Application</w:t>
      </w:r>
    </w:p>
    <w:p>
      <w:r>
        <w:t>Participant applies for exemption</w:t>
      </w:r>
    </w:p>
    <w:p>
      <w:r>
        <w:t>Application includes justification</w:t>
      </w:r>
    </w:p>
    <w:p>
      <w:r>
        <w:t>Application includes supporting documentation</w:t>
      </w:r>
    </w:p>
    <w:p>
      <w:r>
        <w:t>Step 2: Review</w:t>
      </w:r>
    </w:p>
    <w:p>
      <w:r>
        <w:t>Application is reviewed</w:t>
      </w:r>
    </w:p>
    <w:p>
      <w:r>
        <w:t>Criteria are assessed</w:t>
      </w:r>
    </w:p>
    <w:p>
      <w:r>
        <w:t>Recommendation is developed</w:t>
      </w:r>
    </w:p>
    <w:p>
      <w:r>
        <w:t>Step 3: Approval</w:t>
      </w:r>
    </w:p>
    <w:p>
      <w:r>
        <w:t>Council approves or rejects</w:t>
      </w:r>
    </w:p>
    <w:p>
      <w:r>
        <w:t>Decision is documented</w:t>
      </w:r>
    </w:p>
    <w:p>
      <w:r>
        <w:t>Rationale is provided</w:t>
      </w:r>
    </w:p>
    <w:p>
      <w:r>
        <w:t>Step 4: Implementation</w:t>
      </w:r>
    </w:p>
    <w:p>
      <w:r>
        <w:t>Exemption is implemented</w:t>
      </w:r>
    </w:p>
    <w:p>
      <w:r>
        <w:t>Systems are updated</w:t>
      </w:r>
    </w:p>
    <w:p>
      <w:r>
        <w:t>Participant is notified</w:t>
      </w:r>
    </w:p>
    <w:p>
      <w:r>
        <w:t>Step 5: Review</w:t>
      </w:r>
    </w:p>
    <w:p>
      <w:r>
        <w:t>Exemption is reviewed annually</w:t>
      </w:r>
    </w:p>
    <w:p>
      <w:r>
        <w:t>Continued eligibility is assessed</w:t>
      </w:r>
    </w:p>
    <w:p>
      <w:r>
        <w:t>Decision is reaffirmed or modified</w:t>
      </w:r>
    </w:p>
    <w:p>
      <w:r>
        <w:t>Fee Cap</w:t>
      </w:r>
    </w:p>
    <w:p>
      <w:r>
        <w:t>Constitutional Fee Cap</w:t>
      </w:r>
    </w:p>
    <w:p>
      <w:r>
        <w:t>What This Means in Practice:</w:t>
      </w:r>
    </w:p>
    <w:p>
      <w:r>
        <w:t>Fees are capped to prevent exploitation</w:t>
      </w:r>
    </w:p>
    <w:p>
      <w:r>
        <w:t>The cap is defined in Policy</w:t>
      </w:r>
    </w:p>
    <w:p>
      <w:r>
        <w:t>The cap is reviewed annually</w:t>
      </w:r>
    </w:p>
    <w:p>
      <w:r>
        <w:t>The cap is transparently disclosed</w:t>
      </w:r>
    </w:p>
    <w:p>
      <w:r>
        <w:t>Example:</w:t>
      </w:r>
    </w:p>
    <w:p>
      <w:r>
        <w:t>Policy establishes that minting and redemption fees cannot exceed 0.10%. This cap prevents fees from becoming excessive. The cap is reviewed annually and adjusted if necessary.</w:t>
      </w:r>
    </w:p>
    <w:p>
      <w:r>
        <w:t>Why This Matters:</w:t>
      </w:r>
    </w:p>
    <w:p>
      <w:r>
        <w:t>Fee caps prevent exploitation</w:t>
      </w:r>
    </w:p>
    <w:p>
      <w:r>
        <w:t>Fee caps maintain fairness</w:t>
      </w:r>
    </w:p>
    <w:p>
      <w:r>
        <w:t>Fee caps build trust</w:t>
      </w:r>
    </w:p>
    <w:p>
      <w:r>
        <w:t>Fee caps ensure proportionality</w:t>
      </w:r>
    </w:p>
    <w:p>
      <w:r>
        <w:t>Review and Adjustment</w:t>
      </w:r>
    </w:p>
    <w:p>
      <w:r>
        <w:t>Review Schedule</w:t>
      </w:r>
    </w:p>
    <w:p>
      <w:r>
        <w:t>Adjustment Requirements</w:t>
      </w:r>
    </w:p>
    <w:p>
      <w:r>
        <w:t>Summary Table</w:t>
      </w:r>
    </w:p>
    <w:p>
      <w:r>
        <w:t>Constitutional Interpretation</w:t>
      </w:r>
    </w:p>
    <w:p>
      <w:r>
        <w:t>The Fee Schedules policy establishes the operational framework for fees:</w:t>
      </w:r>
    </w:p>
    <w:p>
      <w:r>
        <w:t>Minting fee: 0.05%, capped at $5,000 per transaction</w:t>
      </w:r>
    </w:p>
    <w:p>
      <w:r>
        <w:t>Redemption fee: 0.05%, capped at $5,000 per transaction</w:t>
      </w:r>
    </w:p>
    <w:p>
      <w:r>
        <w:t>Transfer fee: 0.01%, capped at $1,000 per transaction</w:t>
      </w:r>
    </w:p>
    <w:p>
      <w:r>
        <w:t>Custody fee: 0.10% per annum</w:t>
      </w:r>
    </w:p>
    <w:p>
      <w:r>
        <w:t>Rebalancing fee: 0.01% of rebalanced amount</w:t>
      </w:r>
    </w:p>
    <w:p>
      <w: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r>
        <w:t>[END OF PART 3, ARTICLE III — FEE SCHEDULES]</w:t>
      </w:r>
    </w:p>
    <w:p>
      <w:r>
        <w:t>Article IV: Sanctions Mechanics</w:t>
      </w:r>
    </w:p>
    <w:p>
      <w:r>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r>
        <w:t>What This Means in Practice:</w:t>
      </w:r>
    </w:p>
    <w:p>
      <w:r>
        <w:t>The Institution screens all participants and transactions against applicable sanctions lists</w:t>
      </w:r>
    </w:p>
    <w:p>
      <w:r>
        <w:t>The Institution freezes prohibited accounts and blocks prohibited transactions</w:t>
      </w:r>
    </w:p>
    <w:p>
      <w:r>
        <w:t>The Institution reports sanctions activity to relevant authorities</w:t>
      </w:r>
    </w:p>
    <w:p>
      <w:r>
        <w:t>Sanctions compliance is neutral and operational, not political</w:t>
      </w:r>
    </w:p>
    <w:p>
      <w:r>
        <w:t>Example:</w:t>
      </w:r>
    </w:p>
    <w:p>
      <w:r>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r>
        <w:t>Why This Matters:</w:t>
      </w:r>
    </w:p>
    <w:p>
      <w:r>
        <w:t>Without sanctions compliance, the Institution would be lawless</w:t>
      </w:r>
    </w:p>
    <w:p>
      <w:r>
        <w:t>Without sanctions compliance, participants would be exposed to legal risk</w:t>
      </w:r>
    </w:p>
    <w:p>
      <w:r>
        <w:t>Without sanctions compliance, the Institution would be vulnerable to enforcement action</w:t>
      </w:r>
    </w:p>
    <w:p>
      <w:r>
        <w:t>Without sanctions compliance, the Institution could not operate globally</w:t>
      </w:r>
    </w:p>
    <w:p>
      <w:r>
        <w:t>Sanctions compliance is essential to institutional legitimacy and operational viability</w:t>
      </w:r>
    </w:p>
    <w:p>
      <w:r>
        <w:t>Core Principles of Sanctions Mechanics</w:t>
      </w:r>
    </w:p>
    <w:p>
      <w:pPr>
        <w:pStyle w:val="ListNumber"/>
        <w:ind w:left="425"/>
      </w:pPr>
      <w:r>
        <w:t>Mandatory Compliance</w:t>
      </w:r>
    </w:p>
    <w:p>
      <w:r>
        <w:t>All applicable sanctions must be complied with.</w:t>
      </w:r>
    </w:p>
    <w:p>
      <w:r>
        <w:t>What This Means in Practice:</w:t>
      </w:r>
    </w:p>
    <w:p>
      <w:r>
        <w:t>Compliance is mandatory, not optional</w:t>
      </w:r>
    </w:p>
    <w:p>
      <w:r>
        <w:t>Compliance applies to all operations</w:t>
      </w:r>
    </w:p>
    <w:p>
      <w:r>
        <w:t>Compliance applies to all participants</w:t>
      </w:r>
    </w:p>
    <w:p>
      <w:r>
        <w:t>Compliance is enforced consistently</w:t>
      </w:r>
    </w:p>
    <w:p>
      <w:r>
        <w:t>Example:</w:t>
      </w:r>
    </w:p>
    <w:p>
      <w:r>
        <w:t>The Institution screens all participants against OFAC, UNSC, EU, and applicable national sanctions lists. This screening is mandatory and applies to all participants without exception. Any sanctions match results in immediate action.</w:t>
      </w:r>
    </w:p>
    <w:p>
      <w:r>
        <w:t>Why This Matters:</w:t>
      </w:r>
    </w:p>
    <w:p>
      <w:r>
        <w:t>Mandatory compliance prevents selective enforcement</w:t>
      </w:r>
    </w:p>
    <w:p>
      <w:r>
        <w:t>Mandatory compliance protects the Institution</w:t>
      </w:r>
    </w:p>
    <w:p>
      <w:r>
        <w:t>Mandatory compliance protects participants</w:t>
      </w:r>
    </w:p>
    <w:p>
      <w:r>
        <w:t>Mandatory compliance maintains institutional integrity</w:t>
      </w:r>
    </w:p>
    <w:p>
      <w:pPr>
        <w:pStyle w:val="ListNumber"/>
        <w:ind w:left="425"/>
      </w:pPr>
      <w:r>
        <w:t>Neutral Compliance</w:t>
      </w:r>
    </w:p>
    <w:p>
      <w:r>
        <w:t>Compliance is operational, not political.</w:t>
      </w:r>
    </w:p>
    <w:p>
      <w:r>
        <w:t>What This Means in Practice:</w:t>
      </w:r>
    </w:p>
    <w:p>
      <w:r>
        <w:t>Sanctions compliance is not political alignment</w:t>
      </w:r>
    </w:p>
    <w:p>
      <w:r>
        <w:t>Compliance decisions are based on law, not politics</w:t>
      </w:r>
    </w:p>
    <w:p>
      <w:r>
        <w:t>Compliance is applied consistently to all</w:t>
      </w:r>
    </w:p>
    <w:p>
      <w:r>
        <w:t>Compliance does not imply political endorsement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Neutrality prevents political capture</w:t>
      </w:r>
    </w:p>
    <w:p>
      <w:r>
        <w:t>Neutrality maintains institutional integrity</w:t>
      </w:r>
    </w:p>
    <w:p>
      <w:r>
        <w:t>Neutrality builds trust across jurisdictions</w:t>
      </w:r>
    </w:p>
    <w:p>
      <w:r>
        <w:t>Neutrality is essential to constitutional identity</w:t>
      </w:r>
    </w:p>
    <w:p>
      <w:pPr>
        <w:pStyle w:val="ListNumber"/>
        <w:ind w:left="425"/>
      </w:pPr>
      <w:r>
        <w:t>Transparent Compliance</w:t>
      </w:r>
    </w:p>
    <w:p>
      <w:r>
        <w:t>Compliance procedures are transparent.</w:t>
      </w:r>
    </w:p>
    <w:p>
      <w:r>
        <w:t>What This Means in Practice:</w:t>
      </w:r>
    </w:p>
    <w:p>
      <w:r>
        <w:t>Compliance policies are published</w:t>
      </w:r>
    </w:p>
    <w:p>
      <w:r>
        <w:t>Compliance procedures are documented</w:t>
      </w:r>
    </w:p>
    <w:p>
      <w:r>
        <w:t>Compliance actions are reported</w:t>
      </w:r>
    </w:p>
    <w:p>
      <w:r>
        <w:t>Compliance decisions are auditable</w:t>
      </w:r>
    </w:p>
    <w:p>
      <w:r>
        <w:t>Example:</w:t>
      </w:r>
    </w:p>
    <w:p>
      <w:r>
        <w:t>The Institution publishes its sanctions compliance policy. The policy explains how screening works, how matches are handled, and how reporting occurs. Participants can understand the compliance framework and verify its implementation.</w:t>
      </w:r>
    </w:p>
    <w:p>
      <w:r>
        <w:t>Why This Matters:</w:t>
      </w:r>
    </w:p>
    <w:p>
      <w:r>
        <w:t>Transparency builds trust</w:t>
      </w:r>
    </w:p>
    <w:p>
      <w:r>
        <w:t>Transparency enables verification</w:t>
      </w:r>
    </w:p>
    <w:p>
      <w:r>
        <w:t>Transparency ensures accountability</w:t>
      </w:r>
    </w:p>
    <w:p>
      <w:r>
        <w:t>Transparency prevents arbitrary enforcement</w:t>
      </w:r>
    </w:p>
    <w:p>
      <w:pPr>
        <w:pStyle w:val="ListNumber"/>
        <w:ind w:left="425"/>
      </w:pPr>
      <w:r>
        <w:t>Consistent Compliance</w:t>
      </w:r>
    </w:p>
    <w:p>
      <w:r>
        <w:t>Compliance is applied consistently to all participants.</w:t>
      </w:r>
    </w:p>
    <w:p>
      <w:r>
        <w:t>What This Means in Practice:</w:t>
      </w:r>
    </w:p>
    <w:p>
      <w:r>
        <w:t>No participant is exempt from sanctions compliance</w:t>
      </w:r>
    </w:p>
    <w:p>
      <w:r>
        <w:t>Compliance criteria are objective and consistent</w:t>
      </w:r>
    </w:p>
    <w:p>
      <w:r>
        <w:t>Compliance decisions are documented</w:t>
      </w:r>
    </w:p>
    <w:p>
      <w:r>
        <w:t>Compliance is audited</w:t>
      </w:r>
    </w:p>
    <w:p>
      <w:r>
        <w:t>Example:</w:t>
      </w:r>
    </w:p>
    <w:p>
      <w:r>
        <w:t>All participants are screened against the same sanctions lists using the same criteria. No participant receives preferential treatment. Compliance decisions are documented and auditable. Consistency is enforced.</w:t>
      </w:r>
    </w:p>
    <w:p>
      <w:r>
        <w:t>Why This Matters:</w:t>
      </w:r>
    </w:p>
    <w:p>
      <w:r>
        <w:t>Consistent compliance ensures fairness</w:t>
      </w:r>
    </w:p>
    <w:p>
      <w:r>
        <w:t>Consistent compliance prevents arbitrariness</w:t>
      </w:r>
    </w:p>
    <w:p>
      <w:r>
        <w:t>Consistent compliance maintains credibility</w:t>
      </w:r>
    </w:p>
    <w:p>
      <w:r>
        <w:t>Consistent compliance protects institutional integrity</w:t>
      </w:r>
    </w:p>
    <w:p>
      <w:r>
        <w:t>Sanctions Screening</w:t>
      </w:r>
    </w:p>
    <w:p>
      <w:r>
        <w:t>Screening Requirements</w:t>
      </w:r>
    </w:p>
    <w:p>
      <w:r>
        <w:t>What This Means in Practice:</w:t>
      </w:r>
    </w:p>
    <w:p>
      <w:r>
        <w:t>Participants are screened before onboarding</w:t>
      </w:r>
    </w:p>
    <w:p>
      <w:r>
        <w:t>Transactions are screened before processing</w:t>
      </w:r>
    </w:p>
    <w:p>
      <w:r>
        <w:t>Participants are monitored continuously</w:t>
      </w:r>
    </w:p>
    <w:p>
      <w:r>
        <w:t>Sanctions lists are updated in real-time</w:t>
      </w:r>
    </w:p>
    <w:p>
      <w:r>
        <w:t>Example:</w:t>
      </w:r>
    </w:p>
    <w:p>
      <w:r>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r>
        <w:t>Why This Matters:</w:t>
      </w:r>
    </w:p>
    <w:p>
      <w:r>
        <w:t>Real-time screening prevents sanctions violations</w:t>
      </w:r>
    </w:p>
    <w:p>
      <w:r>
        <w:t>Continuous monitoring catches changes</w:t>
      </w:r>
    </w:p>
    <w:p>
      <w:r>
        <w:t>List updates ensure current screening</w:t>
      </w:r>
    </w:p>
    <w:p>
      <w:r>
        <w:t>Screening protects the Institution and participants</w:t>
      </w:r>
    </w:p>
    <w:p>
      <w:r>
        <w:t>Sanctions Lists</w:t>
      </w:r>
    </w:p>
    <w:p>
      <w:r>
        <w:t>What This Means in Practice:</w:t>
      </w:r>
    </w:p>
    <w:p>
      <w:r>
        <w:t>Multiple sanctions lists are maintained</w:t>
      </w:r>
    </w:p>
    <w:p>
      <w:r>
        <w:t>Lists are updated in real-time</w:t>
      </w:r>
    </w:p>
    <w:p>
      <w:r>
        <w:t>All applicable lists are screened</w:t>
      </w:r>
    </w:p>
    <w:p>
      <w:r>
        <w:t>Screening covers all relevant authorities</w:t>
      </w:r>
    </w:p>
    <w:p>
      <w:r>
        <w:t>Example:</w:t>
      </w:r>
    </w:p>
    <w:p>
      <w:r>
        <w:t>The Institution maintains and screens against OFAC SDN, OFAC SSI, UNSC, EU, and applicable national sanctions lists. All lists are updated in real-time. Screening covers all jurisdictions where the Institution operates.</w:t>
      </w:r>
    </w:p>
    <w:p>
      <w:r>
        <w:t>Why This Matters:</w:t>
      </w:r>
    </w:p>
    <w:p>
      <w:r>
        <w:t>Multiple lists provide comprehensive coverage</w:t>
      </w:r>
    </w:p>
    <w:p>
      <w:r>
        <w:t>Real-time updates ensure accuracy</w:t>
      </w:r>
    </w:p>
    <w:p>
      <w:r>
        <w:t>All applicable lists protect against gaps</w:t>
      </w:r>
    </w:p>
    <w:p>
      <w:r>
        <w:t>Comprehensive screening protects the Institution</w:t>
      </w:r>
    </w:p>
    <w:p>
      <w:r>
        <w:t>Screening Process</w:t>
      </w:r>
    </w:p>
    <w:p>
      <w:r>
        <w:t>Step 1: Identity Verification</w:t>
      </w:r>
    </w:p>
    <w:p>
      <w:r>
        <w:t>Participant identity is verified</w:t>
      </w:r>
    </w:p>
    <w:p>
      <w:r>
        <w:t>Name, address, and identifiers are collected</w:t>
      </w:r>
    </w:p>
    <w:p>
      <w:r>
        <w:t>Legal entity information is confirmed</w:t>
      </w:r>
    </w:p>
    <w:p>
      <w:r>
        <w:t>Step 2: Automated Screening</w:t>
      </w:r>
    </w:p>
    <w:p>
      <w:r>
        <w:t>Participant is screened against sanctions lists</w:t>
      </w:r>
    </w:p>
    <w:p>
      <w:r>
        <w:t>All applicable lists are searched</w:t>
      </w:r>
    </w:p>
    <w:p>
      <w:r>
        <w:t>Matches are identified</w:t>
      </w:r>
    </w:p>
    <w:p>
      <w:r>
        <w:t>Step 3: Manual Review</w:t>
      </w:r>
    </w:p>
    <w:p>
      <w:r>
        <w:t>Automated matches are reviewed manually</w:t>
      </w:r>
    </w:p>
    <w:p>
      <w:r>
        <w:t>Potential false positives are investigated</w:t>
      </w:r>
    </w:p>
    <w:p>
      <w:r>
        <w:t>Confirmations are verified</w:t>
      </w:r>
    </w:p>
    <w:p>
      <w:r>
        <w:t>Step 4: Decision</w:t>
      </w:r>
    </w:p>
    <w:p>
      <w:r>
        <w:t>Participant is approved or rejected</w:t>
      </w:r>
    </w:p>
    <w:p>
      <w:r>
        <w:t>Transaction is approved or blocked</w:t>
      </w:r>
    </w:p>
    <w:p>
      <w:r>
        <w:t>Decision is documented</w:t>
      </w:r>
    </w:p>
    <w:p>
      <w:r>
        <w:t>Step 5: Monitoring</w:t>
      </w:r>
    </w:p>
    <w:p>
      <w:r>
        <w:t>Approved participants are monitored continuously</w:t>
      </w:r>
    </w:p>
    <w:p>
      <w:r>
        <w:t>Changes are detected</w:t>
      </w:r>
    </w:p>
    <w:p>
      <w:r>
        <w:t>New sanctions matches are identified</w:t>
      </w:r>
    </w:p>
    <w:p>
      <w:r>
        <w:t>Step 6: Reporting</w:t>
      </w:r>
    </w:p>
    <w:p>
      <w:r>
        <w:t>Sanctions activity is reported</w:t>
      </w:r>
    </w:p>
    <w:p>
      <w:r>
        <w:t>Reports are submitted to authorities</w:t>
      </w:r>
    </w:p>
    <w:p>
      <w:r>
        <w:t>Reports are retained</w:t>
      </w:r>
    </w:p>
    <w:p>
      <w:r>
        <w:t>Sanctions Enforcement</w:t>
      </w:r>
    </w:p>
    <w:p>
      <w:r>
        <w:t>Enforcement Actions</w:t>
      </w:r>
    </w:p>
    <w:p>
      <w:r>
        <w:t>What This Means in Practice:</w:t>
      </w:r>
    </w:p>
    <w:p>
      <w:r>
        <w:t>Prohibited accounts are frozen</w:t>
      </w:r>
    </w:p>
    <w:p>
      <w:r>
        <w:t>Prohibited transactions are blocked</w:t>
      </w:r>
    </w:p>
    <w:p>
      <w:r>
        <w:t>Relevant authorities are notified</w:t>
      </w:r>
    </w:p>
    <w:p>
      <w:r>
        <w:t>Participant access may be suspended</w:t>
      </w:r>
    </w:p>
    <w:p>
      <w:r>
        <w:t>Example:</w:t>
      </w:r>
    </w:p>
    <w:p>
      <w:r>
        <w:t>A participant is identified as a sanctioned entity. The participant's account is frozen. Any pending transactions are blocked. The matter is reported to the relevant authorities. The participant's access is suspended pending resolution.</w:t>
      </w:r>
    </w:p>
    <w:p>
      <w:r>
        <w:t>Why This Matters:</w:t>
      </w:r>
    </w:p>
    <w:p>
      <w:r>
        <w:t>Enforcement prevents sanctions violations</w:t>
      </w:r>
    </w:p>
    <w:p>
      <w:r>
        <w:t>Freeze protects against prohibited activity</w:t>
      </w:r>
    </w:p>
    <w:p>
      <w:r>
        <w:t>Report ensures regulatory compliance</w:t>
      </w:r>
    </w:p>
    <w:p>
      <w:r>
        <w:t>Suspension prevents further violations</w:t>
      </w:r>
    </w:p>
    <w:p>
      <w:r>
        <w:t>Freeze Procedures</w:t>
      </w:r>
    </w:p>
    <w:p>
      <w:r>
        <w:t>Step 1: Detection</w:t>
      </w:r>
    </w:p>
    <w:p>
      <w:r>
        <w:t>Sanctions match is detected</w:t>
      </w:r>
    </w:p>
    <w:p>
      <w:r>
        <w:t>Match is confirmed</w:t>
      </w:r>
    </w:p>
    <w:p>
      <w:r>
        <w:t>Risk is assessed</w:t>
      </w:r>
    </w:p>
    <w:p>
      <w:r>
        <w:t>Step 2: Notification</w:t>
      </w:r>
    </w:p>
    <w:p>
      <w:r>
        <w:t>Compliance team is notified</w:t>
      </w:r>
    </w:p>
    <w:p>
      <w:r>
        <w:t>Council is notified (if significant)</w:t>
      </w:r>
    </w:p>
    <w:p>
      <w:r>
        <w:t>Relevant authorities are notified</w:t>
      </w:r>
    </w:p>
    <w:p>
      <w:r>
        <w:t>Step 3: Freeze</w:t>
      </w:r>
    </w:p>
    <w:p>
      <w:r>
        <w:t>Account is frozen</w:t>
      </w:r>
    </w:p>
    <w:p>
      <w:r>
        <w:t>Transactions are blocked</w:t>
      </w:r>
    </w:p>
    <w:p>
      <w:r>
        <w:t>Assets are segregated</w:t>
      </w:r>
    </w:p>
    <w:p>
      <w:r>
        <w:t>Step 4: Investigation</w:t>
      </w:r>
    </w:p>
    <w:p>
      <w:r>
        <w:t>Circumstances are investigated</w:t>
      </w:r>
    </w:p>
    <w:p>
      <w:r>
        <w:t>Scope is determined</w:t>
      </w:r>
    </w:p>
    <w:p>
      <w:r>
        <w:t>Additional parties are identified</w:t>
      </w:r>
    </w:p>
    <w:p>
      <w:r>
        <w:t>Step 5: Resolution</w:t>
      </w:r>
    </w:p>
    <w:p>
      <w:r>
        <w:t>Freeze is maintained or lifted</w:t>
      </w:r>
    </w:p>
    <w:p>
      <w:r>
        <w:t>Assets are released or forfeited</w:t>
      </w:r>
    </w:p>
    <w:p>
      <w:r>
        <w:t>Reporting is completed</w:t>
      </w:r>
    </w:p>
    <w:p>
      <w:r>
        <w:t>Step 6: Documentation</w:t>
      </w:r>
    </w:p>
    <w:p>
      <w:r>
        <w:t>Actions are documented</w:t>
      </w:r>
    </w:p>
    <w:p>
      <w:r>
        <w:t>Evidence is retained</w:t>
      </w:r>
    </w:p>
    <w:p>
      <w:r>
        <w:t>Records are maintained</w:t>
      </w:r>
    </w:p>
    <w:p>
      <w:r>
        <w:t>Block Procedures</w:t>
      </w:r>
    </w:p>
    <w:p>
      <w:r>
        <w:t>Step 1: Detection</w:t>
      </w:r>
    </w:p>
    <w:p>
      <w:r>
        <w:t>Transaction is identified as prohibited</w:t>
      </w:r>
    </w:p>
    <w:p>
      <w:r>
        <w:t>Transaction is flagged</w:t>
      </w:r>
    </w:p>
    <w:p>
      <w:r>
        <w:t>Screening is confirmed</w:t>
      </w:r>
    </w:p>
    <w:p>
      <w:r>
        <w:t>Step 2: Block</w:t>
      </w:r>
    </w:p>
    <w:p>
      <w:r>
        <w:t>Transaction is blocked</w:t>
      </w:r>
    </w:p>
    <w:p>
      <w:r>
        <w:t>Confirmation is provided</w:t>
      </w:r>
    </w:p>
    <w:p>
      <w:r>
        <w:t>Parties are notified</w:t>
      </w:r>
    </w:p>
    <w:p>
      <w:r>
        <w:t>Step 3: Investigation</w:t>
      </w:r>
    </w:p>
    <w:p>
      <w:r>
        <w:t>Circumstances are investigated</w:t>
      </w:r>
    </w:p>
    <w:p>
      <w:r>
        <w:t>Additional prohibited activity is identified</w:t>
      </w:r>
    </w:p>
    <w:p>
      <w:r>
        <w:t>Pattern is assessed</w:t>
      </w:r>
    </w:p>
    <w:p>
      <w:r>
        <w:t>Step 4: Reporting</w:t>
      </w:r>
    </w:p>
    <w:p>
      <w:r>
        <w:t>Blocked transaction is reported</w:t>
      </w:r>
    </w:p>
    <w:p>
      <w:r>
        <w:t>Suspicious activity is reported</w:t>
      </w:r>
    </w:p>
    <w:p>
      <w:r>
        <w:t>Records are maintained</w:t>
      </w:r>
    </w:p>
    <w:p>
      <w:r>
        <w:t>Step 5: Resolution</w:t>
      </w:r>
    </w:p>
    <w:p>
      <w:r>
        <w:t>Block is maintained or lifted</w:t>
      </w:r>
    </w:p>
    <w:p>
      <w:r>
        <w:t>Further action is taken if needed</w:t>
      </w:r>
    </w:p>
    <w:p>
      <w:r>
        <w:t>Documentation is completed</w:t>
      </w:r>
    </w:p>
    <w:p>
      <w:r>
        <w:t>Reporting Requirements</w:t>
      </w:r>
    </w:p>
    <w:p>
      <w:r>
        <w:t>Required Reports</w:t>
      </w:r>
    </w:p>
    <w:p>
      <w:r>
        <w:t>What This Means in Practice:</w:t>
      </w:r>
    </w:p>
    <w:p>
      <w:r>
        <w:t>Suspicious activity is reported</w:t>
      </w:r>
    </w:p>
    <w:p>
      <w:r>
        <w:t>Sanctions matches are reported</w:t>
      </w:r>
    </w:p>
    <w:p>
      <w:r>
        <w:t>Blocked transactions are reported</w:t>
      </w:r>
    </w:p>
    <w:p>
      <w:r>
        <w:t>Frozen assets are reported</w:t>
      </w:r>
    </w:p>
    <w:p>
      <w:r>
        <w:t>Compliance is reported regularly</w:t>
      </w:r>
    </w:p>
    <w:p>
      <w:r>
        <w:t>Example:</w:t>
      </w:r>
    </w:p>
    <w:p>
      <w:r>
        <w:t>The Institution identifies a suspicious transaction. A Suspicious Activity Report is prepared and submitted to the Financial Intelligence Unit. The report includes transaction details, parties, and the suspicion. The report is retained as required.</w:t>
      </w:r>
    </w:p>
    <w:p>
      <w:r>
        <w:t>Why This Matters:</w:t>
      </w:r>
    </w:p>
    <w:p>
      <w:r>
        <w:t>Reporting ensures regulatory compliance</w:t>
      </w:r>
    </w:p>
    <w:p>
      <w:r>
        <w:t>Reporting enables enforcement</w:t>
      </w:r>
    </w:p>
    <w:p>
      <w:r>
        <w:t>Reporting protects the Institution</w:t>
      </w:r>
    </w:p>
    <w:p>
      <w:r>
        <w:t>Reporting builds trust with regulators</w:t>
      </w:r>
    </w:p>
    <w:p>
      <w:r>
        <w:t>Reporting Standards</w:t>
      </w:r>
    </w:p>
    <w:p>
      <w:r>
        <w:t>What This Means in Practice:</w:t>
      </w:r>
    </w:p>
    <w:p>
      <w:r>
        <w:t>Reports are timely and accurate</w:t>
      </w:r>
    </w:p>
    <w:p>
      <w:r>
        <w:t>Reports are complete and comprehensive</w:t>
      </w:r>
    </w:p>
    <w:p>
      <w:r>
        <w:t>Reports are confidential and secure</w:t>
      </w:r>
    </w:p>
    <w:p>
      <w:r>
        <w:t>Reports are retained for audit purposes</w:t>
      </w:r>
    </w:p>
    <w:p>
      <w:r>
        <w:t>Example:</w:t>
      </w:r>
    </w:p>
    <w:p>
      <w:r>
        <w:t>A Suspicious Activity Report is submitted within 48 hours of detection. The report includes all required information. The report is handled confidentially. The report is retained for 7 years as required by law.</w:t>
      </w:r>
    </w:p>
    <w:p>
      <w:r>
        <w:t>Why This Matters:</w:t>
      </w:r>
    </w:p>
    <w:p>
      <w:r>
        <w:t>Timeliness ensures prompt action</w:t>
      </w:r>
    </w:p>
    <w:p>
      <w:r>
        <w:t>Accuracy ensures correct decisions</w:t>
      </w:r>
    </w:p>
    <w:p>
      <w:r>
        <w:t>Completeness ensures regulatory compliance</w:t>
      </w:r>
    </w:p>
    <w:p>
      <w:r>
        <w:t>Confidentiality protects investigations</w:t>
      </w:r>
    </w:p>
    <w:p>
      <w:r>
        <w:t>Retention supports audits</w:t>
      </w:r>
    </w:p>
    <w:p>
      <w:r>
        <w:t>Compliance Oversight</w:t>
      </w:r>
    </w:p>
    <w:p>
      <w:r>
        <w:t>Compliance Responsibilities</w:t>
      </w:r>
    </w:p>
    <w:p>
      <w:r>
        <w:t>What This Means in Practice:</w:t>
      </w:r>
    </w:p>
    <w:p>
      <w:r>
        <w:t>The Compliance Team handles day-to-day compliance</w:t>
      </w:r>
    </w:p>
    <w:p>
      <w:r>
        <w:t>The Council oversees compliance performance</w:t>
      </w:r>
    </w:p>
    <w:p>
      <w:r>
        <w:t>The Audit Committee audits compliance</w:t>
      </w:r>
    </w:p>
    <w:p>
      <w:r>
        <w:t>The Risk Committee assesses compliance risk</w:t>
      </w:r>
    </w:p>
    <w:p>
      <w:r>
        <w:t>Example:</w:t>
      </w:r>
    </w:p>
    <w:p>
      <w:r>
        <w:t>The Compliance Team screens participants and transactions daily. The Council reviews compliance performance quarterly. The Audit Committee audits compliance procedures quarterly. The Risk Committee assesses compliance risk quarterly.</w:t>
      </w:r>
    </w:p>
    <w:p>
      <w:r>
        <w:t>Why This Matters:</w:t>
      </w:r>
    </w:p>
    <w:p>
      <w:r>
        <w:t>Clear responsibilities ensure accountability</w:t>
      </w:r>
    </w:p>
    <w:p>
      <w:r>
        <w:t>Oversight ensures compliance effectiveness</w:t>
      </w:r>
    </w:p>
    <w:p>
      <w:r>
        <w:t>Audit ensures compliance integrity</w:t>
      </w:r>
    </w:p>
    <w:p>
      <w:r>
        <w:t>Risk assessment ensures compliance resilience</w:t>
      </w:r>
    </w:p>
    <w:p>
      <w:r>
        <w:t>Compliance Program Elements</w:t>
      </w:r>
    </w:p>
    <w:p>
      <w:r>
        <w:t>What This Means in Practice:</w:t>
      </w:r>
    </w:p>
    <w:p>
      <w:r>
        <w:t>Written policies guide compliance</w:t>
      </w:r>
    </w:p>
    <w:p>
      <w:r>
        <w:t>Staff training ensures awareness</w:t>
      </w:r>
    </w:p>
    <w:p>
      <w:r>
        <w:t>Screening prevents violations</w:t>
      </w:r>
    </w:p>
    <w:p>
      <w:r>
        <w:t>Monitoring detects issues</w:t>
      </w:r>
    </w:p>
    <w:p>
      <w:r>
        <w:t>Reporting ensures transparency</w:t>
      </w:r>
    </w:p>
    <w:p>
      <w:r>
        <w:t>Auditing verifies compliance</w:t>
      </w:r>
    </w:p>
    <w:p>
      <w:r>
        <w:t>Remediation addresses issues</w:t>
      </w:r>
    </w:p>
    <w:p>
      <w:r>
        <w:t>Example:</w:t>
      </w:r>
    </w:p>
    <w:p>
      <w:r>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r>
        <w:t>Why This Matters:</w:t>
      </w:r>
    </w:p>
    <w:p>
      <w:r>
        <w:t>Comprehensive program ensures compliance</w:t>
      </w:r>
    </w:p>
    <w:p>
      <w:r>
        <w:t>Training prevents errors</w:t>
      </w:r>
    </w:p>
    <w:p>
      <w:r>
        <w:t>Monitoring detects issues</w:t>
      </w:r>
    </w:p>
    <w:p>
      <w:r>
        <w:t>Remediation addresses problems</w:t>
      </w:r>
    </w:p>
    <w:p>
      <w:r>
        <w:t>Compliance Escalation</w:t>
      </w:r>
    </w:p>
    <w:p>
      <w:r>
        <w:t>Escalation Process</w:t>
      </w:r>
    </w:p>
    <w:p>
      <w:r>
        <w:t>Level 1: Routine</w:t>
      </w:r>
    </w:p>
    <w:p>
      <w:r>
        <w:t>Standard screening</w:t>
      </w:r>
    </w:p>
    <w:p>
      <w:r>
        <w:t>Standard monitoring</w:t>
      </w:r>
    </w:p>
    <w:p>
      <w:r>
        <w:t>Standard reporting</w:t>
      </w:r>
    </w:p>
    <w:p>
      <w:r>
        <w:t>Level 2: Elevated</w:t>
      </w:r>
    </w:p>
    <w:p>
      <w:r>
        <w:t>Match identified</w:t>
      </w:r>
    </w:p>
    <w:p>
      <w:r>
        <w:t>Elevated review required</w:t>
      </w:r>
    </w:p>
    <w:p>
      <w:r>
        <w:t>Enhanced reporting</w:t>
      </w:r>
    </w:p>
    <w:p>
      <w:r>
        <w:t>Level 3: Critical</w:t>
      </w:r>
    </w:p>
    <w:p>
      <w:r>
        <w:t>Significant match</w:t>
      </w:r>
    </w:p>
    <w:p>
      <w:r>
        <w:t>Emergency action required</w:t>
      </w:r>
    </w:p>
    <w:p>
      <w:r>
        <w:t>Immediate reporting</w:t>
      </w:r>
    </w:p>
    <w:p>
      <w:r>
        <w:t>Level 4: Emergency</w:t>
      </w:r>
    </w:p>
    <w:p>
      <w:r>
        <w:t>Urgent threat</w:t>
      </w:r>
    </w:p>
    <w:p>
      <w:r>
        <w:t>Immediate action</w:t>
      </w:r>
    </w:p>
    <w:p>
      <w:r>
        <w:t>Highest-level reporting</w:t>
      </w:r>
    </w:p>
    <w:p>
      <w:r>
        <w:t>What This Means in Practice:</w:t>
      </w:r>
    </w:p>
    <w:p>
      <w:r>
        <w:t>Different severity levels have different responses</w:t>
      </w:r>
    </w:p>
    <w:p>
      <w:r>
        <w:t>Escalation is triggered by defined criteria</w:t>
      </w:r>
    </w:p>
    <w:p>
      <w:r>
        <w:t>Escalation ensures appropriate attention</w:t>
      </w:r>
    </w:p>
    <w:p>
      <w:r>
        <w:t>Escalation ensures timely action</w:t>
      </w:r>
    </w:p>
    <w:p>
      <w:r>
        <w:t>Example:</w:t>
      </w:r>
    </w:p>
    <w:p>
      <w:r>
        <w:t>A routine screening identifies a potential match. The matter is escalated to Level 2 (elevated). A manual review confirms the match. The matter is escalated to Level 3 (critical). The account is frozen, and authorities are notified.</w:t>
      </w:r>
    </w:p>
    <w:p>
      <w:r>
        <w:t>Why This Matters:</w:t>
      </w:r>
    </w:p>
    <w:p>
      <w:r>
        <w:t>Escalation ensures appropriate response</w:t>
      </w:r>
    </w:p>
    <w:p>
      <w:r>
        <w:t>Defined criteria prevent arbitrary escalation</w:t>
      </w:r>
    </w:p>
    <w:p>
      <w:r>
        <w:t>Timely action prevents violations</w:t>
      </w:r>
    </w:p>
    <w:p>
      <w:r>
        <w:t>Escalation protects the Institution</w:t>
      </w:r>
    </w:p>
    <w:p>
      <w:r>
        <w:t>Summary Table</w:t>
      </w:r>
    </w:p>
    <w:p>
      <w:r>
        <w:t>Constitutional Interpretation</w:t>
      </w:r>
    </w:p>
    <w:p>
      <w:r>
        <w:t>The Sanctions Mechanics policy establishes the operational framework for sanctions compliance:</w:t>
      </w:r>
    </w:p>
    <w:p>
      <w:r>
        <w:t>Mandatory compliance with all applicable sanctions regimes</w:t>
      </w:r>
    </w:p>
    <w:p>
      <w:r>
        <w:t>Neutral compliance that is operational, not political</w:t>
      </w:r>
    </w:p>
    <w:p>
      <w:r>
        <w:t>Transparent compliance with published policies and procedures</w:t>
      </w:r>
    </w:p>
    <w:p>
      <w:r>
        <w:t>Consistent compliance applied to all participants</w:t>
      </w:r>
    </w:p>
    <w:p>
      <w:r>
        <w:t>Real-time screening and continuous monitoring</w:t>
      </w:r>
    </w:p>
    <w:p>
      <w:r>
        <w:t>Freeze, block, report, and suspend as appropriate</w:t>
      </w:r>
    </w:p>
    <w:p>
      <w:r>
        <w:t>Escalation based on severity</w:t>
      </w:r>
    </w:p>
    <w:p>
      <w:r>
        <w:t>Regular reporting and audit</w:t>
      </w:r>
    </w:p>
    <w:p>
      <w:r>
        <w:t>Sanctions compliance is essential to institutional legitimacy and operational viability. It protects the Institution and its participants. It demonstrates that the Institution operates within applicable law. It is a constitutional obligation, not a political choice.</w:t>
      </w:r>
    </w:p>
    <w:p>
      <w:r>
        <w:t>[END OF PART 3, ARTICLE IV — SANCTIONS MECHANICS]</w:t>
      </w:r>
    </w:p>
    <w:p>
      <w:r>
        <w:t>Article V: Risk Tolerances</w:t>
      </w:r>
    </w:p>
    <w:p>
      <w:r>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r>
        <w:t>What This Means in Practice:</w:t>
      </w:r>
    </w:p>
    <w:p>
      <w:r>
        <w:t>The Constitution establishes that risk must be managed</w:t>
      </w:r>
    </w:p>
    <w:p>
      <w:r>
        <w:t>Policy establishes specific risk tolerances</w:t>
      </w:r>
    </w:p>
    <w:p>
      <w:r>
        <w:t>Tolerances are monitored continuously</w:t>
      </w:r>
    </w:p>
    <w:p>
      <w:r>
        <w:t>Breaches trigger defined responses</w:t>
      </w:r>
    </w:p>
    <w:p>
      <w:r>
        <w:t>Tolerances are reviewed and adjusted regularly</w:t>
      </w:r>
    </w:p>
    <w:p>
      <w:r>
        <w:t>Example:</w:t>
      </w:r>
    </w:p>
    <w:p>
      <w:r>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r>
        <w:t>Why This Matters:</w:t>
      </w:r>
    </w:p>
    <w:p>
      <w:r>
        <w:t>Without specific tolerances, risk management is subjective</w:t>
      </w:r>
    </w:p>
    <w:p>
      <w:r>
        <w:t>Without specific tolerances, responses to risk are inconsistent</w:t>
      </w:r>
    </w:p>
    <w:p>
      <w:r>
        <w:t>Without specific tolerances, emerging risks may go undetected</w:t>
      </w:r>
    </w:p>
    <w:p>
      <w:r>
        <w:t>Clear tolerances enable proactive risk management</w:t>
      </w:r>
    </w:p>
    <w:p>
      <w:r>
        <w:t>Clear tolerances maintain institutional stability</w:t>
      </w:r>
    </w:p>
    <w:p>
      <w:r>
        <w:t>Core Principles of Risk Tolerances</w:t>
      </w:r>
    </w:p>
    <w:p>
      <w:pPr>
        <w:pStyle w:val="ListNumber"/>
        <w:ind w:left="425"/>
      </w:pPr>
      <w:r>
        <w:t>Prudence</w:t>
      </w:r>
    </w:p>
    <w:p>
      <w:r>
        <w:t>Tolerances are set conservatively, reflecting prudent risk management.</w:t>
      </w:r>
    </w:p>
    <w:p>
      <w:r>
        <w:t>What This Means in Practice:</w:t>
      </w:r>
    </w:p>
    <w:p>
      <w:r>
        <w:t>Tolerances are conservative</w:t>
      </w:r>
    </w:p>
    <w:p>
      <w:r>
        <w:t>Tolerances are based on worst-case scenarios</w:t>
      </w:r>
    </w:p>
    <w:p>
      <w:r>
        <w:t>Tolerances are stress-tested</w:t>
      </w:r>
    </w:p>
    <w:p>
      <w:r>
        <w:t>Tolerances reflect prudent assumptions</w:t>
      </w:r>
    </w:p>
    <w:p>
      <w:r>
        <w:t>Example:</w:t>
      </w:r>
    </w:p>
    <w:p>
      <w:r>
        <w:t>Policy establishes that NAV volatility of less than 3% is acceptable. This is a conservative threshold that reflects prudent risk management. It ensures that volatility is detected and addressed before it becomes significant.</w:t>
      </w:r>
    </w:p>
    <w:p>
      <w:r>
        <w:t>Why This Matters:</w:t>
      </w:r>
    </w:p>
    <w:p>
      <w:r>
        <w:t>Conservative tolerances protect the Institution</w:t>
      </w:r>
    </w:p>
    <w:p>
      <w:r>
        <w:t>Conservative tolerances maintain stability</w:t>
      </w:r>
    </w:p>
    <w:p>
      <w:r>
        <w:t>Conservative tolerances enable early intervention</w:t>
      </w:r>
    </w:p>
    <w:p>
      <w:r>
        <w:t>Conservative tolerances reflect constitutional prudence</w:t>
      </w:r>
    </w:p>
    <w:p>
      <w:pPr>
        <w:pStyle w:val="ListNumber"/>
        <w:ind w:left="425"/>
      </w:pPr>
      <w:r>
        <w:t>Proportionality</w:t>
      </w:r>
    </w:p>
    <w:p>
      <w:r>
        <w:t>Responses are proportional to risk severity.</w:t>
      </w:r>
    </w:p>
    <w:p>
      <w:r>
        <w:t>What This Means in Practice:</w:t>
      </w:r>
    </w:p>
    <w:p>
      <w:r>
        <w:t>Minor breaches receive measured responses</w:t>
      </w:r>
    </w:p>
    <w:p>
      <w:r>
        <w:t>Major breaches receive escalated responses</w:t>
      </w:r>
    </w:p>
    <w:p>
      <w:r>
        <w:t>Critical breaches receive emergency responses</w:t>
      </w:r>
    </w:p>
    <w:p>
      <w:r>
        <w:t>Responses match risk severity</w:t>
      </w:r>
    </w:p>
    <w:p>
      <w:r>
        <w:t>Example:</w:t>
      </w:r>
    </w:p>
    <w:p>
      <w:r>
        <w:t>A minor breach of the NAV volatility tolerance triggers enhanced monitoring. A major breach triggers Council notification. A critical breach triggers emergency protocols. The response is proportional to the risk.</w:t>
      </w:r>
    </w:p>
    <w:p>
      <w:r>
        <w:t>Why This Matters:</w:t>
      </w:r>
    </w:p>
    <w:p>
      <w:r>
        <w:t>Proportionality prevents over-reaction</w:t>
      </w:r>
    </w:p>
    <w:p>
      <w:r>
        <w:t>Proportionality prevents under-reaction</w:t>
      </w:r>
    </w:p>
    <w:p>
      <w:r>
        <w:t>Proportionality ensures efficient resource allocation</w:t>
      </w:r>
    </w:p>
    <w:p>
      <w:r>
        <w:t>Proportionality maintains operational stability</w:t>
      </w:r>
    </w:p>
    <w:p>
      <w:pPr>
        <w:pStyle w:val="ListNumber"/>
        <w:ind w:left="425"/>
      </w:pPr>
      <w:r>
        <w:t>Transparency</w:t>
      </w:r>
    </w:p>
    <w:p>
      <w:r>
        <w:t>Tolerances are transparent and publicly disclosed.</w:t>
      </w:r>
    </w:p>
    <w:p>
      <w:r>
        <w:t>What This Means in Practice:</w:t>
      </w:r>
    </w:p>
    <w:p>
      <w:r>
        <w:t>Tolerances are published</w:t>
      </w:r>
    </w:p>
    <w:p>
      <w:r>
        <w:t>Tolerances are explained</w:t>
      </w:r>
    </w:p>
    <w:p>
      <w:r>
        <w:t>Tolerances are auditable</w:t>
      </w:r>
    </w:p>
    <w:p>
      <w:r>
        <w:t>Tolerances are reviewed regularly</w:t>
      </w:r>
    </w:p>
    <w:p>
      <w:r>
        <w:t>Example:</w:t>
      </w:r>
    </w:p>
    <w:p>
      <w:r>
        <w:t>The Institution publishes its risk tolerances in its policy manual. The tolerances are explained with rationales. Participants can understand the Institution's risk posture. Tolerances are reviewed annually.</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Continuous Monitoring</w:t>
      </w:r>
    </w:p>
    <w:p>
      <w:r>
        <w:t>Tolerances are monitored continuously.</w:t>
      </w:r>
    </w:p>
    <w:p>
      <w:r>
        <w:t>What This Means in Practice:</w:t>
      </w:r>
    </w:p>
    <w:p>
      <w:r>
        <w:t>Risk metrics are monitored in real-time</w:t>
      </w:r>
    </w:p>
    <w:p>
      <w:r>
        <w:t>Breaches are detected immediately</w:t>
      </w:r>
    </w:p>
    <w:p>
      <w:r>
        <w:t>Alerts are triggered automatically</w:t>
      </w:r>
    </w:p>
    <w:p>
      <w:r>
        <w:t>Monitoring is continuous and comprehensive</w:t>
      </w:r>
    </w:p>
    <w:p>
      <w:r>
        <w:t>Example:</w:t>
      </w:r>
    </w:p>
    <w:p>
      <w:r>
        <w:t>The Institution monitors NAV volatility continuously. If volatility exceeds 3%, an alert is triggered automatically. The alert is investigated immediately. Action is taken if needed.</w:t>
      </w:r>
    </w:p>
    <w:p>
      <w:r>
        <w:t>Why This Matters:</w:t>
      </w:r>
    </w:p>
    <w:p>
      <w:r>
        <w:t>Continuous monitoring enables early detection</w:t>
      </w:r>
    </w:p>
    <w:p>
      <w:r>
        <w:t>Early detection enables early intervention</w:t>
      </w:r>
    </w:p>
    <w:p>
      <w:r>
        <w:t>Early intervention prevents escalation</w:t>
      </w:r>
    </w:p>
    <w:p>
      <w:r>
        <w:t>Continuous monitoring maintains institutional stability</w:t>
      </w:r>
    </w:p>
    <w:p>
      <w:r>
        <w:t>Monetary Risk Tolerances</w:t>
      </w:r>
    </w:p>
    <w:p>
      <w:r>
        <w:t>NAV Volatility</w:t>
      </w:r>
    </w:p>
    <w:p>
      <w:r>
        <w:t>Tolerances for settlement unit value stability:</w:t>
      </w:r>
    </w:p>
    <w:p>
      <w:r>
        <w:t>What This Means in Practice:</w:t>
      </w:r>
    </w:p>
    <w:p>
      <w:r>
        <w:t>NAV volatility is monitored continuously</w:t>
      </w:r>
    </w:p>
    <w:p>
      <w:r>
        <w:t>Volatility below 3% is acceptable</w:t>
      </w:r>
    </w:p>
    <w:p>
      <w:r>
        <w:t>Volatility of 3-5% requires enhanced monitoring and notification</w:t>
      </w:r>
    </w:p>
    <w:p>
      <w:r>
        <w:t>Volatility above 5% triggers emergency protocols</w:t>
      </w:r>
    </w:p>
    <w:p>
      <w:r>
        <w:t>Example:</w:t>
      </w:r>
    </w:p>
    <w:p>
      <w:r>
        <w:t>The Institution's NAV volatility over the past 12 months is 2.5%. This is within the acceptable range. Normal monitoring continues. If volatility rises to 4%, the Risk Committee is notified and enhanced monitoring begins.</w:t>
      </w:r>
    </w:p>
    <w:p>
      <w:r>
        <w:t>Why This Matters:</w:t>
      </w:r>
    </w:p>
    <w:p>
      <w:r>
        <w:t>NAV stability is essential for settlement use</w:t>
      </w:r>
    </w:p>
    <w:p>
      <w:r>
        <w:t>NAV volatility undermines trust</w:t>
      </w:r>
    </w:p>
    <w:p>
      <w:r>
        <w:t>Early detection enables early intervention</w:t>
      </w:r>
    </w:p>
    <w:p>
      <w:r>
        <w:t>Clear tolerances enable consistent response</w:t>
      </w:r>
    </w:p>
    <w:p>
      <w:r>
        <w:t>Reserve Ratio</w:t>
      </w:r>
    </w:p>
    <w:p>
      <w:r>
        <w:t>Tolerances for reserve backing:</w:t>
      </w:r>
    </w:p>
    <w:p>
      <w:r>
        <w:t>What This Means in Practice:</w:t>
      </w:r>
    </w:p>
    <w:p>
      <w:r>
        <w:t>Reserve ratio is monitored daily</w:t>
      </w:r>
    </w:p>
    <w:p>
      <w:r>
        <w:t>Ratio above 105% is acceptable</w:t>
      </w:r>
    </w:p>
    <w:p>
      <w:r>
        <w:t>Ratio of 100-105% requires enhanced monitoring and minting pause</w:t>
      </w:r>
    </w:p>
    <w:p>
      <w:r>
        <w:t>Ratio below 100% triggers emergency protocols</w:t>
      </w:r>
    </w:p>
    <w:p>
      <w:r>
        <w:t>Example:</w:t>
      </w:r>
    </w:p>
    <w:p>
      <w:r>
        <w:t>The Institution's reserve ratio is 105%. This is above 102% and is acceptable. If the ratio falls to 101%, enhanced monitoring begins and minting is paused. If the ratio falls below 100%, emergency protocols are activated.</w:t>
      </w:r>
    </w:p>
    <w:p>
      <w:r>
        <w:t>Why This Matters:</w:t>
      </w:r>
    </w:p>
    <w:p>
      <w:r>
        <w:t>Reserve ratio is the core solvency metric</w:t>
      </w:r>
    </w:p>
    <w:p>
      <w:r>
        <w:t>Reserve ratio decline threatens redemption certainty</w:t>
      </w:r>
    </w:p>
    <w:p>
      <w:r>
        <w:t>Early detection enables early intervention</w:t>
      </w:r>
    </w:p>
    <w:p>
      <w:r>
        <w:t>Clear tolerances enable consistent response</w:t>
      </w:r>
    </w:p>
    <w:p>
      <w:r>
        <w:t>Gold Volatility</w:t>
      </w:r>
    </w:p>
    <w:p>
      <w:r>
        <w:t>Tolerances for gold price volatility:</w:t>
      </w:r>
    </w:p>
    <w:p>
      <w:r>
        <w:t>What This Means in Practice:</w:t>
      </w:r>
    </w:p>
    <w:p>
      <w:r>
        <w:t>Gold price volatility is monitored continuously</w:t>
      </w:r>
    </w:p>
    <w:p>
      <w:r>
        <w:t>Volatility below 5% is acceptable</w:t>
      </w:r>
    </w:p>
    <w:p>
      <w:r>
        <w:t>Volatility of 5-10% requires enhanced monitoring</w:t>
      </w:r>
    </w:p>
    <w:p>
      <w:r>
        <w:t>Volatility above 10% triggers emergency protocols</w:t>
      </w:r>
    </w:p>
    <w:p>
      <w:r>
        <w:t>Example:</w:t>
      </w:r>
    </w:p>
    <w:p>
      <w:r>
        <w:t>The Institution monitors gold price volatility. Gold volatility is 4%. This is within the acceptable range. If gold volatility rises to 8%, the Risk Committee is notified and gold allocation is reviewed.</w:t>
      </w:r>
    </w:p>
    <w:p>
      <w:r>
        <w:t>Why This Matters:</w:t>
      </w:r>
    </w:p>
    <w:p>
      <w:r>
        <w:t>Gold is a significant reserve asset</w:t>
      </w:r>
    </w:p>
    <w:p>
      <w:r>
        <w:t>Gold volatility affects reserve value</w:t>
      </w:r>
    </w:p>
    <w:p>
      <w:r>
        <w:t>Early detection enables early intervention</w:t>
      </w:r>
    </w:p>
    <w:p>
      <w:r>
        <w:t>Clear tolerances enable consistent response</w:t>
      </w:r>
    </w:p>
    <w:p>
      <w:r>
        <w:t>Currency Volatility</w:t>
      </w:r>
    </w:p>
    <w:p>
      <w:r>
        <w:t>Tolerances for currency volatility:</w:t>
      </w:r>
    </w:p>
    <w:p>
      <w:r>
        <w:t>What This Means in Practice:</w:t>
      </w:r>
    </w:p>
    <w:p>
      <w:r>
        <w:t>Currency volatility is monitored continuously</w:t>
      </w:r>
    </w:p>
    <w:p>
      <w:r>
        <w:t>Volatility below 2% is acceptable</w:t>
      </w:r>
    </w:p>
    <w:p>
      <w:r>
        <w:t>Volatility of 2-5% requires enhanced monitoring</w:t>
      </w:r>
    </w:p>
    <w:p>
      <w:r>
        <w:t>Volatility above 5% triggers emergency protocols</w:t>
      </w:r>
    </w:p>
    <w:p>
      <w:r>
        <w:t>Example:</w:t>
      </w:r>
    </w:p>
    <w:p>
      <w:r>
        <w:t>The Institution monitors currency volatility. Currency volatility is 1.5%. This is within the acceptable range. If currency volatility rises to 4%, the Risk Committee is notified and currency allocation is reviewed.</w:t>
      </w:r>
    </w:p>
    <w:p>
      <w:r>
        <w:t>Why This Matters:</w:t>
      </w:r>
    </w:p>
    <w:p>
      <w:r>
        <w:t>Currency volatility affects reserve value</w:t>
      </w:r>
    </w:p>
    <w:p>
      <w:r>
        <w:t>Currency volatility affects basket composition</w:t>
      </w:r>
    </w:p>
    <w:p>
      <w:r>
        <w:t>Early detection enables early intervention</w:t>
      </w:r>
    </w:p>
    <w:p>
      <w:r>
        <w:t>Clear tolerances enable consistent response</w:t>
      </w:r>
    </w:p>
    <w:p>
      <w:r>
        <w:t>Liquidity Risk Tolerances</w:t>
      </w:r>
    </w:p>
    <w:p>
      <w:r>
        <w:t>Liquidity Coverage Ratio</w:t>
      </w:r>
    </w:p>
    <w:p>
      <w:r>
        <w:t>Tolerances for liquidity coverage:</w:t>
      </w:r>
    </w:p>
    <w:p>
      <w:r>
        <w:t>What This Means in Practice:</w:t>
      </w:r>
    </w:p>
    <w:p>
      <w:r>
        <w:t>LCR is monitored daily</w:t>
      </w:r>
    </w:p>
    <w:p>
      <w:r>
        <w:t>LCR above 125% is acceptable</w:t>
      </w:r>
    </w:p>
    <w:p>
      <w:r>
        <w:t>LCR of 100-125% requires enhanced monitoring</w:t>
      </w:r>
    </w:p>
    <w:p>
      <w:r>
        <w:t>LCR below 100% triggers emergency protocols</w:t>
      </w:r>
    </w:p>
    <w:p>
      <w:r>
        <w:t>Example:</w:t>
      </w:r>
    </w:p>
    <w:p>
      <w:r>
        <w:t>The Institution's LCR is 130%. This is above 125% and is acceptable. If LCR falls to 115%, enhanced monitoring begins and liquidity is reviewed. If LCR falls below 100%, emergency protocols are activated.</w:t>
      </w:r>
    </w:p>
    <w:p>
      <w:r>
        <w:t>Why This Matters:</w:t>
      </w:r>
    </w:p>
    <w:p>
      <w:r>
        <w:t>LCR is the key liquidity metric</w:t>
      </w:r>
    </w:p>
    <w:p>
      <w:r>
        <w:t>LCR decline threatens redemption capacity</w:t>
      </w:r>
    </w:p>
    <w:p>
      <w:r>
        <w:t>Early detection enables early intervention</w:t>
      </w:r>
    </w:p>
    <w:p>
      <w:r>
        <w:t>Clear tolerances enable consistent response</w:t>
      </w:r>
    </w:p>
    <w:p>
      <w:r>
        <w:t>Redemption Processing Time</w:t>
      </w:r>
    </w:p>
    <w:p>
      <w:r>
        <w:t>Tolerances for redemption processing:</w:t>
      </w:r>
    </w:p>
    <w:p>
      <w:r>
        <w:t>What This Means in Practice:</w:t>
      </w:r>
    </w:p>
    <w:p>
      <w:r>
        <w:t>Redemption processing time is monitored continuously</w:t>
      </w:r>
    </w:p>
    <w:p>
      <w:r>
        <w:t>Processing time below 1 hour is acceptable</w:t>
      </w:r>
    </w:p>
    <w:p>
      <w:r>
        <w:t>Processing time of 1-4 hours requires enhanced monitoring</w:t>
      </w:r>
    </w:p>
    <w:p>
      <w:r>
        <w:t>Processing time above 4 hours triggers emergency protocols</w:t>
      </w:r>
    </w:p>
    <w:p>
      <w:r>
        <w:t>Example:</w:t>
      </w:r>
    </w:p>
    <w:p>
      <w:r>
        <w:t>The Institution processes redemptions in 30 minutes on average. This is below 1 hour and is acceptable. If processing time rises to 2 hours, enhanced monitoring begins and capacity is reviewed. If processing time rises above 4 hours, emergency protocols are activated.</w:t>
      </w:r>
    </w:p>
    <w:p>
      <w:r>
        <w:t>Why This Matters:</w:t>
      </w:r>
    </w:p>
    <w:p>
      <w:r>
        <w:t>Redemption processing time affects redemption certainty</w:t>
      </w:r>
    </w:p>
    <w:p>
      <w:r>
        <w:t>Delays threaten trust</w:t>
      </w:r>
    </w:p>
    <w:p>
      <w:r>
        <w:t>Early detection enables early intervention</w:t>
      </w:r>
    </w:p>
    <w:p>
      <w:r>
        <w:t>Clear tolerances enable consistent response</w:t>
      </w:r>
    </w:p>
    <w:p>
      <w:r>
        <w:t>Redemption Volume</w:t>
      </w:r>
    </w:p>
    <w:p>
      <w:r>
        <w:t>Tolerances for redemption volume:</w:t>
      </w:r>
    </w:p>
    <w:p>
      <w:r>
        <w:t>What This Means in Practice:</w:t>
      </w:r>
    </w:p>
    <w:p>
      <w:r>
        <w:t>Redemption volume is monitored continuously</w:t>
      </w:r>
    </w:p>
    <w:p>
      <w:r>
        <w:t>Volume below 150% of average is acceptable</w:t>
      </w:r>
    </w:p>
    <w:p>
      <w:r>
        <w:t>Volume of 150-300% requires enhanced monitoring</w:t>
      </w:r>
    </w:p>
    <w:p>
      <w:r>
        <w:t>Volume above 300% triggers emergency protocols</w:t>
      </w:r>
    </w:p>
    <w:p>
      <w:r>
        <w:t>Example:</w:t>
      </w:r>
    </w:p>
    <w:p>
      <w:r>
        <w:t>The Institution's redemption volume is 120% of the 30-day average. This is below 150% and is acceptable. If volume rises to 200%, enhanced monitoring begins and liquidity is reviewed. If volume rises above 300%, emergency protocols are activated.</w:t>
      </w:r>
    </w:p>
    <w:p>
      <w:r>
        <w:t>Why This Matters:</w:t>
      </w:r>
    </w:p>
    <w:p>
      <w:r>
        <w:t>Redemption volume spikes threaten liquidity</w:t>
      </w:r>
    </w:p>
    <w:p>
      <w:r>
        <w:t>Spikes may indicate loss of confidence</w:t>
      </w:r>
    </w:p>
    <w:p>
      <w:r>
        <w:t>Early detection enables early intervention</w:t>
      </w:r>
    </w:p>
    <w:p>
      <w:r>
        <w:t>Clear tolerances enable consistent response</w:t>
      </w:r>
    </w:p>
    <w:p>
      <w:r>
        <w:t>Credit Risk Tolerances</w:t>
      </w:r>
    </w:p>
    <w:p>
      <w:r>
        <w:t>Custodian Concentration</w:t>
      </w:r>
    </w:p>
    <w:p>
      <w:r>
        <w:t>Tolerances for custodian concentration:</w:t>
      </w:r>
    </w:p>
    <w:p>
      <w:r>
        <w:t>What This Means in Practice:</w:t>
      </w:r>
    </w:p>
    <w:p>
      <w:r>
        <w:t>Custodian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with a single custodian. This is below 30% and is acceptable. If concentration rises to 35%, enhanced monitoring begins and custodian review is conducted. If concentration rises above 40%, emergency protocols are activated.</w:t>
      </w:r>
    </w:p>
    <w:p>
      <w:r>
        <w:t>Why This Matters:</w:t>
      </w:r>
    </w:p>
    <w:p>
      <w:r>
        <w:t>Custodian concentration creates risk</w:t>
      </w:r>
    </w:p>
    <w:p>
      <w:r>
        <w:t>Custodian failure threatens reserves</w:t>
      </w:r>
    </w:p>
    <w:p>
      <w:r>
        <w:t>Early detection enables early intervention</w:t>
      </w:r>
    </w:p>
    <w:p>
      <w:r>
        <w:t>Clear tolerances enable consistent response</w:t>
      </w:r>
    </w:p>
    <w:p>
      <w:r>
        <w:t>Jurisdiction Concentration</w:t>
      </w:r>
    </w:p>
    <w:p>
      <w:r>
        <w:t>Tolerances for jurisdiction concentration:</w:t>
      </w:r>
    </w:p>
    <w:p>
      <w:r>
        <w:t>What This Means in Practice:</w:t>
      </w:r>
    </w:p>
    <w:p>
      <w:r>
        <w:t>Jurisdiction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in a single jurisdiction. This is below 30% and is acceptable. If concentration rises to 35%, enhanced monitoring begins and jurisdiction review is conducted. If concentration rises above 40%, emergency protocols are activated.</w:t>
      </w:r>
    </w:p>
    <w:p>
      <w:r>
        <w:t>Why This Matters:</w:t>
      </w:r>
    </w:p>
    <w:p>
      <w:r>
        <w:t>Jurisdiction concentration creates regulatory risk</w:t>
      </w:r>
    </w:p>
    <w:p>
      <w:r>
        <w:t>Jurisdiction freeze threatens reserves</w:t>
      </w:r>
    </w:p>
    <w:p>
      <w:r>
        <w:t>Early detection enables early intervention</w:t>
      </w:r>
    </w:p>
    <w:p>
      <w:r>
        <w:t>Clear tolerances enable consistent response</w:t>
      </w:r>
    </w:p>
    <w:p>
      <w:r>
        <w:t>Stablecoin Issuer Concentration</w:t>
      </w:r>
    </w:p>
    <w:p>
      <w:r>
        <w:t>Tolerances for stablecoin issuer concentration:</w:t>
      </w:r>
    </w:p>
    <w:p>
      <w:r>
        <w:t>What This Means in Practice:</w:t>
      </w:r>
    </w:p>
    <w:p>
      <w:r>
        <w:t>Stablecoin issuer concentration is monitored monthly</w:t>
      </w:r>
    </w:p>
    <w:p>
      <w:r>
        <w:t>Concentration below 15% is acceptable</w:t>
      </w:r>
    </w:p>
    <w:p>
      <w:r>
        <w:t>Concentration of 15-20% requires enhanced monitoring</w:t>
      </w:r>
    </w:p>
    <w:p>
      <w:r>
        <w:t>Concentration above 20% triggers emergency protocols</w:t>
      </w:r>
    </w:p>
    <w:p>
      <w:r>
        <w:t>Example:</w:t>
      </w:r>
    </w:p>
    <w:p>
      <w:r>
        <w:t>The Institution holds 12% of reserves with a single stablecoin issuer. This is below 15% and is acceptable. If concentration rises to 17%, enhanced monitoring begins and issuer review is conducted. If concentration rises above 20%, emergency protocols are activated.</w:t>
      </w:r>
    </w:p>
    <w:p>
      <w:r>
        <w:t>Why This Matters:</w:t>
      </w:r>
    </w:p>
    <w:p>
      <w:r>
        <w:t>Stablecoin issuer failure threatens reserves</w:t>
      </w:r>
    </w:p>
    <w:p>
      <w:r>
        <w:t>Concentration creates risk</w:t>
      </w:r>
    </w:p>
    <w:p>
      <w:r>
        <w:t>Early detection enables early intervention</w:t>
      </w:r>
    </w:p>
    <w:p>
      <w:r>
        <w:t>Clear tolerances enable consistent response</w:t>
      </w:r>
    </w:p>
    <w:p>
      <w:r>
        <w:t>Operational Risk Tolerances</w:t>
      </w:r>
    </w:p>
    <w:p>
      <w:r>
        <w:t>System Uptime</w:t>
      </w:r>
    </w:p>
    <w:p>
      <w:r>
        <w:t>Tolerances for system availability:</w:t>
      </w:r>
    </w:p>
    <w:p>
      <w:r>
        <w:t>What This Means in Practice:</w:t>
      </w:r>
    </w:p>
    <w:p>
      <w:r>
        <w:t>System uptime is monitored continuously</w:t>
      </w:r>
    </w:p>
    <w:p>
      <w:r>
        <w:t>Uptime above 99.99% is acceptable</w:t>
      </w:r>
    </w:p>
    <w:p>
      <w:r>
        <w:t>Uptime of 99.95-99.99% requires enhanced monitoring</w:t>
      </w:r>
    </w:p>
    <w:p>
      <w:r>
        <w:t>Uptime below 99.95% triggers emergency protocols</w:t>
      </w:r>
    </w:p>
    <w:p>
      <w:r>
        <w:t>Example:</w:t>
      </w:r>
    </w:p>
    <w:p>
      <w:r>
        <w:t>The Institution's system uptime is 99.995%. This is above 99.99% and is acceptable. If uptime falls to 99.98%, enhanced monitoring begins and root cause analysis is conducted. If uptime falls below 99.95%, emergency protocols are activated.</w:t>
      </w:r>
    </w:p>
    <w:p>
      <w:r>
        <w:t>Why This Matters:</w:t>
      </w:r>
    </w:p>
    <w:p>
      <w:r>
        <w:t>System uptime affects operational reliability</w:t>
      </w:r>
    </w:p>
    <w:p>
      <w:r>
        <w:t>Outages threaten trust</w:t>
      </w:r>
    </w:p>
    <w:p>
      <w:r>
        <w:t>Early detection enables early intervention</w:t>
      </w:r>
    </w:p>
    <w:p>
      <w:r>
        <w:t>Clear tolerances enable consistent response</w:t>
      </w:r>
    </w:p>
    <w:p>
      <w:r>
        <w:t>Incident Response</w:t>
      </w:r>
    </w:p>
    <w:p>
      <w:r>
        <w:t>Tolerances for incident response:</w:t>
      </w:r>
    </w:p>
    <w:p>
      <w:r>
        <w:t>What This Means in Practice:</w:t>
      </w:r>
    </w:p>
    <w:p>
      <w:r>
        <w:t>Incident response time is monitored continuously</w:t>
      </w:r>
    </w:p>
    <w:p>
      <w:r>
        <w:t>Response below 15 minutes is acceptable</w:t>
      </w:r>
    </w:p>
    <w:p>
      <w:r>
        <w:t>Response of 15-30 minutes requires enhanced monitoring</w:t>
      </w:r>
    </w:p>
    <w:p>
      <w:r>
        <w:t>Response above 30 minutes triggers emergency protocols</w:t>
      </w:r>
    </w:p>
    <w:p>
      <w:r>
        <w:t>Example:</w:t>
      </w:r>
    </w:p>
    <w:p>
      <w:r>
        <w:t>The Institution responds to incidents in 10 minutes and resolves in 45 minutes. This is within acceptable levels. If response time rises to 20 minutes, enhanced monitoring begins. If response time rises above 30 minutes, emergency protocols are activated.</w:t>
      </w:r>
    </w:p>
    <w:p>
      <w:r>
        <w:t>Why This Matters:</w:t>
      </w:r>
    </w:p>
    <w:p>
      <w:r>
        <w:t>Incident response affects operational resilience</w:t>
      </w:r>
    </w:p>
    <w:p>
      <w:r>
        <w:t>Delays threaten stability</w:t>
      </w:r>
    </w:p>
    <w:p>
      <w:r>
        <w:t>Early detection enables early intervention</w:t>
      </w:r>
    </w:p>
    <w:p>
      <w:r>
        <w:t>Clear tolerances enable consistent response</w:t>
      </w:r>
    </w:p>
    <w:p>
      <w:r>
        <w:t>Concentration Risk Tolerances</w:t>
      </w:r>
    </w:p>
    <w:p>
      <w:r>
        <w:t>Single Currency Limit</w:t>
      </w:r>
    </w:p>
    <w:p>
      <w:r>
        <w:t>Tolerances for currency concentration:</w:t>
      </w:r>
    </w:p>
    <w:p>
      <w:r>
        <w:t>What This Means in Practice:</w:t>
      </w:r>
    </w:p>
    <w:p>
      <w:r>
        <w:t>Currency concentration is monitored quarterly</w:t>
      </w:r>
    </w:p>
    <w:p>
      <w:r>
        <w:t>Concentration below 40% is acceptable</w:t>
      </w:r>
    </w:p>
    <w:p>
      <w:r>
        <w:t>Concentration of 40-50% requires enhanced monitoring</w:t>
      </w:r>
    </w:p>
    <w:p>
      <w:r>
        <w:t>Concentration above 50% triggers emergency protocols</w:t>
      </w:r>
    </w:p>
    <w:p>
      <w:r>
        <w:t>Example:</w:t>
      </w:r>
    </w:p>
    <w:p>
      <w:r>
        <w:t>The Institution holds 35% of reserves in a single currency. This is below 40% and is acceptable. If concentration rises to 45%, enhanced monitoring begins and diversification is reviewed. If concentration rises above 50%, emergency protocols are activated.</w:t>
      </w:r>
    </w:p>
    <w:p>
      <w:r>
        <w:t>Why This Matters:</w:t>
      </w:r>
    </w:p>
    <w:p>
      <w:r>
        <w:t>Currency concentration creates risk</w:t>
      </w:r>
    </w:p>
    <w:p>
      <w:r>
        <w:t>Currency devaluation threatens reserves</w:t>
      </w:r>
    </w:p>
    <w:p>
      <w:r>
        <w:t>Early detection enables early intervention</w:t>
      </w:r>
    </w:p>
    <w:p>
      <w:r>
        <w:t>Clear tolerances enable consistent response</w:t>
      </w:r>
    </w:p>
    <w:p>
      <w:r>
        <w:t>Single Asset Class Limit</w:t>
      </w:r>
    </w:p>
    <w:p>
      <w:r>
        <w:t>Tolerances for asset class concentration:</w:t>
      </w:r>
    </w:p>
    <w:p>
      <w:r>
        <w:t>What This Means in Practice:</w:t>
      </w:r>
    </w:p>
    <w:p>
      <w:r>
        <w:t>Asset class concentration is monitored quarterly</w:t>
      </w:r>
    </w:p>
    <w:p>
      <w:r>
        <w:t>Concentration below 50% is acceptable</w:t>
      </w:r>
    </w:p>
    <w:p>
      <w:r>
        <w:t>Concentration of 50-60% requires enhanced monitoring</w:t>
      </w:r>
    </w:p>
    <w:p>
      <w:r>
        <w:t>Concentration above 60% triggers emergency protocols</w:t>
      </w:r>
    </w:p>
    <w:p>
      <w:r>
        <w:t>Example:</w:t>
      </w:r>
    </w:p>
    <w:p>
      <w:r>
        <w:t>The Institution holds 45% of reserves in cash. This is below 50% and is acceptable. If cash concentration rises to 55%, enhanced monitoring begins and allocation is reviewed. If concentration rises above 60%, emergency protocols are activated.</w:t>
      </w:r>
    </w:p>
    <w:p>
      <w:r>
        <w:t>Why This Matters:</w:t>
      </w:r>
    </w:p>
    <w:p>
      <w:r>
        <w:t>Asset class concentration creates risk</w:t>
      </w:r>
    </w:p>
    <w:p>
      <w:r>
        <w:t>Asset class decline threatens reserves</w:t>
      </w:r>
    </w:p>
    <w:p>
      <w:r>
        <w:t>Early detection enables early intervention</w:t>
      </w:r>
    </w:p>
    <w:p>
      <w:r>
        <w:t>Clear tolerances enable consistent response</w:t>
      </w:r>
    </w:p>
    <w:p>
      <w:r>
        <w:t>Legal and Regulatory Risk Tolerances</w:t>
      </w:r>
    </w:p>
    <w:p>
      <w:r>
        <w:t>Regulatory Compliance</w:t>
      </w:r>
    </w:p>
    <w:p>
      <w:r>
        <w:t>Tolerances for regulatory compliance:</w:t>
      </w:r>
    </w:p>
    <w:p>
      <w:r>
        <w:t>What This Means in Practice:</w:t>
      </w:r>
    </w:p>
    <w:p>
      <w:r>
        <w:t>Regulatory compliance is monitored continuously</w:t>
      </w:r>
    </w:p>
    <w:p>
      <w:r>
        <w:t>Full compliance is acceptable</w:t>
      </w:r>
    </w:p>
    <w:p>
      <w:r>
        <w:t>Minor findings require enhanced monitoring</w:t>
      </w:r>
    </w:p>
    <w:p>
      <w:r>
        <w:t>Material findings trigger emergency protocols</w:t>
      </w:r>
    </w:p>
    <w:p>
      <w:r>
        <w:t>Example:</w:t>
      </w:r>
    </w:p>
    <w:p>
      <w:r>
        <w:t>The Institution is fully compliant with all applicable regulations. This is acceptable. If a minor finding is identified, enhanced monitoring and remediation begin. If a material finding is identified, emergency protocols are activated.</w:t>
      </w:r>
    </w:p>
    <w:p>
      <w:r>
        <w:t>Why This Matters:</w:t>
      </w:r>
    </w:p>
    <w:p>
      <w:r>
        <w:t>Regulatory compliance is essential</w:t>
      </w:r>
    </w:p>
    <w:p>
      <w:r>
        <w:t>Non-compliance threatens institutional viability</w:t>
      </w:r>
    </w:p>
    <w:p>
      <w:r>
        <w:t>Early detection enables early intervention</w:t>
      </w:r>
    </w:p>
    <w:p>
      <w:r>
        <w:t>Clear tolerances enable consistent response</w:t>
      </w:r>
    </w:p>
    <w:p>
      <w:r>
        <w:t>Sanctions Status</w:t>
      </w:r>
    </w:p>
    <w:p>
      <w:r>
        <w:t>Tolerances for sanctions compliance:</w:t>
      </w:r>
    </w:p>
    <w:p>
      <w:r>
        <w:t>What This Means in Practice:</w:t>
      </w:r>
    </w:p>
    <w:p>
      <w:r>
        <w:t>Sanctions compliance is monitored continuously</w:t>
      </w:r>
    </w:p>
    <w:p>
      <w:r>
        <w:t>No matches is acceptable</w:t>
      </w:r>
    </w:p>
    <w:p>
      <w:r>
        <w:t>Potential matches require enhanced monitoring</w:t>
      </w:r>
    </w:p>
    <w:p>
      <w:r>
        <w:t>Confirmed matches trigger emergency protocols</w:t>
      </w:r>
    </w:p>
    <w:p>
      <w:r>
        <w:t>Example:</w:t>
      </w:r>
    </w:p>
    <w:p>
      <w:r>
        <w:t>The Institution has no sanctions matches. This is acceptable. If a potential match is identified, enhanced monitoring and investigation begin. If a confirmed match is identified, emergency protocols are activated.</w:t>
      </w:r>
    </w:p>
    <w:p>
      <w:r>
        <w:t>Why This Matters:</w:t>
      </w:r>
    </w:p>
    <w:p>
      <w:r>
        <w:t>Sanctions compliance is essential</w:t>
      </w:r>
    </w:p>
    <w:p>
      <w:r>
        <w:t>Violations threaten institutional viability</w:t>
      </w:r>
    </w:p>
    <w:p>
      <w:r>
        <w:t>Early detection enables early intervention</w:t>
      </w:r>
    </w:p>
    <w:p>
      <w:r>
        <w:t>Clear tolerances enable consistent response</w:t>
      </w:r>
    </w:p>
    <w:p>
      <w:r>
        <w:t>Risk Tolerance Summary Table</w:t>
      </w:r>
    </w:p>
    <w:p>
      <w:r>
        <w:t>Monitoring and Reporting</w:t>
      </w:r>
    </w:p>
    <w:p>
      <w:r>
        <w:t>Monitoring Frequency</w:t>
      </w:r>
    </w:p>
    <w:p>
      <w:r>
        <w:t>Escalation Triggers</w:t>
      </w:r>
    </w:p>
    <w:p>
      <w:r>
        <w:t>Constitutional Interpretation</w:t>
      </w:r>
    </w:p>
    <w:p>
      <w:r>
        <w:t>The Risk Tolerances policy establishes the operational framework for risk management:</w:t>
      </w:r>
    </w:p>
    <w:p>
      <w:r>
        <w:t>NAV volatility: acceptable &lt;3%, elevated 3-5%, critical &gt;5%</w:t>
      </w:r>
    </w:p>
    <w:p>
      <w:r>
        <w:t>Reserve ratio: acceptable &gt;105%, elevated 100-105%, critical &lt;100%</w:t>
      </w:r>
    </w:p>
    <w:p>
      <w:r>
        <w:t>Gold volatility: acceptable &lt;5%, elevated 5-10%, critical &gt;10%</w:t>
      </w:r>
    </w:p>
    <w:p>
      <w:r>
        <w:t>Currency volatility: acceptable &lt;2%, elevated 2-5%, critical &gt;5%</w:t>
      </w:r>
    </w:p>
    <w:p>
      <w:r>
        <w:t>LCR: acceptable &gt;125%, elevated 100-125%, critical &lt;100%</w:t>
      </w:r>
    </w:p>
    <w:p>
      <w:r>
        <w:t>Redemption processing: acceptable &lt;1 hour, elevated 1-4 hours, critical &gt;4 hours</w:t>
      </w:r>
    </w:p>
    <w:p>
      <w:r>
        <w:t>Concentration limits for custodians, jurisdictions, currencies, and asset classes</w:t>
      </w:r>
    </w:p>
    <w:p>
      <w:r>
        <w:t>Operational and compliance tolerances</w:t>
      </w:r>
    </w:p>
    <w:p>
      <w:r>
        <w:t>Tolerances are monitored continuously. Breaches trigger defined responses. Responses are proportional to severity. Tolerances are reviewed and adjusted regularly. The risk tolerance framework enables proactive risk management and maintains institutional stability.</w:t>
      </w:r>
    </w:p>
    <w:p>
      <w:r>
        <w:t>[END OF PART 3, ARTICLE V — RISK TOLERANCES]</w:t>
      </w:r>
    </w:p>
    <w:p>
      <w:r>
        <w:t>Article VI: Maturity Stages</w:t>
      </w:r>
    </w:p>
    <w:p>
      <w:r>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r>
        <w:t>What This Means in Practice:</w:t>
      </w:r>
    </w:p>
    <w:p>
      <w:r>
        <w:t>The Constitution establishes that the Institution has a lifecycle</w:t>
      </w:r>
    </w:p>
    <w:p>
      <w:r>
        <w:t>Policy defines the specific stages and their characteristics</w:t>
      </w:r>
    </w:p>
    <w:p>
      <w:r>
        <w:t>Each stage has defined requirements and governance</w:t>
      </w:r>
    </w:p>
    <w:p>
      <w:r>
        <w:t>Transitions between stages follow defined criteria</w:t>
      </w:r>
    </w:p>
    <w:p>
      <w:r>
        <w:t>The framework enables planning and accountability</w:t>
      </w:r>
    </w:p>
    <w:p>
      <w:r>
        <w:t>Example:</w:t>
      </w:r>
    </w:p>
    <w:p>
      <w:r>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r>
        <w:t>Why This Matters:</w:t>
      </w:r>
    </w:p>
    <w:p>
      <w:r>
        <w:t>Without defined stages, the Institution's evolution is unclear</w:t>
      </w:r>
    </w:p>
    <w:p>
      <w:r>
        <w:t>Without defined stages, transitions are arbitrary</w:t>
      </w:r>
    </w:p>
    <w:p>
      <w:r>
        <w:t>Without defined stages, accountability is compromised</w:t>
      </w:r>
    </w:p>
    <w:p>
      <w:r>
        <w:t>Without defined stages, participants cannot plan</w:t>
      </w:r>
    </w:p>
    <w:p>
      <w:r>
        <w:t>Clear stages enable effective governance and institutional development</w:t>
      </w:r>
    </w:p>
    <w:p>
      <w:r>
        <w:t>Core Principles of Maturity Stages</w:t>
      </w:r>
    </w:p>
    <w:p>
      <w:pPr>
        <w:pStyle w:val="ListNumber"/>
        <w:ind w:left="425"/>
      </w:pPr>
      <w:r>
        <w:t>Constitutional Supremacy</w:t>
      </w:r>
    </w:p>
    <w:p>
      <w:r>
        <w:t>All stages operate within constitutional constraints.</w:t>
      </w:r>
    </w:p>
    <w:p>
      <w:r>
        <w:t>What This Means in Practice:</w:t>
      </w:r>
    </w:p>
    <w:p>
      <w:r>
        <w:t>No stage can violate constitutional invariants</w:t>
      </w:r>
    </w:p>
    <w:p>
      <w:r>
        <w:t>No stage can suspend constitutional protections</w:t>
      </w:r>
    </w:p>
    <w:p>
      <w:r>
        <w:t>No stage can exceed constitutional authority</w:t>
      </w:r>
    </w:p>
    <w:p>
      <w:r>
        <w:t>All stages preserve constitutional identity</w:t>
      </w:r>
    </w:p>
    <w:p>
      <w:r>
        <w:t>Example:</w:t>
      </w:r>
    </w:p>
    <w:p>
      <w:r>
        <w:t>Even in the Emergency stage, the Institution maintains 100% reserves, honors redemptions, and preserves constitutional principles. The Emergency stage is about preserving the Institution, not suspending constitutional protections.</w:t>
      </w:r>
    </w:p>
    <w:p>
      <w:r>
        <w:t>Why This Matters:</w:t>
      </w:r>
    </w:p>
    <w:p>
      <w:r>
        <w:t>Constitutional supremacy preserves institutional integrity</w:t>
      </w:r>
    </w:p>
    <w:p>
      <w:r>
        <w:t>Constitutional supremacy prevents stage drift</w:t>
      </w:r>
    </w:p>
    <w:p>
      <w:r>
        <w:t>Constitutional supremacy maintains the hierarchy of governance</w:t>
      </w:r>
    </w:p>
    <w:p>
      <w:r>
        <w:t>Constitutional supremacy protects constitutional principles</w:t>
      </w:r>
    </w:p>
    <w:p>
      <w:pPr>
        <w:pStyle w:val="ListNumber"/>
        <w:ind w:left="425"/>
      </w:pPr>
      <w:r>
        <w:t>Predictable Adaptation</w:t>
      </w:r>
    </w:p>
    <w:p>
      <w:r>
        <w:t>Stage transitions follow predictable processes.</w:t>
      </w:r>
    </w:p>
    <w:p>
      <w:r>
        <w:t>What This Means in Practice:</w:t>
      </w:r>
    </w:p>
    <w:p>
      <w:r>
        <w:t>Transitions are defined in advance</w:t>
      </w:r>
    </w:p>
    <w:p>
      <w:r>
        <w:t>Transitions follow clear criteria</w:t>
      </w:r>
    </w:p>
    <w:p>
      <w:r>
        <w:t>Transitions are transparent and documented</w:t>
      </w:r>
    </w:p>
    <w:p>
      <w:r>
        <w:t>Transitions enable planning and preparation</w:t>
      </w:r>
    </w:p>
    <w:p>
      <w:r>
        <w:t>Example:</w:t>
      </w:r>
    </w:p>
    <w:p>
      <w:r>
        <w:t>The transition from Formation to Operational stage requires full operational capability, all reserves in place, all governance bodies active, and all compliance procedures active. Participants know the criteria and can track progress.</w:t>
      </w:r>
    </w:p>
    <w:p>
      <w:r>
        <w:t>Why This Matters:</w:t>
      </w:r>
    </w:p>
    <w:p>
      <w:r>
        <w:t>Predictable transitions enable planning</w:t>
      </w:r>
    </w:p>
    <w:p>
      <w:r>
        <w:t>Predictable transitions maintain stability</w:t>
      </w:r>
    </w:p>
    <w:p>
      <w:r>
        <w:t>Predictable transitions build trust</w:t>
      </w:r>
    </w:p>
    <w:p>
      <w:r>
        <w:t>Predictable transitions prevent arbitrary change</w:t>
      </w:r>
    </w:p>
    <w:p>
      <w:pPr>
        <w:pStyle w:val="ListNumber"/>
        <w:ind w:left="425"/>
      </w:pPr>
      <w:r>
        <w:t>Transparency</w:t>
      </w:r>
    </w:p>
    <w:p>
      <w:r>
        <w:t>Stage status and transitions are transparent.</w:t>
      </w:r>
    </w:p>
    <w:p>
      <w:r>
        <w:t>What This Means in Practice:</w:t>
      </w:r>
    </w:p>
    <w:p>
      <w:r>
        <w:t>Current stage is publicly disclosed</w:t>
      </w:r>
    </w:p>
    <w:p>
      <w:r>
        <w:t>Stage characteristics are published</w:t>
      </w:r>
    </w:p>
    <w:p>
      <w:r>
        <w:t>Transition criteria are disclosed</w:t>
      </w:r>
    </w:p>
    <w:p>
      <w:r>
        <w:t>Progress is reported</w:t>
      </w:r>
    </w:p>
    <w:p>
      <w:r>
        <w:t>Example:</w:t>
      </w:r>
    </w:p>
    <w:p>
      <w:r>
        <w:t>The Institution publishes its current stage and the criteria for transition to the next stage. Participants can understand the Institution's evolution and track progress.</w:t>
      </w:r>
    </w:p>
    <w:p>
      <w:r>
        <w:t>Why This Matters:</w:t>
      </w:r>
    </w:p>
    <w:p>
      <w:r>
        <w:t>Transparency builds trust</w:t>
      </w:r>
    </w:p>
    <w:p>
      <w:r>
        <w:t>Transparency enables verification</w:t>
      </w:r>
    </w:p>
    <w:p>
      <w:r>
        <w:t>Transparency ensures accountability</w:t>
      </w:r>
    </w:p>
    <w:p>
      <w:r>
        <w:t>Transparency prevents arbitrary transitions</w:t>
      </w:r>
    </w:p>
    <w:p>
      <w:pPr>
        <w:pStyle w:val="ListNumber"/>
        <w:ind w:left="425"/>
      </w:pPr>
      <w:r>
        <w:t>Accountability</w:t>
      </w:r>
    </w:p>
    <w:p>
      <w:r>
        <w:t>Stage transitions are subject to appropriate approval.</w:t>
      </w:r>
    </w:p>
    <w:p>
      <w:r>
        <w:t>What This Means in Practice:</w:t>
      </w:r>
    </w:p>
    <w:p>
      <w:r>
        <w:t>Transitions require defined approvals</w:t>
      </w:r>
    </w:p>
    <w:p>
      <w:r>
        <w:t>Approvals are documented</w:t>
      </w:r>
    </w:p>
    <w:p>
      <w:r>
        <w:t>Approvals are transparent</w:t>
      </w:r>
    </w:p>
    <w:p>
      <w:r>
        <w:t>Approvals are subject to review</w:t>
      </w:r>
    </w:p>
    <w:p>
      <w:r>
        <w:t>Example:</w:t>
      </w:r>
    </w:p>
    <w:p>
      <w:r>
        <w:t>The transition from Formation to Operational stage requires Council approval. The transition is documented and published. Participants can verify that the transition met all criteria.</w:t>
      </w:r>
    </w:p>
    <w:p>
      <w:r>
        <w:t>Why This Matters:</w:t>
      </w:r>
    </w:p>
    <w:p>
      <w:r>
        <w:t>Accountability ensures proper transitions</w:t>
      </w:r>
    </w:p>
    <w:p>
      <w:r>
        <w:t>Accountability prevents arbitrary transitions</w:t>
      </w:r>
    </w:p>
    <w:p>
      <w:r>
        <w:t>Accountability maintains institutional integrity</w:t>
      </w:r>
    </w:p>
    <w:p>
      <w:r>
        <w:t>Accountability builds trust</w:t>
      </w:r>
    </w:p>
    <w:p>
      <w:r>
        <w:t>The Seven Stages</w:t>
      </w:r>
    </w:p>
    <w:p>
      <w:r>
        <w:t>Stage 1: Formation</w:t>
      </w:r>
    </w:p>
    <w:p>
      <w:r>
        <w:t>Establishment of the Institution</w:t>
      </w:r>
    </w:p>
    <w:p>
      <w:r>
        <w:t>What This Means in Practice:</w:t>
      </w:r>
    </w:p>
    <w:p>
      <w:r>
        <w:t>Governance is established</w:t>
      </w:r>
    </w:p>
    <w:p>
      <w:r>
        <w:t>Reserves are established</w:t>
      </w:r>
    </w:p>
    <w:p>
      <w:r>
        <w:t>Operational readiness is achieved</w:t>
      </w:r>
    </w:p>
    <w:p>
      <w:r>
        <w:t>Legal structure is established</w:t>
      </w:r>
    </w:p>
    <w:p>
      <w:r>
        <w:t>Initial participants are onboarded</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Requirements:</w:t>
      </w:r>
    </w:p>
    <w:p>
      <w:r>
        <w:t>Governance bodies appointed and active</w:t>
      </w:r>
    </w:p>
    <w:p>
      <w:r>
        <w:t>Reserves established at minimum level</w:t>
      </w:r>
    </w:p>
    <w:p>
      <w:r>
        <w:t>Operational infrastructure operational</w:t>
      </w:r>
    </w:p>
    <w:p>
      <w:r>
        <w:t>Legal compliance achieved</w:t>
      </w:r>
    </w:p>
    <w:p>
      <w:r>
        <w:t>Initial participants onboarded</w:t>
      </w:r>
    </w:p>
    <w:p>
      <w:r>
        <w:t>Governance:</w:t>
      </w:r>
    </w:p>
    <w:p>
      <w:r>
        <w:t>Formation Committee oversees the process</w:t>
      </w:r>
    </w:p>
    <w:p>
      <w:r>
        <w:t>Council takes over upon operational readiness</w:t>
      </w:r>
    </w:p>
    <w:p>
      <w:r>
        <w:t>Initial appointments are transitional</w:t>
      </w:r>
    </w:p>
    <w:p>
      <w:r>
        <w:t>Duration:</w:t>
      </w:r>
    </w:p>
    <w:p>
      <w:r>
        <w:t>As required to achieve operational readiness</w:t>
      </w:r>
    </w:p>
    <w:p>
      <w:r>
        <w:t>Typically 6-18 months</w:t>
      </w:r>
    </w:p>
    <w:p>
      <w:r>
        <w:t>Defined by milestones, not time</w:t>
      </w:r>
    </w:p>
    <w:p>
      <w:r>
        <w:t>Example:</w:t>
      </w:r>
    </w:p>
    <w:p>
      <w:r>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r>
        <w:t>Rationale:</w:t>
      </w:r>
    </w:p>
    <w:p>
      <w:r>
        <w:t>Formation establishes the Institution's foundation</w:t>
      </w:r>
    </w:p>
    <w:p>
      <w:r>
        <w:t>Proper formation ensures long-term viability</w:t>
      </w:r>
    </w:p>
    <w:p>
      <w:r>
        <w:t>Milestone-based completion ensures readiness</w:t>
      </w:r>
    </w:p>
    <w:p>
      <w:r>
        <w:t>Transition to Operational stage only when ready</w:t>
      </w:r>
    </w:p>
    <w:p>
      <w:r>
        <w:t>Transition Criteria:</w:t>
      </w:r>
    </w:p>
    <w:p>
      <w:r>
        <w:t>All governance bodies appointed and active</w:t>
      </w:r>
    </w:p>
    <w:p>
      <w:r>
        <w:t>Reserves established at constitutional minimum</w:t>
      </w:r>
    </w:p>
    <w:p>
      <w:r>
        <w:t>Operational infrastructure operational</w:t>
      </w:r>
    </w:p>
    <w:p>
      <w:r>
        <w:t>Legal compliance achieved</w:t>
      </w:r>
    </w:p>
    <w:p>
      <w:r>
        <w:t>Initial participants onboarded</w:t>
      </w:r>
    </w:p>
    <w:p>
      <w:r>
        <w:t>Council approval obtained</w:t>
      </w:r>
    </w:p>
    <w:p>
      <w:r>
        <w:t>Transition Approval:</w:t>
      </w:r>
    </w:p>
    <w:p>
      <w:r>
        <w:t>Council approves transition</w:t>
      </w:r>
    </w:p>
    <w:p>
      <w:r>
        <w:t>Independent Review Panel confirms</w:t>
      </w:r>
    </w:p>
    <w:p>
      <w:r>
        <w:t>Transition is published</w:t>
      </w:r>
    </w:p>
    <w:p>
      <w:r>
        <w:t>Stage 2: Operational</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Normal operations are the default state</w:t>
      </w:r>
    </w:p>
    <w:p>
      <w:r>
        <w:t>Characteristics:</w:t>
      </w:r>
    </w:p>
    <w:p>
      <w:r>
        <w:t>Normal settlement operations</w:t>
      </w:r>
    </w:p>
    <w:p>
      <w:r>
        <w:t>Normal reserve management</w:t>
      </w:r>
    </w:p>
    <w:p>
      <w:r>
        <w:t>Normal governance</w:t>
      </w:r>
    </w:p>
    <w:p>
      <w:r>
        <w:t>Normal compliance</w:t>
      </w:r>
    </w:p>
    <w:p>
      <w:r>
        <w:t>Normal transparency</w:t>
      </w:r>
    </w:p>
    <w:p>
      <w:r>
        <w:t>Requirements:</w:t>
      </w:r>
    </w:p>
    <w:p>
      <w:r>
        <w:t>Full operational capability</w:t>
      </w:r>
    </w:p>
    <w:p>
      <w:r>
        <w:t>All reserves in place</w:t>
      </w:r>
    </w:p>
    <w:p>
      <w:r>
        <w:t>All governance bodies active</w:t>
      </w:r>
    </w:p>
    <w:p>
      <w:r>
        <w:t>All compliance procedures active</w:t>
      </w:r>
    </w:p>
    <w:p>
      <w:r>
        <w:t>Full transparency and reporting</w:t>
      </w:r>
    </w:p>
    <w:p>
      <w:r>
        <w:t>Governance:</w:t>
      </w:r>
    </w:p>
    <w:p>
      <w:r>
        <w:t>Normal governance by all bodies</w:t>
      </w:r>
    </w:p>
    <w:p>
      <w:r>
        <w:t>Full constitutional protections apply</w:t>
      </w:r>
    </w:p>
    <w:p>
      <w:r>
        <w:t>Regular reporting and accountability</w:t>
      </w:r>
    </w:p>
    <w:p>
      <w:r>
        <w:t>Duration:</w:t>
      </w:r>
    </w:p>
    <w:p>
      <w:r>
        <w:t>Indefinite, so long as conditions permit</w:t>
      </w:r>
    </w:p>
    <w:p>
      <w:r>
        <w:t>The default stage of the Institution</w:t>
      </w:r>
    </w:p>
    <w:p>
      <w:r>
        <w:t>Continues until transition to another stage</w:t>
      </w:r>
    </w:p>
    <w:p>
      <w:r>
        <w:t>Example:</w:t>
      </w:r>
    </w:p>
    <w:p>
      <w:r>
        <w:t>The Institution is in the Operational stage. It settles trades, maintains reserves, publishes proof of reserves, and is governed by the Council. This is the ordinary state of the Institution. It remains in this stage indefinitely.</w:t>
      </w:r>
    </w:p>
    <w:p>
      <w:r>
        <w:t>Rationale:</w:t>
      </w:r>
    </w:p>
    <w:p>
      <w:r>
        <w:t>Operational stage is the Institution's natural state</w:t>
      </w:r>
    </w:p>
    <w:p>
      <w:r>
        <w:t>The Institution exists to operate</w:t>
      </w:r>
    </w:p>
    <w:p>
      <w:r>
        <w:t>Indefinite duration provides stability</w:t>
      </w:r>
    </w:p>
    <w:p>
      <w:r>
        <w:t>Transitions only occur when necessary</w:t>
      </w:r>
    </w:p>
    <w:p>
      <w:r>
        <w:t>Transition Criteria:</w:t>
      </w:r>
    </w:p>
    <w:p>
      <w:r>
        <w:t>Transition to Expansion: Opportunity identified, Council approval</w:t>
      </w:r>
    </w:p>
    <w:p>
      <w:r>
        <w:t>Transition to Emergency: Emergency event, automatic or Council</w:t>
      </w:r>
    </w:p>
    <w:p>
      <w:r>
        <w:t>Transition to Resolution: Invariants permanently unattainable, Council + Independent Review Panel</w:t>
      </w:r>
    </w:p>
    <w:p>
      <w:r>
        <w:t>Transition to Succession: Voluntary transfer, Council + Independent Review Panel + Supermajority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Requirements:</w:t>
      </w:r>
    </w:p>
    <w:p>
      <w:r>
        <w:t>Successful Operational stage</w:t>
      </w:r>
    </w:p>
    <w:p>
      <w:r>
        <w:t>Demonstrated capability</w:t>
      </w:r>
    </w:p>
    <w:p>
      <w:r>
        <w:t>Identified opportunities</w:t>
      </w:r>
    </w:p>
    <w:p>
      <w:r>
        <w:t>Constitutional compatibility confirmed</w:t>
      </w:r>
    </w:p>
    <w:p>
      <w:r>
        <w:t>Council approval obtained</w:t>
      </w:r>
    </w:p>
    <w:p>
      <w:r>
        <w:t>Governance:</w:t>
      </w:r>
    </w:p>
    <w:p>
      <w:r>
        <w:t>Council approves expansion</w:t>
      </w:r>
    </w:p>
    <w:p>
      <w:r>
        <w:t>Policy defines expansion criteria</w:t>
      </w:r>
    </w:p>
    <w:p>
      <w:r>
        <w:t>Constitutional constraints apply</w:t>
      </w:r>
    </w:p>
    <w:p>
      <w:r>
        <w:t>Duration:</w:t>
      </w:r>
    </w:p>
    <w:p>
      <w:r>
        <w:t>Ongoing, as opportunities arise</w:t>
      </w:r>
    </w:p>
    <w:p>
      <w:r>
        <w:t>Managed through Policy</w:t>
      </w:r>
    </w:p>
    <w:p>
      <w:r>
        <w:t>Subject to constitutional constraints</w:t>
      </w:r>
    </w:p>
    <w:p>
      <w:r>
        <w:t>Example:</w:t>
      </w:r>
    </w:p>
    <w:p>
      <w:r>
        <w:t>The Institution expands from the UAE to Singapore and the UK. New participants are onboarded. The Institution's constitutional principles remain unchanged. Expansion is consistent with the constitutional purpose.</w:t>
      </w:r>
    </w:p>
    <w:p>
      <w:r>
        <w:t>Rationale:</w:t>
      </w:r>
    </w:p>
    <w:p>
      <w:r>
        <w:t>Expansion enables institutional growth</w:t>
      </w:r>
    </w:p>
    <w:p>
      <w:r>
        <w:t>Expansion increases institutional impact</w:t>
      </w:r>
    </w:p>
    <w:p>
      <w:r>
        <w:t>Expansion is governed by policy</w:t>
      </w:r>
    </w:p>
    <w:p>
      <w:r>
        <w:t>Constitutional constraints prevent drift</w:t>
      </w:r>
    </w:p>
    <w:p>
      <w:r>
        <w:t>Transition Criteria:</w:t>
      </w:r>
    </w:p>
    <w:p>
      <w:r>
        <w:t>Transition to Operational: Expansion complete, return to normal operations</w:t>
      </w:r>
    </w:p>
    <w:p>
      <w:r>
        <w:t>Transition to Emergency: Emergency event during expansion, automatic or Council</w:t>
      </w:r>
    </w:p>
    <w:p>
      <w:r>
        <w:t>Transition to Resolution: Invariants permanently unattainable during expansion, Council + Independent Review Panel</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Requirements:</w:t>
      </w:r>
    </w:p>
    <w:p>
      <w:r>
        <w:t>Emergency trigger</w:t>
      </w:r>
    </w:p>
    <w:p>
      <w:r>
        <w:t>Defined activation</w:t>
      </w:r>
    </w:p>
    <w:p>
      <w:r>
        <w:t>Limited governance</w:t>
      </w:r>
    </w:p>
    <w:p>
      <w:r>
        <w:t>Preservation focus</w:t>
      </w:r>
    </w:p>
    <w:p>
      <w:r>
        <w:t>Governance:</w:t>
      </w:r>
    </w:p>
    <w:p>
      <w:r>
        <w:t>Emergency Custodian (if Council unavailable)</w:t>
      </w:r>
    </w:p>
    <w:p>
      <w:r>
        <w:t>Council (if available)</w:t>
      </w:r>
    </w:p>
    <w:p>
      <w:r>
        <w:t>Focus on preservation</w:t>
      </w:r>
    </w:p>
    <w:p>
      <w:r>
        <w:t>Duration:</w:t>
      </w:r>
    </w:p>
    <w:p>
      <w:r>
        <w:t>Limited duration</w:t>
      </w:r>
    </w:p>
    <w:p>
      <w:r>
        <w:t>Defined as necessary to resolve the emergency</w:t>
      </w:r>
    </w:p>
    <w:p>
      <w:r>
        <w:t>Not to exceed 90 days without Council approval</w:t>
      </w:r>
    </w:p>
    <w:p>
      <w:r>
        <w:t>Example:</w:t>
      </w:r>
    </w:p>
    <w:p>
      <w:r>
        <w:t>A custody breach prevents access to reserves. Emergency protocols are activated. The focus is on preserving reserves, honoring redemptions, and restoring normal operations. The Institution continues through the emergency.</w:t>
      </w:r>
    </w:p>
    <w:p>
      <w:r>
        <w:t>Rationale:</w:t>
      </w:r>
    </w:p>
    <w:p>
      <w:r>
        <w:t>Emergencies require defined responses</w:t>
      </w:r>
    </w:p>
    <w:p>
      <w:r>
        <w:t>Emergency protocols preserve the Institution</w:t>
      </w:r>
    </w:p>
    <w:p>
      <w:r>
        <w:t>Limited governance prevents abuse</w:t>
      </w:r>
    </w:p>
    <w:p>
      <w:r>
        <w:t>Time limits prevent permanent emergency rule</w:t>
      </w:r>
    </w:p>
    <w:p>
      <w:r>
        <w:t>Triggers:</w:t>
      </w:r>
    </w:p>
    <w:p>
      <w:r>
        <w:t>Governance failure (Council no quorum for 90 days)</w:t>
      </w:r>
    </w:p>
    <w:p>
      <w:r>
        <w:t>Custody failure (loss of reserve access)</w:t>
      </w:r>
    </w:p>
    <w:p>
      <w:r>
        <w:t>Oracle failure (NAV cannot be calculated)</w:t>
      </w:r>
    </w:p>
    <w:p>
      <w:r>
        <w:t>Solvency threat (reserve ratio below 100%)</w:t>
      </w:r>
    </w:p>
    <w:p>
      <w:r>
        <w:t>Security breach (significant loss or compromise)</w:t>
      </w:r>
    </w:p>
    <w:p>
      <w:r>
        <w:t>Transition Criteria:</w:t>
      </w:r>
    </w:p>
    <w:p>
      <w:r>
        <w:t>Transition to Operational: Emergency resolved, Council approval</w:t>
      </w:r>
    </w:p>
    <w:p>
      <w:r>
        <w:t>Transition to Resolution: Emergency cannot be resolved, Council + Independent Review Panel</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Requirements:</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Duration:</w:t>
      </w:r>
    </w:p>
    <w:p>
      <w:r>
        <w:t>Defined as necessary for orderly wind-down</w:t>
      </w:r>
    </w:p>
    <w:p>
      <w:r>
        <w:t>Typically 6-24 months</w:t>
      </w:r>
    </w:p>
    <w:p>
      <w:r>
        <w:t>Example:</w:t>
      </w:r>
    </w:p>
    <w:p>
      <w:r>
        <w:t>A permanent insolvency cannot be resolved. The Institution enters Resolution. Reserves are distributed to holders proportionally. The Institution is wound down in an orderly manner.</w:t>
      </w:r>
    </w:p>
    <w:p>
      <w:r>
        <w:t>Rationale:</w:t>
      </w:r>
    </w:p>
    <w:p>
      <w:r>
        <w:t>Resolution provides orderly wind-down</w:t>
      </w:r>
    </w:p>
    <w:p>
      <w:r>
        <w:t>Holders are protected</w:t>
      </w:r>
    </w:p>
    <w:p>
      <w:r>
        <w:t>Process is defined in advance</w:t>
      </w:r>
    </w:p>
    <w:p>
      <w:r>
        <w:t>Courts do not define the process</w:t>
      </w:r>
    </w:p>
    <w:p>
      <w:r>
        <w:t>Priority in Resolution:</w:t>
      </w:r>
    </w:p>
    <w:p>
      <w:r>
        <w:t>MTQ Holders — Proportional share of reserves</w:t>
      </w:r>
    </w:p>
    <w:p>
      <w:r>
        <w:t>Operating Expenses — Approved expenses before dissolution</w:t>
      </w:r>
    </w:p>
    <w:p>
      <w:r>
        <w:t>Other Creditors — After holders and expenses</w:t>
      </w:r>
    </w:p>
    <w:p>
      <w:r>
        <w:t>Transition Criteria:</w:t>
      </w:r>
    </w:p>
    <w:p>
      <w:r>
        <w:t>Transition to Wind-down: Resolution complete, Wind-down Committee approval</w:t>
      </w:r>
    </w:p>
    <w:p>
      <w:r>
        <w:t>Transition to Succession: Successor identified, Council + Independent Review Panel + Supermajority</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Requirements:</w:t>
      </w:r>
    </w:p>
    <w:p>
      <w:r>
        <w:t>Voluntary decision by Council</w:t>
      </w:r>
    </w:p>
    <w:p>
      <w:r>
        <w:t>Confirmed by Independent Review Panel</w:t>
      </w:r>
    </w:p>
    <w:p>
      <w:r>
        <w:t>Approved by supermajority</w:t>
      </w:r>
    </w:p>
    <w:p>
      <w:r>
        <w:t>Successor meets constitutional criteria</w:t>
      </w:r>
    </w:p>
    <w:p>
      <w:r>
        <w:t>Governance:</w:t>
      </w:r>
    </w:p>
    <w:p>
      <w:r>
        <w:t>Council approves succession</w:t>
      </w:r>
    </w:p>
    <w:p>
      <w:r>
        <w:t>Successor must meet constitutional criteria</w:t>
      </w:r>
    </w:p>
    <w:p>
      <w:r>
        <w:t>Holders must be protected</w:t>
      </w:r>
    </w:p>
    <w:p>
      <w:r>
        <w:t>Duration:</w:t>
      </w:r>
    </w:p>
    <w:p>
      <w:r>
        <w:t>Defined as necessary for succession</w:t>
      </w:r>
    </w:p>
    <w:p>
      <w:r>
        <w:t>Typically 6-18 months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Rationale:</w:t>
      </w:r>
    </w:p>
    <w:p>
      <w:r>
        <w:t>Succession enables institutional continuity</w:t>
      </w:r>
    </w:p>
    <w:p>
      <w:r>
        <w:t>The constitutional purpose continues</w:t>
      </w:r>
    </w:p>
    <w:p>
      <w:r>
        <w:t>Holders are protected</w:t>
      </w:r>
    </w:p>
    <w:p>
      <w:r>
        <w:t>The Institution outlives any particular implementation</w:t>
      </w:r>
    </w:p>
    <w:p>
      <w:r>
        <w:t>Transition Criteria:</w:t>
      </w:r>
    </w:p>
    <w:p>
      <w:r>
        <w:t>Transition to Operational: Succession complete, successor operational</w:t>
      </w:r>
    </w:p>
    <w:p>
      <w:r>
        <w:t>Transition to Wind-down: Succession complete, original Institution dissolves</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Requirements:</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Duration:</w:t>
      </w:r>
    </w:p>
    <w:p>
      <w:r>
        <w:t>Defined as necessary for wind-down</w:t>
      </w:r>
    </w:p>
    <w:p>
      <w:r>
        <w:t>Typically 3-12 months</w:t>
      </w:r>
    </w:p>
    <w:p>
      <w:r>
        <w:t>Example:</w:t>
      </w:r>
    </w:p>
    <w:p>
      <w:r>
        <w:t>After all units are redeemed and all reserves distributed, the Institution is dissolved. Records are preserved. The Institution no longer exists. The wind-down is complete.</w:t>
      </w:r>
    </w:p>
    <w:p>
      <w:r>
        <w:t>Rationale:</w:t>
      </w:r>
    </w:p>
    <w:p>
      <w:r>
        <w:t>Wind-down is the final stage</w:t>
      </w:r>
    </w:p>
    <w:p>
      <w:r>
        <w:t>All obligations are fulfilled</w:t>
      </w:r>
    </w:p>
    <w:p>
      <w:r>
        <w:t>Records are preserved</w:t>
      </w:r>
    </w:p>
    <w:p>
      <w:r>
        <w:t>The Institution ceases to exist</w:t>
      </w:r>
    </w:p>
    <w:p>
      <w:r>
        <w:t>Transition Criteria:</w:t>
      </w:r>
    </w:p>
    <w:p>
      <w:r>
        <w:t>None — this is the final stage</w:t>
      </w:r>
    </w:p>
    <w:p>
      <w:r>
        <w:t>Dissolution completed</w:t>
      </w:r>
    </w:p>
    <w:p>
      <w:r>
        <w:t>Records preserved</w:t>
      </w:r>
    </w:p>
    <w:p>
      <w:r>
        <w:t>Stage Transitions</w:t>
      </w:r>
    </w:p>
    <w:p>
      <w:r>
        <w:t>Transitions between stages are governed by defined criteria:</w:t>
      </w:r>
    </w:p>
    <w:p>
      <w:r>
        <w:t>Stage-Specific Policies</w:t>
      </w:r>
    </w:p>
    <w:p>
      <w:r>
        <w:t>Formation Stage Policies</w:t>
      </w:r>
    </w:p>
    <w:p>
      <w:r>
        <w:t>Operational Stage Policies</w:t>
      </w:r>
    </w:p>
    <w:p>
      <w:r>
        <w:t>Expansion Stage Policies</w:t>
      </w:r>
    </w:p>
    <w:p>
      <w:r>
        <w:t>Emergency Stage Policies</w:t>
      </w:r>
    </w:p>
    <w:p>
      <w:r>
        <w:t>Resolution Stage Policies</w:t>
      </w:r>
    </w:p>
    <w:p>
      <w:r>
        <w:t>Succession Stage Policies</w:t>
      </w:r>
    </w:p>
    <w:p>
      <w:r>
        <w:t>Wind-down Stage Policies</w:t>
      </w:r>
    </w:p>
    <w:p>
      <w:r>
        <w:t>Stage Status Reporting</w:t>
      </w:r>
    </w:p>
    <w:p>
      <w:r>
        <w:t>Summary Table</w:t>
      </w:r>
    </w:p>
    <w:p>
      <w:r>
        <w:t>Constitutional Interpretation</w:t>
      </w:r>
    </w:p>
    <w:p>
      <w:r>
        <w:t>The Maturity Stages policy defines the operational stages of the Institution:</w:t>
      </w:r>
    </w:p>
    <w:p>
      <w:r>
        <w:t>Formation — establishment of governance, reserves, and operations</w:t>
      </w:r>
    </w:p>
    <w:p>
      <w:r>
        <w:t>Operational — ordinary operation fulfilling constitutional purpose</w:t>
      </w:r>
    </w:p>
    <w:p>
      <w:r>
        <w:t>Expansion — addition of jurisdictions, counterparties, or functions</w:t>
      </w:r>
    </w:p>
    <w:p>
      <w:r>
        <w:t>Emergency — invocation of emergency protocols to preserve the Institution</w:t>
      </w:r>
    </w:p>
    <w:p>
      <w:r>
        <w:t>Resolution — orderly wind-down if invariants become permanently unattainable</w:t>
      </w:r>
    </w:p>
    <w:p>
      <w:r>
        <w:t>Succession — transfer of governance and assets to a successor</w:t>
      </w:r>
    </w:p>
    <w:p>
      <w:r>
        <w:t>Wind-down — final redemption, distribution, and dissolution</w:t>
      </w:r>
    </w:p>
    <w:p>
      <w: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r>
        <w:t>[END OF PART 3, ARTICLE VI — MATURITY STAGES]</w:t>
      </w:r>
    </w:p>
    <w:p>
      <w:r>
        <w:t>Article VII: Review Cycles</w:t>
      </w:r>
    </w:p>
    <w:p>
      <w:r>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r>
        <w:t>What This Means in Practice:</w:t>
      </w:r>
    </w:p>
    <w:p>
      <w:r>
        <w:t>The Constitution establishes that the Institution must be transparent and accountable</w:t>
      </w:r>
    </w:p>
    <w:p>
      <w:r>
        <w:t>Policy establishes specific review cycles</w:t>
      </w:r>
    </w:p>
    <w:p>
      <w:r>
        <w:t>Reviews are conducted at defined frequencies</w:t>
      </w:r>
    </w:p>
    <w:p>
      <w:r>
        <w:t>Reviews cover all aspects of operations</w:t>
      </w:r>
    </w:p>
    <w:p>
      <w:r>
        <w:t>Review findings are reported and acted upon</w:t>
      </w:r>
    </w:p>
    <w:p>
      <w:r>
        <w:t>Example:</w:t>
      </w:r>
    </w:p>
    <w:p>
      <w:r>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r>
        <w:t>Why This Matters:</w:t>
      </w:r>
    </w:p>
    <w:p>
      <w:r>
        <w:t>Without regular review, the Institution drifts</w:t>
      </w:r>
    </w:p>
    <w:p>
      <w:r>
        <w:t>Without regular review, issues go undetected</w:t>
      </w:r>
    </w:p>
    <w:p>
      <w:r>
        <w:t>Without regular review, accountability is compromised</w:t>
      </w:r>
    </w:p>
    <w:p>
      <w:r>
        <w:t>Without regular review, improvement is impossible</w:t>
      </w:r>
    </w:p>
    <w:p>
      <w:r>
        <w:t>Systematic review enables continuous improvement and maintains institutional integrity</w:t>
      </w:r>
    </w:p>
    <w:p>
      <w:r>
        <w:t>Core Principles of Review Cycles</w:t>
      </w:r>
    </w:p>
    <w:p>
      <w:pPr>
        <w:pStyle w:val="ListNumber"/>
        <w:ind w:left="425"/>
      </w:pPr>
      <w:r>
        <w:t>Regularity</w:t>
      </w:r>
    </w:p>
    <w:p>
      <w:r>
        <w:t>Reviews are conducted at defined regular intervals.</w:t>
      </w:r>
    </w:p>
    <w:p>
      <w:r>
        <w:t>What This Means in Practice:</w:t>
      </w:r>
    </w:p>
    <w:p>
      <w:r>
        <w:t>Review frequency is defined in advance</w:t>
      </w:r>
    </w:p>
    <w:p>
      <w:r>
        <w:t>Reviews occur on schedule</w:t>
      </w:r>
    </w:p>
    <w:p>
      <w:r>
        <w:t>Review frequency is appropriate to the subject</w:t>
      </w:r>
    </w:p>
    <w:p>
      <w:r>
        <w:t>Reviews are not skipped or delayed</w:t>
      </w:r>
    </w:p>
    <w:p>
      <w:r>
        <w:t>Example:</w:t>
      </w:r>
    </w:p>
    <w:p>
      <w:r>
        <w:t>The Institution conducts reserve reviews quarterly, every quarter on schedule. Risk assessments are monthly. Policy reviews are annual. The review schedule is consistent and reliable.</w:t>
      </w:r>
    </w:p>
    <w:p>
      <w:r>
        <w:t>Why This Matters:</w:t>
      </w:r>
    </w:p>
    <w:p>
      <w:r>
        <w:t>Regularity ensures accountability</w:t>
      </w:r>
    </w:p>
    <w:p>
      <w:r>
        <w:t>Regularity prevents gaps</w:t>
      </w:r>
    </w:p>
    <w:p>
      <w:r>
        <w:t>Regularity enables comparison</w:t>
      </w:r>
    </w:p>
    <w:p>
      <w:r>
        <w:t>Regularity builds institutional discipline</w:t>
      </w:r>
    </w:p>
    <w:p>
      <w:pPr>
        <w:pStyle w:val="ListNumber"/>
        <w:ind w:left="425"/>
      </w:pPr>
      <w:r>
        <w:t>Comprehensiveness</w:t>
      </w:r>
    </w:p>
    <w:p>
      <w:r>
        <w:t>Reviews cover all aspects of operations.</w:t>
      </w:r>
    </w:p>
    <w:p>
      <w:r>
        <w:t>What This Means in Practice:</w:t>
      </w:r>
    </w:p>
    <w:p>
      <w:r>
        <w:t>Reviews are comprehensive</w:t>
      </w:r>
    </w:p>
    <w:p>
      <w:r>
        <w:t>Reviews cover all relevant areas</w:t>
      </w:r>
    </w:p>
    <w:p>
      <w:r>
        <w:t>Reviews identify all material issues</w:t>
      </w:r>
    </w:p>
    <w:p>
      <w:r>
        <w:t>Reviews leave no gaps</w:t>
      </w:r>
    </w:p>
    <w:p>
      <w:r>
        <w:t>Example:</w:t>
      </w:r>
    </w:p>
    <w:p>
      <w:r>
        <w:t>The annual policy review covers all policies: reserve allocation, fees, sanctions, risk tolerances, and committee mandates. The review is comprehensive and identifies any issues or improvement opportunities.</w:t>
      </w:r>
    </w:p>
    <w:p>
      <w:r>
        <w:t>Why This Matters:</w:t>
      </w:r>
    </w:p>
    <w:p>
      <w:r>
        <w:t>Comprehensiveness prevents gaps</w:t>
      </w:r>
    </w:p>
    <w:p>
      <w:r>
        <w:t>Comprehensiveness ensures all risks are identified</w:t>
      </w:r>
    </w:p>
    <w:p>
      <w:r>
        <w:t>Comprehensiveness maintains institutional integrity</w:t>
      </w:r>
    </w:p>
    <w:p>
      <w:r>
        <w:t>Comprehensiveness enables complete assessment</w:t>
      </w:r>
    </w:p>
    <w:p>
      <w:pPr>
        <w:pStyle w:val="ListNumber"/>
        <w:ind w:left="425"/>
      </w:pPr>
      <w:r>
        <w:t>Independence</w:t>
      </w:r>
    </w:p>
    <w:p>
      <w:r>
        <w:t>Reviews are conducted by independent parties where appropriate.</w:t>
      </w:r>
    </w:p>
    <w:p>
      <w:r>
        <w:t>What This Means in Practice:</w:t>
      </w:r>
    </w:p>
    <w:p>
      <w:r>
        <w:t>Some reviews require independence</w:t>
      </w:r>
    </w:p>
    <w:p>
      <w:r>
        <w:t>Independent reviewers are qualified</w:t>
      </w:r>
    </w:p>
    <w:p>
      <w:r>
        <w:t>Independent reviewers are objective</w:t>
      </w:r>
    </w:p>
    <w:p>
      <w:r>
        <w:t>Independent reviews are credible</w:t>
      </w:r>
    </w:p>
    <w:p>
      <w:r>
        <w:t>Example:</w:t>
      </w:r>
    </w:p>
    <w:p>
      <w:r>
        <w:t>The five-year independent review is conducted by an Independent Review Panel with no financial interest in the Institution. The audit committee engages independent auditors. The review is objective and credible.</w:t>
      </w:r>
    </w:p>
    <w:p>
      <w:r>
        <w:t>Why This Matters:</w:t>
      </w:r>
    </w:p>
    <w:p>
      <w:r>
        <w:t>Independence ensures objectivity</w:t>
      </w:r>
    </w:p>
    <w:p>
      <w:r>
        <w:t>Independence prevents conflicts</w:t>
      </w:r>
    </w:p>
    <w:p>
      <w:r>
        <w:t>Independence builds credibility</w:t>
      </w:r>
    </w:p>
    <w:p>
      <w:r>
        <w:t>Independence enhances trust</w:t>
      </w:r>
    </w:p>
    <w:p>
      <w:pPr>
        <w:pStyle w:val="ListNumber"/>
        <w:ind w:left="425"/>
      </w:pPr>
      <w:r>
        <w:t>Actionability</w:t>
      </w:r>
    </w:p>
    <w:p>
      <w:r>
        <w:t>Reviews lead to action.</w:t>
      </w:r>
    </w:p>
    <w:p>
      <w:r>
        <w:t>What This Means in Practice:</w:t>
      </w:r>
    </w:p>
    <w:p>
      <w:r>
        <w:t>Review findings are addressed</w:t>
      </w:r>
    </w:p>
    <w:p>
      <w:r>
        <w:t>Review recommendations are implemented</w:t>
      </w:r>
    </w:p>
    <w:p>
      <w:r>
        <w:t>Review findings are tracked</w:t>
      </w:r>
    </w:p>
    <w:p>
      <w:r>
        <w:t>Review actions are reported</w:t>
      </w:r>
    </w:p>
    <w:p>
      <w:r>
        <w:t>Example:</w:t>
      </w:r>
    </w:p>
    <w:p>
      <w:r>
        <w:t>The annual policy review identifies a gap in sanctions screening procedures. The Institution updates the procedures, implements the change, and tracks implementation. The next review confirms the change is effective.</w:t>
      </w:r>
    </w:p>
    <w:p>
      <w:r>
        <w:t>Why This Matters:</w:t>
      </w:r>
    </w:p>
    <w:p>
      <w:r>
        <w:t>Reviews without action are worthless</w:t>
      </w:r>
    </w:p>
    <w:p>
      <w:r>
        <w:t>Action enables improvement</w:t>
      </w:r>
    </w:p>
    <w:p>
      <w:r>
        <w:t>Action maintains accountability</w:t>
      </w:r>
    </w:p>
    <w:p>
      <w:r>
        <w:t>Action builds trust</w:t>
      </w:r>
    </w:p>
    <w:p>
      <w:pPr>
        <w:pStyle w:val="ListNumber"/>
        <w:ind w:left="425"/>
      </w:pPr>
      <w:r>
        <w:t>Transparency</w:t>
      </w:r>
    </w:p>
    <w:p>
      <w:r>
        <w:t>Review findings are transparent.</w:t>
      </w:r>
    </w:p>
    <w:p>
      <w:r>
        <w:t>What This Means in Practice:</w:t>
      </w:r>
    </w:p>
    <w:p>
      <w:r>
        <w:t>Review findings are published</w:t>
      </w:r>
    </w:p>
    <w:p>
      <w:r>
        <w:t>Review recommendations are disclosed</w:t>
      </w:r>
    </w:p>
    <w:p>
      <w:r>
        <w:t>Review actions are reported</w:t>
      </w:r>
    </w:p>
    <w:p>
      <w:r>
        <w:t>Review results are auditable</w:t>
      </w:r>
    </w:p>
    <w:p>
      <w:r>
        <w:t>Example:</w:t>
      </w:r>
    </w:p>
    <w:p>
      <w:r>
        <w:t>The Institution publishes quarterly review findings, annual policy review results, and five-year independent review reports. All findings are transparent and accessible.</w:t>
      </w:r>
    </w:p>
    <w:p>
      <w:r>
        <w:t>Why This Matters:</w:t>
      </w:r>
    </w:p>
    <w:p>
      <w:r>
        <w:t>Transparency builds trust</w:t>
      </w:r>
    </w:p>
    <w:p>
      <w:r>
        <w:t>Transparency enables verification</w:t>
      </w:r>
    </w:p>
    <w:p>
      <w:r>
        <w:t>Transparency ensures accountability</w:t>
      </w:r>
    </w:p>
    <w:p>
      <w:r>
        <w:t>Transparency prevents cover-up</w:t>
      </w:r>
    </w:p>
    <w:p>
      <w:r>
        <w:t>Review Cycle Framework</w:t>
      </w:r>
    </w:p>
    <w:p>
      <w:r>
        <w:t>Daily Reviews</w:t>
      </w:r>
    </w:p>
    <w:p>
      <w:r>
        <w:t>Ongoing, Real-Time Monitoring</w:t>
      </w:r>
    </w:p>
    <w:p>
      <w:r>
        <w:t>What This Means in Practice:</w:t>
      </w:r>
    </w:p>
    <w:p>
      <w:r>
        <w:t>Daily reviews monitor continuous operations</w:t>
      </w:r>
    </w:p>
    <w:p>
      <w:r>
        <w:t>Daily reviews detect issues immediately</w:t>
      </w:r>
    </w:p>
    <w:p>
      <w:r>
        <w:t>Daily reviews enable rapid response</w:t>
      </w:r>
    </w:p>
    <w:p>
      <w:r>
        <w:t>Daily reviews maintain operational integrity</w:t>
      </w:r>
    </w:p>
    <w:p>
      <w:r>
        <w:t>Example:</w:t>
      </w:r>
    </w:p>
    <w:p>
      <w:r>
        <w:t>The Institution publishes a daily proof of reserves, calculates NAV in real-time, monitors all transactions, screens all participants, and monitors system health. Any issue is detected immediately and addressed.</w:t>
      </w:r>
    </w:p>
    <w:p>
      <w:r>
        <w:t>Why This Matters:</w:t>
      </w:r>
    </w:p>
    <w:p>
      <w:r>
        <w:t>Daily reviews are the first line of defense</w:t>
      </w:r>
    </w:p>
    <w:p>
      <w:r>
        <w:t>Daily reviews detect issues early</w:t>
      </w:r>
    </w:p>
    <w:p>
      <w:r>
        <w:t>Daily reviews maintain real-time accountability</w:t>
      </w:r>
    </w:p>
    <w:p>
      <w:r>
        <w:t>Daily reviews build trust through continuous transparency</w:t>
      </w:r>
    </w:p>
    <w:p>
      <w:r>
        <w:t>Weekly Reviews</w:t>
      </w:r>
    </w:p>
    <w:p>
      <w:r>
        <w:t>Short-Term Operational Review</w:t>
      </w:r>
    </w:p>
    <w:p>
      <w:r>
        <w:t>What This Means in Practice:</w:t>
      </w:r>
    </w:p>
    <w:p>
      <w:r>
        <w:t>Weekly reviews identify trends</w:t>
      </w:r>
    </w:p>
    <w:p>
      <w:r>
        <w:t>Weekly reviews enable timely response</w:t>
      </w:r>
    </w:p>
    <w:p>
      <w:r>
        <w:t>Weekly reviews maintain operational awareness</w:t>
      </w:r>
    </w:p>
    <w:p>
      <w:r>
        <w:t>Weekly reviews support decision-making</w:t>
      </w:r>
    </w:p>
    <w:p>
      <w:r>
        <w:t>Example:</w:t>
      </w:r>
    </w:p>
    <w:p>
      <w:r>
        <w:t>The Institution reviews reserve composition weekly, redemption volume weekly, and settlement activity weekly. Any trends are identified and addressed before they become issues.</w:t>
      </w:r>
    </w:p>
    <w:p>
      <w:r>
        <w:t>Why This Matters:</w:t>
      </w:r>
    </w:p>
    <w:p>
      <w:r>
        <w:t>Weekly reviews catch emerging issues</w:t>
      </w:r>
    </w:p>
    <w:p>
      <w:r>
        <w:t>Weekly reviews enable course correction</w:t>
      </w:r>
    </w:p>
    <w:p>
      <w:r>
        <w:t>Weekly reviews maintain operational insight</w:t>
      </w:r>
    </w:p>
    <w:p>
      <w:r>
        <w:t>Weekly reviews support management</w:t>
      </w:r>
    </w:p>
    <w:p>
      <w:r>
        <w:t>Monthly Reviews</w:t>
      </w:r>
    </w:p>
    <w:p>
      <w:r>
        <w:t>Mid-Term Operational Review</w:t>
      </w:r>
    </w:p>
    <w:p>
      <w:r>
        <w:t>What This Means in Practice:</w:t>
      </w:r>
    </w:p>
    <w:p>
      <w:r>
        <w:t>Monthly reviews provide in-depth assessment</w:t>
      </w:r>
    </w:p>
    <w:p>
      <w:r>
        <w:t>Monthly reviews identify issues before escalation</w:t>
      </w:r>
    </w:p>
    <w:p>
      <w:r>
        <w:t>Monthly reviews support strategic decision-making</w:t>
      </w:r>
    </w:p>
    <w:p>
      <w:r>
        <w:t>Monthly reviews maintain accountability</w:t>
      </w:r>
    </w:p>
    <w:p>
      <w:r>
        <w:t>Example:</w:t>
      </w:r>
    </w:p>
    <w:p>
      <w:r>
        <w:t>The Risk Committee conducts a monthly risk assessment, reviewing all risks, updating the risk register, and preparing a risk report. The Council receives the report and considers any necessary action.</w:t>
      </w:r>
    </w:p>
    <w:p>
      <w:r>
        <w:t>Why This Matters:</w:t>
      </w:r>
    </w:p>
    <w:p>
      <w:r>
        <w:t>Monthly reviews are the core of risk management</w:t>
      </w:r>
    </w:p>
    <w:p>
      <w:r>
        <w:t>Monthly reviews catch issues before escalation</w:t>
      </w:r>
    </w:p>
    <w:p>
      <w:r>
        <w:t>Monthly reviews enable strategic response</w:t>
      </w:r>
    </w:p>
    <w:p>
      <w:r>
        <w:t>Monthly reviews maintain accountability</w:t>
      </w:r>
    </w:p>
    <w:p>
      <w:r>
        <w:t>Quarterly Reviews</w:t>
      </w:r>
    </w:p>
    <w:p>
      <w:r>
        <w:t>Strategic Operational Review</w:t>
      </w:r>
    </w:p>
    <w:p>
      <w:r>
        <w:t>What This Means in Practice:</w:t>
      </w:r>
    </w:p>
    <w:p>
      <w:r>
        <w:t>Quarterly reviews provide comprehensive assessment</w:t>
      </w:r>
    </w:p>
    <w:p>
      <w:r>
        <w:t>Quarterly reviews identify strategic issues</w:t>
      </w:r>
    </w:p>
    <w:p>
      <w:r>
        <w:t>Quarterly reviews support governance oversight</w:t>
      </w:r>
    </w:p>
    <w:p>
      <w:r>
        <w:t>Quarterly reviews maintain institutional accountability</w:t>
      </w:r>
    </w:p>
    <w:p>
      <w:r>
        <w:t>Example:</w:t>
      </w:r>
    </w:p>
    <w:p>
      <w:r>
        <w:t>The Council conducts a quarterly review of all aspects of institutional performance. The Council reviews reserve reports, risk reports, compliance reports, technical reports, and audit findings. The Council makes decisions and provides direction.</w:t>
      </w:r>
    </w:p>
    <w:p>
      <w:r>
        <w:t>Why This Matters:</w:t>
      </w:r>
    </w:p>
    <w:p>
      <w:r>
        <w:t>Quarterly reviews are the core of governance oversight</w:t>
      </w:r>
    </w:p>
    <w:p>
      <w:r>
        <w:t>Quarterly reviews ensure accountability</w:t>
      </w:r>
    </w:p>
    <w:p>
      <w:r>
        <w:t>Quarterly reviews enable strategic direction</w:t>
      </w:r>
    </w:p>
    <w:p>
      <w:r>
        <w:t>Quarterly reviews maintain institutional integrity</w:t>
      </w:r>
    </w:p>
    <w:p>
      <w:r>
        <w:t>Annual Reviews</w:t>
      </w:r>
    </w:p>
    <w:p>
      <w:r>
        <w:t>Comprehensive Institutional Review</w:t>
      </w:r>
    </w:p>
    <w:p>
      <w:r>
        <w:t>What This Means in Practice:</w:t>
      </w:r>
    </w:p>
    <w:p>
      <w:r>
        <w:t>Annual reviews provide comprehensive assessment</w:t>
      </w:r>
    </w:p>
    <w:p>
      <w:r>
        <w:t>Annual reviews enable strategic planning</w:t>
      </w:r>
    </w:p>
    <w:p>
      <w:r>
        <w:t>Annual reviews maintain accountability</w:t>
      </w:r>
    </w:p>
    <w:p>
      <w:r>
        <w:t>Annual reviews build trust through transparency</w:t>
      </w:r>
    </w:p>
    <w:p>
      <w:r>
        <w:t>Example:</w:t>
      </w:r>
    </w:p>
    <w:p>
      <w:r>
        <w:t>The Institution conducts an annual policy review, reviewing all policies and making any necessary updates. The annual budget is approved. The annual audit is completed. The annual report is published.</w:t>
      </w:r>
    </w:p>
    <w:p>
      <w:r>
        <w:t>Why This Matters:</w:t>
      </w:r>
    </w:p>
    <w:p>
      <w:r>
        <w:t>Annual reviews are the foundation of accountability</w:t>
      </w:r>
    </w:p>
    <w:p>
      <w:r>
        <w:t>Annual reviews enable strategic planning</w:t>
      </w:r>
    </w:p>
    <w:p>
      <w:r>
        <w:t>Annual reviews ensure comprehensive assessment</w:t>
      </w:r>
    </w:p>
    <w:p>
      <w:r>
        <w:t>Annual reviews build public trust</w:t>
      </w:r>
    </w:p>
    <w:p>
      <w:r>
        <w:t>Five-Year Reviews</w:t>
      </w:r>
    </w:p>
    <w:p>
      <w:r>
        <w:t>Comprehensive Independent Review</w:t>
      </w:r>
    </w:p>
    <w:p>
      <w:r>
        <w:t>What This Means in Practice:</w:t>
      </w:r>
    </w:p>
    <w:p>
      <w:r>
        <w:t>Five-year reviews provide independent, comprehensive assessment</w:t>
      </w:r>
    </w:p>
    <w:p>
      <w:r>
        <w:t>Five-year reviews ensure long-term accountability</w:t>
      </w:r>
    </w:p>
    <w:p>
      <w:r>
        <w:t>Five-year reviews identify strategic issues</w:t>
      </w:r>
    </w:p>
    <w:p>
      <w:r>
        <w:t>Five-year reviews build institutional trust</w:t>
      </w:r>
    </w:p>
    <w:p>
      <w:r>
        <w:t>Example:</w:t>
      </w:r>
    </w:p>
    <w:p>
      <w:r>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r>
        <w:t>Why This Matters:</w:t>
      </w:r>
    </w:p>
    <w:p>
      <w:r>
        <w:t>Five-year reviews provide independent validation</w:t>
      </w:r>
    </w:p>
    <w:p>
      <w:r>
        <w:t>Five-year reviews ensure long-term accountability</w:t>
      </w:r>
    </w:p>
    <w:p>
      <w:r>
        <w:t>Five-year reviews enable long-term improvement</w:t>
      </w:r>
    </w:p>
    <w:p>
      <w:r>
        <w:t>Five-year reviews build institutional credibility</w:t>
      </w:r>
    </w:p>
    <w:p>
      <w:r>
        <w:t>Review Scope by Type</w:t>
      </w:r>
    </w:p>
    <w:p>
      <w:r>
        <w:t>Reserve Review Scope</w:t>
      </w:r>
    </w:p>
    <w:p>
      <w:r>
        <w:t>Risk Review Scope</w:t>
      </w:r>
    </w:p>
    <w:p>
      <w:r>
        <w:t>Compliance Review Scope</w:t>
      </w:r>
    </w:p>
    <w:p>
      <w:r>
        <w:t>Technical Review Scope</w:t>
      </w:r>
    </w:p>
    <w:p>
      <w:r>
        <w:t>Governance Review Scope</w:t>
      </w:r>
    </w:p>
    <w:p>
      <w:r>
        <w:t>Review Process</w:t>
      </w:r>
    </w:p>
    <w:p>
      <w:r>
        <w:t>Standard Review Process</w:t>
      </w:r>
    </w:p>
    <w:p>
      <w:r>
        <w:t>Step 1: Planning</w:t>
      </w:r>
    </w:p>
    <w:p>
      <w:r>
        <w:t>Review scope is defined</w:t>
      </w:r>
    </w:p>
    <w:p>
      <w:r>
        <w:t>Review timeline is established</w:t>
      </w:r>
    </w:p>
    <w:p>
      <w:r>
        <w:t>Review resources are allocated</w:t>
      </w:r>
    </w:p>
    <w:p>
      <w:r>
        <w:t>Review responsibilities are assigned</w:t>
      </w:r>
    </w:p>
    <w:p>
      <w:r>
        <w:t>Step 2: Data Collection</w:t>
      </w:r>
    </w:p>
    <w:p>
      <w:r>
        <w:t>Relevant data is collected</w:t>
      </w:r>
    </w:p>
    <w:p>
      <w:r>
        <w:t>Data is verified</w:t>
      </w:r>
    </w:p>
    <w:p>
      <w:r>
        <w:t>Data is organized</w:t>
      </w:r>
    </w:p>
    <w:p>
      <w:r>
        <w:t>Data is analyzed</w:t>
      </w:r>
    </w:p>
    <w:p>
      <w:r>
        <w:t>Step 3: Analysis</w:t>
      </w:r>
    </w:p>
    <w:p>
      <w:r>
        <w:t>Data is analyzed</w:t>
      </w:r>
    </w:p>
    <w:p>
      <w:r>
        <w:t>Issues are identified</w:t>
      </w:r>
    </w:p>
    <w:p>
      <w:r>
        <w:t>Trends are assessed</w:t>
      </w:r>
    </w:p>
    <w:p>
      <w:r>
        <w:t>Conclusions are developed</w:t>
      </w:r>
    </w:p>
    <w:p>
      <w:r>
        <w:t>Step 4: Findings</w:t>
      </w:r>
    </w:p>
    <w:p>
      <w:r>
        <w:t>Findings are documented</w:t>
      </w:r>
    </w:p>
    <w:p>
      <w:r>
        <w:t>Findings are categorized</w:t>
      </w:r>
    </w:p>
    <w:p>
      <w:r>
        <w:t>Findings are prioritized</w:t>
      </w:r>
    </w:p>
    <w:p>
      <w:r>
        <w:t>Findings are reviewed</w:t>
      </w:r>
    </w:p>
    <w:p>
      <w:r>
        <w:t>Step 5: Recommendations</w:t>
      </w:r>
    </w:p>
    <w:p>
      <w:r>
        <w:t>Recommendations are developed</w:t>
      </w:r>
    </w:p>
    <w:p>
      <w:r>
        <w:t>Recommendations are prioritized</w:t>
      </w:r>
    </w:p>
    <w:p>
      <w:r>
        <w:t>Recommendations are documented</w:t>
      </w:r>
    </w:p>
    <w:p>
      <w:r>
        <w:t>Recommendations are reviewed</w:t>
      </w:r>
    </w:p>
    <w:p>
      <w:r>
        <w:t>Step 6: Reporting</w:t>
      </w:r>
    </w:p>
    <w:p>
      <w:r>
        <w:t>Report is prepared</w:t>
      </w:r>
    </w:p>
    <w:p>
      <w:r>
        <w:t>Report is reviewed</w:t>
      </w:r>
    </w:p>
    <w:p>
      <w:r>
        <w:t>Report is finalized</w:t>
      </w:r>
    </w:p>
    <w:p>
      <w:r>
        <w:t>Report is published</w:t>
      </w:r>
    </w:p>
    <w:p>
      <w:r>
        <w:t>Step 7: Action</w:t>
      </w:r>
    </w:p>
    <w:p>
      <w:r>
        <w:t>Actions are identified</w:t>
      </w:r>
    </w:p>
    <w:p>
      <w:r>
        <w:t>Actions are assigned</w:t>
      </w:r>
    </w:p>
    <w:p>
      <w:r>
        <w:t>Actions are implemented</w:t>
      </w:r>
    </w:p>
    <w:p>
      <w:r>
        <w:t>Actions are tracked</w:t>
      </w:r>
    </w:p>
    <w:p>
      <w:r>
        <w:t>Step 8: Follow-up</w:t>
      </w:r>
    </w:p>
    <w:p>
      <w:r>
        <w:t>Implementation is verified</w:t>
      </w:r>
    </w:p>
    <w:p>
      <w:r>
        <w:t>Effectiveness is assessed</w:t>
      </w:r>
    </w:p>
    <w:p>
      <w:r>
        <w:t>Issues are resolved</w:t>
      </w:r>
    </w:p>
    <w:p>
      <w:r>
        <w:t>Lessons are learned</w:t>
      </w:r>
    </w:p>
    <w:p>
      <w:r>
        <w:t>Review Reporting</w:t>
      </w:r>
    </w:p>
    <w:p>
      <w:r>
        <w:t>Review Coordination</w:t>
      </w:r>
    </w:p>
    <w:p>
      <w:r>
        <w:t>Inter-Review Coordination</w:t>
      </w:r>
    </w:p>
    <w:p>
      <w:r>
        <w:t>What This Means in Practice:</w:t>
      </w:r>
    </w:p>
    <w:p>
      <w:r>
        <w:t>Reviews are coordinated to avoid duplication</w:t>
      </w:r>
    </w:p>
    <w:p>
      <w:r>
        <w:t>Reviews are coordinated to ensure coverage</w:t>
      </w:r>
    </w:p>
    <w:p>
      <w:r>
        <w:t>Reviews are coordinated to enable integration</w:t>
      </w:r>
    </w:p>
    <w:p>
      <w:r>
        <w:t>Reviews are coordinated to support decision-making</w:t>
      </w:r>
    </w:p>
    <w:p>
      <w:r>
        <w:t>Example:</w:t>
      </w:r>
    </w:p>
    <w:p>
      <w:r>
        <w:t>The quarterly reserve review and the quarterly risk review are coordinated. The risk review informs the reserve review. The reserve review informs the risk review. The two reviews are integrated to provide a comprehensive assessment.</w:t>
      </w:r>
    </w:p>
    <w:p>
      <w:r>
        <w:t>Why This Matters:</w:t>
      </w:r>
    </w:p>
    <w:p>
      <w:r>
        <w:t>Coordination prevents duplication</w:t>
      </w:r>
    </w:p>
    <w:p>
      <w:r>
        <w:t>Coordination ensures coverage</w:t>
      </w:r>
    </w:p>
    <w:p>
      <w:r>
        <w:t>Coordination enables integration</w:t>
      </w:r>
    </w:p>
    <w:p>
      <w:r>
        <w:t>Coordination supports decision-making</w:t>
      </w:r>
    </w:p>
    <w:p>
      <w:r>
        <w:t>Review Integration</w:t>
      </w:r>
    </w:p>
    <w:p>
      <w:r>
        <w:t>What This Means in Practice:</w:t>
      </w:r>
    </w:p>
    <w:p>
      <w:r>
        <w:t>Review findings are integrated</w:t>
      </w:r>
    </w:p>
    <w:p>
      <w:r>
        <w:t>Review findings are compared</w:t>
      </w:r>
    </w:p>
    <w:p>
      <w:r>
        <w:t>Review findings are consolidated</w:t>
      </w:r>
    </w:p>
    <w:p>
      <w:r>
        <w:t>Review findings are reported together</w:t>
      </w:r>
    </w:p>
    <w:p>
      <w:r>
        <w:t>Example:</w:t>
      </w:r>
    </w:p>
    <w:p>
      <w:r>
        <w:t>The quarterly reserve review findings, risk review findings, and compliance review findings are integrated into a single quarterly governance report. The Council receives a comprehensive view of institutional performance.</w:t>
      </w:r>
    </w:p>
    <w:p>
      <w:r>
        <w:t>Why This Matters:</w:t>
      </w:r>
    </w:p>
    <w:p>
      <w:r>
        <w:t>Integration provides a comprehensive view</w:t>
      </w:r>
    </w:p>
    <w:p>
      <w:r>
        <w:t>Integration identifies connections</w:t>
      </w:r>
    </w:p>
    <w:p>
      <w:r>
        <w:t>Integration enables holistic decision-making</w:t>
      </w:r>
    </w:p>
    <w:p>
      <w:r>
        <w:t>Integration improves governance efficiency</w:t>
      </w:r>
    </w:p>
    <w:p>
      <w:r>
        <w:t>Summary Table</w:t>
      </w:r>
    </w:p>
    <w:p>
      <w:r>
        <w:t>Constitutional Interpretation</w:t>
      </w:r>
    </w:p>
    <w:p>
      <w:r>
        <w:t>The Review Cycles policy establishes the operational framework for regular review:</w:t>
      </w:r>
    </w:p>
    <w:p>
      <w:r>
        <w:t>Daily reviews: reserve ratio, NAV, system monitoring, sanctions, transactions</w:t>
      </w:r>
    </w:p>
    <w:p>
      <w:r>
        <w:t>Weekly reviews: reserve composition, redemption volume, settlement activity</w:t>
      </w:r>
    </w:p>
    <w:p>
      <w:r>
        <w:t>Monthly reviews: risk assessment, technical performance, compliance, financials</w:t>
      </w:r>
    </w:p>
    <w:p>
      <w:r>
        <w:t>Quarterly reviews: reserve performance, comprehensive assessment, stress testing</w:t>
      </w:r>
    </w:p>
    <w:p>
      <w:r>
        <w:t>Annual reviews: policy review, fee review, budget, audit, governance, Sharia</w:t>
      </w:r>
    </w:p>
    <w:p>
      <w:r>
        <w:t>Five-year reviews: independent comprehensive assessment</w:t>
      </w:r>
    </w:p>
    <w:p>
      <w:r>
        <w:t>Reviews follow defined processes, produce defined deliverables, and lead to defined actions. Reviews are transparent and findings are published. The review framework maintains accountability, enables improvement, and builds institutional trust.</w:t>
      </w:r>
    </w:p>
    <w:p>
      <w:r>
        <w:t>[END OF PART 3, ARTICLE VII — REVIEW CYCLES]</w:t>
      </w:r>
    </w:p>
    <w:p>
      <w:r>
        <w:t>Article VIII: Physical Redemption Terms</w:t>
      </w:r>
    </w:p>
    <w:p>
      <w:r>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r>
        <w:t>What This Means in Practice:</w:t>
      </w:r>
    </w:p>
    <w:p>
      <w:r>
        <w:t>Holders may redeem MTQ for physical gold or silver</w:t>
      </w:r>
    </w:p>
    <w:p>
      <w:r>
        <w:t>Redemption is subject to defined terms and conditions</w:t>
      </w:r>
    </w:p>
    <w:p>
      <w:r>
        <w:t>Terms are transparent and publicly disclosed</w:t>
      </w:r>
    </w:p>
    <w:p>
      <w:r>
        <w:t>Terms ensure operational efficiency and security</w:t>
      </w:r>
    </w:p>
    <w:p>
      <w:r>
        <w:t>Example:</w:t>
      </w:r>
    </w:p>
    <w:p>
      <w:r>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r>
        <w:t>Why This Matters:</w:t>
      </w:r>
    </w:p>
    <w:p>
      <w:r>
        <w:t>Physical redemption is a constitutional right</w:t>
      </w:r>
    </w:p>
    <w:p>
      <w:r>
        <w:t>Without defined terms, redemptions would be uncertain</w:t>
      </w:r>
    </w:p>
    <w:p>
      <w:r>
        <w:t>Without defined procedures, redemptions would be inefficient</w:t>
      </w:r>
    </w:p>
    <w:p>
      <w:r>
        <w:t>Clear terms enable participants to exercise redemption rights</w:t>
      </w:r>
    </w:p>
    <w:p>
      <w:r>
        <w:t>Clear procedures maintain operational integrity</w:t>
      </w:r>
    </w:p>
    <w:p>
      <w:r>
        <w:t>Core Principles of Physical Redemption</w:t>
      </w:r>
    </w:p>
    <w:p>
      <w:pPr>
        <w:pStyle w:val="ListNumber"/>
        <w:ind w:left="425"/>
      </w:pPr>
      <w:r>
        <w:t>Constitutional Right</w:t>
      </w:r>
    </w:p>
    <w:p>
      <w:r>
        <w:t>Physical redemption is a constitutional right of all holders.</w:t>
      </w:r>
    </w:p>
    <w:p>
      <w:r>
        <w:t>What This Means in Practice:</w:t>
      </w:r>
    </w:p>
    <w:p>
      <w:r>
        <w:t>All holders have the right to redeem for physical bullion</w:t>
      </w:r>
    </w:p>
    <w:p>
      <w:r>
        <w:t>Redemption is not subject to discretionary approval</w:t>
      </w:r>
    </w:p>
    <w:p>
      <w:r>
        <w:t>Redemption terms are transparent and published</w:t>
      </w:r>
    </w:p>
    <w:p>
      <w:r>
        <w:t>Redemption rights are protected constitutionally</w:t>
      </w:r>
    </w:p>
    <w:p>
      <w:r>
        <w:t>Example:</w:t>
      </w:r>
    </w:p>
    <w:p>
      <w:r>
        <w:t>A holder submits a physical redemption request. The request is processed according to published terms. The holder receives physical bullion. The redemption right is absolute.</w:t>
      </w:r>
    </w:p>
    <w:p>
      <w:r>
        <w:t>Why This Matters:</w:t>
      </w:r>
    </w:p>
    <w:p>
      <w:r>
        <w:t>Physical redemption is a fundamental holder right</w:t>
      </w:r>
    </w:p>
    <w:p>
      <w:r>
        <w:t>Physical redemption provides ultimate assurance</w:t>
      </w:r>
    </w:p>
    <w:p>
      <w:r>
        <w:t>Physical redemption demonstrates reserve integrity</w:t>
      </w:r>
    </w:p>
    <w:p>
      <w:r>
        <w:t>Physical redemption builds trust</w:t>
      </w:r>
    </w:p>
    <w:p>
      <w:pPr>
        <w:pStyle w:val="ListNumber"/>
        <w:ind w:left="425"/>
      </w:pPr>
      <w:r>
        <w:t>Operational Efficiency</w:t>
      </w:r>
    </w:p>
    <w:p>
      <w:r>
        <w:t>Redemptions are processed efficiently and effectively.</w:t>
      </w:r>
    </w:p>
    <w:p>
      <w:r>
        <w:t>What This Means in Practice:</w:t>
      </w:r>
    </w:p>
    <w:p>
      <w:r>
        <w:t>Redemption procedures are defined</w:t>
      </w:r>
    </w:p>
    <w:p>
      <w:r>
        <w:t>Redemption processing is efficient</w:t>
      </w:r>
    </w:p>
    <w:p>
      <w:r>
        <w:t>Redemption timelines are published</w:t>
      </w:r>
    </w:p>
    <w:p>
      <w:r>
        <w:t>Redemption operations are optimized</w:t>
      </w:r>
    </w:p>
    <w:p>
      <w:r>
        <w:t>Example:</w:t>
      </w:r>
    </w:p>
    <w:p>
      <w:r>
        <w:t>The Institution processes physical redemption requests within published timelines. Redemptions are efficient and effective. Participants can plan their redemptions with confidence.</w:t>
      </w:r>
    </w:p>
    <w:p>
      <w:r>
        <w:t>Why This Matters:</w:t>
      </w:r>
    </w:p>
    <w:p>
      <w:r>
        <w:t>Efficiency ensures timely delivery</w:t>
      </w:r>
    </w:p>
    <w:p>
      <w:r>
        <w:t>Efficiency reduces costs</w:t>
      </w:r>
    </w:p>
    <w:p>
      <w:r>
        <w:t>Efficiency builds confidence</w:t>
      </w:r>
    </w:p>
    <w:p>
      <w:r>
        <w:t>Efficiency maintains operational integrity</w:t>
      </w:r>
    </w:p>
    <w:p>
      <w:pPr>
        <w:pStyle w:val="ListNumber"/>
        <w:ind w:left="425"/>
      </w:pPr>
      <w:r>
        <w:t>Transparency</w:t>
      </w:r>
    </w:p>
    <w:p>
      <w:r>
        <w:t>Redemption terms are transparent and publicly disclosed.</w:t>
      </w:r>
    </w:p>
    <w:p>
      <w:r>
        <w:t>What This Means in Practice:</w:t>
      </w:r>
    </w:p>
    <w:p>
      <w:r>
        <w:t>All terms are published</w:t>
      </w:r>
    </w:p>
    <w:p>
      <w:r>
        <w:t>All fees and premiums are disclosed</w:t>
      </w:r>
    </w:p>
    <w:p>
      <w:r>
        <w:t>All procedures are documented</w:t>
      </w:r>
    </w:p>
    <w:p>
      <w:r>
        <w:t>All costs are transparent</w:t>
      </w:r>
    </w:p>
    <w:p>
      <w:r>
        <w:t>Example:</w:t>
      </w:r>
    </w:p>
    <w:p>
      <w:r>
        <w:t>The Institution publishes complete physical redemption terms: minimum amounts, fees, premiums, processing timelines, and delivery procedures. All costs are transparent and disclosed in advance.</w:t>
      </w:r>
    </w:p>
    <w:p>
      <w:r>
        <w:t>Why This Matters:</w:t>
      </w:r>
    </w:p>
    <w:p>
      <w:r>
        <w:t>Transparency builds trust</w:t>
      </w:r>
    </w:p>
    <w:p>
      <w:r>
        <w:t>Transparency enables planning</w:t>
      </w:r>
    </w:p>
    <w:p>
      <w:r>
        <w:t>Transparency prevents surprises</w:t>
      </w:r>
    </w:p>
    <w:p>
      <w:r>
        <w:t>Transparency ensures fairness</w:t>
      </w:r>
    </w:p>
    <w:p>
      <w:pPr>
        <w:pStyle w:val="ListNumber"/>
        <w:ind w:left="425"/>
      </w:pPr>
      <w:r>
        <w:t>Security</w:t>
      </w:r>
    </w:p>
    <w:p>
      <w:r>
        <w:t>Redemptions are processed securely.</w:t>
      </w:r>
    </w:p>
    <w:p>
      <w:r>
        <w:t>What This Means in Practice:</w:t>
      </w:r>
    </w:p>
    <w:p>
      <w:r>
        <w:t>Identity verification is required</w:t>
      </w:r>
    </w:p>
    <w:p>
      <w:r>
        <w:t>Asset transfer is secure</w:t>
      </w:r>
    </w:p>
    <w:p>
      <w:r>
        <w:t>Custody procedures are robust</w:t>
      </w:r>
    </w:p>
    <w:p>
      <w:r>
        <w:t>Security controls are maintained</w:t>
      </w:r>
    </w:p>
    <w:p>
      <w:r>
        <w:t>Example:</w:t>
      </w:r>
    </w:p>
    <w:p>
      <w:r>
        <w:t>The Institution requires identity verification for physical redemptions. Assets are transferred through secure custody channels. Security is maintained throughout the process.</w:t>
      </w:r>
    </w:p>
    <w:p>
      <w:r>
        <w:t>Why This Matters:</w:t>
      </w:r>
    </w:p>
    <w:p>
      <w:r>
        <w:t>Security prevents fraud</w:t>
      </w:r>
    </w:p>
    <w:p>
      <w:r>
        <w:t>Security protects assets</w:t>
      </w:r>
    </w:p>
    <w:p>
      <w:r>
        <w:t>Security protects participants</w:t>
      </w:r>
    </w:p>
    <w:p>
      <w:r>
        <w:t>Security maintains institutional integrity</w:t>
      </w:r>
    </w:p>
    <w:p>
      <w:r>
        <w:t>Redemption Eligibility</w:t>
      </w:r>
    </w:p>
    <w:p>
      <w:r>
        <w:t>Eligible Participants</w:t>
      </w:r>
    </w:p>
    <w:p>
      <w:r>
        <w:t>What This Means in Practice:</w:t>
      </w:r>
    </w:p>
    <w:p>
      <w:r>
        <w:t>All holders are eligible for physical redemption</w:t>
      </w:r>
    </w:p>
    <w:p>
      <w:r>
        <w:t>Identity verification is required for all participants</w:t>
      </w:r>
    </w:p>
    <w:p>
      <w:r>
        <w:t>Enhanced verification may be required for larger redemptions</w:t>
      </w:r>
    </w:p>
    <w:p>
      <w:r>
        <w:t>Eligibility is universal, not discretionary</w:t>
      </w:r>
    </w:p>
    <w:p>
      <w:r>
        <w:t>Example:</w:t>
      </w:r>
    </w:p>
    <w:p>
      <w:r>
        <w:t>A retail holder with 10 MTQ is eligible for physical redemption. An institutional holder with 1,000,000 MTQ is also eligible. Both must verify their identity. Both receive the same terms and conditions.</w:t>
      </w:r>
    </w:p>
    <w:p>
      <w:r>
        <w:t>Why This Matters:</w:t>
      </w:r>
    </w:p>
    <w:p>
      <w:r>
        <w:t>Universal eligibility ensures equal treatment</w:t>
      </w:r>
    </w:p>
    <w:p>
      <w:r>
        <w:t>Universal eligibility maintains neutrality</w:t>
      </w:r>
    </w:p>
    <w:p>
      <w:r>
        <w:t>Universal eligibility prevents discrimination</w:t>
      </w:r>
    </w:p>
    <w:p>
      <w:r>
        <w:t>Universal eligibility supports constitutional principles</w:t>
      </w:r>
    </w:p>
    <w:p>
      <w:r>
        <w:t>Eligible Bullion</w:t>
      </w:r>
    </w:p>
    <w:p>
      <w:r>
        <w:t>What This Means in Practice:</w:t>
      </w:r>
    </w:p>
    <w:p>
      <w:r>
        <w:t>Gold and silver bullion are eligible for redemption</w:t>
      </w:r>
    </w:p>
    <w:p>
      <w:r>
        <w:t>Bullion must meet internationally recognized standards</w:t>
      </w:r>
    </w:p>
    <w:p>
      <w:r>
        <w:t>Bullion must meet minimum purity requirements</w:t>
      </w:r>
    </w:p>
    <w:p>
      <w:r>
        <w:t>Bullion is delivered in standard bar form</w:t>
      </w:r>
    </w:p>
    <w:p>
      <w:r>
        <w:t>Example:</w:t>
      </w:r>
    </w:p>
    <w:p>
      <w:r>
        <w:t>A participant redeems MTQ for physical gold. The gold is LBMA Good Delivery standard, 99.5% purity, delivered in standard bar form. The bullion meets the eligibility requirements.</w:t>
      </w:r>
    </w:p>
    <w:p>
      <w:r>
        <w:t>Why This Matters:</w:t>
      </w:r>
    </w:p>
    <w:p>
      <w:r>
        <w:t>Eligible bullion must be verifiable</w:t>
      </w:r>
    </w:p>
    <w:p>
      <w:r>
        <w:t>Eligible bullion must be marketable</w:t>
      </w:r>
    </w:p>
    <w:p>
      <w:r>
        <w:t>Eligible bullion must meet quality standards</w:t>
      </w:r>
    </w:p>
    <w:p>
      <w:r>
        <w:t>Eligible bullion must be suitable for institutional custody</w:t>
      </w:r>
    </w:p>
    <w:p>
      <w:r>
        <w:t>Redemption Minimums</w:t>
      </w:r>
    </w:p>
    <w:p>
      <w:r>
        <w:t>Minimum Amounts</w:t>
      </w:r>
    </w:p>
    <w:p>
      <w:r>
        <w:t>What This Means in Practice:</w:t>
      </w:r>
    </w:p>
    <w:p>
      <w:r>
        <w:t>Minimum redemption amounts are established</w:t>
      </w:r>
    </w:p>
    <w:p>
      <w:r>
        <w:t>Minimums ensure operational efficiency</w:t>
      </w:r>
    </w:p>
    <w:p>
      <w:r>
        <w:t>Minimums are reviewed and adjusted as needed</w:t>
      </w:r>
    </w:p>
    <w:p>
      <w:r>
        <w:t>Minimums are transparent and published</w:t>
      </w:r>
    </w:p>
    <w:p>
      <w:r>
        <w:t>Example:</w:t>
      </w:r>
    </w:p>
    <w:p>
      <w:r>
        <w:t>A participant redeems 1 kilogram of gold. This meets the minimum redemption requirement. The redemption is processed efficiently. A participant redeeming less than 1 kilogram must redeem a larger amount or use other redemption options.</w:t>
      </w:r>
    </w:p>
    <w:p>
      <w:r>
        <w:t>Why This Matters:</w:t>
      </w:r>
    </w:p>
    <w:p>
      <w:r>
        <w:t>Minimums ensure operational efficiency</w:t>
      </w:r>
    </w:p>
    <w:p>
      <w:r>
        <w:t>Minimums prevent uneconomic redemptions</w:t>
      </w:r>
    </w:p>
    <w:p>
      <w:r>
        <w:t>Minimums maintain cost-effectiveness</w:t>
      </w:r>
    </w:p>
    <w:p>
      <w:r>
        <w:t>Minimums support operational integrity</w:t>
      </w:r>
    </w:p>
    <w:p>
      <w:r>
        <w:t>Rationale:</w:t>
      </w:r>
    </w:p>
    <w:p>
      <w:r>
        <w:t>1 kilogram gold: standard bar size, efficient processing</w:t>
      </w:r>
    </w:p>
    <w:p>
      <w:r>
        <w:t>100 grams gold: smaller redemption option where available</w:t>
      </w:r>
    </w:p>
    <w:p>
      <w:r>
        <w:t>100 kilograms silver: standard bar size for silver</w:t>
      </w:r>
    </w:p>
    <w:p>
      <w:r>
        <w:t>Review Frequency:</w:t>
      </w:r>
    </w:p>
    <w:p>
      <w:r>
        <w:t>Minimums are reviewed annually</w:t>
      </w:r>
    </w:p>
    <w:p>
      <w:r>
        <w:t>Minimums may be adjusted based on operational experience</w:t>
      </w:r>
    </w:p>
    <w:p>
      <w:r>
        <w:t>Minimums are published and transparent</w:t>
      </w:r>
    </w:p>
    <w:p>
      <w:r>
        <w:t>Redemption Premiums</w:t>
      </w:r>
    </w:p>
    <w:p>
      <w:r>
        <w:t>Premium Structure</w:t>
      </w:r>
    </w:p>
    <w:p>
      <w:r>
        <w:t>What This Means in Practice:</w:t>
      </w:r>
    </w:p>
    <w:p>
      <w:r>
        <w:t>Premiums are charged for physical redemption</w:t>
      </w:r>
    </w:p>
    <w:p>
      <w:r>
        <w:t>Premiums cover processing, logistics, and market costs</w:t>
      </w:r>
    </w:p>
    <w:p>
      <w:r>
        <w:t>Premiums are transparent and disclosed</w:t>
      </w:r>
    </w:p>
    <w:p>
      <w:r>
        <w:t>Premiums are reasonable and proportional</w:t>
      </w:r>
    </w:p>
    <w:p>
      <w:r>
        <w:t>Example:</w:t>
      </w:r>
    </w:p>
    <w:p>
      <w:r>
        <w:t>A participant redeems 1,000,000 MTQ for gold at NAV of $1.00. The processing fee is 1%, the delivery premium is 2%, and the market premium is 1%. The total premium is 4%. The participant receives $960,000 worth of gold.</w:t>
      </w:r>
    </w:p>
    <w:p>
      <w:r>
        <w:t>Why This Matters:</w:t>
      </w:r>
    </w:p>
    <w:p>
      <w:r>
        <w:t>Premiums ensure cost recovery</w:t>
      </w:r>
    </w:p>
    <w:p>
      <w:r>
        <w:t>Premiums cover operational costs</w:t>
      </w:r>
    </w:p>
    <w:p>
      <w:r>
        <w:t>Premiums maintain sustainability</w:t>
      </w:r>
    </w:p>
    <w:p>
      <w:r>
        <w:t>Premiums are transparent and reasonable</w:t>
      </w:r>
    </w:p>
    <w:p>
      <w:r>
        <w:t>Premium Justification</w:t>
      </w:r>
    </w:p>
    <w:p>
      <w:r>
        <w:t>What This Means in Practice:</w:t>
      </w:r>
    </w:p>
    <w:p>
      <w:r>
        <w:t>Each premium component is justified</w:t>
      </w:r>
    </w:p>
    <w:p>
      <w:r>
        <w:t>Costs are transparently disclosed</w:t>
      </w:r>
    </w:p>
    <w:p>
      <w:r>
        <w:t>Premiums are reviewed annually</w:t>
      </w:r>
    </w:p>
    <w:p>
      <w:r>
        <w:t>Premiums are adjusted as needed</w:t>
      </w:r>
    </w:p>
    <w:p>
      <w:r>
        <w:t>Example:</w:t>
      </w:r>
    </w:p>
    <w:p>
      <w:r>
        <w:t>The processing fee covers staff time, verification, and processing. The delivery premium covers insurance, transport, and handling. The market premium covers the bid-ask spread for bullion purchase. All components are justified and transparent.</w:t>
      </w:r>
    </w:p>
    <w:p>
      <w:r>
        <w:t>Why This Matters:</w:t>
      </w:r>
    </w:p>
    <w:p>
      <w:r>
        <w:t>Transparency builds trust</w:t>
      </w:r>
    </w:p>
    <w:p>
      <w:r>
        <w:t>Justification enables understanding</w:t>
      </w:r>
    </w:p>
    <w:p>
      <w:r>
        <w:t>Review ensures appropriateness</w:t>
      </w:r>
    </w:p>
    <w:p>
      <w:r>
        <w:t>Adjustment ensures sustainability</w:t>
      </w:r>
    </w:p>
    <w:p>
      <w:r>
        <w:t>Redemption Process</w:t>
      </w:r>
    </w:p>
    <w:p>
      <w:r>
        <w:t>Standard Redemption Process</w:t>
      </w:r>
    </w:p>
    <w:p>
      <w:r>
        <w:t>Step 1: Submission</w:t>
      </w:r>
    </w:p>
    <w:p>
      <w:r>
        <w:t>Participant submits redemption request</w:t>
      </w:r>
    </w:p>
    <w:p>
      <w:r>
        <w:t>Request includes amount and delivery instructions</w:t>
      </w:r>
    </w:p>
    <w:p>
      <w:r>
        <w:t>Identity verification is completed</w:t>
      </w:r>
    </w:p>
    <w:p>
      <w:r>
        <w:t>Request is acknowledged</w:t>
      </w:r>
    </w:p>
    <w:p>
      <w:r>
        <w:t>Step 2: Verification</w:t>
      </w:r>
    </w:p>
    <w:p>
      <w:r>
        <w:t>Identity is verified</w:t>
      </w:r>
    </w:p>
    <w:p>
      <w:r>
        <w:t>Holdings are confirmed</w:t>
      </w:r>
    </w:p>
    <w:p>
      <w:r>
        <w:t>NAV is calculated</w:t>
      </w:r>
    </w:p>
    <w:p>
      <w:r>
        <w:t>Eligibility is confirmed</w:t>
      </w:r>
    </w:p>
    <w:p>
      <w:r>
        <w:t>Step 3: Calculation</w:t>
      </w:r>
    </w:p>
    <w:p>
      <w:r>
        <w:t>Premium is calculated</w:t>
      </w:r>
    </w:p>
    <w:p>
      <w:r>
        <w:t>Fees are calculated</w:t>
      </w:r>
    </w:p>
    <w:p>
      <w:r>
        <w:t>Net amount is determined</w:t>
      </w:r>
    </w:p>
    <w:p>
      <w:r>
        <w:t>Confirmation is provided</w:t>
      </w:r>
    </w:p>
    <w:p>
      <w:r>
        <w:t>Step 4: Processing</w:t>
      </w:r>
    </w:p>
    <w:p>
      <w:r>
        <w:t>MTQ is burned</w:t>
      </w:r>
    </w:p>
    <w:p>
      <w:r>
        <w:t>Bullion is allocated</w:t>
      </w:r>
    </w:p>
    <w:p>
      <w:r>
        <w:t>Custody is arranged</w:t>
      </w:r>
    </w:p>
    <w:p>
      <w:r>
        <w:t>Processing is completed</w:t>
      </w:r>
    </w:p>
    <w:p>
      <w:r>
        <w:t>Step 5: Delivery</w:t>
      </w:r>
    </w:p>
    <w:p>
      <w:r>
        <w:t>Bullion is delivered</w:t>
      </w:r>
    </w:p>
    <w:p>
      <w:r>
        <w:t>Delivery is confirmed</w:t>
      </w:r>
    </w:p>
    <w:p>
      <w:r>
        <w:t>Documentation is provided</w:t>
      </w:r>
    </w:p>
    <w:p>
      <w:r>
        <w:t>Transaction is complete</w:t>
      </w:r>
    </w:p>
    <w:p>
      <w:r>
        <w:t>Step 6: Documentation</w:t>
      </w:r>
    </w:p>
    <w:p>
      <w:r>
        <w:t>Receipt is provided</w:t>
      </w:r>
    </w:p>
    <w:p>
      <w:r>
        <w:t>Records are maintained</w:t>
      </w:r>
    </w:p>
    <w:p>
      <w:r>
        <w:t>Reporting is completed</w:t>
      </w:r>
    </w:p>
    <w:p>
      <w:r>
        <w:t>Transaction is archived</w:t>
      </w:r>
    </w:p>
    <w:p>
      <w:r>
        <w:t>Redemption Timeline</w:t>
      </w:r>
    </w:p>
    <w:p>
      <w:r>
        <w:t>What This Means in Practice:</w:t>
      </w:r>
    </w:p>
    <w:p>
      <w:r>
        <w:t>Redemption timelines are published</w:t>
      </w:r>
    </w:p>
    <w:p>
      <w:r>
        <w:t>Participants can plan for delivery</w:t>
      </w:r>
    </w:p>
    <w:p>
      <w:r>
        <w:t>Timelines are reasonable</w:t>
      </w:r>
    </w:p>
    <w:p>
      <w:r>
        <w:t>Timelines are maintained</w:t>
      </w:r>
    </w:p>
    <w:p>
      <w:r>
        <w:t>Example:</w:t>
      </w:r>
    </w:p>
    <w:p>
      <w:r>
        <w:t>A participant submits a physical redemption request. The request is verified within 1 day. The calculation is completed within 1 day. Processing takes 5 days. Delivery takes 5 days. The participant receives the bullion within 10 days of submission.</w:t>
      </w:r>
    </w:p>
    <w:p>
      <w:r>
        <w:t>Why This Matters:</w:t>
      </w:r>
    </w:p>
    <w:p>
      <w:r>
        <w:t>Defined timelines provide certainty</w:t>
      </w:r>
    </w:p>
    <w:p>
      <w:r>
        <w:t>Defined timelines enable planning</w:t>
      </w:r>
    </w:p>
    <w:p>
      <w:r>
        <w:t>Defined timelines ensure accountability</w:t>
      </w:r>
    </w:p>
    <w:p>
      <w:r>
        <w:t>Defined timelines build trust</w:t>
      </w:r>
    </w:p>
    <w:p>
      <w:r>
        <w:t>Delivery Options</w:t>
      </w:r>
    </w:p>
    <w:p>
      <w:r>
        <w:t>What This Means in Practice:</w:t>
      </w:r>
    </w:p>
    <w:p>
      <w:r>
        <w:t>Multiple delivery options are available</w:t>
      </w:r>
    </w:p>
    <w:p>
      <w:r>
        <w:t>Participants can choose the option that suits them</w:t>
      </w:r>
    </w:p>
    <w:p>
      <w:r>
        <w:t>Each option has defined lead times</w:t>
      </w:r>
    </w:p>
    <w:p>
      <w:r>
        <w:t>Each option has associated costs</w:t>
      </w:r>
    </w:p>
    <w:p>
      <w:r>
        <w:t>Example:</w:t>
      </w:r>
    </w:p>
    <w:p>
      <w:r>
        <w:t>A participant chooses vault pickup. The bullion is available at the vault within 7 days. The participant picks up the bullion with proper identification. The transaction is complete.</w:t>
      </w:r>
    </w:p>
    <w:p>
      <w:r>
        <w:t>Why This Matters:</w:t>
      </w:r>
    </w:p>
    <w:p>
      <w:r>
        <w:t>Multiple options provide flexibility</w:t>
      </w:r>
    </w:p>
    <w:p>
      <w:r>
        <w:t>Defined lead times enable planning</w:t>
      </w:r>
    </w:p>
    <w:p>
      <w:r>
        <w:t>Choice enables participant preference</w:t>
      </w:r>
    </w:p>
    <w:p>
      <w:r>
        <w:t>Options support different participant needs</w:t>
      </w:r>
    </w:p>
    <w:p>
      <w:r>
        <w:t>Redemption Costs</w:t>
      </w:r>
    </w:p>
    <w:p>
      <w:r>
        <w:t>Fee and Premium Summary</w:t>
      </w:r>
    </w:p>
    <w:p>
      <w:r>
        <w:t>Cost Example</w:t>
      </w:r>
    </w:p>
    <w:p>
      <w:r>
        <w:t>Documentation Requirements</w:t>
      </w:r>
    </w:p>
    <w:p>
      <w:r>
        <w:t>Required Documentation</w:t>
      </w:r>
    </w:p>
    <w:p>
      <w:r>
        <w:t>What This Means in Practice:</w:t>
      </w:r>
    </w:p>
    <w:p>
      <w:r>
        <w:t>Documentation is required for physical redemption</w:t>
      </w:r>
    </w:p>
    <w:p>
      <w:r>
        <w:t>Documentation verifies identity and holdings</w:t>
      </w:r>
    </w:p>
    <w:p>
      <w:r>
        <w:t>Documentation enables proper delivery</w:t>
      </w:r>
    </w:p>
    <w:p>
      <w:r>
        <w:t>Documentation supports audit trail</w:t>
      </w:r>
    </w:p>
    <w:p>
      <w:r>
        <w:t>Example:</w:t>
      </w:r>
    </w:p>
    <w:p>
      <w:r>
        <w:t>A participant submits identity verification, confirms holdings, provides delivery instructions, and completes tax documentation. The redemption is processed. A receipt is provided. The transaction is documented.</w:t>
      </w:r>
    </w:p>
    <w:p>
      <w:r>
        <w:t>Why This Matters:</w:t>
      </w:r>
    </w:p>
    <w:p>
      <w:r>
        <w:t>Documentation ensures proper verification</w:t>
      </w:r>
    </w:p>
    <w:p>
      <w:r>
        <w:t>Documentation prevents fraud</w:t>
      </w:r>
    </w:p>
    <w:p>
      <w:r>
        <w:t>Documentation supports auditability</w:t>
      </w:r>
    </w:p>
    <w:p>
      <w:r>
        <w:t>Documentation maintains institutional integrity</w:t>
      </w:r>
    </w:p>
    <w:p>
      <w:r>
        <w:t>Record Retention</w:t>
      </w:r>
    </w:p>
    <w:p>
      <w:r>
        <w:t>What This Means in Practice:</w:t>
      </w:r>
    </w:p>
    <w:p>
      <w:r>
        <w:t>All redemption records are retained</w:t>
      </w:r>
    </w:p>
    <w:p>
      <w:r>
        <w:t>Records are retained as required by law</w:t>
      </w:r>
    </w:p>
    <w:p>
      <w:r>
        <w:t>Records are maintained securely</w:t>
      </w:r>
    </w:p>
    <w:p>
      <w:r>
        <w:t>Records are available for audit</w:t>
      </w:r>
    </w:p>
    <w:p>
      <w:r>
        <w:t>Example:</w:t>
      </w:r>
    </w:p>
    <w:p>
      <w:r>
        <w:t>The Institution retains all physical redemption records for 7 years. Records include redemption requests, verification records, delivery records, and receipts. Records are maintained securely and are available for audit.</w:t>
      </w:r>
    </w:p>
    <w:p>
      <w:r>
        <w:t>Why This Matters:</w:t>
      </w:r>
    </w:p>
    <w:p>
      <w:r>
        <w:t>Record retention supports auditability</w:t>
      </w:r>
    </w:p>
    <w:p>
      <w:r>
        <w:t>Record retention supports accountability</w:t>
      </w:r>
    </w:p>
    <w:p>
      <w:r>
        <w:t>Record retention enables review</w:t>
      </w:r>
    </w:p>
    <w:p>
      <w:r>
        <w:t>Record retention maintains institutional integrity</w:t>
      </w:r>
    </w:p>
    <w:p>
      <w:r>
        <w:t>Service Level Agreements</w:t>
      </w:r>
    </w:p>
    <w:p>
      <w:r>
        <w:t>SLA Standards</w:t>
      </w:r>
    </w:p>
    <w:p>
      <w:r>
        <w:t>What This Means in Practice:</w:t>
      </w:r>
    </w:p>
    <w:p>
      <w:r>
        <w:t>Service levels are defined</w:t>
      </w:r>
    </w:p>
    <w:p>
      <w:r>
        <w:t>Service levels are measured</w:t>
      </w:r>
    </w:p>
    <w:p>
      <w:r>
        <w:t>Service levels are reported</w:t>
      </w:r>
    </w:p>
    <w:p>
      <w:r>
        <w:t>Service levels are maintained</w:t>
      </w:r>
    </w:p>
    <w:p>
      <w:r>
        <w:t>Example:</w:t>
      </w:r>
    </w:p>
    <w:p>
      <w:r>
        <w:t>The Institution processes physical redemptions within 5 days and delivers within 10 days. Accuracy is 100%. Documentation is complete. Service levels are maintained.</w:t>
      </w:r>
    </w:p>
    <w:p>
      <w:r>
        <w:t>Why This Matters:</w:t>
      </w:r>
    </w:p>
    <w:p>
      <w:r>
        <w:t>Service levels provide certainty</w:t>
      </w:r>
    </w:p>
    <w:p>
      <w:r>
        <w:t>Service levels ensure accountability</w:t>
      </w:r>
    </w:p>
    <w:p>
      <w:r>
        <w:t>Service levels build trust</w:t>
      </w:r>
    </w:p>
    <w:p>
      <w:r>
        <w:t>Service levels maintain institutional integrity</w:t>
      </w:r>
    </w:p>
    <w:p>
      <w:r>
        <w:t>Escalation</w:t>
      </w:r>
    </w:p>
    <w:p>
      <w:r>
        <w:t>What This Means in Practice:</w:t>
      </w:r>
    </w:p>
    <w:p>
      <w:r>
        <w:t>Issues are escalated appropriately</w:t>
      </w:r>
    </w:p>
    <w:p>
      <w:r>
        <w:t>Escalation paths are defined</w:t>
      </w:r>
    </w:p>
    <w:p>
      <w:r>
        <w:t>Resolution is timely</w:t>
      </w:r>
    </w:p>
    <w:p>
      <w:r>
        <w:t>Accountability is maintained</w:t>
      </w:r>
    </w:p>
    <w:p>
      <w:r>
        <w:t>Example:</w:t>
      </w:r>
    </w:p>
    <w:p>
      <w:r>
        <w:t>A physical redemption is delayed beyond the SLA. The issue is escalated from Operations to the Risk Committee. The Committee expedites processing. The redemption is completed. The issue is resolved.</w:t>
      </w:r>
    </w:p>
    <w:p>
      <w:r>
        <w:t>Why This Matters:</w:t>
      </w:r>
    </w:p>
    <w:p>
      <w:r>
        <w:t>Escalation ensures issue resolution</w:t>
      </w:r>
    </w:p>
    <w:p>
      <w:r>
        <w:t>Escalation maintains accountability</w:t>
      </w:r>
    </w:p>
    <w:p>
      <w:r>
        <w:t>Escalation prevents escalation</w:t>
      </w:r>
    </w:p>
    <w:p>
      <w:r>
        <w:t>Escalation builds trust</w:t>
      </w:r>
    </w:p>
    <w:p>
      <w:r>
        <w:t>Security Controls</w:t>
      </w:r>
    </w:p>
    <w:p>
      <w:r>
        <w:t>Identity Verification</w:t>
      </w:r>
    </w:p>
    <w:p>
      <w:r>
        <w:t>What This Means in Practice:</w:t>
      </w:r>
    </w:p>
    <w:p>
      <w:r>
        <w:t>Identity verification prevents fraud</w:t>
      </w:r>
    </w:p>
    <w:p>
      <w:r>
        <w:t>Holding verification prevents unauthorized redemptions</w:t>
      </w:r>
    </w:p>
    <w:p>
      <w:r>
        <w:t>Sanctions screening ensures compliance</w:t>
      </w:r>
    </w:p>
    <w:p>
      <w:r>
        <w:t>AML checks maintain institutional integrity</w:t>
      </w:r>
    </w:p>
    <w:p>
      <w:r>
        <w:t>Example:</w:t>
      </w:r>
    </w:p>
    <w:p>
      <w:r>
        <w:t>A participant submits a physical redemption request. Identity is verified. Holdings are confirmed. Sanctions screening is completed. AML checks are completed. The request is approved.</w:t>
      </w:r>
    </w:p>
    <w:p>
      <w:r>
        <w:t>Why This Matters:</w:t>
      </w:r>
    </w:p>
    <w:p>
      <w:r>
        <w:t>Identity verification prevents fraud</w:t>
      </w:r>
    </w:p>
    <w:p>
      <w:r>
        <w:t>Holding verification protects participants</w:t>
      </w:r>
    </w:p>
    <w:p>
      <w:r>
        <w:t>Sanctions screening ensures compliance</w:t>
      </w:r>
    </w:p>
    <w:p>
      <w:r>
        <w:t>AML checks maintain institutional integrity</w:t>
      </w:r>
    </w:p>
    <w:p>
      <w:r>
        <w:t>Asset Security</w:t>
      </w:r>
    </w:p>
    <w:p>
      <w:r>
        <w:t>What This Means in Practice:</w:t>
      </w:r>
    </w:p>
    <w:p>
      <w:r>
        <w:t>Bullion is held securely</w:t>
      </w:r>
    </w:p>
    <w:p>
      <w:r>
        <w:t>Transport is secure</w:t>
      </w:r>
    </w:p>
    <w:p>
      <w:r>
        <w:t>Insurance protects against loss</w:t>
      </w:r>
    </w:p>
    <w:p>
      <w:r>
        <w:t>Audits verify integrity</w:t>
      </w:r>
    </w:p>
    <w:p>
      <w:r>
        <w:t>Example:</w:t>
      </w:r>
    </w:p>
    <w:p>
      <w:r>
        <w:t>Bullion is held in secure custody. Transport is arranged through secure channels. Insurance covers the bullion during transport and custody. Audits verify the bullion's integrity.</w:t>
      </w:r>
    </w:p>
    <w:p>
      <w:r>
        <w:t>Why This Matters:</w:t>
      </w:r>
    </w:p>
    <w:p>
      <w:r>
        <w:t>Security protects assets</w:t>
      </w:r>
    </w:p>
    <w:p>
      <w:r>
        <w:t>Security prevents theft</w:t>
      </w:r>
    </w:p>
    <w:p>
      <w:r>
        <w:t>Insurance protects against loss</w:t>
      </w:r>
    </w:p>
    <w:p>
      <w:r>
        <w:t>Audits ensure integrity</w:t>
      </w:r>
    </w:p>
    <w:p>
      <w:r>
        <w:t>Summary Table</w:t>
      </w:r>
    </w:p>
    <w:p>
      <w:r>
        <w:t>Constitutional Interpretation</w:t>
      </w:r>
    </w:p>
    <w:p>
      <w:r>
        <w:t>The Physical Redemption Terms policy establishes the operational framework for physical redemption:</w:t>
      </w:r>
    </w:p>
    <w:p>
      <w:r>
        <w:t>All holders have the right to redeem for physical bullion</w:t>
      </w:r>
    </w:p>
    <w:p>
      <w:r>
        <w:t>Minimum redemption: 1 kilogram for gold, 100 kilograms for silver</w:t>
      </w:r>
    </w:p>
    <w:p>
      <w:r>
        <w:t>Premiums: processing (1-2%), delivery (1-3%), market (1-2%)</w:t>
      </w:r>
    </w:p>
    <w:p>
      <w:r>
        <w:t>Processing time: &lt;5 days; Delivery time: &lt;10 days</w:t>
      </w:r>
    </w:p>
    <w:p>
      <w:r>
        <w:t>Required documentation: identity, holdings, delivery, tax</w:t>
      </w:r>
    </w:p>
    <w:p>
      <w:r>
        <w:t>Security controls: identity verification, asset security, insurance, audit</w:t>
      </w:r>
    </w:p>
    <w:p>
      <w:r>
        <w:t>Physical redemption is a constitutional right. Terms are transparent, reasonable, and operationally efficient. The policy enables participants to exercise their redemption rights while maintaining operational integrity and institutional security.</w:t>
      </w:r>
    </w:p>
    <w:p>
      <w:r>
        <w:t>[END OF PART 3, ARTICLE VIII — PHYSICAL REDEMPTION TERMS]</w:t>
      </w:r>
    </w:p>
    <w:p>
      <w:r>
        <w:t>[END OF PART 3 — LAYER 3: POLICY FRAMEWORK]</w:t>
      </w:r>
    </w:p>
    <w:p>
      <w:r>
        <w:t>Part 4: Layer 4 — Technical Framework</w:t>
      </w:r>
    </w:p>
    <w:p>
      <w:r>
        <w:t>Introduction — The Technical Framework</w:t>
      </w:r>
    </w:p>
    <w:p>
      <w:r>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r>
        <w:t>What This Means in Practice:</w:t>
      </w:r>
    </w:p>
    <w:p>
      <w:r>
        <w:t>Policy establishes what the Institution does</w:t>
      </w:r>
    </w:p>
    <w:p>
      <w:r>
        <w:t>Technical Framework establishes how the Institution does it</w:t>
      </w:r>
    </w:p>
    <w:p>
      <w:r>
        <w:t>Technical architecture is secure, efficient, and scalable</w:t>
      </w:r>
    </w:p>
    <w:p>
      <w:r>
        <w:t>Technical operations are transparent and auditable</w:t>
      </w:r>
    </w:p>
    <w:p>
      <w:r>
        <w:t>Technology serves the Institution; the Institution does not serve technology</w:t>
      </w:r>
    </w:p>
    <w:p>
      <w:r>
        <w:t>Example:</w:t>
      </w:r>
    </w:p>
    <w:p>
      <w:r>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r>
        <w:t>Why This Matters:</w:t>
      </w:r>
    </w:p>
    <w:p>
      <w:r>
        <w:t>Without a Technical Framework, constitutional principles cannot be implemented</w:t>
      </w:r>
    </w:p>
    <w:p>
      <w:r>
        <w:t>Without a Technical Framework, operations would be inconsistent</w:t>
      </w:r>
    </w:p>
    <w:p>
      <w:r>
        <w:t>Without a Technical Framework, security would be inadequate</w:t>
      </w:r>
    </w:p>
    <w:p>
      <w:r>
        <w:t>Without a Technical Framework, transparency would be impossible</w:t>
      </w:r>
    </w:p>
    <w:p>
      <w:r>
        <w:t>The Technical Framework translates constitutional principles into operational reality</w:t>
      </w:r>
    </w:p>
    <w:p>
      <w:r>
        <w:t>Core Principles of the Technical Framework</w:t>
      </w:r>
    </w:p>
    <w:p>
      <w:pPr>
        <w:pStyle w:val="ListNumber"/>
        <w:ind w:left="425"/>
      </w:pPr>
      <w:r>
        <w:t>Constitutional Alignment</w:t>
      </w:r>
    </w:p>
    <w:p>
      <w:r>
        <w:t>All technical systems implement constitutional principles.</w:t>
      </w:r>
    </w:p>
    <w:p>
      <w:r>
        <w:t>What This Means in Practice:</w:t>
      </w:r>
    </w:p>
    <w:p>
      <w:r>
        <w:t>Smart contracts enforce constitutional invariants</w:t>
      </w:r>
    </w:p>
    <w:p>
      <w:r>
        <w:t>Technical architecture preserves constitutional principles</w:t>
      </w:r>
    </w:p>
    <w:p>
      <w:r>
        <w:t>Technical decisions serve constitutional objectives</w:t>
      </w:r>
    </w:p>
    <w:p>
      <w:r>
        <w:t>Technology is evaluated against constitutional criteria</w:t>
      </w:r>
    </w:p>
    <w:p>
      <w:r>
        <w:t>Example:</w:t>
      </w:r>
    </w:p>
    <w:p>
      <w:r>
        <w:t>The smart contract for minting enforces the constitutional invariant of no discretionary minting. It only mints upon verified deposit of equivalent value. The technology implements the constitutional principle.</w:t>
      </w:r>
    </w:p>
    <w:p>
      <w:r>
        <w:t>Why This Matters:</w:t>
      </w:r>
    </w:p>
    <w:p>
      <w:r>
        <w:t>Constitutional alignment preserves institutional integrity</w:t>
      </w:r>
    </w:p>
    <w:p>
      <w:r>
        <w:t>Constitutional alignment prevents drift</w:t>
      </w:r>
    </w:p>
    <w:p>
      <w:r>
        <w:t>Constitutional alignment maintains the hierarchy of governance</w:t>
      </w:r>
    </w:p>
    <w:p>
      <w:r>
        <w:t>Constitutional alignment ensures technology serves the Institution</w:t>
      </w:r>
    </w:p>
    <w:p>
      <w:pPr>
        <w:pStyle w:val="ListNumber"/>
        <w:ind w:left="425"/>
      </w:pPr>
      <w:r>
        <w:t>Security by Design</w:t>
      </w:r>
    </w:p>
    <w:p>
      <w:r>
        <w:t>Security is built into the architecture, not added later.</w:t>
      </w:r>
    </w:p>
    <w:p>
      <w:r>
        <w:t>What This Means in Practice:</w:t>
      </w:r>
    </w:p>
    <w:p>
      <w:r>
        <w:t>Security is a primary design consideration</w:t>
      </w:r>
    </w:p>
    <w:p>
      <w:r>
        <w:t>Security is integrated from the beginning</w:t>
      </w:r>
    </w:p>
    <w:p>
      <w:r>
        <w:t>Security is not an afterthought</w:t>
      </w:r>
    </w:p>
    <w:p>
      <w:r>
        <w:t>Security is continuously maintained</w:t>
      </w:r>
    </w:p>
    <w:p>
      <w:r>
        <w:t>Example:</w:t>
      </w:r>
    </w:p>
    <w:p>
      <w:r>
        <w:t>The technical architecture includes security from the start: multi-party computation, multi-jurisdictional custody, formal verification, and continuous security monitoring. Security is built in, not bolted on.</w:t>
      </w:r>
    </w:p>
    <w:p>
      <w:r>
        <w:t>Why This Matters:</w:t>
      </w:r>
    </w:p>
    <w:p>
      <w:r>
        <w:t>Security by design prevents vulnerabilities</w:t>
      </w:r>
    </w:p>
    <w:p>
      <w:r>
        <w:t>Security by design reduces risk</w:t>
      </w:r>
    </w:p>
    <w:p>
      <w:r>
        <w:t>Security by design maintains trust</w:t>
      </w:r>
    </w:p>
    <w:p>
      <w:r>
        <w:t>Security by design protects the Institution</w:t>
      </w:r>
    </w:p>
    <w:p>
      <w:pPr>
        <w:pStyle w:val="ListNumber"/>
        <w:ind w:left="425"/>
      </w:pPr>
      <w:r>
        <w:t>Transparency and Auditability</w:t>
      </w:r>
    </w:p>
    <w:p>
      <w:r>
        <w:t>All technical systems are transparent and auditable.</w:t>
      </w:r>
    </w:p>
    <w:p>
      <w:r>
        <w:t>What This Means in Practice:</w:t>
      </w:r>
    </w:p>
    <w:p>
      <w:r>
        <w:t>Code is open-source and verifiable</w:t>
      </w:r>
    </w:p>
    <w:p>
      <w:r>
        <w:t>Operations are logged and auditable</w:t>
      </w:r>
    </w:p>
    <w:p>
      <w:r>
        <w:t>Data is publicly accessible</w:t>
      </w:r>
    </w:p>
    <w:p>
      <w:r>
        <w:t>Systems are independently verifiable</w:t>
      </w:r>
    </w:p>
    <w:p>
      <w:r>
        <w:t>Example:</w:t>
      </w:r>
    </w:p>
    <w:p>
      <w:r>
        <w:t>All smart contract code is open-source, verified on the block explorer, and audited quarterly. Operations are logged on-chain and auditable. Anyone can verify the Institution's technical operations.</w:t>
      </w:r>
    </w:p>
    <w:p>
      <w:r>
        <w:t>Why This Matters:</w:t>
      </w:r>
    </w:p>
    <w:p>
      <w:r>
        <w:t>Transparency builds trust</w:t>
      </w:r>
    </w:p>
    <w:p>
      <w:r>
        <w:t>Auditability enables verification</w:t>
      </w:r>
    </w:p>
    <w:p>
      <w:r>
        <w:t>Verification ensures accountability</w:t>
      </w:r>
    </w:p>
    <w:p>
      <w:r>
        <w:t>Open-source code prevents hidden vulnerabilities</w:t>
      </w:r>
    </w:p>
    <w:p>
      <w:pPr>
        <w:pStyle w:val="ListNumber"/>
        <w:ind w:left="425"/>
      </w:pPr>
      <w:r>
        <w:t>Resilience</w:t>
      </w:r>
    </w:p>
    <w:p>
      <w:r>
        <w:t>Technical systems survive and recover from disruption.</w:t>
      </w:r>
    </w:p>
    <w:p>
      <w:r>
        <w:t>What This Means in Practice:</w:t>
      </w:r>
    </w:p>
    <w:p>
      <w:r>
        <w:t>Systems are redundant and fault-tolerant</w:t>
      </w:r>
    </w:p>
    <w:p>
      <w:r>
        <w:t>Disaster recovery is planned and tested</w:t>
      </w:r>
    </w:p>
    <w:p>
      <w:r>
        <w:t>Business continuity is maintained</w:t>
      </w:r>
    </w:p>
    <w:p>
      <w:r>
        <w:t>Resilience is continuously improved</w:t>
      </w:r>
    </w:p>
    <w:p>
      <w:r>
        <w:t>Example:</w:t>
      </w:r>
    </w:p>
    <w:p>
      <w:r>
        <w:t>The technical architecture includes geographically distributed infrastructure, multiple oracle families, backup custody arrangements, and comprehensive disaster recovery planning. The system survives and recovers from disruption.</w:t>
      </w:r>
    </w:p>
    <w:p>
      <w:r>
        <w:t>Why This Matters:</w:t>
      </w:r>
    </w:p>
    <w:p>
      <w:r>
        <w:t>Resilience maintains operations</w:t>
      </w:r>
    </w:p>
    <w:p>
      <w:r>
        <w:t>Resilience prevents downtime</w:t>
      </w:r>
    </w:p>
    <w:p>
      <w:r>
        <w:t>Resilience protects the Institution</w:t>
      </w:r>
    </w:p>
    <w:p>
      <w:r>
        <w:t>Resilience builds trust</w:t>
      </w:r>
    </w:p>
    <w:p>
      <w:pPr>
        <w:pStyle w:val="ListNumber"/>
        <w:ind w:left="425"/>
      </w:pPr>
      <w:r>
        <w:t>Interoperability</w:t>
      </w:r>
    </w:p>
    <w:p>
      <w:r>
        <w:t>Technical systems integrate with existing financial infrastructure.</w:t>
      </w:r>
    </w:p>
    <w:p>
      <w:r>
        <w:t>What This Means in Practice:</w:t>
      </w:r>
    </w:p>
    <w:p>
      <w:r>
        <w:t>ISO 20022 messaging is supported</w:t>
      </w:r>
    </w:p>
    <w:p>
      <w:r>
        <w:t>APIs are open and documented</w:t>
      </w:r>
    </w:p>
    <w:p>
      <w:r>
        <w:t>Integration with existing systems is enabled</w:t>
      </w:r>
    </w:p>
    <w:p>
      <w:r>
        <w:t>Standards are used where appropriate</w:t>
      </w:r>
    </w:p>
    <w:p>
      <w:r>
        <w:t>Example:</w:t>
      </w:r>
    </w:p>
    <w:p>
      <w:r>
        <w:t>The Institution supports ISO 20022 messaging for settlement instructions. APIs are open and documented. Banks can integrate MTQ into their existing infrastructure without replacing their systems.</w:t>
      </w:r>
    </w:p>
    <w:p>
      <w:r>
        <w:t>Why This Matters:</w:t>
      </w:r>
    </w:p>
    <w:p>
      <w:r>
        <w:t>Interoperability enables adoption</w:t>
      </w:r>
    </w:p>
    <w:p>
      <w:r>
        <w:t>Interoperability reduces friction</w:t>
      </w:r>
    </w:p>
    <w:p>
      <w:r>
        <w:t>Interoperability supports integration</w:t>
      </w:r>
    </w:p>
    <w:p>
      <w:r>
        <w:t>Interoperability complements existing systems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implementation</w:t>
      </w:r>
    </w:p>
    <w:p>
      <w:r>
        <w:t>Technology decisions serve institutional objectives</w:t>
      </w:r>
    </w:p>
    <w:p>
      <w:r>
        <w:t>Technology evolves as needed</w:t>
      </w:r>
    </w:p>
    <w:p>
      <w:r>
        <w:t>Example:</w:t>
      </w:r>
    </w:p>
    <w:p>
      <w:r>
        <w:t>The Institution uses blockchain technology today. If distributed ledger technology evolves, the Institution adapts. The Institution is not married to any specific technology. The Institution's identity is independent of its technical implementation.</w:t>
      </w:r>
    </w:p>
    <w:p>
      <w:r>
        <w:t>Why This Matters:</w:t>
      </w:r>
    </w:p>
    <w:p>
      <w:r>
        <w:t>Technological neutrality prevents lock-in</w:t>
      </w:r>
    </w:p>
    <w:p>
      <w:r>
        <w:t>Technological neutrality enables evolution</w:t>
      </w:r>
    </w:p>
    <w:p>
      <w:r>
        <w:t>Technological neutrality maintains continuity</w:t>
      </w:r>
    </w:p>
    <w:p>
      <w:r>
        <w:t>Technological neutrality preserves institutional identity</w:t>
      </w:r>
    </w:p>
    <w:p>
      <w:r>
        <w:t>Relationship to Higher Layers</w:t>
      </w:r>
    </w:p>
    <w:p>
      <w:r>
        <w:t>What This Means in Practice:</w:t>
      </w:r>
    </w:p>
    <w:p>
      <w:r>
        <w:t>Higher layers are more stable</w:t>
      </w:r>
    </w:p>
    <w:p>
      <w:r>
        <w:t>Lower layers are more flexible</w:t>
      </w:r>
    </w:p>
    <w:p>
      <w:r>
        <w:t>The Technical Framework implements higher layers</w:t>
      </w:r>
    </w:p>
    <w:p>
      <w:r>
        <w:t>The Technical Framework adapts while higher layers endure</w:t>
      </w:r>
    </w:p>
    <w:p>
      <w:r>
        <w:t>Example:</w:t>
      </w:r>
    </w:p>
    <w:p>
      <w:r>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Technical Framework Scope</w:t>
      </w:r>
    </w:p>
    <w:p>
      <w:r>
        <w:t>The Technical Framework covers:</w:t>
      </w:r>
    </w:p>
    <w:p>
      <w:pPr>
        <w:pStyle w:val="ListNumber"/>
        <w:ind w:left="425"/>
      </w:pPr>
      <w:r>
        <w:t>Smart Contracts</w:t>
      </w:r>
    </w:p>
    <w:p>
      <w:r>
        <w:t>Token contracts</w:t>
      </w:r>
    </w:p>
    <w:p>
      <w:r>
        <w:t>Minting and redemption contracts</w:t>
      </w:r>
    </w:p>
    <w:p>
      <w:r>
        <w:t>Algorithm contracts</w:t>
      </w:r>
    </w:p>
    <w:p>
      <w:r>
        <w:t>Governance contracts</w:t>
      </w:r>
    </w:p>
    <w:p>
      <w:r>
        <w:t>Security contracts</w:t>
      </w:r>
    </w:p>
    <w:p>
      <w:pPr>
        <w:pStyle w:val="ListNumber"/>
        <w:ind w:left="425"/>
      </w:pPr>
      <w:r>
        <w:t>Cryptography</w:t>
      </w:r>
    </w:p>
    <w:p>
      <w:r>
        <w:t>Signature schemes</w:t>
      </w:r>
    </w:p>
    <w:p>
      <w:r>
        <w:t>Key management</w:t>
      </w:r>
    </w:p>
    <w:p>
      <w:r>
        <w:t>Encryption</w:t>
      </w:r>
    </w:p>
    <w:p>
      <w:r>
        <w:t>Zero-knowledge proofs</w:t>
      </w:r>
    </w:p>
    <w:p>
      <w:pPr>
        <w:pStyle w:val="ListNumber"/>
        <w:ind w:left="425"/>
      </w:pPr>
      <w:r>
        <w:t>Oracle Architecture</w:t>
      </w:r>
    </w:p>
    <w:p>
      <w:r>
        <w:t>Data feeds</w:t>
      </w:r>
    </w:p>
    <w:p>
      <w:r>
        <w:t>Price aggregation</w:t>
      </w:r>
    </w:p>
    <w:p>
      <w:r>
        <w:t>Consensus mechanisms</w:t>
      </w:r>
    </w:p>
    <w:p>
      <w:r>
        <w:t>Fallback procedures</w:t>
      </w:r>
    </w:p>
    <w:p>
      <w:pPr>
        <w:pStyle w:val="ListNumber"/>
        <w:ind w:left="425"/>
      </w:pPr>
      <w:r>
        <w:t>Interoperability</w:t>
      </w:r>
    </w:p>
    <w:p>
      <w:r>
        <w:t>ISO 20022 messaging</w:t>
      </w:r>
    </w:p>
    <w:p>
      <w:r>
        <w:t>APIs</w:t>
      </w:r>
    </w:p>
    <w:p>
      <w:r>
        <w:t>Integration standards</w:t>
      </w:r>
    </w:p>
    <w:p>
      <w:r>
        <w:t>Data formats</w:t>
      </w:r>
    </w:p>
    <w:p>
      <w:pPr>
        <w:pStyle w:val="ListNumber"/>
        <w:ind w:left="425"/>
      </w:pPr>
      <w:r>
        <w:t>Security</w:t>
      </w:r>
    </w:p>
    <w:p>
      <w:r>
        <w:t>Application security</w:t>
      </w:r>
    </w:p>
    <w:p>
      <w:r>
        <w:t>Infrastructure security</w:t>
      </w:r>
    </w:p>
    <w:p>
      <w:r>
        <w:t>Custody security</w:t>
      </w:r>
    </w:p>
    <w:p>
      <w:r>
        <w:t>Security monitoring</w:t>
      </w:r>
    </w:p>
    <w:p>
      <w:pPr>
        <w:pStyle w:val="ListNumber"/>
        <w:ind w:left="425"/>
      </w:pPr>
      <w:r>
        <w:t>Infrastructure</w:t>
      </w:r>
    </w:p>
    <w:p>
      <w:r>
        <w:t>Networks</w:t>
      </w:r>
    </w:p>
    <w:p>
      <w:r>
        <w:t>Databases</w:t>
      </w:r>
    </w:p>
    <w:p>
      <w:r>
        <w:t>Monitoring</w:t>
      </w:r>
    </w:p>
    <w:p>
      <w:r>
        <w:t>Disaster recovery</w:t>
      </w:r>
    </w:p>
    <w:p>
      <w:pPr>
        <w:pStyle w:val="ListNumber"/>
        <w:ind w:left="425"/>
      </w:pPr>
      <w:r>
        <w:t>Formal Verification</w:t>
      </w:r>
    </w:p>
    <w:p>
      <w:r>
        <w:t>Invariant proofs</w:t>
      </w:r>
    </w:p>
    <w:p>
      <w:r>
        <w:t>Security properties</w:t>
      </w:r>
    </w:p>
    <w:p>
      <w:r>
        <w:t>Mathematical verification</w:t>
      </w:r>
    </w:p>
    <w:p>
      <w:r>
        <w:t>Continuous verification</w:t>
      </w:r>
    </w:p>
    <w:p>
      <w:pPr>
        <w:pStyle w:val="ListNumber"/>
        <w:ind w:left="425"/>
      </w:pPr>
      <w:r>
        <w:t>Disaster Recovery</w:t>
      </w:r>
    </w:p>
    <w:p>
      <w:r>
        <w:t>Recovery objectives</w:t>
      </w:r>
    </w:p>
    <w:p>
      <w:r>
        <w:t>Backup procedures</w:t>
      </w:r>
    </w:p>
    <w:p>
      <w:r>
        <w:t>Failover mechanisms</w:t>
      </w:r>
    </w:p>
    <w:p>
      <w:r>
        <w:t>Testing</w:t>
      </w:r>
    </w:p>
    <w:p>
      <w:pPr>
        <w:pStyle w:val="ListNumber"/>
        <w:ind w:left="425"/>
      </w:pPr>
      <w:r>
        <w:t>Chaos Testing</w:t>
      </w:r>
    </w:p>
    <w:p>
      <w:r>
        <w:t>Resilience testing</w:t>
      </w:r>
    </w:p>
    <w:p>
      <w:r>
        <w:t>Failure injection</w:t>
      </w:r>
    </w:p>
    <w:p>
      <w:r>
        <w:t>Recovery verification</w:t>
      </w:r>
    </w:p>
    <w:p>
      <w:r>
        <w:t>Continuous improvement</w:t>
      </w:r>
    </w:p>
    <w:p>
      <w:r>
        <w:t>[END OF PART 4, INTRODUCTION — TECHNICAL FRAMEWORK]</w:t>
      </w:r>
    </w:p>
    <w:p>
      <w:r>
        <w:t>Article I: Smart Contracts</w:t>
      </w:r>
    </w:p>
    <w:p>
      <w:r>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r>
        <w:t>What This Means in Practice:</w:t>
      </w:r>
    </w:p>
    <w:p>
      <w:r>
        <w:t>Smart contracts implement constitutional invariants in code</w:t>
      </w:r>
    </w:p>
    <w:p>
      <w:r>
        <w:t>Smart contracts are open-source and publicly verifiable</w:t>
      </w:r>
    </w:p>
    <w:p>
      <w:r>
        <w:t>Smart contracts are audited and formally verified</w:t>
      </w:r>
    </w:p>
    <w:p>
      <w:r>
        <w:t>Smart contracts are upgradeable only through defined governance processes</w:t>
      </w:r>
    </w:p>
    <w:p>
      <w:r>
        <w:t>Smart contracts operate autonomously, without human intervention</w:t>
      </w:r>
    </w:p>
    <w:p>
      <w:r>
        <w:t>Example:</w:t>
      </w:r>
    </w:p>
    <w:p>
      <w:r>
        <w:t>The minting smart contract enforces the constitutional invariant of "no discretionary minting." It accepts only verified deposits of eligible assets and mints MTQ automatically. No human can override this process. The code enforces the constitutional principle.</w:t>
      </w:r>
    </w:p>
    <w:p>
      <w:r>
        <w:t>Why This Matters:</w:t>
      </w:r>
    </w:p>
    <w:p>
      <w:r>
        <w:t>Without smart contracts, constitutional principles would rely on human enforcement</w:t>
      </w:r>
    </w:p>
    <w:p>
      <w:r>
        <w:t>Without smart contracts, operations would be inconsistent and error-prone</w:t>
      </w:r>
    </w:p>
    <w:p>
      <w:r>
        <w:t>Without smart contracts, transparency and auditability would be compromised</w:t>
      </w:r>
    </w:p>
    <w:p>
      <w:r>
        <w:t>Without smart contracts, the Institution could not operate autonomously</w:t>
      </w:r>
    </w:p>
    <w:p>
      <w:r>
        <w:t>Smart contracts provide the technical foundation for constitutional governance</w:t>
      </w:r>
    </w:p>
    <w:p>
      <w:r>
        <w:t>Core Principles of Smart Contract Design</w:t>
      </w:r>
    </w:p>
    <w:p>
      <w:pPr>
        <w:pStyle w:val="ListNumber"/>
        <w:ind w:left="425"/>
      </w:pPr>
      <w:r>
        <w:t>Constitutional Alignment</w:t>
      </w:r>
    </w:p>
    <w:p>
      <w:r>
        <w:t>Smart contracts enforce constitutional principles.</w:t>
      </w:r>
    </w:p>
    <w:p>
      <w:r>
        <w:t>What This Means in Practice:</w:t>
      </w:r>
    </w:p>
    <w:p>
      <w:r>
        <w:t>Invariants are coded as unalterable rules</w:t>
      </w:r>
    </w:p>
    <w:p>
      <w:r>
        <w:t>Monetary principles are implemented in logic</w:t>
      </w:r>
    </w:p>
    <w:p>
      <w:r>
        <w:t>Governance constraints are enforced by code</w:t>
      </w:r>
    </w:p>
    <w:p>
      <w:r>
        <w:t>Constitutional protections are automatic</w:t>
      </w:r>
    </w:p>
    <w:p>
      <w:r>
        <w:t>Example:</w:t>
      </w:r>
    </w:p>
    <w:p>
      <w:r>
        <w:t>The reserve invariant "Reserve Value ≥ Supply × NAV" is coded into the smart contract. The contract continuously monitors the reserve ratio and automatically pauses minting if the ratio falls below 100%. The code enforces the constitutional principle without human intervention.</w:t>
      </w:r>
    </w:p>
    <w:p>
      <w:r>
        <w:t>Why This Matters:</w:t>
      </w:r>
    </w:p>
    <w:p>
      <w:r>
        <w:t>Code-based enforcement is stronger than human enforcement</w:t>
      </w:r>
    </w:p>
    <w:p>
      <w:r>
        <w:t>Code-based enforcement is automatic and continuous</w:t>
      </w:r>
    </w:p>
    <w:p>
      <w:r>
        <w:t>Code-based enforcement prevents human error</w:t>
      </w:r>
    </w:p>
    <w:p>
      <w:r>
        <w:t>Code-based enforcement maintains constitutional integrity</w:t>
      </w:r>
    </w:p>
    <w:p>
      <w:pPr>
        <w:pStyle w:val="ListNumber"/>
        <w:ind w:left="425"/>
      </w:pPr>
      <w:r>
        <w:t>Security by Design</w:t>
      </w:r>
    </w:p>
    <w:p>
      <w:r>
        <w:t>Smart contracts are designed with security as a primary consideration.</w:t>
      </w:r>
    </w:p>
    <w:p>
      <w:r>
        <w:t>What This Means in Practice:</w:t>
      </w:r>
    </w:p>
    <w:p>
      <w:r>
        <w:t>Secure development practices are followed</w:t>
      </w:r>
    </w:p>
    <w:p>
      <w:r>
        <w:t>Smart contracts are audited by independent firms</w:t>
      </w:r>
    </w:p>
    <w:p>
      <w:r>
        <w:t>Smart contracts are formally verified</w:t>
      </w:r>
    </w:p>
    <w:p>
      <w:r>
        <w:t>Smart contracts are tested extensively</w:t>
      </w:r>
    </w:p>
    <w:p>
      <w:r>
        <w:t>Example:</w:t>
      </w:r>
    </w:p>
    <w:p>
      <w:r>
        <w:t>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p>
    <w:p>
      <w:r>
        <w:t>Why This Matters:</w:t>
      </w:r>
    </w:p>
    <w:p>
      <w:r>
        <w:t>Security prevents exploits</w:t>
      </w:r>
    </w:p>
    <w:p>
      <w:r>
        <w:t>Security protects assets</w:t>
      </w:r>
    </w:p>
    <w:p>
      <w:r>
        <w:t>Security maintains trust</w:t>
      </w:r>
    </w:p>
    <w:p>
      <w:r>
        <w:t>Security is essential to institutional integrity</w:t>
      </w:r>
    </w:p>
    <w:p>
      <w:pPr>
        <w:pStyle w:val="ListNumber"/>
        <w:ind w:left="425"/>
      </w:pPr>
      <w:r>
        <w:t>Transparency</w:t>
      </w:r>
    </w:p>
    <w:p>
      <w:r>
        <w:t>Smart contracts are transparent and verifiable.</w:t>
      </w:r>
    </w:p>
    <w:p>
      <w:r>
        <w:t>What This Means in Practice:</w:t>
      </w:r>
    </w:p>
    <w:p>
      <w:r>
        <w:t>Source code is open-source and publicly available</w:t>
      </w:r>
    </w:p>
    <w:p>
      <w:r>
        <w:t>Bytecode is verified on the block explorer</w:t>
      </w:r>
    </w:p>
    <w:p>
      <w:r>
        <w:t>Audit reports are published</w:t>
      </w:r>
    </w:p>
    <w:p>
      <w:r>
        <w:t>Formal verification proofs are published</w:t>
      </w:r>
    </w:p>
    <w:p>
      <w:r>
        <w:t>Example:</w:t>
      </w:r>
    </w:p>
    <w:p>
      <w:r>
        <w:t>All smart contract source code is published on GitHub under an open-source license. The deployed bytecode is verified on the block explorer, showing that it matches the published source. Audit reports and formal verification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Upgradeability with Governance</w:t>
      </w:r>
    </w:p>
    <w:p>
      <w:r>
        <w:t>Smart contracts may be upgraded only through defined governance processes.</w:t>
      </w:r>
    </w:p>
    <w:p>
      <w:r>
        <w:t>What This Means in Practice:</w:t>
      </w:r>
    </w:p>
    <w:p>
      <w:r>
        <w:t>Upgradeable proxy pattern is used</w:t>
      </w:r>
    </w:p>
    <w:p>
      <w:r>
        <w:t>Upgrades require governance approval</w:t>
      </w:r>
    </w:p>
    <w:p>
      <w:r>
        <w:t>Upgrades have timelocks</w:t>
      </w:r>
    </w:p>
    <w:p>
      <w:r>
        <w:t>Upgrades are transparent and auditable</w:t>
      </w:r>
    </w:p>
    <w:p>
      <w:r>
        <w:t>Example:</w:t>
      </w:r>
    </w:p>
    <w:p>
      <w:r>
        <w:t>Smart contracts use the UUPS proxy pattern. Upgrades require Technical Committee recommendation, Council approval, and a 30-day timelock. All upgrades are documented, audited, and published. Governance controls prevent arbitrary changes.</w:t>
      </w:r>
    </w:p>
    <w:p>
      <w:r>
        <w:t>Why This Matters:</w:t>
      </w:r>
    </w:p>
    <w:p>
      <w:r>
        <w:t>Upgradeability enables improvement</w:t>
      </w:r>
    </w:p>
    <w:p>
      <w:r>
        <w:t>Governance controls prevent arbitrary changes</w:t>
      </w:r>
    </w:p>
    <w:p>
      <w:r>
        <w:t>Timelocks prevent rushed changes</w:t>
      </w:r>
    </w:p>
    <w:p>
      <w:r>
        <w:t>Transparency enables verification</w:t>
      </w:r>
    </w:p>
    <w:p>
      <w:r>
        <w:t>Smart Contract Architecture</w:t>
      </w:r>
    </w:p>
    <w:p>
      <w:r>
        <w:t>Contract Inventory</w:t>
      </w:r>
    </w:p>
    <w:p>
      <w:r>
        <w:t>What This Means in Practice:</w:t>
      </w:r>
    </w:p>
    <w:p>
      <w:r>
        <w:t>Each contract has a specific purpose</w:t>
      </w:r>
    </w:p>
    <w:p>
      <w:r>
        <w:t>Contracts are modular and separated by function</w:t>
      </w:r>
    </w:p>
    <w:p>
      <w:r>
        <w:t>Most contracts are upgradeable through governance</w:t>
      </w:r>
    </w:p>
    <w:p>
      <w:r>
        <w:t>The proxy admin contract is not upgradeable (security)</w:t>
      </w:r>
    </w:p>
    <w:p>
      <w:r>
        <w:t>Example:</w:t>
      </w:r>
    </w:p>
    <w:p>
      <w:r>
        <w:t>The MTQ.sol contract implements the ERC-20 token standard. The Mint.sol contract handles minting logic. The Redeem.sol contract handles redemption logic. The Reserve.sol contract manages reserve assets. Each contract has a distinct responsibility.</w:t>
      </w:r>
    </w:p>
    <w:p>
      <w:r>
        <w:t>Why This Matters:</w:t>
      </w:r>
    </w:p>
    <w:p>
      <w:r>
        <w:t>Modularity enables maintenance</w:t>
      </w:r>
    </w:p>
    <w:p>
      <w:r>
        <w:t>Modularity enables upgrades</w:t>
      </w:r>
    </w:p>
    <w:p>
      <w:r>
        <w:t>Modularity enables testing</w:t>
      </w:r>
    </w:p>
    <w:p>
      <w:r>
        <w:t>Modularity supports separation of concerns</w:t>
      </w:r>
    </w:p>
    <w:p>
      <w:r>
        <w:t>Token Contracts</w:t>
      </w:r>
    </w:p>
    <w:p>
      <w:r>
        <w:t>MTQ.sol — Settlement Unit Token</w:t>
      </w:r>
    </w:p>
    <w:p>
      <w:r>
        <w:t>What This Means in Practice:</w:t>
      </w:r>
    </w:p>
    <w:p>
      <w:r>
        <w:t>MTQ is a standard ERC-20 token with micro-settlement precision</w:t>
      </w:r>
    </w:p>
    <w:p>
      <w:r>
        <w:t>Supply is dynamic, determined by minting and redemption</w:t>
      </w:r>
    </w:p>
    <w:p>
      <w:r>
        <w:t>Transfers are permissionless (anyone can hold and transfer MTQ)</w:t>
      </w:r>
    </w:p>
    <w:p>
      <w:r>
        <w:t>Token can be paused in emergency</w:t>
      </w:r>
    </w:p>
    <w:p>
      <w:r>
        <w:t>Token is upgradeable through governance</w:t>
      </w:r>
    </w:p>
    <w:p>
      <w:r>
        <w:t>Example:</w:t>
      </w:r>
    </w:p>
    <w:p>
      <w:r>
        <w:t>A participant holds 1,000,000 MTQ. The tokens are standard ERC-20 tokens with 18 decimals. The participant can transfer the tokens to anyone. The participant can redeem the tokens for reserves. The token functions as a settlement unit.</w:t>
      </w:r>
    </w:p>
    <w:p>
      <w:r>
        <w:t>Why This Matters:</w:t>
      </w:r>
    </w:p>
    <w:p>
      <w:r>
        <w:t>ERC-20 standard ensures compatibility</w:t>
      </w:r>
    </w:p>
    <w:p>
      <w:r>
        <w:t>Permissionless transfers enable open access</w:t>
      </w:r>
    </w:p>
    <w:p>
      <w:r>
        <w:t>Dynamic supply maintains reserve backing</w:t>
      </w:r>
    </w:p>
    <w:p>
      <w:r>
        <w:t>Pausability provides emergency protection</w:t>
      </w:r>
    </w:p>
    <w:p>
      <w:r>
        <w:t>Key Functions:</w:t>
      </w:r>
    </w:p>
    <w:p>
      <w:r>
        <w:t>solidity</w:t>
      </w:r>
    </w:p>
    <w:p>
      <w:r>
        <w:t>// MTQ.sol — Core Functions</w:t>
      </w:r>
    </w:p>
    <w:p>
      <w:r>
        <w:t>/**</w:t>
      </w:r>
    </w:p>
    <w:p>
      <w:r>
        <w:t>* @dev Mint new MTQ tokens</w:t>
      </w:r>
    </w:p>
    <w:p>
      <w:r>
        <w:t>* Only callable by Mint.sol</w:t>
      </w:r>
    </w:p>
    <w:p>
      <w:r>
        <w:t>*/</w:t>
      </w:r>
    </w:p>
    <w:p>
      <w:r>
        <w:t>function mint(address to, uint256 amount) external onlyMinter {</w:t>
      </w:r>
    </w:p>
    <w:p>
      <w:r>
        <w:t>_mint(to, amount);</w:t>
      </w:r>
    </w:p>
    <w:p>
      <w:r>
        <w:t>}</w:t>
      </w:r>
    </w:p>
    <w:p>
      <w:r>
        <w:t>/**</w:t>
      </w:r>
    </w:p>
    <w:p>
      <w:r>
        <w:t>* @dev Burn MTQ tokens</w:t>
      </w:r>
    </w:p>
    <w:p>
      <w:r>
        <w:t>* Only callable by Redeem.sol</w:t>
      </w:r>
    </w:p>
    <w:p>
      <w:r>
        <w:t>*/</w:t>
      </w:r>
    </w:p>
    <w:p>
      <w:r>
        <w:t>function burn(address from, uint256 amount) external onlyRedeemer {</w:t>
      </w:r>
    </w:p>
    <w:p>
      <w:r>
        <w:t>_burn(from, amount);</w:t>
      </w:r>
    </w:p>
    <w:p>
      <w:r>
        <w:t>}</w:t>
      </w:r>
    </w:p>
    <w:p>
      <w:r>
        <w:t>/**</w:t>
      </w:r>
    </w:p>
    <w:p>
      <w:r>
        <w:t>* @dev Transfer MTQ tokens</w:t>
      </w:r>
    </w:p>
    <w:p>
      <w:r>
        <w:t>* Permissionless</w:t>
      </w:r>
    </w:p>
    <w:p>
      <w:r>
        <w:t>*/</w:t>
      </w:r>
    </w:p>
    <w:p>
      <w:r>
        <w:t>function transfer(address to, uint256 amount) external returns (bool) {</w:t>
      </w:r>
    </w:p>
    <w:p>
      <w:r>
        <w:t>return super.transfer(to, amount);</w:t>
      </w:r>
    </w:p>
    <w:p>
      <w:r>
        <w:t>}</w:t>
      </w:r>
    </w:p>
    <w:p>
      <w:r>
        <w:t>/**</w:t>
      </w:r>
    </w:p>
    <w:p>
      <w:r>
        <w:t>* @dev Pause transfers</w:t>
      </w:r>
    </w:p>
    <w:p>
      <w:r>
        <w:t>* Only callable by Council through emergency</w:t>
      </w:r>
    </w:p>
    <w:p>
      <w:r>
        <w:t>*/</w:t>
      </w:r>
    </w:p>
    <w:p>
      <w:r>
        <w:t>function pause() external onlyEmergency {</w:t>
      </w:r>
    </w:p>
    <w:p>
      <w:r>
        <w:t>_pause();</w:t>
      </w:r>
    </w:p>
    <w:p>
      <w:r>
        <w:t>}</w:t>
      </w:r>
    </w:p>
    <w:p>
      <w:r>
        <w:t>/**</w:t>
      </w:r>
    </w:p>
    <w:p>
      <w:r>
        <w:t>* @dev Unpause transfers</w:t>
      </w:r>
    </w:p>
    <w:p>
      <w:r>
        <w:t>* Only callable by Council</w:t>
      </w:r>
    </w:p>
    <w:p>
      <w:r>
        <w:t>*/</w:t>
      </w:r>
    </w:p>
    <w:p>
      <w:r>
        <w:t>function unpause() external onlyCouncil {</w:t>
      </w:r>
    </w:p>
    <w:p>
      <w:r>
        <w:t>_unpause();</w:t>
      </w:r>
    </w:p>
    <w:p>
      <w:r>
        <w:t>}</w:t>
      </w:r>
    </w:p>
    <w:p>
      <w:r>
        <w:t>Minting Contract</w:t>
      </w:r>
    </w:p>
    <w:p>
      <w:r>
        <w:t>Mint.sol — Minting Logic</w:t>
      </w:r>
    </w:p>
    <w:p>
      <w:r>
        <w:t>What This Means in Practice:</w:t>
      </w:r>
    </w:p>
    <w:p>
      <w:r>
        <w:t>Minting is automatic upon verified deposit</w:t>
      </w:r>
    </w:p>
    <w:p>
      <w:r>
        <w:t>Minting enforces reserve constraints</w:t>
      </w:r>
    </w:p>
    <w:p>
      <w:r>
        <w:t>Minting charges the defined fee</w:t>
      </w:r>
    </w:p>
    <w:p>
      <w:r>
        <w:t>Minting cannot be overridden by humans</w:t>
      </w:r>
    </w:p>
    <w:p>
      <w:r>
        <w:t>Example:</w:t>
      </w:r>
    </w:p>
    <w:p>
      <w:r>
        <w:t>A participant deposits $10,000,000 in eligible reserve assets. The deposit is verified by the custody oracle. Mint.sol calculates the MTQ amount based on NAV. It deducts the minting fee. It mints the MTQ tokens to the participant. The process is automatic and transparent.</w:t>
      </w:r>
    </w:p>
    <w:p>
      <w:r>
        <w:t>Why This Matters:</w:t>
      </w:r>
    </w:p>
    <w:p>
      <w:r>
        <w:t>Automatic minting enforces constitutional invariants</w:t>
      </w:r>
    </w:p>
    <w:p>
      <w:r>
        <w:t>Automatic minting prevents discretion</w:t>
      </w:r>
    </w:p>
    <w:p>
      <w:r>
        <w:t>Automatic minting ensures consistency</w:t>
      </w:r>
    </w:p>
    <w:p>
      <w:r>
        <w:t>Automatic minting maintains reserve integrity</w:t>
      </w:r>
    </w:p>
    <w:p>
      <w:r>
        <w:t>Key Functions:</w:t>
      </w:r>
    </w:p>
    <w:p>
      <w:r>
        <w:t>solidity</w:t>
      </w:r>
    </w:p>
    <w:p>
      <w:r>
        <w:t>// Mint.sol — Core Functions</w:t>
      </w:r>
    </w:p>
    <w:p>
      <w:r>
        <w:t>/**</w:t>
      </w:r>
    </w:p>
    <w:p>
      <w:r>
        <w:t>* @dev Mint MTQ upon verified deposit</w:t>
      </w:r>
    </w:p>
    <w:p>
      <w:r>
        <w:t>* @param depositProof Cryptographic proof of deposit</w:t>
      </w:r>
    </w:p>
    <w:p>
      <w:r>
        <w:t>* @param amount Amount of MTQ to mint</w:t>
      </w:r>
    </w:p>
    <w:p>
      <w:r>
        <w:t>*/</w:t>
      </w:r>
    </w:p>
    <w:p>
      <w:r>
        <w:t>function mint(bytes calldata depositProof, uint256 amount) external {</w:t>
      </w:r>
    </w:p>
    <w:p>
      <w:r>
        <w:t>// Verify deposit proof</w:t>
      </w:r>
    </w:p>
    <w:p>
      <w:r>
        <w:t>require(custodian.verify(depositProof), "Invalid deposit proof");</w:t>
      </w:r>
    </w:p>
    <w:p>
      <w:r>
        <w:t>// Calculate fee</w:t>
      </w:r>
    </w:p>
    <w:p>
      <w:r>
        <w:t>uint256 fee = amount * mintingFeeRate / FEE_DENOMINATOR;</w:t>
      </w:r>
    </w:p>
    <w:p>
      <w:r>
        <w:t>uint256 feeCap = getFeeCap();</w:t>
      </w:r>
    </w:p>
    <w:p>
      <w:r>
        <w:t>if (fee &gt; feeCap) fee = feeCap;</w:t>
      </w:r>
    </w:p>
    <w:p>
      <w:r>
        <w:t>uint256 mintAmount = amount - fee;</w:t>
      </w:r>
    </w:p>
    <w:p>
      <w:r>
        <w:t>// Check reserve ratio invariant</w:t>
      </w:r>
    </w:p>
    <w:p>
      <w:r>
        <w:t>require(reserveRatio() &gt;= MIN_RESERVE_RATIO, "Reserve ratio below minimum");</w:t>
      </w:r>
    </w:p>
    <w:p>
      <w:r>
        <w:t>// Update reserve registry</w:t>
      </w:r>
    </w:p>
    <w:p>
      <w:r>
        <w:t>reserveRegistry.addReserve(depositProof);</w:t>
      </w:r>
    </w:p>
    <w:p>
      <w:r>
        <w:t>// Mint MTQ</w:t>
      </w:r>
    </w:p>
    <w:p>
      <w:r>
        <w:t>mtq.mint(msg.sender, mintAmount);</w:t>
      </w:r>
    </w:p>
    <w:p>
      <w:r>
        <w:t>// Update reserve ratio</w:t>
      </w:r>
    </w:p>
    <w:p>
      <w:r>
        <w:t>reserveRatio = calculateReserveRatio();</w:t>
      </w:r>
    </w:p>
    <w:p>
      <w:r>
        <w:t>emit Minted(msg.sender, mintAmount, fee);</w:t>
      </w:r>
    </w:p>
    <w:p>
      <w:r>
        <w:t>}</w:t>
      </w:r>
    </w:p>
    <w:p>
      <w:r>
        <w:t>/**</w:t>
      </w:r>
    </w:p>
    <w:p>
      <w:r>
        <w:t>* @dev Check reserve ratio before minting</w:t>
      </w:r>
    </w:p>
    <w:p>
      <w:r>
        <w:t>*/</w:t>
      </w:r>
    </w:p>
    <w:p>
      <w:r>
        <w:t>function reserveRatio() public view returns (uint256) {</w:t>
      </w:r>
    </w:p>
    <w:p>
      <w:r>
        <w:t>uint256 reserveValue = reserveRegistry.totalValue();</w:t>
      </w:r>
    </w:p>
    <w:p>
      <w:r>
        <w:t>uint256 supply = mtq.totalSupply();</w:t>
      </w:r>
    </w:p>
    <w:p>
      <w:r>
        <w:t>uint256 nav = algorithm.getNAV();</w:t>
      </w:r>
    </w:p>
    <w:p>
      <w:r>
        <w:t>return (reserveValue * 100) / (supply * nav);</w:t>
      </w:r>
    </w:p>
    <w:p>
      <w:r>
        <w:t>}</w:t>
      </w:r>
    </w:p>
    <w:p>
      <w:r>
        <w:t>Redemption Contract</w:t>
      </w:r>
    </w:p>
    <w:p>
      <w:r>
        <w:t>Redeem.sol — Redemption Logic</w:t>
      </w:r>
    </w:p>
    <w:p>
      <w:r>
        <w:t>What This Means in Practice:</w:t>
      </w:r>
    </w:p>
    <w:p>
      <w:r>
        <w:t>Redemption is automatic upon burning MTQ</w:t>
      </w:r>
    </w:p>
    <w:p>
      <w:r>
        <w:t>Redemption releases proportional reserves</w:t>
      </w:r>
    </w:p>
    <w:p>
      <w:r>
        <w:t>Redemption enforces reserve constraints</w:t>
      </w:r>
    </w:p>
    <w:p>
      <w:r>
        <w:t>Redemption cannot be suspended (except in constitutional emergency)</w:t>
      </w:r>
    </w:p>
    <w:p>
      <w:r>
        <w:t>Example:</w:t>
      </w:r>
    </w:p>
    <w:p>
      <w:r>
        <w:t>A participant burns 1,000,000 MTQ. Redeem.sol calculates the proportional claim based on NAV. It deducts the redemption fee. It releases the proportional reserves to the participant. The process is automatic and transparent.</w:t>
      </w:r>
    </w:p>
    <w:p>
      <w:r>
        <w:t>Why This Matters:</w:t>
      </w:r>
    </w:p>
    <w:p>
      <w:r>
        <w:t>Automatic redemption honors holder rights</w:t>
      </w:r>
    </w:p>
    <w:p>
      <w:r>
        <w:t>Automatic redemption prevents discretion</w:t>
      </w:r>
    </w:p>
    <w:p>
      <w:r>
        <w:t>Automatic redemption ensures consistency</w:t>
      </w:r>
    </w:p>
    <w:p>
      <w:r>
        <w:t>Automatic redemption maintains trust</w:t>
      </w:r>
    </w:p>
    <w:p>
      <w:r>
        <w:t>Key Functions:</w:t>
      </w:r>
    </w:p>
    <w:p>
      <w:r>
        <w:t>solidity</w:t>
      </w:r>
    </w:p>
    <w:p>
      <w:r>
        <w:t>// Redeem.sol — Core Functions</w:t>
      </w:r>
    </w:p>
    <w:p>
      <w:r>
        <w:t>/**</w:t>
      </w:r>
    </w:p>
    <w:p>
      <w:r>
        <w:t>* @dev Redeem MTQ for proportional reserves</w:t>
      </w:r>
    </w:p>
    <w:p>
      <w:r>
        <w:t>* @param amount Amount of MTQ to redeem</w:t>
      </w:r>
    </w:p>
    <w:p>
      <w:r>
        <w:t>*/</w:t>
      </w:r>
    </w:p>
    <w:p>
      <w:r>
        <w:t>function redeem(uint256 amount) external {</w:t>
      </w:r>
    </w:p>
    <w:p>
      <w:r>
        <w:t>require(amount &gt; 0, "Amount must be greater than 0");</w:t>
      </w:r>
    </w:p>
    <w:p>
      <w:r>
        <w:t>require(mtq.balanceOf(msg.sender) &gt;= amount, "Insufficient balance");</w:t>
      </w:r>
    </w:p>
    <w:p>
      <w:r>
        <w:t>// Check if redemption is paused (only in emergency)</w:t>
      </w:r>
    </w:p>
    <w:p>
      <w:r>
        <w:t>require(!paused, "Redemption paused");</w:t>
      </w:r>
    </w:p>
    <w:p>
      <w:r>
        <w:t>// Calculate NAV at time of redemption</w:t>
      </w:r>
    </w:p>
    <w:p>
      <w:r>
        <w:t>uint256 nav = algorithm.getNAV();</w:t>
      </w:r>
    </w:p>
    <w:p>
      <w:r>
        <w:t>// Calculate claim value</w:t>
      </w:r>
    </w:p>
    <w:p>
      <w:r>
        <w:t>uint256 claimValue = amount * nav;</w:t>
      </w:r>
    </w:p>
    <w:p>
      <w:r>
        <w:t>// Calculate fee</w:t>
      </w:r>
    </w:p>
    <w:p>
      <w:r>
        <w:t>uint256 fee = claimValue * redemptionFeeRate / FEE_DENOMINATOR;</w:t>
      </w:r>
    </w:p>
    <w:p>
      <w:r>
        <w:t>if (fee &gt; getFeeCap()) fee = getFeeCap();</w:t>
      </w:r>
    </w:p>
    <w:p>
      <w:r>
        <w:t>uint256 netClaim = claimValue - fee;</w:t>
      </w:r>
    </w:p>
    <w:p>
      <w:r>
        <w:t>// Burn MTQ</w:t>
      </w:r>
    </w:p>
    <w:p>
      <w:r>
        <w:t>mtq.burn(msg.sender, amount);</w:t>
      </w:r>
    </w:p>
    <w:p>
      <w:r>
        <w:t>// Release reserves</w:t>
      </w:r>
    </w:p>
    <w:p>
      <w:r>
        <w:t>reserveRegistry.releaseReserves(msg.sender, netClaim);</w:t>
      </w:r>
    </w:p>
    <w:p>
      <w:r>
        <w:t>// Check reserve ratio invariant</w:t>
      </w:r>
    </w:p>
    <w:p>
      <w:r>
        <w:t>require(reserveRatio() &gt;= MIN_RESERVE_RATIO, "Reserve ratio below minimum");</w:t>
      </w:r>
    </w:p>
    <w:p>
      <w:r>
        <w:t>emit Redeemed(msg.sender, amount, netClaim, fee);</w:t>
      </w:r>
    </w:p>
    <w:p>
      <w:r>
        <w:t>}</w:t>
      </w:r>
    </w:p>
    <w:p>
      <w:r>
        <w:t>/**</w:t>
      </w:r>
    </w:p>
    <w:p>
      <w:r>
        <w:t>* @dev Physical redemption for bullion</w:t>
      </w:r>
    </w:p>
    <w:p>
      <w:r>
        <w:t>* @param amount Amount of MTQ to redeem</w:t>
      </w:r>
    </w:p>
    <w:p>
      <w:r>
        <w:t>* @param deliveryDetails Delivery instructions</w:t>
      </w:r>
    </w:p>
    <w:p>
      <w:r>
        <w:t>*/</w:t>
      </w:r>
    </w:p>
    <w:p>
      <w:r>
        <w:t>function redeemPhysical(uint256 amount, bytes calldata deliveryDetails) external {</w:t>
      </w:r>
    </w:p>
    <w:p>
      <w:r>
        <w:t>// Verify minimum physical redemption amount</w:t>
      </w:r>
    </w:p>
    <w:p>
      <w:r>
        <w:t>uint256 minPhysical = policy.getPhysicalRedemptionMin();</w:t>
      </w:r>
    </w:p>
    <w:p>
      <w:r>
        <w:t>require(amount &gt;= minPhysical, "Below minimum physical redemption");</w:t>
      </w:r>
    </w:p>
    <w:p>
      <w:r>
        <w:t>// Calculate physical redemption premium</w:t>
      </w:r>
    </w:p>
    <w:p>
      <w:r>
        <w:t>uint256 premium = algorithm.getPhysicalPremium();</w:t>
      </w:r>
    </w:p>
    <w:p>
      <w:r>
        <w:t>// Process redemption</w:t>
      </w:r>
    </w:p>
    <w:p>
      <w:r>
        <w:t>uint256 claimValue = amount * algorithm.getNAV();</w:t>
      </w:r>
    </w:p>
    <w:p>
      <w:r>
        <w:t>uint256 netClaim = claimValue * (1 - premium);</w:t>
      </w:r>
    </w:p>
    <w:p>
      <w:r>
        <w:t>// Burn MTQ</w:t>
      </w:r>
    </w:p>
    <w:p>
      <w:r>
        <w:t>mtq.burn(msg.sender, amount);</w:t>
      </w:r>
    </w:p>
    <w:p>
      <w:r>
        <w:t>// Initiate physical delivery</w:t>
      </w:r>
    </w:p>
    <w:p>
      <w:r>
        <w:t>custodian.deliverPhysical(msg.sender, netClaim, deliveryDetails);</w:t>
      </w:r>
    </w:p>
    <w:p>
      <w:r>
        <w:t>emit PhysicalRedemption(msg.sender, amount, netClaim, deliveryDetails);</w:t>
      </w:r>
    </w:p>
    <w:p>
      <w:r>
        <w:t>}</w:t>
      </w:r>
    </w:p>
    <w:p>
      <w:r>
        <w:t>Reserve Contract</w:t>
      </w:r>
    </w:p>
    <w:p>
      <w:r>
        <w:t>Reserve.sol — Reserve Management</w:t>
      </w:r>
    </w:p>
    <w:p>
      <w:r>
        <w:t>What This Means in Practice:</w:t>
      </w:r>
    </w:p>
    <w:p>
      <w:r>
        <w:t>Reserves are held in custody</w:t>
      </w:r>
    </w:p>
    <w:p>
      <w:r>
        <w:t>Reserves are managed according to policy</w:t>
      </w:r>
    </w:p>
    <w:p>
      <w:r>
        <w:t>Reserves are continuously monitored</w:t>
      </w:r>
    </w:p>
    <w:p>
      <w:r>
        <w:t>Reserves are independently audited</w:t>
      </w:r>
    </w:p>
    <w:p>
      <w:r>
        <w:t>Example:</w:t>
      </w:r>
    </w:p>
    <w:p>
      <w:r>
        <w:t>Reserve.sol tracks all reserve assets: Tier 1 cash, Tier 2 securities, Tier 3 bullion, Tier 4 operational liquidity. It monitors the reserve ratio in real-time. It triggers rebalancing when allocations deviate from policy. It publishes daily proof of reserves.</w:t>
      </w:r>
    </w:p>
    <w:p>
      <w:r>
        <w:t>Why This Matters:</w:t>
      </w:r>
    </w:p>
    <w:p>
      <w:r>
        <w:t>Reserve management is automated and consistent</w:t>
      </w:r>
    </w:p>
    <w:p>
      <w:r>
        <w:t>Reserve monitoring is continuous</w:t>
      </w:r>
    </w:p>
    <w:p>
      <w:r>
        <w:t>Reserve rebalancing is systematic</w:t>
      </w:r>
    </w:p>
    <w:p>
      <w:r>
        <w:t>Reserve verification is transparent</w:t>
      </w:r>
    </w:p>
    <w:p>
      <w:r>
        <w:t>Key Functions:</w:t>
      </w:r>
    </w:p>
    <w:p>
      <w:r>
        <w:t>solidity</w:t>
      </w:r>
    </w:p>
    <w:p>
      <w:r>
        <w:t>// Reserve.sol — Core Functions</w:t>
      </w:r>
    </w:p>
    <w:p>
      <w:r>
        <w:t>/**</w:t>
      </w:r>
    </w:p>
    <w:p>
      <w:r>
        <w:t>* @dev Add reserves to the registry</w:t>
      </w:r>
    </w:p>
    <w:p>
      <w:r>
        <w:t>* @param proof Cryptographic proof of deposit</w:t>
      </w:r>
    </w:p>
    <w:p>
      <w:r>
        <w:t>*/</w:t>
      </w:r>
    </w:p>
    <w:p>
      <w:r>
        <w:t>function addReserve(bytes calldata proof) external {</w:t>
      </w:r>
    </w:p>
    <w:p>
      <w:r>
        <w:t>require(custodian.verify(proof), "Invalid proof");</w:t>
      </w:r>
    </w:p>
    <w:p>
      <w:r>
        <w:t>ReserveData memory data = custodian.parseProof(proof);</w:t>
      </w:r>
    </w:p>
    <w:p>
      <w:r>
        <w:t>reserveAssets[data.assetType] += data.value;</w:t>
      </w:r>
    </w:p>
    <w:p>
      <w:r>
        <w:t>totalReserveValue += data.value;</w:t>
      </w:r>
    </w:p>
    <w:p>
      <w:r>
        <w:t>emit ReserveAdded(data.assetType, data.value);</w:t>
      </w:r>
    </w:p>
    <w:p>
      <w:r>
        <w:t>}</w:t>
      </w:r>
    </w:p>
    <w:p>
      <w:r>
        <w:t>/**</w:t>
      </w:r>
    </w:p>
    <w:p>
      <w:r>
        <w:t>* @dev Release reserves for redemption</w:t>
      </w:r>
    </w:p>
    <w:p>
      <w:r>
        <w:t>* @param to Recipient address</w:t>
      </w:r>
    </w:p>
    <w:p>
      <w:r>
        <w:t>* @param amount Amount to release</w:t>
      </w:r>
    </w:p>
    <w:p>
      <w:r>
        <w:t>*/</w:t>
      </w:r>
    </w:p>
    <w:p>
      <w:r>
        <w:t>function releaseReserves(address to, uint256 amount) external onlyRedeemer {</w:t>
      </w:r>
    </w:p>
    <w:p>
      <w:r>
        <w:t>require(totalReserveValue &gt;= amount, "Insufficient reserves");</w:t>
      </w:r>
    </w:p>
    <w:p>
      <w:r>
        <w:t>// Determine reserve composition for release</w:t>
      </w:r>
    </w:p>
    <w:p>
      <w:r>
        <w:t>(uint256 cashAmount, uint256 securitiesAmount, uint256 bullionAmount) =</w:t>
      </w:r>
    </w:p>
    <w:p>
      <w:r>
        <w:t>calculateReleaseComposition(amount);</w:t>
      </w:r>
    </w:p>
    <w:p>
      <w:r>
        <w:t>// Release from each tier</w:t>
      </w:r>
    </w:p>
    <w:p>
      <w:r>
        <w:t>releaseTier1(to, cashAmount);</w:t>
      </w:r>
    </w:p>
    <w:p>
      <w:r>
        <w:t>releaseTier2(to, securitiesAmount);</w:t>
      </w:r>
    </w:p>
    <w:p>
      <w:r>
        <w:t>releaseTier3(to, bullionAmount);</w:t>
      </w:r>
    </w:p>
    <w:p>
      <w:r>
        <w:t>totalReserveValue -= amount;</w:t>
      </w:r>
    </w:p>
    <w:p>
      <w:r>
        <w:t>emit ReserveReleased(to, amount);</w:t>
      </w:r>
    </w:p>
    <w:p>
      <w:r>
        <w:t>}</w:t>
      </w:r>
    </w:p>
    <w:p>
      <w:r>
        <w:t>/**</w:t>
      </w:r>
    </w:p>
    <w:p>
      <w:r>
        <w:t>* @dev Rebalance reserves according to policy</w:t>
      </w:r>
    </w:p>
    <w:p>
      <w:r>
        <w:t>*/</w:t>
      </w:r>
    </w:p>
    <w:p>
      <w:r>
        <w:t>function rebalance() external onlyAlgorithm {</w:t>
      </w:r>
    </w:p>
    <w:p>
      <w:r>
        <w:t>// Get current allocations</w:t>
      </w:r>
    </w:p>
    <w:p>
      <w:r>
        <w:t>(uint256 tier1, uint256 tier2, uint256 tier3, uint256 tier4) =</w:t>
      </w:r>
    </w:p>
    <w:p>
      <w:r>
        <w:t>getCurrentAllocations();</w:t>
      </w:r>
    </w:p>
    <w:p>
      <w:r>
        <w:t>// Get target allocations from policy</w:t>
      </w:r>
    </w:p>
    <w:p>
      <w:r>
        <w:t>(uint256 target1, uint256 target2, uint256 target3, uint256 target4) =</w:t>
      </w:r>
    </w:p>
    <w:p>
      <w:r>
        <w:t>policy.getAllocationTargets();</w:t>
      </w:r>
    </w:p>
    <w:p>
      <w:r>
        <w:t>// Calculate adjustments</w:t>
      </w:r>
    </w:p>
    <w:p>
      <w:r>
        <w:t>uint256 total = totalReserveValue;</w:t>
      </w:r>
    </w:p>
    <w:p>
      <w:r>
        <w:t>uint256 adj1 = (target1 - tier1) * total / 100;</w:t>
      </w:r>
    </w:p>
    <w:p>
      <w:r>
        <w:t>uint256 adj2 = (target2 - tier2) * total / 100;</w:t>
      </w:r>
    </w:p>
    <w:p>
      <w:r>
        <w:t>uint256 adj3 = (target3 - tier3) * total / 100;</w:t>
      </w:r>
    </w:p>
    <w:p>
      <w:r>
        <w:t>uint256 adj4 = (target4 - tier4) * total / 100;</w:t>
      </w:r>
    </w:p>
    <w:p>
      <w:r>
        <w:t>// Execute rebalancing</w:t>
      </w:r>
    </w:p>
    <w:p>
      <w:r>
        <w:t>executeRebalancing(adj1, adj2, adj3, adj4);</w:t>
      </w:r>
    </w:p>
    <w:p>
      <w:r>
        <w:t>emit ReserveRebalanced(tier1, tier2, tier3, tier4);</w:t>
      </w:r>
    </w:p>
    <w:p>
      <w:r>
        <w:t>}</w:t>
      </w:r>
    </w:p>
    <w:p>
      <w:r>
        <w:t>Algorithm Contract</w:t>
      </w:r>
    </w:p>
    <w:p>
      <w:r>
        <w:t>Algorithm.sol — Monetary Engine</w:t>
      </w:r>
    </w:p>
    <w:p>
      <w:r>
        <w:t>What This Means in Practice:</w:t>
      </w:r>
    </w:p>
    <w:p>
      <w:r>
        <w:t>The Monetary Engine calculates NAV in real-time</w:t>
      </w:r>
    </w:p>
    <w:p>
      <w:r>
        <w:t>The Monetary Engine determines basket weights quarterly</w:t>
      </w:r>
    </w:p>
    <w:p>
      <w:r>
        <w:t>The Monetary Engine applies momentum and mean reversion</w:t>
      </w:r>
    </w:p>
    <w:p>
      <w:r>
        <w:t>The Monetary Engine enforces concentration limits</w:t>
      </w:r>
    </w:p>
    <w:p>
      <w:r>
        <w:t>Example:</w:t>
      </w:r>
    </w:p>
    <w:p>
      <w:r>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r>
        <w:t>Why This Matters:</w:t>
      </w:r>
    </w:p>
    <w:p>
      <w:r>
        <w:t>The Monetary Engine is the core of monetary neutrality</w:t>
      </w:r>
    </w:p>
    <w:p>
      <w:r>
        <w:t>The Monetary Engine is deterministic and auditable</w:t>
      </w:r>
    </w:p>
    <w:p>
      <w:r>
        <w:t>The Monetary Engine adapts to changing conditions</w:t>
      </w:r>
    </w:p>
    <w:p>
      <w:r>
        <w:t>The Monetary Engine is transparent and verifiable</w:t>
      </w:r>
    </w:p>
    <w:p>
      <w:r>
        <w:t>Key Functions:</w:t>
      </w:r>
    </w:p>
    <w:p>
      <w:r>
        <w:t>solidity</w:t>
      </w:r>
    </w:p>
    <w:p>
      <w:r>
        <w:t>// Algorithm.sol — Core Functions</w:t>
      </w:r>
    </w:p>
    <w:p>
      <w:r>
        <w:t>/**</w:t>
      </w:r>
    </w:p>
    <w:p>
      <w:r>
        <w:t>* @dev Calculate current NAV</w:t>
      </w:r>
    </w:p>
    <w:p>
      <w:r>
        <w:t>* @return NAV value</w:t>
      </w:r>
    </w:p>
    <w:p>
      <w:r>
        <w:t>*/</w:t>
      </w:r>
    </w:p>
    <w:p>
      <w:r>
        <w:t>function getNAV() public view returns (uint256) {</w:t>
      </w:r>
    </w:p>
    <w:p>
      <w:r>
        <w:t>uint256 reserveValue = reserve.totalValue();</w:t>
      </w:r>
    </w:p>
    <w:p>
      <w:r>
        <w:t>uint256 supply = mtq.totalSupply();</w:t>
      </w:r>
    </w:p>
    <w:p>
      <w:r>
        <w:t>return reserveValue / supply;</w:t>
      </w:r>
    </w:p>
    <w:p>
      <w:r>
        <w:t>}</w:t>
      </w:r>
    </w:p>
    <w:p>
      <w:r>
        <w:t>/**</w:t>
      </w:r>
    </w:p>
    <w:p>
      <w:r>
        <w:t>* @dev Update basket weights (quarterly)</w:t>
      </w:r>
    </w:p>
    <w:p>
      <w:r>
        <w:t>*/</w:t>
      </w:r>
    </w:p>
    <w:p>
      <w:r>
        <w:t>function updateBasket() external onlyScheduler {</w:t>
      </w:r>
    </w:p>
    <w:p>
      <w:r>
        <w:t>// Get COFER and SWIFT data from oracle</w:t>
      </w:r>
    </w:p>
    <w:p>
      <w:r>
        <w:t>uint256[] memory coferShares = oracle.getCOFER();</w:t>
      </w:r>
    </w:p>
    <w:p>
      <w:r>
        <w:t>uint256[] memory swiftShares = oracle.getSWIFT();</w:t>
      </w:r>
    </w:p>
    <w:p>
      <w:r>
        <w:t>// Calculate combined shares</w:t>
      </w:r>
    </w:p>
    <w:p>
      <w:r>
        <w:t>uint256[] memory combinedShares = new uint256[](numCurrencies);</w:t>
      </w:r>
    </w:p>
    <w:p>
      <w:r>
        <w:t>for (uint i = 0; i &lt; numCurrencies; i++) {</w:t>
      </w:r>
    </w:p>
    <w:p>
      <w:r>
        <w:t>combinedShares[i] = (coferShares[i] * COFER_WEIGHT + swiftShares[i] * SWIFT_WEIGHT) / 100;</w:t>
      </w:r>
    </w:p>
    <w:p>
      <w:r>
        <w:t>}</w:t>
      </w:r>
    </w:p>
    <w:p>
      <w:r>
        <w:t>// Apply momentum factors</w:t>
      </w:r>
    </w:p>
    <w:p>
      <w:r>
        <w:t>uint256[] memory momentumFactors = calculateMomentum();</w:t>
      </w:r>
    </w:p>
    <w:p>
      <w:r>
        <w:t>for (uint i = 0; i &lt; numCurrencies; i++) {</w:t>
      </w:r>
    </w:p>
    <w:p>
      <w:r>
        <w:t>combinedShares[i] = combinedShares[i] * momentumFactors[i];</w:t>
      </w:r>
    </w:p>
    <w:p>
      <w:r>
        <w:t>}</w:t>
      </w:r>
    </w:p>
    <w:p>
      <w:r>
        <w:t>// Apply mean reversion</w:t>
      </w:r>
    </w:p>
    <w:p>
      <w:r>
        <w:t>applyMeanReversion(combinedShares);</w:t>
      </w:r>
    </w:p>
    <w:p>
      <w:r>
        <w:t>// Apply concentration limits</w:t>
      </w:r>
    </w:p>
    <w:p>
      <w:r>
        <w:t>enforceConcentrationLimits(combinedShares);</w:t>
      </w:r>
    </w:p>
    <w:p>
      <w:r>
        <w:t>// Normalize to 100%</w:t>
      </w:r>
    </w:p>
    <w:p>
      <w:r>
        <w:t>normalizeWeights(combinedShares);</w:t>
      </w:r>
    </w:p>
    <w:p>
      <w:r>
        <w:t>// Publish weights</w:t>
      </w:r>
    </w:p>
    <w:p>
      <w:r>
        <w:t>emit BasketUpdated(combinedShares);</w:t>
      </w:r>
    </w:p>
    <w:p>
      <w:r>
        <w:t>}</w:t>
      </w:r>
    </w:p>
    <w:p>
      <w:r>
        <w:t>/**</w:t>
      </w:r>
    </w:p>
    <w:p>
      <w:r>
        <w:t>* @dev Calculate momentum factors</w:t>
      </w:r>
    </w:p>
    <w:p>
      <w:r>
        <w:t>*/</w:t>
      </w:r>
    </w:p>
    <w:p>
      <w:r>
        <w:t>function calculateMomentum() internal view returns (uint256[] memory) {</w:t>
      </w:r>
    </w:p>
    <w:p>
      <w:r>
        <w:t>uint256[] memory factors = new uint256[](numCurrencies);</w:t>
      </w:r>
    </w:p>
    <w:p>
      <w:r>
        <w:t>for (uint i = 0; i &lt; numCurrencies; i++) {</w:t>
      </w:r>
    </w:p>
    <w:p>
      <w:r>
        <w:t>uint256 currentPrice = oracle.getCurrencyPrice(i);</w:t>
      </w:r>
    </w:p>
    <w:p>
      <w:r>
        <w:t>uint256 previousPrice = oracle.getHistoricalPrice(i, 12 months);</w:t>
      </w:r>
    </w:p>
    <w:p>
      <w:r>
        <w:t>factors[i] = currentPrice / previousPrice;</w:t>
      </w:r>
    </w:p>
    <w:p>
      <w:r>
        <w:t>// Apply bounds (max ±5%)</w:t>
      </w:r>
    </w:p>
    <w:p>
      <w:r>
        <w:t>if (factors[i] &gt; 1.05) factors[i] = 1.05;</w:t>
      </w:r>
    </w:p>
    <w:p>
      <w:r>
        <w:t>if (factors[i] &lt; 0.95) factors[i] = 0.95;</w:t>
      </w:r>
    </w:p>
    <w:p>
      <w:r>
        <w:t>}</w:t>
      </w:r>
    </w:p>
    <w:p>
      <w:r>
        <w:t>return factors;</w:t>
      </w:r>
    </w:p>
    <w:p>
      <w:r>
        <w:t>}</w:t>
      </w:r>
    </w:p>
    <w:p>
      <w:r>
        <w:t>Governance Contract</w:t>
      </w:r>
    </w:p>
    <w:p>
      <w:r>
        <w:t>Governance.sol — Council and Committee Governance</w:t>
      </w:r>
    </w:p>
    <w:p>
      <w:r>
        <w:t>What This Means in Practice:</w:t>
      </w:r>
    </w:p>
    <w:p>
      <w:r>
        <w:t>Governance proposals are submitted on-chain</w:t>
      </w:r>
    </w:p>
    <w:p>
      <w:r>
        <w:t>Votes are recorded on-chain</w:t>
      </w:r>
    </w:p>
    <w:p>
      <w:r>
        <w:t>Thresholds enforce constitutional requirements</w:t>
      </w:r>
    </w:p>
    <w:p>
      <w:r>
        <w:t>Timelocks prevent rushed decisions</w:t>
      </w:r>
    </w:p>
    <w:p>
      <w:r>
        <w:t>Example:</w:t>
      </w:r>
    </w:p>
    <w:p>
      <w:r>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r>
        <w:t>Why This Matters:</w:t>
      </w:r>
    </w:p>
    <w:p>
      <w:r>
        <w:t>On-chain governance is transparent</w:t>
      </w:r>
    </w:p>
    <w:p>
      <w:r>
        <w:t>On-chain governance is auditable</w:t>
      </w:r>
    </w:p>
    <w:p>
      <w:r>
        <w:t>On-chain governance enforces thresholds</w:t>
      </w:r>
    </w:p>
    <w:p>
      <w:r>
        <w:t>On-chain governance prevents manipulation</w:t>
      </w:r>
    </w:p>
    <w:p>
      <w:r>
        <w:t>Key Functions:</w:t>
      </w:r>
    </w:p>
    <w:p>
      <w:r>
        <w:t>solidity</w:t>
      </w:r>
    </w:p>
    <w:p>
      <w:r>
        <w:t>// Governance.sol — Core Functions</w:t>
      </w:r>
    </w:p>
    <w:p>
      <w:r>
        <w:t>/**</w:t>
      </w:r>
    </w:p>
    <w:p>
      <w:r>
        <w:t>* @dev Submit a governance proposal</w:t>
      </w:r>
    </w:p>
    <w:p>
      <w:r>
        <w:t>* @param target Contract address</w:t>
      </w:r>
    </w:p>
    <w:p>
      <w:r>
        <w:t>* @param calldata Function call data</w:t>
      </w:r>
    </w:p>
    <w:p>
      <w:r>
        <w:t>* @param description Description of proposal</w:t>
      </w:r>
    </w:p>
    <w:p>
      <w:r>
        <w:t>*/</w:t>
      </w:r>
    </w:p>
    <w:p>
      <w:r>
        <w:t>function propose(address target, bytes memory calldata, string memory description)</w:t>
      </w:r>
    </w:p>
    <w:p>
      <w:r>
        <w:t>external onlyCouncilMember</w:t>
      </w:r>
    </w:p>
    <w:p>
      <w:r>
        <w:t>{</w:t>
      </w:r>
    </w:p>
    <w:p>
      <w:r>
        <w:t>uint256 proposalId = proposals.length;</w:t>
      </w:r>
    </w:p>
    <w:p>
      <w:r>
        <w:t>proposals.push(Proposal({</w:t>
      </w:r>
    </w:p>
    <w:p>
      <w:r>
        <w:t>target: target,</w:t>
      </w:r>
    </w:p>
    <w:p>
      <w:r>
        <w:t>calldata: calldata,</w:t>
      </w:r>
    </w:p>
    <w:p>
      <w:r>
        <w:t>description: description,</w:t>
      </w:r>
    </w:p>
    <w:p>
      <w:r>
        <w:t>proposer: msg.sender,</w:t>
      </w:r>
    </w:p>
    <w:p>
      <w:r>
        <w:t>forVotes: 0,</w:t>
      </w:r>
    </w:p>
    <w:p>
      <w:r>
        <w:t>againstVotes: 0,</w:t>
      </w:r>
    </w:p>
    <w:p>
      <w:r>
        <w:t>executed: false,</w:t>
      </w:r>
    </w:p>
    <w:p>
      <w:r>
        <w:t>created: block.timestamp</w:t>
      </w:r>
    </w:p>
    <w:p>
      <w:r>
        <w:t>}));</w:t>
      </w:r>
    </w:p>
    <w:p>
      <w:r>
        <w:t>emit ProposalSubmitted(proposalId, msg.sender, description);</w:t>
      </w:r>
    </w:p>
    <w:p>
      <w:r>
        <w:t>}</w:t>
      </w:r>
    </w:p>
    <w:p>
      <w:r>
        <w:t>/**</w:t>
      </w:r>
    </w:p>
    <w:p>
      <w:r>
        <w:t>* @dev Vote on a proposal</w:t>
      </w:r>
    </w:p>
    <w:p>
      <w:r>
        <w:t>* @param proposalId Proposal ID</w:t>
      </w:r>
    </w:p>
    <w:p>
      <w:r>
        <w:t>* @param support Yes or No</w:t>
      </w:r>
    </w:p>
    <w:p>
      <w:r>
        <w:t>*/</w:t>
      </w:r>
    </w:p>
    <w:p>
      <w:r>
        <w:t>function vote(uint256 proposalId, bool support) external onlyCouncilMember {</w:t>
      </w:r>
    </w:p>
    <w:p>
      <w:r>
        <w:t>require(!proposals[proposalId].executed, "Proposal already executed");</w:t>
      </w:r>
    </w:p>
    <w:p>
      <w:r>
        <w:t>require(!hasVoted[proposalId][msg.sender], "Already voted");</w:t>
      </w:r>
    </w:p>
    <w:p>
      <w:r>
        <w:t>if (support) {</w:t>
      </w:r>
    </w:p>
    <w:p>
      <w:r>
        <w:t>proposals[proposalId].forVotes += votingPower[msg.sender];</w:t>
      </w:r>
    </w:p>
    <w:p>
      <w:r>
        <w:t>} else {</w:t>
      </w:r>
    </w:p>
    <w:p>
      <w:r>
        <w:t>proposals[proposalId].againstVotes += votingPower[msg.sender];</w:t>
      </w:r>
    </w:p>
    <w:p>
      <w:r>
        <w:t>}</w:t>
      </w:r>
    </w:p>
    <w:p>
      <w:r>
        <w:t>hasVoted[proposalId][msg.sender] = true;</w:t>
      </w:r>
    </w:p>
    <w:p>
      <w:r>
        <w:t>emit VoteCast(proposalId, msg.sender, support);</w:t>
      </w:r>
    </w:p>
    <w:p>
      <w:r>
        <w:t>}</w:t>
      </w:r>
    </w:p>
    <w:p>
      <w:r>
        <w:t>/**</w:t>
      </w:r>
    </w:p>
    <w:p>
      <w:r>
        <w:t>* @dev Execute a proposal</w:t>
      </w:r>
    </w:p>
    <w:p>
      <w:r>
        <w:t>* @param proposalId Proposal ID</w:t>
      </w:r>
    </w:p>
    <w:p>
      <w:r>
        <w:t>*/</w:t>
      </w:r>
    </w:p>
    <w:p>
      <w:r>
        <w:t>function execute(uint256 proposalId) external {</w:t>
      </w:r>
    </w:p>
    <w:p>
      <w:r>
        <w:t>Proposal memory proposal = proposals[proposalId];</w:t>
      </w:r>
    </w:p>
    <w:p>
      <w:r>
        <w:t>require(!proposal.executed, "Already executed");</w:t>
      </w:r>
    </w:p>
    <w:p>
      <w:r>
        <w:t>require(block.timestamp &gt;= proposal.created + timelock, "Timelock active");</w:t>
      </w:r>
    </w:p>
    <w:p>
      <w:r>
        <w:t>// Check thresholds</w:t>
      </w:r>
    </w:p>
    <w:p>
      <w:r>
        <w:t>uint256 totalVotes = proposal.forVotes + proposal.againstVotes;</w:t>
      </w:r>
    </w:p>
    <w:p>
      <w:r>
        <w:t>require(totalVotes &gt;= quorum, "Below quorum");</w:t>
      </w:r>
    </w:p>
    <w:p>
      <w:r>
        <w:t>require(proposal.forVotes * 100 &gt;= threshold * totalVotes, "Below threshold");</w:t>
      </w:r>
    </w:p>
    <w:p>
      <w:r>
        <w:t>// Execute</w:t>
      </w:r>
    </w:p>
    <w:p>
      <w:r>
        <w:t>(bool success, ) = proposal.target.call(proposal.calldata);</w:t>
      </w:r>
    </w:p>
    <w:p>
      <w:r>
        <w:t>require(success, "Execution failed");</w:t>
      </w:r>
    </w:p>
    <w:p>
      <w:r>
        <w:t>proposals[proposalId].executed = true;</w:t>
      </w:r>
    </w:p>
    <w:p>
      <w:r>
        <w:t>emit ProposalExecuted(proposalId);</w:t>
      </w:r>
    </w:p>
    <w:p>
      <w:r>
        <w:t>}</w:t>
      </w:r>
    </w:p>
    <w:p>
      <w:r>
        <w:t>Oracle Contract</w:t>
      </w:r>
    </w:p>
    <w:p>
      <w:r>
        <w:t>Oracle.sol — Data Feed Aggregation</w:t>
      </w:r>
    </w:p>
    <w:p>
      <w:r>
        <w:t>What This Means in Practice:</w:t>
      </w:r>
    </w:p>
    <w:p>
      <w:r>
        <w:t>Oracle.sol consumes data from multiple sources</w:t>
      </w:r>
    </w:p>
    <w:p>
      <w:r>
        <w:t>It aggregates data using medianization</w:t>
      </w:r>
    </w:p>
    <w:p>
      <w:r>
        <w:t>It excludes outliers (&gt;2% deviation)</w:t>
      </w:r>
    </w:p>
    <w:p>
      <w:r>
        <w:t>It falls back to TWAP if consensus fails</w:t>
      </w:r>
    </w:p>
    <w:p>
      <w:r>
        <w:t>Example:</w:t>
      </w:r>
    </w:p>
    <w:p>
      <w:r>
        <w:t>Oracle.sol receives price feeds from Chainlink, Pyth, RedStone, Chronicle, and internal sources. It calculates the median, excludes any feed deviating by more than 2%, and publishes the consensus price. If fewer than 5 sources agree, it falls back to a 48-hour TWAP.</w:t>
      </w:r>
    </w:p>
    <w:p>
      <w:r>
        <w:t>Why This Matters:</w:t>
      </w:r>
    </w:p>
    <w:p>
      <w:r>
        <w:t>Multiple sources prevent manipulation</w:t>
      </w:r>
    </w:p>
    <w:p>
      <w:r>
        <w:t>Medianization provides robust consensus</w:t>
      </w:r>
    </w:p>
    <w:p>
      <w:r>
        <w:t>Outlier exclusion prevents corrupted feeds</w:t>
      </w:r>
    </w:p>
    <w:p>
      <w:r>
        <w:t>Fallback ensures continuity</w:t>
      </w:r>
    </w:p>
    <w:p>
      <w:r>
        <w:t>Key Functions:</w:t>
      </w:r>
    </w:p>
    <w:p>
      <w:r>
        <w:t>solidity</w:t>
      </w:r>
    </w:p>
    <w:p>
      <w:r>
        <w:t>// Oracle.sol — Core Functions</w:t>
      </w:r>
    </w:p>
    <w:p>
      <w:r>
        <w:t>/**</w:t>
      </w:r>
    </w:p>
    <w:p>
      <w:r>
        <w:t>* @dev Fetch consensus price</w:t>
      </w:r>
    </w:p>
    <w:p>
      <w:r>
        <w:t>* @param asset Asset identifier</w:t>
      </w:r>
    </w:p>
    <w:p>
      <w:r>
        <w:t>* @return Consensus price</w:t>
      </w:r>
    </w:p>
    <w:p>
      <w:r>
        <w:t>*/</w:t>
      </w:r>
    </w:p>
    <w:p>
      <w:r>
        <w:t>function fetchPrice(bytes32 asset) external returns (uint256) {</w:t>
      </w:r>
    </w:p>
    <w:p>
      <w:r>
        <w:t>// Collect prices from all oracle families</w:t>
      </w:r>
    </w:p>
    <w:p>
      <w:r>
        <w:t>uint256[] memory prices = new uint256[](oracleFamilies.length);</w:t>
      </w:r>
    </w:p>
    <w:p>
      <w:r>
        <w:t>for (uint i = 0; i &lt; oracleFamilies.length; i++) {</w:t>
      </w:r>
    </w:p>
    <w:p>
      <w:r>
        <w:t>prices[i] = oracleFamilies[i].getPrice(asset);</w:t>
      </w:r>
    </w:p>
    <w:p>
      <w:r>
        <w:t>}</w:t>
      </w:r>
    </w:p>
    <w:p>
      <w:r>
        <w:t>// Sort prices</w:t>
      </w:r>
    </w:p>
    <w:p>
      <w:r>
        <w:t>sort(prices);</w:t>
      </w:r>
    </w:p>
    <w:p>
      <w:r>
        <w:t>// Calculate median</w:t>
      </w:r>
    </w:p>
    <w:p>
      <w:r>
        <w:t>uint256 median = prices[prices.length / 2];</w:t>
      </w:r>
    </w:p>
    <w:p>
      <w:r>
        <w:t>// Filter outliers (&gt;2% deviation)</w:t>
      </w:r>
    </w:p>
    <w:p>
      <w:r>
        <w:t>uint256[] memory filteredPrices;</w:t>
      </w:r>
    </w:p>
    <w:p>
      <w:r>
        <w:t>for (uint i = 0; i &lt; prices.length; i++) {</w:t>
      </w:r>
    </w:p>
    <w:p>
      <w:r>
        <w:t>if (abs(prices[i] - median) * 100 &lt;= 2 * median) {</w:t>
      </w:r>
    </w:p>
    <w:p>
      <w:r>
        <w:t>filteredPrices.push(prices[i]);</w:t>
      </w:r>
    </w:p>
    <w:p>
      <w:r>
        <w:t>} else {</w:t>
      </w:r>
    </w:p>
    <w:p>
      <w:r>
        <w:t>// Quarantine outlier feed</w:t>
      </w:r>
    </w:p>
    <w:p>
      <w:r>
        <w:t>quarantineFeed(i, 24 hours);</w:t>
      </w:r>
    </w:p>
    <w:p>
      <w:r>
        <w:t>}</w:t>
      </w:r>
    </w:p>
    <w:p>
      <w:r>
        <w:t>}</w:t>
      </w:r>
    </w:p>
    <w:p>
      <w:r>
        <w:t>// Check consensus (≥5 of 8)</w:t>
      </w:r>
    </w:p>
    <w:p>
      <w:r>
        <w:t>if (filteredPrices.length &lt; 5) {</w:t>
      </w:r>
    </w:p>
    <w:p>
      <w:r>
        <w:t>// Fallback to 48-hour TWAP</w:t>
      </w:r>
    </w:p>
    <w:p>
      <w:r>
        <w:t>return getTWAP(asset, 48 hours);</w:t>
      </w:r>
    </w:p>
    <w:p>
      <w:r>
        <w:t>}</w:t>
      </w:r>
    </w:p>
    <w:p>
      <w:r>
        <w:t>// Return median of filtered prices</w:t>
      </w:r>
    </w:p>
    <w:p>
      <w:r>
        <w:t>sort(filteredPrices);</w:t>
      </w:r>
    </w:p>
    <w:p>
      <w:r>
        <w:t>return filteredPrices[filteredPrices.length / 2];</w:t>
      </w:r>
    </w:p>
    <w:p>
      <w:r>
        <w:t>}</w:t>
      </w:r>
    </w:p>
    <w:p>
      <w:r>
        <w:t>/**</w:t>
      </w:r>
    </w:p>
    <w:p>
      <w:r>
        <w:t>* @dev Get time-weighted average price</w:t>
      </w:r>
    </w:p>
    <w:p>
      <w:r>
        <w:t>* @param asset Asset identifier</w:t>
      </w:r>
    </w:p>
    <w:p>
      <w:r>
        <w:t>* @param duration Time window</w:t>
      </w:r>
    </w:p>
    <w:p>
      <w:r>
        <w:t>* @return TWAP price</w:t>
      </w:r>
    </w:p>
    <w:p>
      <w:r>
        <w:t>*/</w:t>
      </w:r>
    </w:p>
    <w:p>
      <w:r>
        <w:t>function getTWAP(bytes32 asset, uint256 duration) internal returns (uint256) {</w:t>
      </w:r>
    </w:p>
    <w:p>
      <w:r>
        <w:t>uint256[] memory observations = getObservations(asset, duration);</w:t>
      </w:r>
    </w:p>
    <w:p>
      <w:r>
        <w:t>uint256 total = 0;</w:t>
      </w:r>
    </w:p>
    <w:p>
      <w:r>
        <w:t>for (uint i = 0; i &lt; observations.length; i++) {</w:t>
      </w:r>
    </w:p>
    <w:p>
      <w:r>
        <w:t>total += observations[i];</w:t>
      </w:r>
    </w:p>
    <w:p>
      <w:r>
        <w:t>}</w:t>
      </w:r>
    </w:p>
    <w:p>
      <w:r>
        <w:t>return total / observations.length;</w:t>
      </w:r>
    </w:p>
    <w:p>
      <w:r>
        <w:t>}</w:t>
      </w:r>
    </w:p>
    <w:p>
      <w:r>
        <w:t>Security Contracts</w:t>
      </w:r>
    </w:p>
    <w:p>
      <w:r>
        <w:t>Takaful.sol — Risk Protection</w:t>
      </w:r>
    </w:p>
    <w:p>
      <w:r>
        <w:t>What This Means in Practice:</w:t>
      </w:r>
    </w:p>
    <w:p>
      <w:r>
        <w:t>Takaful.sol manages the mutual insurance pool</w:t>
      </w:r>
    </w:p>
    <w:p>
      <w:r>
        <w:t>The pool is funded by contributions</w:t>
      </w:r>
    </w:p>
    <w:p>
      <w:r>
        <w:t>The pool is invested in Sharia-compliant assets</w:t>
      </w:r>
    </w:p>
    <w:p>
      <w:r>
        <w:t>Payouts are authorized by Council</w:t>
      </w:r>
    </w:p>
    <w:p>
      <w:r>
        <w:t>Example:</w:t>
      </w:r>
    </w:p>
    <w:p>
      <w:r>
        <w:t>The Takaful fund receives contributions from transaction fees. It holds $100M in Sharia-compliant assets. If a de-peg event occurs, the Council authorizes a payout. Takaful.sol disburses funds to restore the reserve ratio. Holders are protected.</w:t>
      </w:r>
    </w:p>
    <w:p>
      <w:r>
        <w:t>Why This Matters:</w:t>
      </w:r>
    </w:p>
    <w:p>
      <w:r>
        <w:t>Takaful provides risk protection</w:t>
      </w:r>
    </w:p>
    <w:p>
      <w:r>
        <w:t>Takaful is Sharia-compliant</w:t>
      </w:r>
    </w:p>
    <w:p>
      <w:r>
        <w:t>Takaful protects holders</w:t>
      </w:r>
    </w:p>
    <w:p>
      <w:r>
        <w:t>Takaful maintains institutional stability</w:t>
      </w:r>
    </w:p>
    <w:p>
      <w:r>
        <w:t>Key Functions:</w:t>
      </w:r>
    </w:p>
    <w:p>
      <w:r>
        <w:t>solidity</w:t>
      </w:r>
    </w:p>
    <w:p>
      <w:r>
        <w:t>// Takaful.sol — Core Functions</w:t>
      </w:r>
    </w:p>
    <w:p>
      <w:r>
        <w:t>/**</w:t>
      </w:r>
    </w:p>
    <w:p>
      <w:r>
        <w:t>* @dev Contribute to the Takaful fund</w:t>
      </w:r>
    </w:p>
    <w:p>
      <w:r>
        <w:t>* @param amount Contribution amount</w:t>
      </w:r>
    </w:p>
    <w:p>
      <w:r>
        <w:t>*/</w:t>
      </w:r>
    </w:p>
    <w:p>
      <w:r>
        <w:t>function contribute(uint256 amount) external {</w:t>
      </w:r>
    </w:p>
    <w:p>
      <w:r>
        <w:t>takafulBalance += amount;</w:t>
      </w:r>
    </w:p>
    <w:p>
      <w:r>
        <w:t>totalContributions += amount;</w:t>
      </w:r>
    </w:p>
    <w:p>
      <w:r>
        <w:t>emit Contribution(msg.sender, amount);</w:t>
      </w:r>
    </w:p>
    <w:p>
      <w:r>
        <w:t>}</w:t>
      </w:r>
    </w:p>
    <w:p>
      <w:r>
        <w:t>/**</w:t>
      </w:r>
    </w:p>
    <w:p>
      <w:r>
        <w:t>* @dev Authorize a payout (Council only)</w:t>
      </w:r>
    </w:p>
    <w:p>
      <w:r>
        <w:t>* @param amount Payout amount</w:t>
      </w:r>
    </w:p>
    <w:p>
      <w:r>
        <w:t>* @param reason Payout reason</w:t>
      </w:r>
    </w:p>
    <w:p>
      <w:r>
        <w:t>*/</w:t>
      </w:r>
    </w:p>
    <w:p>
      <w:r>
        <w:t>function authorizePayout(uint256 amount, string memory reason)</w:t>
      </w:r>
    </w:p>
    <w:p>
      <w:r>
        <w:t>external onlyCouncil</w:t>
      </w:r>
    </w:p>
    <w:p>
      <w:r>
        <w:t>{</w:t>
      </w:r>
    </w:p>
    <w:p>
      <w:r>
        <w:t>require(amount &lt;= takafulBalance, "Insufficient funds");</w:t>
      </w:r>
    </w:p>
    <w:p>
      <w:r>
        <w:t>require(councilVote(amount), "Council vote failed");</w:t>
      </w:r>
    </w:p>
    <w:p>
      <w:r>
        <w:t>pendingPayout = Payout({</w:t>
      </w:r>
    </w:p>
    <w:p>
      <w:r>
        <w:t>amount: amount,</w:t>
      </w:r>
    </w:p>
    <w:p>
      <w:r>
        <w:t>reason: reason,</w:t>
      </w:r>
    </w:p>
    <w:p>
      <w:r>
        <w:t>authorized: true,</w:t>
      </w:r>
    </w:p>
    <w:p>
      <w:r>
        <w:t>executed: false</w:t>
      </w:r>
    </w:p>
    <w:p>
      <w:r>
        <w:t>});</w:t>
      </w:r>
    </w:p>
    <w:p>
      <w:r>
        <w:t>emit PayoutAuthorized(amount, reason);</w:t>
      </w:r>
    </w:p>
    <w:p>
      <w:r>
        <w:t>}</w:t>
      </w:r>
    </w:p>
    <w:p>
      <w:r>
        <w:t>/**</w:t>
      </w:r>
    </w:p>
    <w:p>
      <w:r>
        <w:t>* @dev Execute a payout</w:t>
      </w:r>
    </w:p>
    <w:p>
      <w:r>
        <w:t>*/</w:t>
      </w:r>
    </w:p>
    <w:p>
      <w:r>
        <w:t>function executePayout() external onlyCouncil {</w:t>
      </w:r>
    </w:p>
    <w:p>
      <w:r>
        <w:t>require(pendingPayout.authorized, "Not authorized");</w:t>
      </w:r>
    </w:p>
    <w:p>
      <w:r>
        <w:t>require(!pendingPayout.executed, "Already executed");</w:t>
      </w:r>
    </w:p>
    <w:p>
      <w:r>
        <w:t>// Transfer funds to reserve</w:t>
      </w:r>
    </w:p>
    <w:p>
      <w:r>
        <w:t>reserve.addReserve(pendingPayout.amount);</w:t>
      </w:r>
    </w:p>
    <w:p>
      <w:r>
        <w:t>takafulBalance -= pendingPayout.amount;</w:t>
      </w:r>
    </w:p>
    <w:p>
      <w:r>
        <w:t>pendingPayout.executed = true;</w:t>
      </w:r>
    </w:p>
    <w:p>
      <w:r>
        <w:t>emit PayoutExecuted(pendingPayout.amount);</w:t>
      </w:r>
    </w:p>
    <w:p>
      <w:r>
        <w:t>}</w:t>
      </w:r>
    </w:p>
    <w:p>
      <w:r>
        <w:t>Registry Contract</w:t>
      </w:r>
    </w:p>
    <w:p>
      <w:r>
        <w:t>Registry.sol — Participant Registry</w:t>
      </w:r>
    </w:p>
    <w:p>
      <w:r>
        <w:t>What This Means in Practice:</w:t>
      </w:r>
    </w:p>
    <w:p>
      <w:r>
        <w:t>Registry.sol maintains a list of licensed participants</w:t>
      </w:r>
    </w:p>
    <w:p>
      <w:r>
        <w:t>Participants are registered through a defined process</w:t>
      </w:r>
    </w:p>
    <w:p>
      <w:r>
        <w:t>Participants may be suspended for non-compliance</w:t>
      </w:r>
    </w:p>
    <w:p>
      <w:r>
        <w:t>The registry is publicly viewable</w:t>
      </w:r>
    </w:p>
    <w:p>
      <w:r>
        <w:t>Example:</w:t>
      </w:r>
    </w:p>
    <w:p>
      <w:r>
        <w:t>A bank registers as a licensed participant. Registry.sol records the participant's information, including jurisdiction and license details. The participant is active and can transact. If the participant violates compliance requirements, the registry suspends them.</w:t>
      </w:r>
    </w:p>
    <w:p>
      <w:r>
        <w:t>Why This Matters:</w:t>
      </w:r>
    </w:p>
    <w:p>
      <w:r>
        <w:t>The registry enables participant management</w:t>
      </w:r>
    </w:p>
    <w:p>
      <w:r>
        <w:t>The registry supports compliance</w:t>
      </w:r>
    </w:p>
    <w:p>
      <w:r>
        <w:t>The registry enables transparency</w:t>
      </w:r>
    </w:p>
    <w:p>
      <w:r>
        <w:t>The registry maintains institutional integrity</w:t>
      </w:r>
    </w:p>
    <w:p>
      <w:r>
        <w:t>Key Functions:</w:t>
      </w:r>
    </w:p>
    <w:p>
      <w:r>
        <w:t>solidity</w:t>
      </w:r>
    </w:p>
    <w:p>
      <w:r>
        <w:t>// Registry.sol — Core Functions</w:t>
      </w:r>
    </w:p>
    <w:p>
      <w:r>
        <w:t>/**</w:t>
      </w:r>
    </w:p>
    <w:p>
      <w:r>
        <w:t>* @dev Register a participant</w:t>
      </w:r>
    </w:p>
    <w:p>
      <w:r>
        <w:t>* @param participant Participant address</w:t>
      </w:r>
    </w:p>
    <w:p>
      <w:r>
        <w:t>* @param details Participant details</w:t>
      </w:r>
    </w:p>
    <w:p>
      <w:r>
        <w:t>*/</w:t>
      </w:r>
    </w:p>
    <w:p>
      <w:r>
        <w:t>function registerParticipant(address participant, bytes calldata details)</w:t>
      </w:r>
    </w:p>
    <w:p>
      <w:r>
        <w:t>external onlyCompliance</w:t>
      </w:r>
    </w:p>
    <w:p>
      <w:r>
        <w:t>{</w:t>
      </w:r>
    </w:p>
    <w:p>
      <w:r>
        <w:t>require(participants[participant].status == Status.NONE, "Already registered");</w:t>
      </w:r>
    </w:p>
    <w:p>
      <w:r>
        <w:t>participants[participant] = Participant({</w:t>
      </w:r>
    </w:p>
    <w:p>
      <w:r>
        <w:t>details: details,</w:t>
      </w:r>
    </w:p>
    <w:p>
      <w:r>
        <w:t>status: Status.ACTIVE,</w:t>
      </w:r>
    </w:p>
    <w:p>
      <w:r>
        <w:t>registered: block.timestamp</w:t>
      </w:r>
    </w:p>
    <w:p>
      <w:r>
        <w:t>});</w:t>
      </w:r>
    </w:p>
    <w:p>
      <w:r>
        <w:t>participantList.push(participant);</w:t>
      </w:r>
    </w:p>
    <w:p>
      <w:r>
        <w:t>emit ParticipantRegistered(participant);</w:t>
      </w:r>
    </w:p>
    <w:p>
      <w:r>
        <w:t>}</w:t>
      </w:r>
    </w:p>
    <w:p>
      <w:r>
        <w:t>/**</w:t>
      </w:r>
    </w:p>
    <w:p>
      <w:r>
        <w:t>* @dev Suspend a participant</w:t>
      </w:r>
    </w:p>
    <w:p>
      <w:r>
        <w:t>* @param participant Participant address</w:t>
      </w:r>
    </w:p>
    <w:p>
      <w:r>
        <w:t>* @param reason Suspension reason</w:t>
      </w:r>
    </w:p>
    <w:p>
      <w:r>
        <w:t>*/</w:t>
      </w:r>
    </w:p>
    <w:p>
      <w:r>
        <w:t>function suspendParticipant(address participant, string memory reason)</w:t>
      </w:r>
    </w:p>
    <w:p>
      <w:r>
        <w:t>external onlyCompliance</w:t>
      </w:r>
    </w:p>
    <w:p>
      <w:r>
        <w:t>{</w:t>
      </w:r>
    </w:p>
    <w:p>
      <w:r>
        <w:t>require(participants[participant].status == Status.ACTIVE, "Not active");</w:t>
      </w:r>
    </w:p>
    <w:p>
      <w:r>
        <w:t>participants[participant].status = Status.SUSPENDED;</w:t>
      </w:r>
    </w:p>
    <w:p>
      <w:r>
        <w:t>participants[participant].suspensionReason = reason;</w:t>
      </w:r>
    </w:p>
    <w:p>
      <w:r>
        <w:t>participants[participant].suspensionDate = block.timestamp;</w:t>
      </w:r>
    </w:p>
    <w:p>
      <w:r>
        <w:t>emit ParticipantSuspended(participant, reason);</w:t>
      </w:r>
    </w:p>
    <w:p>
      <w:r>
        <w:t>}</w:t>
      </w:r>
    </w:p>
    <w:p>
      <w:r>
        <w:t>Smart Contract Security</w:t>
      </w:r>
    </w:p>
    <w:p>
      <w:r>
        <w:t>Security Controls</w:t>
      </w:r>
    </w:p>
    <w:p>
      <w:r>
        <w:t>What This Means in Practice:</w:t>
      </w:r>
    </w:p>
    <w:p>
      <w:r>
        <w:t>Smart contracts are secured with multiple layers of protection</w:t>
      </w:r>
    </w:p>
    <w:p>
      <w:r>
        <w:t>Access is controlled by role-based permissions</w:t>
      </w:r>
    </w:p>
    <w:p>
      <w:r>
        <w:t>Reentrancy attacks are prevented</w:t>
      </w:r>
    </w:p>
    <w:p>
      <w:r>
        <w:t>Emergency pause provides crisis protection</w:t>
      </w:r>
    </w:p>
    <w:p>
      <w:r>
        <w:t>Governance timelocks prevent rushed changes</w:t>
      </w:r>
    </w:p>
    <w:p>
      <w:r>
        <w:t>Formal verification proves security properties</w:t>
      </w:r>
    </w:p>
    <w:p>
      <w:r>
        <w:t>Audits provide independent validation</w:t>
      </w:r>
    </w:p>
    <w:p>
      <w:r>
        <w:t>Example:</w:t>
      </w:r>
    </w:p>
    <w:p>
      <w:r>
        <w:t>The minting contract uses ReentrancyGuard to prevent reentrancy attacks. It uses AccessControl to restrict sensitive functions. It has a pause mechanism for emergencies. It is formally verified to prove the invariant "Reserve Value ≥ Supply × NAV." It is audited annually.</w:t>
      </w:r>
    </w:p>
    <w:p>
      <w:r>
        <w:t>Why This Matters:</w:t>
      </w:r>
    </w:p>
    <w:p>
      <w:r>
        <w:t>Multiple security layers provide defense in depth</w:t>
      </w:r>
    </w:p>
    <w:p>
      <w:r>
        <w:t>Access control prevents unauthorized actions</w:t>
      </w:r>
    </w:p>
    <w:p>
      <w:r>
        <w:t>Reentrancy protection prevents common exploits</w:t>
      </w:r>
    </w:p>
    <w:p>
      <w:r>
        <w:t>Pause capability provides crisis response</w:t>
      </w:r>
    </w:p>
    <w:p>
      <w:r>
        <w:t>Formal verification provides mathematical certainty</w:t>
      </w:r>
    </w:p>
    <w:p>
      <w:r>
        <w:t>Audits provide independent validation</w:t>
      </w:r>
    </w:p>
    <w:p>
      <w:r>
        <w:t>Smart Contract Upgrades</w:t>
      </w:r>
    </w:p>
    <w:p>
      <w:r>
        <w:t>Upgrade Process</w:t>
      </w:r>
    </w:p>
    <w:p>
      <w:r>
        <w:t>What This Means in Practice:</w:t>
      </w:r>
    </w:p>
    <w:p>
      <w:r>
        <w:t>Upgrades are proposed by the Technical Committee</w:t>
      </w:r>
    </w:p>
    <w:p>
      <w:r>
        <w:t>Upgrades are audited before submission</w:t>
      </w:r>
    </w:p>
    <w:p>
      <w:r>
        <w:t>Upgrades are formally verified</w:t>
      </w:r>
    </w:p>
    <w:p>
      <w:r>
        <w:t>Upgrades are approved by the Council</w:t>
      </w:r>
    </w:p>
    <w:p>
      <w:r>
        <w:t>Upgrades are subject to a timelock</w:t>
      </w:r>
    </w:p>
    <w:p>
      <w:r>
        <w:t>Upgrades are executed automatically</w:t>
      </w:r>
    </w:p>
    <w:p>
      <w:r>
        <w:t>Example:</w:t>
      </w:r>
    </w:p>
    <w:p>
      <w:r>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r>
        <w:t>Why This Matters:</w:t>
      </w:r>
    </w:p>
    <w:p>
      <w:r>
        <w:t>Defined process prevents arbitrary changes</w:t>
      </w:r>
    </w:p>
    <w:p>
      <w:r>
        <w:t>Audits ensure security</w:t>
      </w:r>
    </w:p>
    <w:p>
      <w:r>
        <w:t>Formal verification ensures correctness</w:t>
      </w:r>
    </w:p>
    <w:p>
      <w:r>
        <w:t>Governance approval ensures legitimacy</w:t>
      </w:r>
    </w:p>
    <w:p>
      <w:r>
        <w:t>Timelocks prevent rushed changes</w:t>
      </w:r>
    </w:p>
    <w:p>
      <w:r>
        <w:t>Execution is automatic and transparent</w:t>
      </w:r>
    </w:p>
    <w:p>
      <w:r>
        <w:t>Upgrade Limitations</w:t>
      </w:r>
    </w:p>
    <w:p>
      <w:r>
        <w:t>What This Means in Practice:</w:t>
      </w:r>
    </w:p>
    <w:p>
      <w:r>
        <w:t>Bug fixes require Technical Committee approval</w:t>
      </w:r>
    </w:p>
    <w:p>
      <w:r>
        <w:t>Security patches require Technical Committee and Council</w:t>
      </w:r>
    </w:p>
    <w:p>
      <w:r>
        <w:t>Feature additions require full governance process</w:t>
      </w:r>
    </w:p>
    <w:p>
      <w:r>
        <w:t>Invariant changes are prohibited</w:t>
      </w:r>
    </w:p>
    <w:p>
      <w:r>
        <w:t>All upgrades require audit</w:t>
      </w:r>
    </w:p>
    <w:p>
      <w:r>
        <w:t>Example:</w:t>
      </w:r>
    </w:p>
    <w:p>
      <w:r>
        <w:t>A critical security vulnerability is discovered. The Technical Committee develops a patch. The patch is audited. The Technical Committee and Council approve. A 7-day timelock is enforced (accelerated from 30 days). The patch is executed. The vulnerability is fixed.</w:t>
      </w:r>
    </w:p>
    <w:p>
      <w:r>
        <w:t>Why This Matters:</w:t>
      </w:r>
    </w:p>
    <w:p>
      <w:r>
        <w:t>Critical fixes can be accelerated</w:t>
      </w:r>
    </w:p>
    <w:p>
      <w:r>
        <w:t>Security patches have higher priority</w:t>
      </w:r>
    </w:p>
    <w:p>
      <w:r>
        <w:t>Invariant changes are absolutely prohibited</w:t>
      </w:r>
    </w:p>
    <w:p>
      <w:r>
        <w:t>All changes are audited</w:t>
      </w:r>
    </w:p>
    <w:p>
      <w:r>
        <w:t>Smart Contract Audit Requirements</w:t>
      </w:r>
    </w:p>
    <w:p>
      <w:r>
        <w:t>Audit Scope</w:t>
      </w:r>
    </w:p>
    <w:p>
      <w:r>
        <w:t>What This Means in Practice:</w:t>
      </w:r>
    </w:p>
    <w:p>
      <w:r>
        <w:t>Full protocol audits are conducted annually</w:t>
      </w:r>
    </w:p>
    <w:p>
      <w:r>
        <w:t>Upgrade audits are conducted per upgrade</w:t>
      </w:r>
    </w:p>
    <w:p>
      <w:r>
        <w:t>Formal verification is conducted quarterly</w:t>
      </w:r>
    </w:p>
    <w:p>
      <w:r>
        <w:t>Security assessments are conducted quarterly</w:t>
      </w:r>
    </w:p>
    <w:p>
      <w:r>
        <w:t>Penetration testing is conducted annually</w:t>
      </w:r>
    </w:p>
    <w:p>
      <w:r>
        <w:t>Example:</w:t>
      </w:r>
    </w:p>
    <w:p>
      <w:r>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r>
        <w:t>Why This Matters:</w:t>
      </w:r>
    </w:p>
    <w:p>
      <w:r>
        <w:t>Regular audits ensure security</w:t>
      </w:r>
    </w:p>
    <w:p>
      <w:r>
        <w:t>Multiple firms provide independent validation</w:t>
      </w:r>
    </w:p>
    <w:p>
      <w:r>
        <w:t>Formal verification provides mathematical certainty</w:t>
      </w:r>
    </w:p>
    <w:p>
      <w:r>
        <w:t>Testing identifies vulnerabilities</w:t>
      </w:r>
    </w:p>
    <w:p>
      <w:r>
        <w:t>Remediation maintains security</w:t>
      </w:r>
    </w:p>
    <w:p>
      <w:r>
        <w:t>Smart Contract Deployment</w:t>
      </w:r>
    </w:p>
    <w:p>
      <w:r>
        <w:t>Deployment Checklist</w:t>
      </w:r>
    </w:p>
    <w:p>
      <w:r>
        <w:t>What This Means in Practice:</w:t>
      </w:r>
    </w:p>
    <w:p>
      <w:r>
        <w:t>All code is complete and reviewed</w:t>
      </w:r>
    </w:p>
    <w:p>
      <w:r>
        <w:t>All tests pass</w:t>
      </w:r>
    </w:p>
    <w:p>
      <w:r>
        <w:t>Security audit is complete</w:t>
      </w:r>
    </w:p>
    <w:p>
      <w:r>
        <w:t>Formal verification is complete</w:t>
      </w:r>
    </w:p>
    <w:p>
      <w:r>
        <w:t>Deployment is approved through governance</w:t>
      </w:r>
    </w:p>
    <w:p>
      <w:r>
        <w:t>Timelock is enforced</w:t>
      </w:r>
    </w:p>
    <w:p>
      <w:r>
        <w:t>Execution is automatic</w:t>
      </w:r>
    </w:p>
    <w:p>
      <w:r>
        <w:t>Example:</w:t>
      </w:r>
    </w:p>
    <w:p>
      <w:r>
        <w:t>A new version of the Algorithm contract is ready for deployment. All code is complete. Tests pass. Audits are complete. Formal verification is complete. Governance approves. The 30-day timelock is enforced. The upgrade is executed. The process is complete.</w:t>
      </w:r>
    </w:p>
    <w:p>
      <w:r>
        <w:t>Why This Matters:</w:t>
      </w:r>
    </w:p>
    <w:p>
      <w:r>
        <w:t>Complete checklist ensures readiness</w:t>
      </w:r>
    </w:p>
    <w:p>
      <w:r>
        <w:t>Testing prevents errors</w:t>
      </w:r>
    </w:p>
    <w:p>
      <w:r>
        <w:t>Audits ensure security</w:t>
      </w:r>
    </w:p>
    <w:p>
      <w:r>
        <w:t>Verification ensures correctness</w:t>
      </w:r>
    </w:p>
    <w:p>
      <w:r>
        <w:t>Governance ensures legitimacy</w:t>
      </w:r>
    </w:p>
    <w:p>
      <w:r>
        <w:t>Timelocks ensure deliberation</w:t>
      </w:r>
    </w:p>
    <w:p>
      <w:r>
        <w:t>Summary Table</w:t>
      </w:r>
    </w:p>
    <w:p>
      <w:r>
        <w:t>Constitutional Interpretation</w:t>
      </w:r>
    </w:p>
    <w:p>
      <w:r>
        <w:t>The Smart Contracts article establishes the technical implementation of constitutional and monetary principles:</w:t>
      </w:r>
    </w:p>
    <w:p>
      <w:r>
        <w:t>Smart contracts enforce constitutional invariants in code</w:t>
      </w:r>
    </w:p>
    <w:p>
      <w:r>
        <w:t>Smart contracts are open-source, audited, and formally verified</w:t>
      </w:r>
    </w:p>
    <w:p>
      <w:r>
        <w:t>Smart contracts are upgradeable only through defined governance processes</w:t>
      </w:r>
    </w:p>
    <w:p>
      <w:r>
        <w:t>Smart contracts operate autonomously, without human intervention</w:t>
      </w:r>
    </w:p>
    <w:p>
      <w:r>
        <w:t>Smart contracts provide transparency, security, and resilience</w:t>
      </w:r>
    </w:p>
    <w:p>
      <w:r>
        <w:t>Smart contracts are the operational backbone of the Institution. They translate constitutional principles into code. They enforce invariants automatically. They provide transparency and auditability. They serve the Institution; the Institution does not serve them.</w:t>
      </w:r>
    </w:p>
    <w:p>
      <w:r>
        <w:t>[END OF PART 4, ARTICLE I — SMART CONTRACTS]</w:t>
      </w:r>
    </w:p>
    <w:p>
      <w:r>
        <w:t>Article II: Cryptography</w:t>
      </w:r>
    </w:p>
    <w:p>
      <w:r>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r>
        <w:t>What This Means in Practice:</w:t>
      </w:r>
    </w:p>
    <w:p>
      <w:r>
        <w:t>All transactions are cryptographically signed and verified</w:t>
      </w:r>
    </w:p>
    <w:p>
      <w:r>
        <w:t>All sensitive data is encrypted at rest and in transit</w:t>
      </w:r>
    </w:p>
    <w:p>
      <w:r>
        <w:t>Cryptographic keys are managed securely</w:t>
      </w:r>
    </w:p>
    <w:p>
      <w:r>
        <w:t>Post-quantum cryptography is planned for future readiness</w:t>
      </w:r>
    </w:p>
    <w:p>
      <w:r>
        <w:t>Cryptographic operations are transparent and auditable</w:t>
      </w:r>
    </w:p>
    <w:p>
      <w:r>
        <w:t>Example:</w:t>
      </w:r>
    </w:p>
    <w:p>
      <w:r>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r>
        <w:t>Why This Matters:</w:t>
      </w:r>
    </w:p>
    <w:p>
      <w:r>
        <w:t>Without cryptography, transactions are insecure and unverifiable</w:t>
      </w:r>
    </w:p>
    <w:p>
      <w:r>
        <w:t>Without cryptography, the Institution cannot authenticate participants</w:t>
      </w:r>
    </w:p>
    <w:p>
      <w:r>
        <w:t>Without cryptography, data integrity cannot be ensured</w:t>
      </w:r>
    </w:p>
    <w:p>
      <w:r>
        <w:t>Without cryptography, the Institution would be vulnerable to fraud and manipulation</w:t>
      </w:r>
    </w:p>
    <w:p>
      <w:r>
        <w:t>Cryptography is the foundation of digital trust</w:t>
      </w:r>
    </w:p>
    <w:p>
      <w:r>
        <w:t>Core Principles of Cryptographic Design</w:t>
      </w:r>
    </w:p>
    <w:p>
      <w:pPr>
        <w:pStyle w:val="ListNumber"/>
        <w:ind w:left="425"/>
      </w:pPr>
      <w:r>
        <w:t>Security</w:t>
      </w:r>
    </w:p>
    <w:p>
      <w:r>
        <w:t>Cryptographic systems must be secure against known and emerging threats.</w:t>
      </w:r>
    </w:p>
    <w:p>
      <w:r>
        <w:t>What This Means in Practice:</w:t>
      </w:r>
    </w:p>
    <w:p>
      <w:r>
        <w:t>Algorithms are selected for their security strength</w:t>
      </w:r>
    </w:p>
    <w:p>
      <w:r>
        <w:t>Key lengths meet or exceed industry standards</w:t>
      </w:r>
    </w:p>
    <w:p>
      <w:r>
        <w:t>Cryptographic systems are reviewed and updated regularly</w:t>
      </w:r>
    </w:p>
    <w:p>
      <w:r>
        <w:t>Post-quantum readiness is planned</w:t>
      </w:r>
    </w:p>
    <w:p>
      <w:r>
        <w:t>Example:</w:t>
      </w:r>
    </w:p>
    <w:p>
      <w:r>
        <w:t>The Institution uses ECDSA with secp256k1 for current signatures, providing 128 bits of security. It is actively planning migration to Falcon-512 for post-quantum security. All cryptographic systems are reviewed annually.</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Transparency</w:t>
      </w:r>
    </w:p>
    <w:p>
      <w:r>
        <w:t>Cryptographic systems are transparent and auditable.</w:t>
      </w:r>
    </w:p>
    <w:p>
      <w:r>
        <w:t>What This Means in Practice:</w:t>
      </w:r>
    </w:p>
    <w:p>
      <w:r>
        <w:t>Algorithms are publicly documented</w:t>
      </w:r>
    </w:p>
    <w:p>
      <w:r>
        <w:t>Implementation is open-source and verifiable</w:t>
      </w:r>
    </w:p>
    <w:p>
      <w:r>
        <w:t>Cryptographic operations are logged and auditable</w:t>
      </w:r>
    </w:p>
    <w:p>
      <w:r>
        <w:t>Security proofs are published</w:t>
      </w:r>
    </w:p>
    <w:p>
      <w:r>
        <w:t>Example:</w:t>
      </w:r>
    </w:p>
    <w:p>
      <w:r>
        <w:t>The Institution publishes its cryptographic specifications: algorithms, key lengths, and implementation details. Source code for cryptographic operations is open-source. Audit logs record all cryptographic operations. Security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Agility</w:t>
      </w:r>
    </w:p>
    <w:p>
      <w:r>
        <w:t>Cryptographic systems can evolve to address emerging threats.</w:t>
      </w:r>
    </w:p>
    <w:p>
      <w:r>
        <w:t>What This Means in Practice:</w:t>
      </w:r>
    </w:p>
    <w:p>
      <w:r>
        <w:t>Cryptographic agility is built into the architecture</w:t>
      </w:r>
    </w:p>
    <w:p>
      <w:r>
        <w:t>Algorithms can be replaced or upgraded</w:t>
      </w:r>
    </w:p>
    <w:p>
      <w:r>
        <w:t>Migration paths are defined</w:t>
      </w:r>
    </w:p>
    <w:p>
      <w:r>
        <w:t>Post-quantum readiness is planned</w:t>
      </w:r>
    </w:p>
    <w:p>
      <w:r>
        <w:t>Example:</w:t>
      </w:r>
    </w:p>
    <w:p>
      <w:r>
        <w:t>The Institution's cryptographic architecture is designed for agility. Signature schemes can be upgraded without changing the core protocol. A post-quantum migration path is defined. The Institution is prepared to evolve as cryptographic threats emerge.</w:t>
      </w:r>
    </w:p>
    <w:p>
      <w:r>
        <w:t>Why This Matters:</w:t>
      </w:r>
    </w:p>
    <w:p>
      <w:r>
        <w:t>Agility enables response to new threats</w:t>
      </w:r>
    </w:p>
    <w:p>
      <w:r>
        <w:t>Agility prevents obsolescence</w:t>
      </w:r>
    </w:p>
    <w:p>
      <w:r>
        <w:t>Agility maintains security over time</w:t>
      </w:r>
    </w:p>
    <w:p>
      <w:r>
        <w:t>Agility ensures long-term institutional integrity</w:t>
      </w:r>
    </w:p>
    <w:p>
      <w:pPr>
        <w:pStyle w:val="ListNumber"/>
        <w:ind w:left="425"/>
      </w:pPr>
      <w:r>
        <w:t>Resilience</w:t>
      </w:r>
    </w:p>
    <w:p>
      <w:r>
        <w:t>Cryptographic systems survive and recover from compromise.</w:t>
      </w:r>
    </w:p>
    <w:p>
      <w:r>
        <w:t>What This Means in Practice:</w:t>
      </w:r>
    </w:p>
    <w:p>
      <w:r>
        <w:t>Key management is robust</w:t>
      </w:r>
    </w:p>
    <w:p>
      <w:r>
        <w:t>Backup and recovery procedures are defined</w:t>
      </w:r>
    </w:p>
    <w:p>
      <w:r>
        <w:t>Incident response is planned</w:t>
      </w:r>
    </w:p>
    <w:p>
      <w:r>
        <w:t>Redundancy is built in</w:t>
      </w:r>
    </w:p>
    <w:p>
      <w:r>
        <w:t>Example:</w:t>
      </w:r>
    </w:p>
    <w:p>
      <w:r>
        <w:t>Cryptographic keys are managed with multi-party computation (MPC), requiring 3 of 5 key shares for signing. If a share is compromised, it can be rotated without compromising the key. Backup and recovery procedures are defined. Incident response is planned.</w:t>
      </w:r>
    </w:p>
    <w:p>
      <w:r>
        <w:t>Why This Matters:</w:t>
      </w:r>
    </w:p>
    <w:p>
      <w:r>
        <w:t>Resilience prevents single points of failure</w:t>
      </w:r>
    </w:p>
    <w:p>
      <w:r>
        <w:t>Resilience enables recovery from compromise</w:t>
      </w:r>
    </w:p>
    <w:p>
      <w:r>
        <w:t>Resilience maintains operations during incidents</w:t>
      </w:r>
    </w:p>
    <w:p>
      <w:r>
        <w:t>Resilience builds trust</w:t>
      </w:r>
    </w:p>
    <w:p>
      <w:pPr>
        <w:pStyle w:val="ListNumber"/>
        <w:ind w:left="425"/>
      </w:pPr>
      <w:r>
        <w:t>Privacy</w:t>
      </w:r>
    </w:p>
    <w:p>
      <w:r>
        <w:t>Cryptographic systems preserve participant privacy where appropriate.</w:t>
      </w:r>
    </w:p>
    <w:p>
      <w:r>
        <w:t>What This Means in Practice:</w:t>
      </w:r>
    </w:p>
    <w:p>
      <w:r>
        <w:t>Zero-knowledge proofs protect sensitive information</w:t>
      </w:r>
    </w:p>
    <w:p>
      <w:r>
        <w:t>Encryption protects data in transit and at rest</w:t>
      </w:r>
    </w:p>
    <w:p>
      <w:r>
        <w:t>Privacy-preserving techniques are used where possible</w:t>
      </w:r>
    </w:p>
    <w:p>
      <w:r>
        <w:t>Participant privacy is respected</w:t>
      </w:r>
    </w:p>
    <w:p>
      <w:r>
        <w:t>Example:</w:t>
      </w:r>
    </w:p>
    <w:p>
      <w:r>
        <w:t>The Institution uses zero-knowledge proofs for proof of reserves. The proof demonstrates that reserves exceed supply without revealing the specific composition of reserves or counterparty identities. Privacy is preserved while solvency is demonstrated.</w:t>
      </w:r>
    </w:p>
    <w:p>
      <w:r>
        <w:t>Why This Matters:</w:t>
      </w:r>
    </w:p>
    <w:p>
      <w:r>
        <w:t>Privacy protects participants</w:t>
      </w:r>
    </w:p>
    <w:p>
      <w:r>
        <w:t>Privacy prevents market manipulation</w:t>
      </w:r>
    </w:p>
    <w:p>
      <w:r>
        <w:t>Privacy preserves commercial confidentiality</w:t>
      </w:r>
    </w:p>
    <w:p>
      <w:r>
        <w:t>Privacy is consistent with institutional neutrality</w:t>
      </w:r>
    </w:p>
    <w:p>
      <w:r>
        <w:t>Signature Schemes</w:t>
      </w:r>
    </w:p>
    <w:p>
      <w:r>
        <w:t>Current Scheme: ECDSA</w:t>
      </w:r>
    </w:p>
    <w:p>
      <w:r>
        <w:t>What This Means in Practice:</w:t>
      </w:r>
    </w:p>
    <w:p>
      <w:r>
        <w:t>ECDSA is the current signature scheme</w:t>
      </w:r>
    </w:p>
    <w:p>
      <w:r>
        <w:t>It provides 128 bits of classical security</w:t>
      </w:r>
    </w:p>
    <w:p>
      <w:r>
        <w:t>It is compatible with existing Ethereum infrastructure</w:t>
      </w:r>
    </w:p>
    <w:p>
      <w:r>
        <w:t>It is used for all participant signatures</w:t>
      </w:r>
    </w:p>
    <w:p>
      <w:r>
        <w:t>Example:</w:t>
      </w:r>
    </w:p>
    <w:p>
      <w:r>
        <w:t>A participant signs a settlement instruction using their private key. The signature is verified using their public key. The transaction is authenticated. The signature provides non-repudiation and integrity.</w:t>
      </w:r>
    </w:p>
    <w:p>
      <w:r>
        <w:t>Why This Matters:</w:t>
      </w:r>
    </w:p>
    <w:p>
      <w:r>
        <w:t>ECDSA is well-established and secure</w:t>
      </w:r>
    </w:p>
    <w:p>
      <w:r>
        <w:t>ECDSA is compatible with existing infrastructure</w:t>
      </w:r>
    </w:p>
    <w:p>
      <w:r>
        <w:t>ECDSA provides adequate current security</w:t>
      </w:r>
    </w:p>
    <w:p>
      <w:r>
        <w:t>ECDSA enables seamless integration</w:t>
      </w:r>
    </w:p>
    <w:p>
      <w:r>
        <w:t>Key Generation:</w:t>
      </w:r>
    </w:p>
    <w:p>
      <w:r>
        <w:t>text</w:t>
      </w:r>
    </w:p>
    <w:p>
      <w:r>
        <w:t>Private Key: 256-bit random number</w:t>
      </w:r>
    </w:p>
    <w:p>
      <w:r>
        <w:t>Public Key: Point on secp256k1 curve derived from private key</w:t>
      </w:r>
    </w:p>
    <w:p>
      <w:r>
        <w:t>Address: Keccak-256 hash of public key, last 20 bytes</w:t>
      </w:r>
    </w:p>
    <w:p>
      <w:r>
        <w:t>Signature Generation:</w:t>
      </w:r>
    </w:p>
    <w:p>
      <w:r>
        <w:t>text</w:t>
      </w:r>
    </w:p>
    <w:p>
      <w:pPr>
        <w:pStyle w:val="ListNumber"/>
        <w:ind w:left="425"/>
      </w:pPr>
      <w:r>
        <w:t>Hash message with SHA-256</w:t>
      </w:r>
    </w:p>
    <w:p>
      <w:pPr>
        <w:pStyle w:val="ListNumber"/>
        <w:ind w:left="425"/>
      </w:pPr>
      <w:r>
        <w:t>Generate random nonce k</w:t>
      </w:r>
    </w:p>
    <w:p>
      <w:pPr>
        <w:pStyle w:val="ListNumber"/>
        <w:ind w:left="425"/>
      </w:pPr>
      <w:r>
        <w:t>Compute R = k × G</w:t>
      </w:r>
    </w:p>
    <w:p>
      <w:pPr>
        <w:pStyle w:val="ListNumber"/>
        <w:ind w:left="425"/>
      </w:pPr>
      <w:r>
        <w:t>Compute r = R.x mod n</w:t>
      </w:r>
    </w:p>
    <w:p>
      <w:pPr>
        <w:pStyle w:val="ListNumber"/>
        <w:ind w:left="425"/>
      </w:pPr>
      <w:r>
        <w:t>Compute s = k^(-1) × (hash + r × privateKey) mod n</w:t>
      </w:r>
    </w:p>
    <w:p>
      <w:pPr>
        <w:pStyle w:val="ListNumber"/>
        <w:ind w:left="425"/>
      </w:pPr>
      <w:r>
        <w:t>Signature = (r, s) in DER format</w:t>
      </w:r>
    </w:p>
    <w:p>
      <w:r>
        <w:t>Signature Verification:</w:t>
      </w:r>
    </w:p>
    <w:p>
      <w:r>
        <w:t>text</w:t>
      </w:r>
    </w:p>
    <w:p>
      <w:pPr>
        <w:pStyle w:val="ListNumber"/>
        <w:ind w:left="425"/>
      </w:pPr>
      <w:r>
        <w:t>Parse signature to get r, s</w:t>
      </w:r>
    </w:p>
    <w:p>
      <w:pPr>
        <w:pStyle w:val="ListNumber"/>
        <w:ind w:left="425"/>
      </w:pPr>
      <w:r>
        <w:t>Validate r, s are in [1, n-1]</w:t>
      </w:r>
    </w:p>
    <w:p>
      <w:pPr>
        <w:pStyle w:val="ListNumber"/>
        <w:ind w:left="425"/>
      </w:pPr>
      <w:r>
        <w:t>Compute u1 = hash × s^(-1) mod n</w:t>
      </w:r>
    </w:p>
    <w:p>
      <w:pPr>
        <w:pStyle w:val="ListNumber"/>
        <w:ind w:left="425"/>
      </w:pPr>
      <w:r>
        <w:t>Compute u2 = r × s^(-1) mod n</w:t>
      </w:r>
    </w:p>
    <w:p>
      <w:pPr>
        <w:pStyle w:val="ListNumber"/>
        <w:ind w:left="425"/>
      </w:pPr>
      <w:r>
        <w:t>Compute point = u1 × G + u2 × publicKey</w:t>
      </w:r>
    </w:p>
    <w:p>
      <w:pPr>
        <w:pStyle w:val="ListNumber"/>
        <w:ind w:left="425"/>
      </w:pPr>
      <w:r>
        <w:t>Verify point.x == r</w:t>
      </w:r>
    </w:p>
    <w:p>
      <w:r>
        <w:t>Post-Quantum Scheme: Falcon-512</w:t>
      </w:r>
    </w:p>
    <w:p>
      <w:r>
        <w:t>What This Means in Practice:</w:t>
      </w:r>
    </w:p>
    <w:p>
      <w:r>
        <w:t>Falcon-512 is the selected post-quantum signature scheme</w:t>
      </w:r>
    </w:p>
    <w:p>
      <w:r>
        <w:t>It provides 128 bits of quantum security</w:t>
      </w:r>
    </w:p>
    <w:p>
      <w:r>
        <w:t>It is NIST-approved (FIPS 204)</w:t>
      </w:r>
    </w:p>
    <w:p>
      <w:r>
        <w:t>It is planned for migration in 2028-2029</w:t>
      </w:r>
    </w:p>
    <w:p>
      <w:r>
        <w:t>Example:</w:t>
      </w:r>
    </w:p>
    <w:p>
      <w:r>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r>
        <w:t>Why This Matters:</w:t>
      </w:r>
    </w:p>
    <w:p>
      <w:r>
        <w:t>Post-quantum preparation is essential for long-term security</w:t>
      </w:r>
    </w:p>
    <w:p>
      <w:r>
        <w:t>Falcon-512 is the NIST-approved standard</w:t>
      </w:r>
    </w:p>
    <w:p>
      <w:r>
        <w:t>Migration protects against future quantum threats</w:t>
      </w:r>
    </w:p>
    <w:p>
      <w:r>
        <w:t>Phased migration ensures smooth transition</w:t>
      </w:r>
    </w:p>
    <w:p>
      <w:r>
        <w:t>Migration Timeline:</w:t>
      </w:r>
    </w:p>
    <w:p>
      <w:r>
        <w:t>One-Time Scheme: Lamport Signatures</w:t>
      </w:r>
    </w:p>
    <w:p>
      <w:r>
        <w:t>What This Means in Practice:</w:t>
      </w:r>
    </w:p>
    <w:p>
      <w:r>
        <w:t>Lamport signatures are one-time hash-based signatures</w:t>
      </w:r>
    </w:p>
    <w:p>
      <w:r>
        <w:t>They are post-quantum secure</w:t>
      </w:r>
    </w:p>
    <w:p>
      <w:r>
        <w:t>They are used for high-value reserve wallets</w:t>
      </w:r>
    </w:p>
    <w:p>
      <w:r>
        <w:t>They provide emergency backup security</w:t>
      </w:r>
    </w:p>
    <w:p>
      <w:r>
        <w:t>Example:</w:t>
      </w:r>
    </w:p>
    <w:p>
      <w:r>
        <w:t>The Institution's reserve wallets use Lamport signatures. Each wallet can sign only once. The signature is post-quantum secure. This provides maximum security for the most critical assets.</w:t>
      </w:r>
    </w:p>
    <w:p>
      <w:r>
        <w:t>Why This Matters:</w:t>
      </w:r>
    </w:p>
    <w:p>
      <w:r>
        <w:t>Lamport signatures are post-quantum secure</w:t>
      </w:r>
    </w:p>
    <w:p>
      <w:r>
        <w:t>They are mathematically simple and verifiable</w:t>
      </w:r>
    </w:p>
    <w:p>
      <w:r>
        <w:t>They provide emergency backup security</w:t>
      </w:r>
    </w:p>
    <w:p>
      <w:r>
        <w:t>They protect the most critical assets</w:t>
      </w:r>
    </w:p>
    <w:p>
      <w:r>
        <w:t>Key Generation:</w:t>
      </w:r>
    </w:p>
    <w:p>
      <w:r>
        <w:t>text</w:t>
      </w:r>
    </w:p>
    <w:p>
      <w:r>
        <w:t>For i = 0 to 255:</w:t>
      </w:r>
    </w:p>
    <w:p>
      <w:r>
        <w:t>Generate random 256-bit value priv[i][0]</w:t>
      </w:r>
    </w:p>
    <w:p>
      <w:r>
        <w:t>Compute pub[i][0] = SHA-256(priv[i][0])</w:t>
      </w:r>
    </w:p>
    <w:p>
      <w:r>
        <w:t>Generate random 256-bit value priv[i][1]</w:t>
      </w:r>
    </w:p>
    <w:p>
      <w:r>
        <w:t>Compute pub[i][1] = SHA-256(priv[i][1])</w:t>
      </w:r>
    </w:p>
    <w:p>
      <w:r>
        <w:t>Public Key: pub[0..255][0..1] (256 pairs)</w:t>
      </w:r>
    </w:p>
    <w:p>
      <w:r>
        <w:t>Private Key: priv[0..255][0..1] (256 pairs)</w:t>
      </w:r>
    </w:p>
    <w:p>
      <w:r>
        <w:t>Signature Generation:</w:t>
      </w:r>
    </w:p>
    <w:p>
      <w:r>
        <w:t>text</w:t>
      </w:r>
    </w:p>
    <w:p>
      <w:pPr>
        <w:pStyle w:val="ListNumber"/>
        <w:ind w:left="425"/>
      </w:pPr>
      <w:r>
        <w:t>Hash message with SHA-256 → h (256 bits)</w:t>
      </w:r>
    </w:p>
    <w:p>
      <w:pPr>
        <w:pStyle w:val="ListNumber"/>
        <w:ind w:left="425"/>
      </w:pPr>
      <w:r>
        <w:t>For bit i in h:</w:t>
      </w:r>
    </w:p>
    <w:p>
      <w:r>
        <w:t>If h[i] == 0: signature[i] = priv[i][0]</w:t>
      </w:r>
    </w:p>
    <w:p>
      <w:r>
        <w:t>If h[i] == 1: signature[i] = priv[i][1]</w:t>
      </w:r>
    </w:p>
    <w:p>
      <w:pPr>
        <w:pStyle w:val="ListNumber"/>
        <w:ind w:left="425"/>
      </w:pPr>
      <w:r>
        <w:t>Signature: 256 values</w:t>
      </w:r>
    </w:p>
    <w:p>
      <w:r>
        <w:t>Signature Verification:</w:t>
      </w:r>
    </w:p>
    <w:p>
      <w:r>
        <w:t>text</w:t>
      </w:r>
    </w:p>
    <w:p>
      <w:pPr>
        <w:pStyle w:val="ListNumber"/>
        <w:ind w:left="425"/>
      </w:pPr>
      <w:r>
        <w:t>Hash message with SHA-256 → h (256 bits)</w:t>
      </w:r>
    </w:p>
    <w:p>
      <w:pPr>
        <w:pStyle w:val="ListNumber"/>
        <w:ind w:left="425"/>
      </w:pPr>
      <w:r>
        <w:t>For bit i in h:</w:t>
      </w:r>
    </w:p>
    <w:p>
      <w:r>
        <w:t>Compute SHA-256(signature[i])</w:t>
      </w:r>
    </w:p>
    <w:p>
      <w:r>
        <w:t>If h[i] == 0: verify == pub[i][0]</w:t>
      </w:r>
    </w:p>
    <w:p>
      <w:r>
        <w:t>If h[i] == 1: verify == pub[i][1]</w:t>
      </w:r>
    </w:p>
    <w:p>
      <w:pPr>
        <w:pStyle w:val="ListNumber"/>
        <w:ind w:left="425"/>
      </w:pPr>
      <w:r>
        <w:t>All verifications pass → valid signature</w:t>
      </w:r>
    </w:p>
    <w:p>
      <w:r>
        <w:t>Key Management</w:t>
      </w:r>
    </w:p>
    <w:p>
      <w:r>
        <w:t>Key Types</w:t>
      </w:r>
    </w:p>
    <w:p>
      <w:r>
        <w:t>What This Means in Practice:</w:t>
      </w:r>
    </w:p>
    <w:p>
      <w:r>
        <w:t>Different key types serve different purposes</w:t>
      </w:r>
    </w:p>
    <w:p>
      <w:r>
        <w:t>Keys are stored securely</w:t>
      </w:r>
    </w:p>
    <w:p>
      <w:r>
        <w:t>Keys are rotated regularly</w:t>
      </w:r>
    </w:p>
    <w:p>
      <w:r>
        <w:t>Keys are managed with appropriate access controls</w:t>
      </w:r>
    </w:p>
    <w:p>
      <w:r>
        <w:t>Example:</w:t>
      </w:r>
    </w:p>
    <w:p>
      <w:r>
        <w:t>The Institution uses MPC for its signing keys, requiring 3 of 5 key shares. Participant keys are managed by participants. Oracle keys are stored in HSMs. Encryption keys are managed by KMS. All keys are rotated annually.</w:t>
      </w:r>
    </w:p>
    <w:p>
      <w:r>
        <w:t>Why This Matters:</w:t>
      </w:r>
    </w:p>
    <w:p>
      <w:r>
        <w:t>Proper key management is essential for security</w:t>
      </w:r>
    </w:p>
    <w:p>
      <w:r>
        <w:t>Different keys require different security levels</w:t>
      </w:r>
    </w:p>
    <w:p>
      <w:r>
        <w:t>Regular rotation reduces risk</w:t>
      </w:r>
    </w:p>
    <w:p>
      <w:r>
        <w:t>Access controls prevent unauthorized use</w:t>
      </w:r>
    </w:p>
    <w:p>
      <w:r>
        <w:t>Multi-Party Computation (MPC)</w:t>
      </w:r>
    </w:p>
    <w:p>
      <w:r>
        <w:t>What This Means in Practice:</w:t>
      </w:r>
    </w:p>
    <w:p>
      <w:r>
        <w:t>Keys are split into multiple shares</w:t>
      </w:r>
    </w:p>
    <w:p>
      <w:r>
        <w:t>A threshold number of shares is required to sign</w:t>
      </w:r>
    </w:p>
    <w:p>
      <w:r>
        <w:t>No single party has the full key</w:t>
      </w:r>
    </w:p>
    <w:p>
      <w:r>
        <w:t>Geographic distribution provides resilience</w:t>
      </w:r>
    </w:p>
    <w:p>
      <w:r>
        <w:t>Example:</w:t>
      </w:r>
    </w:p>
    <w:p>
      <w:r>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r>
        <w:t>Why This Matters:</w:t>
      </w:r>
    </w:p>
    <w:p>
      <w:r>
        <w:t>MPC prevents single points of failure</w:t>
      </w:r>
    </w:p>
    <w:p>
      <w:r>
        <w:t>MPC prevents theft of the full key</w:t>
      </w:r>
    </w:p>
    <w:p>
      <w:r>
        <w:t>MPC enables geographic distribution</w:t>
      </w:r>
    </w:p>
    <w:p>
      <w:r>
        <w:t>MPC maintains operational continuity</w:t>
      </w:r>
    </w:p>
    <w:p>
      <w:r>
        <w:t>Key Share Distribution:</w:t>
      </w:r>
    </w:p>
    <w:p>
      <w:r>
        <w:t>Hardware Security Modules (HSM)</w:t>
      </w:r>
    </w:p>
    <w:p>
      <w:r>
        <w:t>What This Means in Practice:</w:t>
      </w:r>
    </w:p>
    <w:p>
      <w:r>
        <w:t>HSMs provide secure key storage</w:t>
      </w:r>
    </w:p>
    <w:p>
      <w:r>
        <w:t>Cryptographic operations are performed within the HSM</w:t>
      </w:r>
    </w:p>
    <w:p>
      <w:r>
        <w:t>Keys never leave the HSM</w:t>
      </w:r>
    </w:p>
    <w:p>
      <w:r>
        <w:t>Access is tightly controlled</w:t>
      </w:r>
    </w:p>
    <w:p>
      <w:r>
        <w:t>Example:</w:t>
      </w:r>
    </w:p>
    <w:p>
      <w:r>
        <w:t>The Institution's signing keys are stored in HSMs. All cryptographic operations are performed within the HSM. Keys never leave the HSM. Access requires biometric authentication, PIN, and smart card. All operations are logged.</w:t>
      </w:r>
    </w:p>
    <w:p>
      <w:r>
        <w:t>Why This Matters:</w:t>
      </w:r>
    </w:p>
    <w:p>
      <w:r>
        <w:t>HSMs provide hardware-level security</w:t>
      </w:r>
    </w:p>
    <w:p>
      <w:r>
        <w:t>Keys never leave the HSM (preventing theft)</w:t>
      </w:r>
    </w:p>
    <w:p>
      <w:r>
        <w:t>Access is tightly controlled</w:t>
      </w:r>
    </w:p>
    <w:p>
      <w:r>
        <w:t>Audit trail provides accountability</w:t>
      </w:r>
    </w:p>
    <w:p>
      <w:r>
        <w:t>Key Rotation</w:t>
      </w:r>
    </w:p>
    <w:p>
      <w:r>
        <w:t>What This Means in Practice:</w:t>
      </w:r>
    </w:p>
    <w:p>
      <w:r>
        <w:t>Keys are rotated regularly</w:t>
      </w:r>
    </w:p>
    <w:p>
      <w:r>
        <w:t>Rotation follows defined procedures</w:t>
      </w:r>
    </w:p>
    <w:p>
      <w:r>
        <w:t>Old keys are securely destroyed</w:t>
      </w:r>
    </w:p>
    <w:p>
      <w:r>
        <w:t>New keys are securely distributed</w:t>
      </w:r>
    </w:p>
    <w:p>
      <w:r>
        <w:t>Example:</w:t>
      </w:r>
    </w:p>
    <w:p>
      <w:r>
        <w:t>The Institution rotates its signing keys annually. New keys are generated in the HSM. Old keys are securely destroyed. The new keys are distributed to authorized parties. The rotation is documented and audited.</w:t>
      </w:r>
    </w:p>
    <w:p>
      <w:r>
        <w:t>Why This Matters:</w:t>
      </w:r>
    </w:p>
    <w:p>
      <w:r>
        <w:t>Regular rotation reduces risk of compromise</w:t>
      </w:r>
    </w:p>
    <w:p>
      <w:r>
        <w:t>Defined procedures ensure consistency</w:t>
      </w:r>
    </w:p>
    <w:p>
      <w:r>
        <w:t>Secure destruction prevents unauthorized use</w:t>
      </w:r>
    </w:p>
    <w:p>
      <w:r>
        <w:t>Documentation supports auditability</w:t>
      </w:r>
    </w:p>
    <w:p>
      <w:r>
        <w:t>Encryption</w:t>
      </w:r>
    </w:p>
    <w:p>
      <w:r>
        <w:t>Data at Rest Encryption</w:t>
      </w:r>
    </w:p>
    <w:p>
      <w:r>
        <w:t>What This Means in Practice:</w:t>
      </w:r>
    </w:p>
    <w:p>
      <w:r>
        <w:t>All stored data is encrypted</w:t>
      </w:r>
    </w:p>
    <w:p>
      <w:r>
        <w:t>AES-256-GCM provides authenticated encryption</w:t>
      </w:r>
    </w:p>
    <w:p>
      <w:r>
        <w:t>Keys are managed by KMS with HSM backing</w:t>
      </w:r>
    </w:p>
    <w:p>
      <w:r>
        <w:t>Data is protected from unauthorized access</w:t>
      </w:r>
    </w:p>
    <w:p>
      <w:r>
        <w:t>Example:</w:t>
      </w:r>
    </w:p>
    <w:p>
      <w:r>
        <w:t>All participant data, transaction records, and reserve information are encrypted at rest using AES-256-GCM. Keys are managed by KMS with HSM backing. Data is protected from unauthorized access.</w:t>
      </w:r>
    </w:p>
    <w:p>
      <w:r>
        <w:t>Why This Matters:</w:t>
      </w:r>
    </w:p>
    <w:p>
      <w:r>
        <w:t>Encryption protects data from unauthorized access</w:t>
      </w:r>
    </w:p>
    <w:p>
      <w:r>
        <w:t>AES-256 is industry standard</w:t>
      </w:r>
    </w:p>
    <w:p>
      <w:r>
        <w:t>GCM provides authenticated encryption</w:t>
      </w:r>
    </w:p>
    <w:p>
      <w:r>
        <w:t>KMS provides secure key management</w:t>
      </w:r>
    </w:p>
    <w:p>
      <w:r>
        <w:t>Data in Transit Encryption</w:t>
      </w:r>
    </w:p>
    <w:p>
      <w:r>
        <w:t>What This Means in Practice:</w:t>
      </w:r>
    </w:p>
    <w:p>
      <w:r>
        <w:t>All data in transit is encrypted</w:t>
      </w:r>
    </w:p>
    <w:p>
      <w:r>
        <w:t>TLS 1.3 provides secure communication</w:t>
      </w:r>
    </w:p>
    <w:p>
      <w:r>
        <w:t>Strong cipher suites are used</w:t>
      </w:r>
    </w:p>
    <w:p>
      <w:r>
        <w:t>Certificates provide authentication</w:t>
      </w:r>
    </w:p>
    <w:p>
      <w:r>
        <w:t>Example:</w:t>
      </w:r>
    </w:p>
    <w:p>
      <w:r>
        <w:t>All API calls, data feeds, and inter-service communication are encrypted with TLS 1.3. The connection uses AEAD_AES_256_GCM_SHA384. Key exchange is X25519. Certificates are issued and managed.</w:t>
      </w:r>
    </w:p>
    <w:p>
      <w:r>
        <w:t>Why This Matters:</w:t>
      </w:r>
    </w:p>
    <w:p>
      <w:r>
        <w:t>Encryption protects data from interception</w:t>
      </w:r>
    </w:p>
    <w:p>
      <w:r>
        <w:t>TLS 1.3 is the current industry standard</w:t>
      </w:r>
    </w:p>
    <w:p>
      <w:r>
        <w:t>Strong cipher suites provide security</w:t>
      </w:r>
    </w:p>
    <w:p>
      <w:r>
        <w:t>Certificates provide authentication</w:t>
      </w:r>
    </w:p>
    <w:p>
      <w:r>
        <w:t>Database Encryption</w:t>
      </w:r>
    </w:p>
    <w:p>
      <w:r>
        <w:t>What This Means in Practice:</w:t>
      </w:r>
    </w:p>
    <w:p>
      <w:r>
        <w:t>Databases are encrypted at rest</w:t>
      </w:r>
    </w:p>
    <w:p>
      <w:r>
        <w:t>Transparent Data Encryption protects all data</w:t>
      </w:r>
    </w:p>
    <w:p>
      <w:r>
        <w:t>Keys are managed by KMS with HSM backing</w:t>
      </w:r>
    </w:p>
    <w:p>
      <w:r>
        <w:t>Encryption is transparent to applications</w:t>
      </w:r>
    </w:p>
    <w:p>
      <w:r>
        <w:t>Example:</w:t>
      </w:r>
    </w:p>
    <w:p>
      <w:r>
        <w:t>All databases are encrypted with TDE. All data is encrypted at rest. The encryption is transparent to applications. Keys are managed by KMS with HSM backing.</w:t>
      </w:r>
    </w:p>
    <w:p>
      <w:r>
        <w:t>Why This Matters:</w:t>
      </w:r>
    </w:p>
    <w:p>
      <w:r>
        <w:t>Database encryption protects all stored data</w:t>
      </w:r>
    </w:p>
    <w:p>
      <w:r>
        <w:t>TDE provides transparent protection</w:t>
      </w:r>
    </w:p>
    <w:p>
      <w:r>
        <w:t>KMS provides secure key management</w:t>
      </w:r>
    </w:p>
    <w:p>
      <w:r>
        <w:t>Encryption is always on</w:t>
      </w:r>
    </w:p>
    <w:p>
      <w:r>
        <w:t>Zero-Knowledge Proofs</w:t>
      </w:r>
    </w:p>
    <w:p>
      <w:r>
        <w:t>Proof of Reserves</w:t>
      </w:r>
    </w:p>
    <w:p>
      <w:r>
        <w:t>What This Means in Practice:</w:t>
      </w:r>
    </w:p>
    <w:p>
      <w:r>
        <w:t>The Institution publishes a ZK-SNARK proof daily</w:t>
      </w:r>
    </w:p>
    <w:p>
      <w:r>
        <w:t>The proof demonstrates that reserves exceed supply</w:t>
      </w:r>
    </w:p>
    <w:p>
      <w:r>
        <w:t>The proof does not reveal the composition of reserves</w:t>
      </w:r>
    </w:p>
    <w:p>
      <w:r>
        <w:t>The proof is publicly verifiable</w:t>
      </w:r>
    </w:p>
    <w:p>
      <w:r>
        <w:t>Example:</w:t>
      </w:r>
    </w:p>
    <w:p>
      <w:r>
        <w:t>The Institution publishes a daily ZK-SNARK proof. The proof demonstrates that reserve value exceeds supply value. The proof reveals no details about the specific assets held, counterparties, or composition. Anyone can verify the proof independently.</w:t>
      </w:r>
    </w:p>
    <w:p>
      <w:r>
        <w:t>Why This Matters:</w:t>
      </w:r>
    </w:p>
    <w:p>
      <w:r>
        <w:t>Zero-knowledge proofs preserve privacy</w:t>
      </w:r>
    </w:p>
    <w:p>
      <w:r>
        <w:t>Zero-knowledge proofs provide mathematical certainty</w:t>
      </w:r>
    </w:p>
    <w:p>
      <w:r>
        <w:t>Zero-knowledge proofs are publicly verifiable</w:t>
      </w:r>
    </w:p>
    <w:p>
      <w:r>
        <w:t>Zero-knowledge proofs build trust without compromising confidentiality</w:t>
      </w:r>
    </w:p>
    <w:p>
      <w:r>
        <w:t>Circuit Design:</w:t>
      </w:r>
    </w:p>
    <w:p>
      <w:r>
        <w:t>text</w:t>
      </w:r>
    </w:p>
    <w:p>
      <w:r>
        <w:t>Public Inputs:</w:t>
      </w:r>
    </w:p>
    <w:p>
      <w:pPr>
        <w:pStyle w:val="ListBullet"/>
        <w:ind w:left="425"/>
      </w:pPr>
      <w:r>
        <w:t>total_supply: Supply of MTQ</w:t>
      </w:r>
    </w:p>
    <w:p>
      <w:pPr>
        <w:pStyle w:val="ListBullet"/>
        <w:ind w:left="425"/>
      </w:pPr>
      <w:r>
        <w:t>nav: Current NAV</w:t>
      </w:r>
    </w:p>
    <w:p>
      <w:pPr>
        <w:pStyle w:val="ListBullet"/>
        <w:ind w:left="425"/>
      </w:pPr>
      <w:r>
        <w:t>required_reserve: total_supply × nav</w:t>
      </w:r>
    </w:p>
    <w:p>
      <w:r>
        <w:t>Private Inputs:</w:t>
      </w:r>
    </w:p>
    <w:p>
      <w:pPr>
        <w:pStyle w:val="ListBullet"/>
        <w:ind w:left="425"/>
      </w:pPr>
      <w:r>
        <w:t>stablecoin_balances[7]: Balances of stablecoins</w:t>
      </w:r>
    </w:p>
    <w:p>
      <w:pPr>
        <w:pStyle w:val="ListBullet"/>
        <w:ind w:left="425"/>
      </w:pPr>
      <w:r>
        <w:t>stablecoin_prices[7]: Prices of stablecoins</w:t>
      </w:r>
    </w:p>
    <w:p>
      <w:pPr>
        <w:pStyle w:val="ListBullet"/>
        <w:ind w:left="425"/>
      </w:pPr>
      <w:r>
        <w:t>gold_grams: Gold holdings in grams</w:t>
      </w:r>
    </w:p>
    <w:p>
      <w:pPr>
        <w:pStyle w:val="ListBullet"/>
        <w:ind w:left="425"/>
      </w:pPr>
      <w:r>
        <w:t>gold_price: Gold price per gram</w:t>
      </w:r>
    </w:p>
    <w:p>
      <w:r>
        <w:t>Witness:</w:t>
      </w:r>
    </w:p>
    <w:p>
      <w:pPr>
        <w:pStyle w:val="ListBullet"/>
        <w:ind w:left="425"/>
      </w:pPr>
      <w:r>
        <w:t>stablecoin_value = sum(stablecoin_balances[i] × stablecoin_prices[i])</w:t>
      </w:r>
    </w:p>
    <w:p>
      <w:pPr>
        <w:pStyle w:val="ListBullet"/>
        <w:ind w:left="425"/>
      </w:pPr>
      <w:r>
        <w:t>gold_value = gold_grams × gold_price</w:t>
      </w:r>
    </w:p>
    <w:p>
      <w:pPr>
        <w:pStyle w:val="ListBullet"/>
        <w:ind w:left="425"/>
      </w:pPr>
      <w:r>
        <w:t>total_reserve = stablecoin_value + gold_value</w:t>
      </w:r>
    </w:p>
    <w:p>
      <w:r>
        <w:t>Constraint:</w:t>
      </w:r>
    </w:p>
    <w:p>
      <w:pPr>
        <w:pStyle w:val="ListBullet"/>
        <w:ind w:left="425"/>
      </w:pPr>
      <w:r>
        <w:t>total_reserve ≥ required_reserve</w:t>
      </w:r>
    </w:p>
    <w:p>
      <w:r>
        <w:t>Travel Rule Compliance</w:t>
      </w:r>
    </w:p>
    <w:p>
      <w:r>
        <w:t>What This Means in Practice:</w:t>
      </w:r>
    </w:p>
    <w:p>
      <w:r>
        <w:t>Regulated institutions submit ZK-proofs of Travel Rule compliance</w:t>
      </w:r>
    </w:p>
    <w:p>
      <w:r>
        <w:t>The proof verifies that required data has been collected</w:t>
      </w:r>
    </w:p>
    <w:p>
      <w:r>
        <w:t>The proof does not reveal the underlying data</w:t>
      </w:r>
    </w:p>
    <w:p>
      <w:r>
        <w:t>The Institution verifies the proof without seeing the data</w:t>
      </w:r>
    </w:p>
    <w:p>
      <w:r>
        <w:t>Example:</w:t>
      </w:r>
    </w:p>
    <w:p>
      <w:r>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r>
        <w:t>Why This Matters:</w:t>
      </w:r>
    </w:p>
    <w:p>
      <w:r>
        <w:t>Privacy is preserved</w:t>
      </w:r>
    </w:p>
    <w:p>
      <w:r>
        <w:t>Regulatory compliance is demonstrated</w:t>
      </w:r>
    </w:p>
    <w:p>
      <w:r>
        <w:t>Sensitive data is protected</w:t>
      </w:r>
    </w:p>
    <w:p>
      <w:r>
        <w:t>The Institution never sees the underlying data</w:t>
      </w:r>
    </w:p>
    <w:p>
      <w:r>
        <w:t>Circuit Design:</w:t>
      </w:r>
    </w:p>
    <w:p>
      <w:r>
        <w:t>text</w:t>
      </w:r>
    </w:p>
    <w:p>
      <w:r>
        <w:t>Public Inputs:</w:t>
      </w:r>
    </w:p>
    <w:p>
      <w:pPr>
        <w:pStyle w:val="ListBullet"/>
        <w:ind w:left="425"/>
      </w:pPr>
      <w:r>
        <w:t>transaction_hash: Hash of the transaction</w:t>
      </w:r>
    </w:p>
    <w:p>
      <w:pPr>
        <w:pStyle w:val="ListBullet"/>
        <w:ind w:left="425"/>
      </w:pPr>
      <w:r>
        <w:t>compliance_standard: FATF Travel Rule</w:t>
      </w:r>
    </w:p>
    <w:p>
      <w:r>
        <w:t>Private Inputs:</w:t>
      </w:r>
    </w:p>
    <w:p>
      <w:pPr>
        <w:pStyle w:val="ListBullet"/>
        <w:ind w:left="425"/>
      </w:pPr>
      <w:r>
        <w:t>sender_identity: Hashed sender identity</w:t>
      </w:r>
    </w:p>
    <w:p>
      <w:pPr>
        <w:pStyle w:val="ListBullet"/>
        <w:ind w:left="425"/>
      </w:pPr>
      <w:r>
        <w:t>beneficiary_identity: Hashed beneficiary identity</w:t>
      </w:r>
    </w:p>
    <w:p>
      <w:pPr>
        <w:pStyle w:val="ListBullet"/>
        <w:ind w:left="425"/>
      </w:pPr>
      <w:r>
        <w:t>transaction_amount: Transaction amount</w:t>
      </w:r>
    </w:p>
    <w:p>
      <w:pPr>
        <w:pStyle w:val="ListBullet"/>
        <w:ind w:left="425"/>
      </w:pPr>
      <w:r>
        <w:t>compliance_proof: Proof of KYC/KYB</w:t>
      </w:r>
    </w:p>
    <w:p>
      <w:r>
        <w:t>Witness:</w:t>
      </w:r>
    </w:p>
    <w:p>
      <w:pPr>
        <w:pStyle w:val="ListBullet"/>
        <w:ind w:left="425"/>
      </w:pPr>
      <w:r>
        <w:t>sender_verified = verify_identity(sender_identity)</w:t>
      </w:r>
    </w:p>
    <w:p>
      <w:pPr>
        <w:pStyle w:val="ListBullet"/>
        <w:ind w:left="425"/>
      </w:pPr>
      <w:r>
        <w:t>beneficiary_verified = verify_identity(beneficiary_identity)</w:t>
      </w:r>
    </w:p>
    <w:p>
      <w:pPr>
        <w:pStyle w:val="ListBullet"/>
        <w:ind w:left="425"/>
      </w:pPr>
      <w:r>
        <w:t>amount_verified = verify_amount(transaction_amount)</w:t>
      </w:r>
    </w:p>
    <w:p>
      <w:pPr>
        <w:pStyle w:val="ListBullet"/>
        <w:ind w:left="425"/>
      </w:pPr>
      <w:r>
        <w:t>compliance_verified = verify_compliance(compliance_proof)</w:t>
      </w:r>
    </w:p>
    <w:p>
      <w:r>
        <w:t>Constraint:</w:t>
      </w:r>
    </w:p>
    <w:p>
      <w:pPr>
        <w:pStyle w:val="ListBullet"/>
        <w:ind w:left="425"/>
      </w:pPr>
      <w:r>
        <w:t>sender_verified AND beneficiary_verified AND amount_verified AND compliance_verified</w:t>
      </w:r>
    </w:p>
    <w:p>
      <w:r>
        <w:t>Random Number Generation</w:t>
      </w:r>
    </w:p>
    <w:p>
      <w:r>
        <w:t>RNG Standards</w:t>
      </w:r>
    </w:p>
    <w:p>
      <w:r>
        <w:t>What This Means in Practice:</w:t>
      </w:r>
    </w:p>
    <w:p>
      <w:r>
        <w:t>Random numbers are generated to NIST standards</w:t>
      </w:r>
    </w:p>
    <w:p>
      <w:r>
        <w:t>Multiple entropy sources ensure randomness</w:t>
      </w:r>
    </w:p>
    <w:p>
      <w:r>
        <w:t>Continuous testing ensures quality</w:t>
      </w:r>
    </w:p>
    <w:p>
      <w:r>
        <w:t>Generated numbers are unpredictable</w:t>
      </w:r>
    </w:p>
    <w:p>
      <w:r>
        <w:t>Example:</w:t>
      </w:r>
    </w:p>
    <w:p>
      <w:r>
        <w:t>The Institution generates cryptographic keys using NIST SP 800-90A compliant DRBG. Entropy is collected from multiple sources: hardware RNG, OS entropy, and environmental data. Continuous testing ensures the quality of random numbers.</w:t>
      </w:r>
    </w:p>
    <w:p>
      <w:r>
        <w:t>Why This Matters:</w:t>
      </w:r>
    </w:p>
    <w:p>
      <w:r>
        <w:t>High-quality randomness is essential for security</w:t>
      </w:r>
    </w:p>
    <w:p>
      <w:r>
        <w:t>Poor randomness creates vulnerabilities</w:t>
      </w:r>
    </w:p>
    <w:p>
      <w:r>
        <w:t>NIST standards provide assurance</w:t>
      </w:r>
    </w:p>
    <w:p>
      <w:r>
        <w:t>Multiple entropy sources prevent predictability</w:t>
      </w:r>
    </w:p>
    <w:p>
      <w:r>
        <w:t>On-Chain Randomness</w:t>
      </w:r>
    </w:p>
    <w:p>
      <w:r>
        <w:t>What This Means in Practice:</w:t>
      </w:r>
    </w:p>
    <w:p>
      <w:r>
        <w:t>On-chain randomness is used where appropriate</w:t>
      </w:r>
    </w:p>
    <w:p>
      <w:r>
        <w:t>Commit-reveal schemes prevent manipulation</w:t>
      </w:r>
    </w:p>
    <w:p>
      <w:r>
        <w:t>Security-critical operations use off-chain randomness</w:t>
      </w:r>
    </w:p>
    <w:p>
      <w:r>
        <w:t>On-chain randomness is limited in unpredictability</w:t>
      </w:r>
    </w:p>
    <w:p>
      <w:r>
        <w:t>Example:</w:t>
      </w:r>
    </w:p>
    <w:p>
      <w:r>
        <w:t>Governance votes use a commit-reveal scheme to prevent manipulation. Fee calculations are deterministic based on on-chain data. Scheduling uses timestamp-based logic. Security-critical randomness is generated off-chain.</w:t>
      </w:r>
    </w:p>
    <w:p>
      <w:r>
        <w:t>Why This Matters:</w:t>
      </w:r>
    </w:p>
    <w:p>
      <w:r>
        <w:t>On-chain randomness has limitations</w:t>
      </w:r>
    </w:p>
    <w:p>
      <w:r>
        <w:t>Commit-reveal schemes provide fairness</w:t>
      </w:r>
    </w:p>
    <w:p>
      <w:r>
        <w:t>Security-critical operations require stronger randomness</w:t>
      </w:r>
    </w:p>
    <w:p>
      <w:r>
        <w:t>Appropriate randomness is used for each use case</w:t>
      </w:r>
    </w:p>
    <w:p>
      <w:r>
        <w:t>Cryptographic Audit</w:t>
      </w:r>
    </w:p>
    <w:p>
      <w:r>
        <w:t>Audit Scope</w:t>
      </w:r>
    </w:p>
    <w:p>
      <w:r>
        <w:t>What This Means in Practice:</w:t>
      </w:r>
    </w:p>
    <w:p>
      <w:r>
        <w:t>Cryptographic systems are audited regularly</w:t>
      </w:r>
    </w:p>
    <w:p>
      <w:r>
        <w:t>Implementation is verified</w:t>
      </w:r>
    </w:p>
    <w:p>
      <w:r>
        <w:t>Key management is reviewed</w:t>
      </w:r>
    </w:p>
    <w:p>
      <w:r>
        <w:t>RNG is tested</w:t>
      </w:r>
    </w:p>
    <w:p>
      <w:r>
        <w:t>ZK-proofs are verified</w:t>
      </w:r>
    </w:p>
    <w:p>
      <w:r>
        <w:t>Example:</w:t>
      </w:r>
    </w:p>
    <w:p>
      <w:r>
        <w:t>The Institution engages a security firm to audit cryptographic systems quarterly. Implementation of signature schemes is verified. Key management practices are reviewed. RNG is tested. Zero-knowledge proofs are verified. Findings are addressed.</w:t>
      </w:r>
    </w:p>
    <w:p>
      <w:r>
        <w:t>Why This Matters:</w:t>
      </w:r>
    </w:p>
    <w:p>
      <w:r>
        <w:t>Regular audits ensure security</w:t>
      </w:r>
    </w:p>
    <w:p>
      <w:r>
        <w:t>Implementation verification prevents errors</w:t>
      </w:r>
    </w:p>
    <w:p>
      <w:r>
        <w:t>Key management review identifies issues</w:t>
      </w:r>
    </w:p>
    <w:p>
      <w:r>
        <w:t>Testing ensures reliability</w:t>
      </w:r>
    </w:p>
    <w:p>
      <w:r>
        <w:t>Audit Standards</w:t>
      </w:r>
    </w:p>
    <w:p>
      <w:r>
        <w:t>What This Means in Practice:</w:t>
      </w:r>
    </w:p>
    <w:p>
      <w:r>
        <w:t>Audits follow recognized standards</w:t>
      </w:r>
    </w:p>
    <w:p>
      <w:r>
        <w:t>NIST standards are used for key management</w:t>
      </w:r>
    </w:p>
    <w:p>
      <w:r>
        <w:t>FIPS standards are used for modules</w:t>
      </w:r>
    </w:p>
    <w:p>
      <w:r>
        <w:t>ISO standards are used for quality</w:t>
      </w:r>
    </w:p>
    <w:p>
      <w:r>
        <w:t>Example:</w:t>
      </w:r>
    </w:p>
    <w:p>
      <w:r>
        <w:t>Cryptographic audits follow NIST SP 800-57 for key management, NIST SP 800-90A for RNG, and FIPS 140-3 for cryptographic modules. Audits verify compliance with these standards.</w:t>
      </w:r>
    </w:p>
    <w:p>
      <w:r>
        <w:t>Why This Matters:</w:t>
      </w:r>
    </w:p>
    <w:p>
      <w:r>
        <w:t>Standards provide a recognized framework</w:t>
      </w:r>
    </w:p>
    <w:p>
      <w:r>
        <w:t>Standards ensure consistency</w:t>
      </w:r>
    </w:p>
    <w:p>
      <w:r>
        <w:t>Standards enable comparison</w:t>
      </w:r>
    </w:p>
    <w:p>
      <w:r>
        <w:t>Standards build trust</w:t>
      </w:r>
    </w:p>
    <w:p>
      <w:r>
        <w:t>Post-Quantum Migration</w:t>
      </w:r>
    </w:p>
    <w:p>
      <w:r>
        <w:t>Migration Strategy</w:t>
      </w:r>
    </w:p>
    <w:p>
      <w:r>
        <w:t>What This Means in Practice:</w:t>
      </w:r>
    </w:p>
    <w:p>
      <w:r>
        <w:t>Post-quantum migration is a phased process</w:t>
      </w:r>
    </w:p>
    <w:p>
      <w:r>
        <w:t>NIST PQC standards are monitored</w:t>
      </w:r>
    </w:p>
    <w:p>
      <w:r>
        <w:t>Falcon-512 is the selected scheme</w:t>
      </w:r>
    </w:p>
    <w:p>
      <w:r>
        <w:t>Dual support enables smooth transition</w:t>
      </w:r>
    </w:p>
    <w:p>
      <w:r>
        <w:t>Required migration ensures security</w:t>
      </w:r>
    </w:p>
    <w:p>
      <w:r>
        <w:t>Example:</w:t>
      </w:r>
    </w:p>
    <w:p>
      <w:r>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r>
        <w:t>Why This Matters:</w:t>
      </w:r>
    </w:p>
    <w:p>
      <w:r>
        <w:t>Phased migration ensures smooth transition</w:t>
      </w:r>
    </w:p>
    <w:p>
      <w:r>
        <w:t>Dual support enables gradual migration</w:t>
      </w:r>
    </w:p>
    <w:p>
      <w:r>
        <w:t>Required migration ensures security</w:t>
      </w:r>
    </w:p>
    <w:p>
      <w:r>
        <w:t>Planning prevents disruption</w:t>
      </w:r>
    </w:p>
    <w:p>
      <w:r>
        <w:t>Dual Signature Support</w:t>
      </w:r>
    </w:p>
    <w:p>
      <w:r>
        <w:t>During the transition period, both ECDSA and Falcon-512 signatures will be accepted:</w:t>
      </w:r>
    </w:p>
    <w:p>
      <w:r>
        <w:t>What This Means in Practice:</w:t>
      </w:r>
    </w:p>
    <w:p>
      <w:r>
        <w:t>During transition, both signature schemes are supported</w:t>
      </w:r>
    </w:p>
    <w:p>
      <w:r>
        <w:t>Participants can migrate at their own pace</w:t>
      </w:r>
    </w:p>
    <w:p>
      <w:r>
        <w:t>ECDSA will eventually be deprecated</w:t>
      </w:r>
    </w:p>
    <w:p>
      <w:r>
        <w:t>Falcon-512 will become required</w:t>
      </w:r>
    </w:p>
    <w:p>
      <w:r>
        <w:t>Example:</w:t>
      </w:r>
    </w:p>
    <w:p>
      <w:r>
        <w:t>In 2028, participants can sign transactions with either ECDSA or Falcon-512. In 2029, Falcon-512 becomes preferred. By 2030, ECDSA is deprecated and Falcon-512 is required. The transition is phased.</w:t>
      </w:r>
    </w:p>
    <w:p>
      <w:r>
        <w:t>Why This Matters:</w:t>
      </w:r>
    </w:p>
    <w:p>
      <w:r>
        <w:t>Dual support enables smooth migration</w:t>
      </w:r>
    </w:p>
    <w:p>
      <w:r>
        <w:t>Phased transition prevents disruption</w:t>
      </w:r>
    </w:p>
    <w:p>
      <w:r>
        <w:t>Clear timeline enables planning</w:t>
      </w:r>
    </w:p>
    <w:p>
      <w:r>
        <w:t>Required migration ensures security</w:t>
      </w:r>
    </w:p>
    <w:p>
      <w:r>
        <w:t>Hybrid Cryptography</w:t>
      </w:r>
    </w:p>
    <w:p>
      <w:r>
        <w:t>During the migration period, hybrid cryptography will be used:</w:t>
      </w:r>
    </w:p>
    <w:p>
      <w:r>
        <w:t>What This Means in Practice:</w:t>
      </w:r>
    </w:p>
    <w:p>
      <w:r>
        <w:t>Both classical and post-quantum cryptography are used together</w:t>
      </w:r>
    </w:p>
    <w:p>
      <w:r>
        <w:t>Classical cryptography provides current security</w:t>
      </w:r>
    </w:p>
    <w:p>
      <w:r>
        <w:t>Post-quantum cryptography provides future security</w:t>
      </w:r>
    </w:p>
    <w:p>
      <w:r>
        <w:t>Hybrid approach provides defense in depth</w:t>
      </w:r>
    </w:p>
    <w:p>
      <w:r>
        <w:t>Example:</w:t>
      </w:r>
    </w:p>
    <w:p>
      <w:r>
        <w:t>The Institution uses ECDSA for current compatibility and Falcon-512 for post-quantum readiness during the migration period. Both signatures are verified. This provides defense in depth against both classical and quantum threats.</w:t>
      </w:r>
    </w:p>
    <w:p>
      <w:r>
        <w:t>Why This Matters:</w:t>
      </w:r>
    </w:p>
    <w:p>
      <w:r>
        <w:t>Hybrid approach provides defense in depth</w:t>
      </w:r>
    </w:p>
    <w:p>
      <w:r>
        <w:t>Classical cryptography is still needed</w:t>
      </w:r>
    </w:p>
    <w:p>
      <w:r>
        <w:t>Post-quantum cryptography is being deployed</w:t>
      </w:r>
    </w:p>
    <w:p>
      <w:r>
        <w:t>The transition is secure</w:t>
      </w:r>
    </w:p>
    <w:p>
      <w:r>
        <w:t>Summary Table</w:t>
      </w:r>
    </w:p>
    <w:p>
      <w:r>
        <w:t>Constitutional Interpretation</w:t>
      </w:r>
    </w:p>
    <w:p>
      <w:r>
        <w:t>The Cryptography article establishes the cryptographic foundation for the Institution:</w:t>
      </w:r>
    </w:p>
    <w:p>
      <w:r>
        <w:t>ECDSA provides current signature security with 128 bits of classical security</w:t>
      </w:r>
    </w:p>
    <w:p>
      <w:r>
        <w:t>Falcon-512 is the selected post-quantum signature scheme (NIST FIPS 204)</w:t>
      </w:r>
    </w:p>
    <w:p>
      <w:r>
        <w:t>Lamport signatures provide emergency backup for high-value wallets</w:t>
      </w:r>
    </w:p>
    <w:p>
      <w:r>
        <w:t>Multi-party computation (MPC) provides distributed key management</w:t>
      </w:r>
    </w:p>
    <w:p>
      <w:r>
        <w:t>Hardware Security Modules (HSMs) provide secure key storage</w:t>
      </w:r>
    </w:p>
    <w:p>
      <w:r>
        <w:t>AES-256-GCM provides data at rest and in transit encryption</w:t>
      </w:r>
    </w:p>
    <w:p>
      <w:r>
        <w:t>ZK-SNARKs provide privacy-preserving proof of reserves</w:t>
      </w:r>
    </w:p>
    <w:p>
      <w:r>
        <w:t>Post-quantum migration is planned with a phased approach</w:t>
      </w:r>
    </w:p>
    <w:p>
      <w:r>
        <w:t>Cryptography is the foundation of digital trust. It provides authenticity, integrity, confidentiality, and non-repudiation. The Institution uses current best practices and plans for future threats.</w:t>
      </w:r>
    </w:p>
    <w:p>
      <w:r>
        <w:t>[END OF PART 4, ARTICLE II — CRYPTOGRAPHY]</w:t>
      </w:r>
    </w:p>
    <w:p>
      <w:r>
        <w:t>Article III: Oracle Architecture</w:t>
      </w:r>
    </w:p>
    <w:p>
      <w:r>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r>
        <w:t>What This Means in Practice:</w:t>
      </w:r>
    </w:p>
    <w:p>
      <w:r>
        <w:t>The Institution consumes data from multiple independent oracle providers</w:t>
      </w:r>
    </w:p>
    <w:p>
      <w:r>
        <w:t>Data is aggregated using medianization and outlier exclusion</w:t>
      </w:r>
    </w:p>
    <w:p>
      <w:r>
        <w:t>The system is resilient to individual oracle failures</w:t>
      </w:r>
    </w:p>
    <w:p>
      <w:r>
        <w:t>Fallback mechanisms ensure data availability even during disruptions</w:t>
      </w:r>
    </w:p>
    <w:p>
      <w:r>
        <w:t>The entire system is transparent and auditable</w:t>
      </w:r>
    </w:p>
    <w:p>
      <w:r>
        <w:t>Example:</w:t>
      </w:r>
    </w:p>
    <w:p>
      <w:r>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r>
        <w:t>Why This Matters:</w:t>
      </w:r>
    </w:p>
    <w:p>
      <w:r>
        <w:t>Without reliable oracles, the Institution cannot calculate NAV</w:t>
      </w:r>
    </w:p>
    <w:p>
      <w:r>
        <w:t>Without reliable oracles, the Monetary Engine cannot function</w:t>
      </w:r>
    </w:p>
    <w:p>
      <w:r>
        <w:t>Without reliable oracles, redemption certainty is compromised</w:t>
      </w:r>
    </w:p>
    <w:p>
      <w:r>
        <w:t>Without reliable oracles, the Institution is vulnerable to manipulation</w:t>
      </w:r>
    </w:p>
    <w:p>
      <w:r>
        <w:t>Oracle architecture is the foundation of data integrity</w:t>
      </w:r>
    </w:p>
    <w:p>
      <w:r>
        <w:t>Core Principles of Oracle Design</w:t>
      </w:r>
    </w:p>
    <w:p>
      <w:pPr>
        <w:pStyle w:val="ListNumber"/>
        <w:ind w:left="425"/>
      </w:pPr>
      <w:r>
        <w:t>Constitutional Alignment</w:t>
      </w:r>
    </w:p>
    <w:p>
      <w:r>
        <w:t>Oracle data supports constitutional functions.</w:t>
      </w:r>
    </w:p>
    <w:p>
      <w:r>
        <w:t>What This Means in Practice:</w:t>
      </w:r>
    </w:p>
    <w:p>
      <w:r>
        <w:t>NAV calculation depends on reliable data</w:t>
      </w:r>
    </w:p>
    <w:p>
      <w:r>
        <w:t>Reserve verification depends on accurate data</w:t>
      </w:r>
    </w:p>
    <w:p>
      <w:r>
        <w:t>Monetary Engine operation depends on timely data</w:t>
      </w:r>
    </w:p>
    <w:p>
      <w:r>
        <w:t>Data integrity is essential to constitutional functions</w:t>
      </w:r>
    </w:p>
    <w:p>
      <w:r>
        <w:t>Example:</w:t>
      </w:r>
    </w:p>
    <w:p>
      <w:r>
        <w:t>The oracle system provides the data needed for NAV calculation, reserve verification, and Monetary Engine operation. If oracle data is unreliable, these constitutional functions are compromised. The oracle system is designed to ensure data reliability.</w:t>
      </w:r>
    </w:p>
    <w:p>
      <w:r>
        <w:t>Why This Matters:</w:t>
      </w:r>
    </w:p>
    <w:p>
      <w:r>
        <w:t>Constitutional functions depend on data</w:t>
      </w:r>
    </w:p>
    <w:p>
      <w:r>
        <w:t>Data integrity is essential to constitutional integrity</w:t>
      </w:r>
    </w:p>
    <w:p>
      <w:r>
        <w:t>Oracle reliability is not optional</w:t>
      </w:r>
    </w:p>
    <w:p>
      <w:r>
        <w:t>The Institution cannot function without reliable data</w:t>
      </w:r>
    </w:p>
    <w:p>
      <w:pPr>
        <w:pStyle w:val="ListNumber"/>
        <w:ind w:left="425"/>
      </w:pPr>
      <w:r>
        <w:t>Resilience</w:t>
      </w:r>
    </w:p>
    <w:p>
      <w:r>
        <w:t>The oracle system survives and recovers from disruptions.</w:t>
      </w:r>
    </w:p>
    <w:p>
      <w:r>
        <w:t>What This Means in Practice:</w:t>
      </w:r>
    </w:p>
    <w:p>
      <w:r>
        <w:t>Multiple independent oracle providers are used</w:t>
      </w:r>
    </w:p>
    <w:p>
      <w:r>
        <w:t>Redundancy is built into the system</w:t>
      </w:r>
    </w:p>
    <w:p>
      <w:r>
        <w:t>Fallback mechanisms ensure continuity</w:t>
      </w:r>
    </w:p>
    <w:p>
      <w:r>
        <w:t>The system is designed for high availability</w:t>
      </w:r>
    </w:p>
    <w:p>
      <w:r>
        <w:t>Example:</w:t>
      </w:r>
    </w:p>
    <w:p>
      <w:r>
        <w:t>The Institution uses 8 independent oracle families. If one family fails, the others continue. If multiple families fail, the system falls back to a 48-hour TWAP. If the TWAP fails, the Internal Pricing Committee provides manual data. The system is resilient.</w:t>
      </w:r>
    </w:p>
    <w:p>
      <w:r>
        <w:t>Why This Matters:</w:t>
      </w:r>
    </w:p>
    <w:p>
      <w:r>
        <w:t>Single points of failure create vulnerability</w:t>
      </w:r>
    </w:p>
    <w:p>
      <w:r>
        <w:t>Redundancy prevents complete failure</w:t>
      </w:r>
    </w:p>
    <w:p>
      <w:r>
        <w:t>Fallback mechanisms ensure continuity</w:t>
      </w:r>
    </w:p>
    <w:p>
      <w:r>
        <w:t>Resilience maintains operations</w:t>
      </w:r>
    </w:p>
    <w:p>
      <w:pPr>
        <w:pStyle w:val="ListNumber"/>
        <w:ind w:left="425"/>
      </w:pPr>
      <w:r>
        <w:t>Transparency</w:t>
      </w:r>
    </w:p>
    <w:p>
      <w:r>
        <w:t>Oracle operations are transparent and auditable.</w:t>
      </w:r>
    </w:p>
    <w:p>
      <w:r>
        <w:t>What This Means in Practice:</w:t>
      </w:r>
    </w:p>
    <w:p>
      <w:r>
        <w:t>Data sources are publicly disclosed</w:t>
      </w:r>
    </w:p>
    <w:p>
      <w:r>
        <w:t>Aggregation methodology is published</w:t>
      </w:r>
    </w:p>
    <w:p>
      <w:r>
        <w:t>Oracle operations are logged</w:t>
      </w:r>
    </w:p>
    <w:p>
      <w:r>
        <w:t>Historical data is preserved</w:t>
      </w:r>
    </w:p>
    <w:p>
      <w:r>
        <w:t>Example:</w:t>
      </w:r>
    </w:p>
    <w:p>
      <w:r>
        <w:t>The Institution publishes the list of oracle providers, the aggregation methodology, and historical data. Anyone can verify the data sources and the aggregation process. The system is transparent and auditable.</w:t>
      </w:r>
    </w:p>
    <w:p>
      <w:r>
        <w:t>Why This Matters:</w:t>
      </w:r>
    </w:p>
    <w:p>
      <w:r>
        <w:t>Transparency builds trust</w:t>
      </w:r>
    </w:p>
    <w:p>
      <w:r>
        <w:t>Auditable operations enable verification</w:t>
      </w:r>
    </w:p>
    <w:p>
      <w:r>
        <w:t>Historical data enables analysis</w:t>
      </w:r>
    </w:p>
    <w:p>
      <w:r>
        <w:t>Disclosure prevents hidden manipulation</w:t>
      </w:r>
    </w:p>
    <w:p>
      <w:pPr>
        <w:pStyle w:val="ListNumber"/>
        <w:ind w:left="425"/>
      </w:pPr>
      <w:r>
        <w:t>Tamper Resistance</w:t>
      </w:r>
    </w:p>
    <w:p>
      <w:r>
        <w:t>Oracle data is resistant to manipulation.</w:t>
      </w:r>
    </w:p>
    <w:p>
      <w:r>
        <w:t>What This Means in Practice:</w:t>
      </w:r>
    </w:p>
    <w:p>
      <w:r>
        <w:t>Multiple independent sources prevent single-source manipulation</w:t>
      </w:r>
    </w:p>
    <w:p>
      <w:r>
        <w:t>Medianization prevents outlier manipulation</w:t>
      </w:r>
    </w:p>
    <w:p>
      <w:r>
        <w:t>Outlier exclusion filters corrupted data</w:t>
      </w:r>
    </w:p>
    <w:p>
      <w:r>
        <w:t>Cryptographic verification ensures data integrity</w:t>
      </w:r>
    </w:p>
    <w:p>
      <w:r>
        <w:t>Example:</w:t>
      </w:r>
    </w:p>
    <w:p>
      <w:r>
        <w:t>A malicious actor attempts to manipulate a single oracle feed. The feed's price deviates by more than 2% from the median. The system excludes the outlier and uses the consensus of other feeds. The manipulation attempt fails.</w:t>
      </w:r>
    </w:p>
    <w:p>
      <w:r>
        <w:t>Why This Matters:</w:t>
      </w:r>
    </w:p>
    <w:p>
      <w:r>
        <w:t>Tamper resistance is essential for trust</w:t>
      </w:r>
    </w:p>
    <w:p>
      <w:r>
        <w:t>Manipulation could affect NAV and operations</w:t>
      </w:r>
    </w:p>
    <w:p>
      <w:r>
        <w:t>Multiple sources prevent single-point manipulation</w:t>
      </w:r>
    </w:p>
    <w:p>
      <w:r>
        <w:t>Cryptographic verification ensures integrity</w:t>
      </w:r>
    </w:p>
    <w:p>
      <w:r>
        <w:t>Oracle Architecture</w:t>
      </w:r>
    </w:p>
    <w:p>
      <w:r>
        <w:t>Architecture Overview</w:t>
      </w:r>
    </w:p>
    <w:p>
      <w:r>
        <w:t>text</w:t>
      </w:r>
    </w:p>
    <w:p>
      <w:r>
        <w:t>┌─────────────────────────────────────────────────────────────────────┐</w:t>
      </w:r>
    </w:p>
    <w:p>
      <w:r>
        <w:t>│                     ORACLE ARCHITECTURE                            │</w:t>
      </w:r>
    </w:p>
    <w:p>
      <w:r>
        <w:t>│                                                                     │</w:t>
      </w:r>
    </w:p>
    <w:p>
      <w:r>
        <w:t>│  ┌─────────────────────────────────────────────────────────────┐   │</w:t>
      </w:r>
    </w:p>
    <w:p>
      <w:r>
        <w:t>│  │                    DATA SOURCES                              │   │</w:t>
      </w:r>
    </w:p>
    <w:p>
      <w:r>
        <w:t>│  │  ┌─────────┐ ┌─────────┐ ┌─────────┐ ┌─────────┐          │   │</w:t>
      </w:r>
    </w:p>
    <w:p>
      <w:r>
        <w:t>│  │  │Chainlink│ │  Pyth   │ │Chronicle│ │ RedStone│          │   │</w:t>
      </w:r>
    </w:p>
    <w:p>
      <w:r>
        <w:t>│  │  │ 15 nodes│ │ 15 nodes│ │ 15 nodes│ │ 15 nodes│          │   │</w:t>
      </w:r>
    </w:p>
    <w:p>
      <w:r>
        <w:t>│  │  └─────────┘ └─────────┘ └─────────┘ └─────────┘          │   │</w:t>
      </w:r>
    </w:p>
    <w:p>
      <w:r>
        <w:t>│  │  ┌─────────┐ ┌─────────┐ ┌─────────┐ ┌─────────┐          │   │</w:t>
      </w:r>
    </w:p>
    <w:p>
      <w:r>
        <w:t>│  │  │  LBMA   │ │  Central│ │ Internal│ │Constitu-│          │   │</w:t>
      </w:r>
    </w:p>
    <w:p>
      <w:r>
        <w:t>│  │  │ Direct  │ │ Bank FX │ │ Pricing │ │ tional  │          │   │</w:t>
      </w:r>
    </w:p>
    <w:p>
      <w:r>
        <w:t>│  │  │  Feed   │ │  Feeds  │ │Committee│ │  TWAP   │          │   │</w:t>
      </w:r>
    </w:p>
    <w:p>
      <w:r>
        <w:t>│  │  └─────────┘ └─────────┘ └─────────┘ └─────────┘          │   │</w:t>
      </w:r>
    </w:p>
    <w:p>
      <w:r>
        <w:t>│  └─────────────────────────────────────────────────────────────┘   │</w:t>
      </w:r>
    </w:p>
    <w:p>
      <w:r>
        <w:t>│                              │                                      │</w:t>
      </w:r>
    </w:p>
    <w:p>
      <w:r>
        <w:t>│                              ▼                                      │</w:t>
      </w:r>
    </w:p>
    <w:p>
      <w:r>
        <w:t>│  ┌─────────────────────────────────────────────────────────────┐   │</w:t>
      </w:r>
    </w:p>
    <w:p>
      <w:r>
        <w:t>│  │                    AGGREGATION LAYER                        │   │</w:t>
      </w:r>
    </w:p>
    <w:p>
      <w:r>
        <w:t>│  │  ┌─────────────────────────────────────────────────────────┐│   │</w:t>
      </w:r>
    </w:p>
    <w:p>
      <w:r>
        <w:t>│  │  │ Step 1: Medianization (within each family)             ││   │</w:t>
      </w:r>
    </w:p>
    <w:p>
      <w:r>
        <w:t>│  │  │ Step 2: 2% Outlier Exclusion                           ││   │</w:t>
      </w:r>
    </w:p>
    <w:p>
      <w:r>
        <w:t>│  │  │ Step 3: Consensus Check (≥5 of 8 families)            ││   │</w:t>
      </w:r>
    </w:p>
    <w:p>
      <w:r>
        <w:t>│  │  │ Step 4: Constitutional Validation (within ±5%)        ││   │</w:t>
      </w:r>
    </w:p>
    <w:p>
      <w:r>
        <w:t>│  │  │ Step 5: Final Consensus Price                          ││   │</w:t>
      </w:r>
    </w:p>
    <w:p>
      <w:r>
        <w:t>│  │  └─────────────────────────────────────────────────────────┘│   │</w:t>
      </w:r>
    </w:p>
    <w:p>
      <w:r>
        <w:t>│  └─────────────────────────────────────────────────────────────┘   │</w:t>
      </w:r>
    </w:p>
    <w:p>
      <w:r>
        <w:t>│                              │                                      │</w:t>
      </w:r>
    </w:p>
    <w:p>
      <w:r>
        <w:t>│                              ▼                                      │</w:t>
      </w:r>
    </w:p>
    <w:p>
      <w:r>
        <w:t>│  ┌─────────────────────────────────────────────────────────────┐   │</w:t>
      </w:r>
    </w:p>
    <w:p>
      <w:r>
        <w:t>│  │                    FALLBACK MECHANISMS                      │   │</w:t>
      </w:r>
    </w:p>
    <w:p>
      <w:r>
        <w:t>│  │  ┌─────────────────────────────────────────────────────────┐│   │</w:t>
      </w:r>
    </w:p>
    <w:p>
      <w:r>
        <w:t>│  │  │ Primary: Chainlink → Pyth → Chronicle → RedStone      ││   │</w:t>
      </w:r>
    </w:p>
    <w:p>
      <w:r>
        <w:t>│  │  │ Secondary: LBMA Direct Feed                           ││   │</w:t>
      </w:r>
    </w:p>
    <w:p>
      <w:r>
        <w:t>│  │  │ Tertiary: Central Bank FX Feeds                       ││   │</w:t>
      </w:r>
    </w:p>
    <w:p>
      <w:r>
        <w:t>│  │  │ Emergency: Internal Pricing Committee                 ││   │</w:t>
      </w:r>
    </w:p>
    <w:p>
      <w:r>
        <w:t>│  │  │ Ultimate: 48-Hour Constitutional TWAP                 ││   │</w:t>
      </w:r>
    </w:p>
    <w:p>
      <w:r>
        <w:t>│  │  └─────────────────────────────────────────────────────────┘│   │</w:t>
      </w:r>
    </w:p>
    <w:p>
      <w:r>
        <w:t>│  └─────────────────────────────────────────────────────────────┘   │</w:t>
      </w:r>
    </w:p>
    <w:p>
      <w:r>
        <w:t>└─────────────────────────────────────────────────────────────────────┘</w:t>
      </w:r>
    </w:p>
    <w:p>
      <w:r>
        <w:t>Oracle Families</w:t>
      </w:r>
    </w:p>
    <w:p>
      <w:r>
        <w:t>What This Means in Practice:</w:t>
      </w:r>
    </w:p>
    <w:p>
      <w:r>
        <w:t>8 independent oracle families provide data</w:t>
      </w:r>
    </w:p>
    <w:p>
      <w:r>
        <w:t>External families provide broad market data</w:t>
      </w:r>
    </w:p>
    <w:p>
      <w:r>
        <w:t>Internal families provide specialized data</w:t>
      </w:r>
    </w:p>
    <w:p>
      <w:r>
        <w:t>The system is diversified and resilient</w:t>
      </w:r>
    </w:p>
    <w:p>
      <w:r>
        <w:t>Example:</w:t>
      </w:r>
    </w:p>
    <w:p>
      <w:r>
        <w:t>The Institution receives gold prices from Chainlink, Pyth, Chronicle, RedStone, LBMA, and internal sources. It receives FX rates from Chainlink, Pyth, Chronicle, RedStone, Central Bank Feeds, and internal sources. The diverse sources provide resilience and tamper resistance.</w:t>
      </w:r>
    </w:p>
    <w:p>
      <w:r>
        <w:t>Why This Matters:</w:t>
      </w:r>
    </w:p>
    <w:p>
      <w:r>
        <w:t>Diverse sources prevent single-source failure</w:t>
      </w:r>
    </w:p>
    <w:p>
      <w:r>
        <w:t>Diverse sources prevent single-source manipulation</w:t>
      </w:r>
    </w:p>
    <w:p>
      <w:r>
        <w:t>Diverse sources provide consensus</w:t>
      </w:r>
    </w:p>
    <w:p>
      <w:r>
        <w:t>Diverse sources increase reliability</w:t>
      </w:r>
    </w:p>
    <w:p>
      <w:r>
        <w:t>Oracle Family Specifications</w:t>
      </w:r>
    </w:p>
    <w:p>
      <w:r>
        <w:t>Chainlink</w:t>
      </w:r>
    </w:p>
    <w:p>
      <w:r>
        <w:t>What This Means in Practice:</w:t>
      </w:r>
    </w:p>
    <w:p>
      <w:r>
        <w:t>Chainlink is the primary external oracle</w:t>
      </w:r>
    </w:p>
    <w:p>
      <w:r>
        <w:t>15+ nodes provide redundancy</w:t>
      </w:r>
    </w:p>
    <w:p>
      <w:r>
        <w:t>Data is aggregated from multiple exchanges</w:t>
      </w:r>
    </w:p>
    <w:p>
      <w:r>
        <w:t>Medianization provides consensus</w:t>
      </w:r>
    </w:p>
    <w:p>
      <w:r>
        <w:t>Cryptographic signatures ensure authenticity</w:t>
      </w:r>
    </w:p>
    <w:p>
      <w:r>
        <w:t>Example:</w:t>
      </w:r>
    </w:p>
    <w:p>
      <w:r>
        <w:t>Chainlink provides gold and FX price data. The data is aggregated from multiple exchanges. The median price is published. Cryptographic signatures verify authenticity. The system is reliable and secure.</w:t>
      </w:r>
    </w:p>
    <w:p>
      <w:r>
        <w:t>Why This Matters:</w:t>
      </w:r>
    </w:p>
    <w:p>
      <w:r>
        <w:t>Chainlink is the leading oracle provider</w:t>
      </w:r>
    </w:p>
    <w:p>
      <w:r>
        <w:t>15+ nodes provide redundancy</w:t>
      </w:r>
    </w:p>
    <w:p>
      <w:r>
        <w:t>Cryptographic signatures ensure integrity</w:t>
      </w:r>
    </w:p>
    <w:p>
      <w:r>
        <w:t>Medianization provides consensus</w:t>
      </w:r>
    </w:p>
    <w:p>
      <w:r>
        <w:t>Pyth Network</w:t>
      </w:r>
    </w:p>
    <w:p>
      <w:r>
        <w:t>What This Means in Practice:</w:t>
      </w:r>
    </w:p>
    <w:p>
      <w:r>
        <w:t>Pyth provides low-latency data</w:t>
      </w:r>
    </w:p>
    <w:p>
      <w:r>
        <w:t>First-party publishers provide direct data</w:t>
      </w:r>
    </w:p>
    <w:p>
      <w:r>
        <w:t>Confidence-weighted median provides robust consensus</w:t>
      </w:r>
    </w:p>
    <w:p>
      <w:r>
        <w:t>High frequency enables real-time pricing</w:t>
      </w:r>
    </w:p>
    <w:p>
      <w:r>
        <w:t>Example:</w:t>
      </w:r>
    </w:p>
    <w:p>
      <w:r>
        <w:t>Pyth provides gold and FX price data at sub-second latency. The data is from first-party publishers. Confidence-weighted median provides robust consensus. The system is fast and reliable.</w:t>
      </w:r>
    </w:p>
    <w:p>
      <w:r>
        <w:t>Why This Matters:</w:t>
      </w:r>
    </w:p>
    <w:p>
      <w:r>
        <w:t>Pyth provides low-latency data</w:t>
      </w:r>
    </w:p>
    <w:p>
      <w:r>
        <w:t>First-party publishers provide quality data</w:t>
      </w:r>
    </w:p>
    <w:p>
      <w:r>
        <w:t>Confidence weighting provides robustness</w:t>
      </w:r>
    </w:p>
    <w:p>
      <w:r>
        <w:t>High frequency supports real-time operations</w:t>
      </w:r>
    </w:p>
    <w:p>
      <w:r>
        <w:t>Chronicle</w:t>
      </w:r>
    </w:p>
    <w:p>
      <w:r>
        <w:t>What This Means in Practice:</w:t>
      </w:r>
    </w:p>
    <w:p>
      <w:r>
        <w:t>Chronicle provides additional redundancy</w:t>
      </w:r>
    </w:p>
    <w:p>
      <w:r>
        <w:t>15+ nodes provide redundancy</w:t>
      </w:r>
    </w:p>
    <w:p>
      <w:r>
        <w:t>Medianization provides consensus</w:t>
      </w:r>
    </w:p>
    <w:p>
      <w:r>
        <w:t>Cryptographic signatures ensure authenticity</w:t>
      </w:r>
    </w:p>
    <w:p>
      <w:r>
        <w:t>Example:</w:t>
      </w:r>
    </w:p>
    <w:p>
      <w:r>
        <w:t>Chronicle provides gold and FX price data as a backup to Chainlink and Pyth. The data is aggregated from multiple exchanges. The median price is published. The system provides additional redundancy.</w:t>
      </w:r>
    </w:p>
    <w:p>
      <w:r>
        <w:t>Why This Matters:</w:t>
      </w:r>
    </w:p>
    <w:p>
      <w:r>
        <w:t>Chronicle provides redundancy</w:t>
      </w:r>
    </w:p>
    <w:p>
      <w:r>
        <w:t>Proven track record of reliability</w:t>
      </w:r>
    </w:p>
    <w:p>
      <w:r>
        <w:t>Additional source for consensus</w:t>
      </w:r>
    </w:p>
    <w:p>
      <w:r>
        <w:t>Increases overall system resilience</w:t>
      </w:r>
    </w:p>
    <w:p>
      <w:r>
        <w:t>RedStone</w:t>
      </w:r>
    </w:p>
    <w:p>
      <w:r>
        <w:t>What This Means in Practice:</w:t>
      </w:r>
    </w:p>
    <w:p>
      <w:r>
        <w:t>RedStone provides additional data source</w:t>
      </w:r>
    </w:p>
    <w:p>
      <w:r>
        <w:t>50+ sources provide broad coverage</w:t>
      </w:r>
    </w:p>
    <w:p>
      <w:r>
        <w:t>Medianization provides consensus</w:t>
      </w:r>
    </w:p>
    <w:p>
      <w:r>
        <w:t>Cryptographic signatures ensure authenticity</w:t>
      </w:r>
    </w:p>
    <w:p>
      <w:r>
        <w:t>Example:</w:t>
      </w:r>
    </w:p>
    <w:p>
      <w:r>
        <w:t>RedStone provides gold and FX price data. The data is aggregated from 50+ sources. The median price is published. The system provides broad coverage and redundancy.</w:t>
      </w:r>
    </w:p>
    <w:p>
      <w:r>
        <w:t>Why This Matters:</w:t>
      </w:r>
    </w:p>
    <w:p>
      <w:r>
        <w:t>Broad coverage from 50+ sources</w:t>
      </w:r>
    </w:p>
    <w:p>
      <w:r>
        <w:t>Additional redundancy</w:t>
      </w:r>
    </w:p>
    <w:p>
      <w:r>
        <w:t>Increases overall system resilience</w:t>
      </w:r>
    </w:p>
    <w:p>
      <w:r>
        <w:t>Provides consensus validation</w:t>
      </w:r>
    </w:p>
    <w:p>
      <w:r>
        <w:t>LBMA Direct Feed</w:t>
      </w:r>
    </w:p>
    <w:p>
      <w:r>
        <w:t>What This Means in Practice:</w:t>
      </w:r>
    </w:p>
    <w:p>
      <w:r>
        <w:t>LBMA provides the official gold reference price</w:t>
      </w:r>
    </w:p>
    <w:p>
      <w:r>
        <w:t>The PM Fixing is the industry standard</w:t>
      </w:r>
    </w:p>
    <w:p>
      <w:r>
        <w:t>COMEX futures provide backup</w:t>
      </w:r>
    </w:p>
    <w:p>
      <w:r>
        <w:t>Cryptographic verification ensures authenticity</w:t>
      </w:r>
    </w:p>
    <w:p>
      <w:r>
        <w:t>Example:</w:t>
      </w:r>
    </w:p>
    <w:p>
      <w:r>
        <w:t>The Institution receives the LBMA Gold Price PM Fixing daily at 15:00 GMT. The price is the industry reference. COMEX futures provide backup if the LBMA feed is unavailable.</w:t>
      </w:r>
    </w:p>
    <w:p>
      <w:r>
        <w:t>Why This Matters:</w:t>
      </w:r>
    </w:p>
    <w:p>
      <w:r>
        <w:t>LBMA is the industry gold reference</w:t>
      </w:r>
    </w:p>
    <w:p>
      <w:r>
        <w:t>Provides a trusted price source</w:t>
      </w:r>
    </w:p>
    <w:p>
      <w:r>
        <w:t>Backup ensures availability</w:t>
      </w:r>
    </w:p>
    <w:p>
      <w:r>
        <w:t>Official reference for NAV calculation</w:t>
      </w:r>
    </w:p>
    <w:p>
      <w:r>
        <w:t>Central Bank FX Feeds</w:t>
      </w:r>
    </w:p>
    <w:p>
      <w:r>
        <w:t>What This Means in Practice:</w:t>
      </w:r>
    </w:p>
    <w:p>
      <w:r>
        <w:t>Central bank feeds provide official FX reference rates</w:t>
      </w:r>
    </w:p>
    <w:p>
      <w:r>
        <w:t>Multiple central banks provide independent sources</w:t>
      </w:r>
    </w:p>
    <w:p>
      <w:r>
        <w:t>Feeds are used for cross-reference and validation</w:t>
      </w:r>
    </w:p>
    <w:p>
      <w:r>
        <w:t>Official rates provide trust</w:t>
      </w:r>
    </w:p>
    <w:p>
      <w:r>
        <w:t>Example:</w:t>
      </w:r>
    </w:p>
    <w:p>
      <w:r>
        <w:t>The Institution receives FX reference rates from BIS, ECB, Federal Reserve, Bank of England, and Bank of Japan. The rates are used for cross-reference and validation of external oracle data.</w:t>
      </w:r>
    </w:p>
    <w:p>
      <w:r>
        <w:t>Why This Matters:</w:t>
      </w:r>
    </w:p>
    <w:p>
      <w:r>
        <w:t>Central bank rates are official and trusted</w:t>
      </w:r>
    </w:p>
    <w:p>
      <w:r>
        <w:t>Multiple sources provide validation</w:t>
      </w:r>
    </w:p>
    <w:p>
      <w:r>
        <w:t>Independent from commercial oracle providers</w:t>
      </w:r>
    </w:p>
    <w:p>
      <w:r>
        <w:t>Provides regulatory credibility</w:t>
      </w:r>
    </w:p>
    <w:p>
      <w:r>
        <w:t>Internal Pricing Committee</w:t>
      </w:r>
    </w:p>
    <w:p>
      <w:r>
        <w:t>What This Means in Practice:</w:t>
      </w:r>
    </w:p>
    <w:p>
      <w:r>
        <w:t>The Internal Pricing Committee is a fallback mechanism</w:t>
      </w:r>
    </w:p>
    <w:p>
      <w:r>
        <w:t>It is only activated when external oracles fail</w:t>
      </w:r>
    </w:p>
    <w:p>
      <w:r>
        <w:t>It requires 75% supermajority for decisions</w:t>
      </w:r>
    </w:p>
    <w:p>
      <w:r>
        <w:t>All decisions are published for transparency</w:t>
      </w:r>
    </w:p>
    <w:p>
      <w:r>
        <w:t>Example:</w:t>
      </w:r>
    </w:p>
    <w:p>
      <w:r>
        <w:t>External oracles fail to provide reliable data. The Internal Pricing Committee is activated. The Committee reviews available data and publishes a consensus price. The price is used until external oracles are restored. All decisions are published.</w:t>
      </w:r>
    </w:p>
    <w:p>
      <w:r>
        <w:t>Why This Matters:</w:t>
      </w:r>
    </w:p>
    <w:p>
      <w:r>
        <w:t>Provides manual fallback when automated systems fail</w:t>
      </w:r>
    </w:p>
    <w:p>
      <w:r>
        <w:t>Expert judgment ensures reasonable decisions</w:t>
      </w:r>
    </w:p>
    <w:p>
      <w:r>
        <w:t>Supermajority prevents single-person control</w:t>
      </w:r>
    </w:p>
    <w:p>
      <w:r>
        <w:t>Transparency ensures accountability</w:t>
      </w:r>
    </w:p>
    <w:p>
      <w:r>
        <w:t>Constitutional Oracle</w:t>
      </w:r>
    </w:p>
    <w:p>
      <w:r>
        <w:t>What This Means in Practice:</w:t>
      </w:r>
    </w:p>
    <w:p>
      <w:r>
        <w:t>The Constitutional Oracle provides the ultimate fallback</w:t>
      </w:r>
    </w:p>
    <w:p>
      <w:r>
        <w:t>It uses the AMM pool's 48-hour time-weighted average price</w:t>
      </w:r>
    </w:p>
    <w:p>
      <w:r>
        <w:t>The long time horizon prevents manipulation</w:t>
      </w:r>
    </w:p>
    <w:p>
      <w:r>
        <w:t>It is automatic and requires no human intervention</w:t>
      </w:r>
    </w:p>
    <w:p>
      <w:r>
        <w:t>Example:</w:t>
      </w:r>
    </w:p>
    <w:p>
      <w:r>
        <w:t>Multiple oracle families fail. The system automatically activates the Constitutional Oracle. It calculates the 48-hour TWAP from the AMM pool. The price is used until primary oracles are restored. The process is automatic and transparent.</w:t>
      </w:r>
    </w:p>
    <w:p>
      <w:r>
        <w:t>Why This Matters:</w:t>
      </w:r>
    </w:p>
    <w:p>
      <w:r>
        <w:t>Provides data when all other oracles fail</w:t>
      </w:r>
    </w:p>
    <w:p>
      <w:r>
        <w:t>Automatic activation prevents delay</w:t>
      </w:r>
    </w:p>
    <w:p>
      <w:r>
        <w:t>Long time horizon prevents manipulation</w:t>
      </w:r>
    </w:p>
    <w:p>
      <w:r>
        <w:t>Market-based price provides trust</w:t>
      </w:r>
    </w:p>
    <w:p>
      <w:r>
        <w:t>Fallback Reversion:</w:t>
      </w:r>
    </w:p>
    <w:p>
      <w:r>
        <w:t>Once primary oracles are restored for 6 consecutive blocks, the system reverts</w:t>
      </w:r>
    </w:p>
    <w:p>
      <w:r>
        <w:t>The transition is automatic and smooth</w:t>
      </w:r>
    </w:p>
    <w:p>
      <w:r>
        <w:t>The TWAP data remains available for reference</w:t>
      </w:r>
    </w:p>
    <w:p>
      <w:r>
        <w:t>Aggregation Logic</w:t>
      </w:r>
    </w:p>
    <w:p>
      <w:r>
        <w:t>Price Aggregation Process</w:t>
      </w:r>
    </w:p>
    <w:p>
      <w:r>
        <w:t>Step 1: Medianization (within each family)</w:t>
      </w:r>
    </w:p>
    <w:p>
      <w:r>
        <w:t>For each oracle family, calculate the median of all node prices:</w:t>
      </w:r>
    </w:p>
    <w:p>
      <w:r>
        <w:t>text</w:t>
      </w:r>
    </w:p>
    <w:p>
      <w:r>
        <w:t>family_median = median(node_prices)</w:t>
      </w:r>
    </w:p>
    <w:p>
      <w:r>
        <w:t>Example:</w:t>
      </w:r>
    </w:p>
    <w:p>
      <w:r>
        <w:t>Chainlink has 15 nodes providing gold prices: $1,850, $1,851, $1,849, $1,850, etc. The median is $1,850. The median is used as the Chainlink price.</w:t>
      </w:r>
    </w:p>
    <w:p>
      <w:r>
        <w:t>Step 2: 2% Outlier Exclusion</w:t>
      </w:r>
    </w:p>
    <w:p>
      <w:r>
        <w:t>For all family prices, exclude any price that deviates from the median by more than 2%:</w:t>
      </w:r>
    </w:p>
    <w:p>
      <w:r>
        <w:t>text</w:t>
      </w:r>
    </w:p>
    <w:p>
      <w:r>
        <w:t>median = median(family_prices)</w:t>
      </w:r>
    </w:p>
    <w:p>
      <w:r>
        <w:t>for each price in family_prices:</w:t>
      </w:r>
    </w:p>
    <w:p>
      <w:r>
        <w:t>if abs(price - median) / median &gt; 0.02:</w:t>
      </w:r>
    </w:p>
    <w:p>
      <w:r>
        <w:t>exclude(price)</w:t>
      </w:r>
    </w:p>
    <w:p>
      <w:r>
        <w:t>Example:</w:t>
      </w:r>
    </w:p>
    <w:p>
      <w:r>
        <w:t>Family prices: $1,850, $1,851, $1,849, $1,900, $1,750. Median is $1,850. $1,900 deviates by 2.7% (&gt;2%) — excluded. $1,750 deviates by 5.4% (&gt;2%) — excluded. Valid prices: $1,850, $1,851, $1,849.</w:t>
      </w:r>
    </w:p>
    <w:p>
      <w:r>
        <w:t>Step 3: Consensus Check (≥5 of 8 families)</w:t>
      </w:r>
    </w:p>
    <w:p>
      <w:r>
        <w:t>Require at least 5 families to agree:</w:t>
      </w:r>
    </w:p>
    <w:p>
      <w:r>
        <w:t>text</w:t>
      </w:r>
    </w:p>
    <w:p>
      <w:r>
        <w:t>if valid_prices.length &lt; 5:</w:t>
      </w:r>
    </w:p>
    <w:p>
      <w:r>
        <w:t>activate_fallback()</w:t>
      </w:r>
    </w:p>
    <w:p>
      <w:r>
        <w:t>else:</w:t>
      </w:r>
    </w:p>
    <w:p>
      <w:r>
        <w:t>continue_to_consensus()</w:t>
      </w:r>
    </w:p>
    <w:p>
      <w:r>
        <w:t>Example:</w:t>
      </w:r>
    </w:p>
    <w:p>
      <w:r>
        <w:t>Valid prices: Chainlink ($1,850), Pyth ($1,851), Chronicle ($1,849), RedStone ($1,850), LBMA ($1,850). 5 families agree. Consensus is reached. Proceed to step 4.</w:t>
      </w:r>
    </w:p>
    <w:p>
      <w:r>
        <w:t>Step 4: Constitutional Validation (within ±5%)</w:t>
      </w:r>
    </w:p>
    <w:p>
      <w:r>
        <w:t>Validate that the consensus price is within 5% of the previous price:</w:t>
      </w:r>
    </w:p>
    <w:p>
      <w:r>
        <w:t>text</w:t>
      </w:r>
    </w:p>
    <w:p>
      <w:r>
        <w:t>if abs(consensus_price - previous_price) / previous_price &gt; 0.05:</w:t>
      </w:r>
    </w:p>
    <w:p>
      <w:r>
        <w:t>activate_constitutional_oracle()</w:t>
      </w:r>
    </w:p>
    <w:p>
      <w:r>
        <w:t>else:</w:t>
      </w:r>
    </w:p>
    <w:p>
      <w:r>
        <w:t>continue_to_final()</w:t>
      </w:r>
    </w:p>
    <w:p>
      <w:r>
        <w:t>Example:</w:t>
      </w:r>
    </w:p>
    <w:p>
      <w:r>
        <w:t>Consensus price: $1,850. Previous price: $1,800. Deviation: 2.8% (&lt;5%). Validation passes. Use consensus price.</w:t>
      </w:r>
    </w:p>
    <w:p>
      <w:r>
        <w:t>Step 5: Final Consensus Price</w:t>
      </w:r>
    </w:p>
    <w:p>
      <w:r>
        <w:t>The consensus price is the median of valid prices:</w:t>
      </w:r>
    </w:p>
    <w:p>
      <w:r>
        <w:t>text</w:t>
      </w:r>
    </w:p>
    <w:p>
      <w:r>
        <w:t>consensus_price = median(valid_prices)</w:t>
      </w:r>
    </w:p>
    <w:p>
      <w:r>
        <w:t>Example:</w:t>
      </w:r>
    </w:p>
    <w:p>
      <w:r>
        <w:t>Valid prices: $1,850, $1,851, $1,849, $1,850, $1,850. Sorted: $1,849, $1,850, $1,850, $1,850, $1,851. Median: $1,850. Consensus price: $1,850.</w:t>
      </w:r>
    </w:p>
    <w:p>
      <w:r>
        <w:t>Aggregation Code</w:t>
      </w:r>
    </w:p>
    <w:p>
      <w:r>
        <w:t>solidity</w:t>
      </w:r>
    </w:p>
    <w:p>
      <w:r>
        <w:t>// Oracle.sol — Price Aggregation</w:t>
      </w:r>
    </w:p>
    <w:p>
      <w:r>
        <w:t>/**</w:t>
      </w:r>
    </w:p>
    <w:p>
      <w:r>
        <w:t>* @dev Fetch consensus price from all oracle families</w:t>
      </w:r>
    </w:p>
    <w:p>
      <w:r>
        <w:t>* @param asset Asset identifier</w:t>
      </w:r>
    </w:p>
    <w:p>
      <w:r>
        <w:t>* @return Consensus price</w:t>
      </w:r>
    </w:p>
    <w:p>
      <w:r>
        <w:t>*/</w:t>
      </w:r>
    </w:p>
    <w:p>
      <w:r>
        <w:t>function fetchPrice(bytes32 asset) external returns (uint256) {</w:t>
      </w:r>
    </w:p>
    <w:p>
      <w:r>
        <w:t>// Step 1: Collect prices from all oracle families</w:t>
      </w:r>
    </w:p>
    <w:p>
      <w:r>
        <w:t>uint256[] memory familyPrices = new uint256[](oracleFamilies.length);</w:t>
      </w:r>
    </w:p>
    <w:p>
      <w:r>
        <w:t>for (uint i = 0; i &lt; oracleFamilies.length; i++) {</w:t>
      </w:r>
    </w:p>
    <w:p>
      <w:r>
        <w:t>familyPrices[i] = oracleFamilies[i].getPrice(asset);</w:t>
      </w:r>
    </w:p>
    <w:p>
      <w:r>
        <w:t>}</w:t>
      </w:r>
    </w:p>
    <w:p>
      <w:r>
        <w:t>// Step 2: Calculate median</w:t>
      </w:r>
    </w:p>
    <w:p>
      <w:r>
        <w:t>uint256 median = calculateMedian(familyPrices);</w:t>
      </w:r>
    </w:p>
    <w:p>
      <w:r>
        <w:t>// Step 3: Filter outliers (&gt;2% deviation)</w:t>
      </w:r>
    </w:p>
    <w:p>
      <w:r>
        <w:t>uint256[] memory validPrices;</w:t>
      </w:r>
    </w:p>
    <w:p>
      <w:r>
        <w:t>for (uint i = 0; i &lt; familyPrices.length; i++) {</w:t>
      </w:r>
    </w:p>
    <w:p>
      <w:r>
        <w:t>if (abs(familyPrices[i] - median) * 100 &lt;= 2 * median) {</w:t>
      </w:r>
    </w:p>
    <w:p>
      <w:r>
        <w:t>validPrices.push(familyPrices[i]);</w:t>
      </w:r>
    </w:p>
    <w:p>
      <w:r>
        <w:t>} else {</w:t>
      </w:r>
    </w:p>
    <w:p>
      <w:r>
        <w:t>// Quarantine outlier feed</w:t>
      </w:r>
    </w:p>
    <w:p>
      <w:r>
        <w:t>quarantineFeed(i, 24 hours);</w:t>
      </w:r>
    </w:p>
    <w:p>
      <w:r>
        <w:t>}</w:t>
      </w:r>
    </w:p>
    <w:p>
      <w:r>
        <w:t>}</w:t>
      </w:r>
    </w:p>
    <w:p>
      <w:r>
        <w:t>// Step 4: Check consensus (≥5 of 8)</w:t>
      </w:r>
    </w:p>
    <w:p>
      <w:r>
        <w:t>if (validPrices.length &lt; CONSENSUS_THRESHOLD) {</w:t>
      </w:r>
    </w:p>
    <w:p>
      <w:r>
        <w:t>// Fallback to Constitutional Oracle</w:t>
      </w:r>
    </w:p>
    <w:p>
      <w:r>
        <w:t>return getConstitutionalOracle(asset);</w:t>
      </w:r>
    </w:p>
    <w:p>
      <w:r>
        <w:t>}</w:t>
      </w:r>
    </w:p>
    <w:p>
      <w:r>
        <w:t>// Step 5: Calculate consensus median</w:t>
      </w:r>
    </w:p>
    <w:p>
      <w:r>
        <w:t>uint256 consensusPrice = calculateMedian(validPrices);</w:t>
      </w:r>
    </w:p>
    <w:p>
      <w:r>
        <w:t>// Step 6: Constitutional validation (within ±5%)</w:t>
      </w:r>
    </w:p>
    <w:p>
      <w:r>
        <w:t>uint256 previousPrice = getPreviousPrice(asset);</w:t>
      </w:r>
    </w:p>
    <w:p>
      <w:r>
        <w:t>if (abs(consensusPrice - previousPrice) * 100 &gt; 5 * previousPrice) {</w:t>
      </w:r>
    </w:p>
    <w:p>
      <w:r>
        <w:t>return getConstitutionalOracle(asset);</w:t>
      </w:r>
    </w:p>
    <w:p>
      <w:r>
        <w:t>}</w:t>
      </w:r>
    </w:p>
    <w:p>
      <w:r>
        <w:t>// Step 7: Update historical price</w:t>
      </w:r>
    </w:p>
    <w:p>
      <w:r>
        <w:t>updatePriceHistory(asset, consensusPrice);</w:t>
      </w:r>
    </w:p>
    <w:p>
      <w:r>
        <w:t>return consensusPrice;</w:t>
      </w:r>
    </w:p>
    <w:p>
      <w:r>
        <w:t>}</w:t>
      </w:r>
    </w:p>
    <w:p>
      <w:r>
        <w:t>/**</w:t>
      </w:r>
    </w:p>
    <w:p>
      <w:r>
        <w:t>* @dev Quarantine a suspicious oracle feed</w:t>
      </w:r>
    </w:p>
    <w:p>
      <w:r>
        <w:t>* @param feedIndex Index of the feed to quarantine</w:t>
      </w:r>
    </w:p>
    <w:p>
      <w:r>
        <w:t>* @param duration Duration of quarantine</w:t>
      </w:r>
    </w:p>
    <w:p>
      <w:r>
        <w:t>*/</w:t>
      </w:r>
    </w:p>
    <w:p>
      <w:r>
        <w:t>function quarantineFeed(uint256 feedIndex, uint256 duration) internal {</w:t>
      </w:r>
    </w:p>
    <w:p>
      <w:r>
        <w:t>feedQuarantine[feedIndex] = block.timestamp + duration;</w:t>
      </w:r>
    </w:p>
    <w:p>
      <w:r>
        <w:t>emit FeedQuarantined(feedIndex, duration);</w:t>
      </w:r>
    </w:p>
    <w:p>
      <w:r>
        <w:t>}</w:t>
      </w:r>
    </w:p>
    <w:p>
      <w:r>
        <w:t>/**</w:t>
      </w:r>
    </w:p>
    <w:p>
      <w:r>
        <w:t>* @dev Get Constitutional Oracle price (48-hour TWAP)</w:t>
      </w:r>
    </w:p>
    <w:p>
      <w:r>
        <w:t>* @param asset Asset identifier</w:t>
      </w:r>
    </w:p>
    <w:p>
      <w:r>
        <w:t>* @return TWAP price</w:t>
      </w:r>
    </w:p>
    <w:p>
      <w:r>
        <w:t>*/</w:t>
      </w:r>
    </w:p>
    <w:p>
      <w:r>
        <w:t>function getConstitutionalOracle(bytes32 asset) internal returns (uint256) {</w:t>
      </w:r>
    </w:p>
    <w:p>
      <w:r>
        <w:t>// Get 48-hour TWAP from AMM pool</w:t>
      </w:r>
    </w:p>
    <w:p>
      <w:r>
        <w:t>uint256 twapPrice = ammPool.getTWAP(asset, 48 hours);</w:t>
      </w:r>
    </w:p>
    <w:p>
      <w:r>
        <w:t>emit ConstitutionalOracleUsed(asset, twapPrice);</w:t>
      </w:r>
    </w:p>
    <w:p>
      <w:r>
        <w:t>return twapPrice;</w:t>
      </w:r>
    </w:p>
    <w:p>
      <w:r>
        <w:t>}</w:t>
      </w:r>
    </w:p>
    <w:p>
      <w:r>
        <w:t>Fallback Hierarchy</w:t>
      </w:r>
    </w:p>
    <w:p>
      <w:r>
        <w:t>Fallback Levels</w:t>
      </w:r>
    </w:p>
    <w:p>
      <w:r>
        <w:t>What This Means in Practice:</w:t>
      </w:r>
    </w:p>
    <w:p>
      <w:r>
        <w:t>The hierarchy ensures data availability</w:t>
      </w:r>
    </w:p>
    <w:p>
      <w:r>
        <w:t>Each level provides a backup</w:t>
      </w:r>
    </w:p>
    <w:p>
      <w:r>
        <w:t>Fallback is automatic</w:t>
      </w:r>
    </w:p>
    <w:p>
      <w:r>
        <w:t>The system is resilient</w:t>
      </w:r>
    </w:p>
    <w:p>
      <w:r>
        <w:t>Example:</w:t>
      </w:r>
    </w:p>
    <w:p>
      <w:r>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r>
        <w:t>Why This Matters:</w:t>
      </w:r>
    </w:p>
    <w:p>
      <w:r>
        <w:t>Multiple fallback levels prevent complete failure</w:t>
      </w:r>
    </w:p>
    <w:p>
      <w:r>
        <w:t>Automatic failover prevents delay</w:t>
      </w:r>
    </w:p>
    <w:p>
      <w:r>
        <w:t>Each level provides increased human involvement</w:t>
      </w:r>
    </w:p>
    <w:p>
      <w:r>
        <w:t>The system is designed for maximum resilience</w:t>
      </w:r>
    </w:p>
    <w:p>
      <w:r>
        <w:t>Fallback Activation Conditions</w:t>
      </w:r>
    </w:p>
    <w:p>
      <w:r>
        <w:t>What This Means in Practice:</w:t>
      </w:r>
    </w:p>
    <w:p>
      <w:r>
        <w:t>Conditions are defined and automatic</w:t>
      </w:r>
    </w:p>
    <w:p>
      <w:r>
        <w:t>Responses are immediate</w:t>
      </w:r>
    </w:p>
    <w:p>
      <w:r>
        <w:t>Escalation is proportional</w:t>
      </w:r>
    </w:p>
    <w:p>
      <w:r>
        <w:t>The system is predictable</w:t>
      </w:r>
    </w:p>
    <w:p>
      <w:r>
        <w:t>Example:</w:t>
      </w:r>
    </w:p>
    <w:p>
      <w:r>
        <w:t>3 oracle families fail. The system automatically falls back to the next level. The fallback is immediate and automatic. The system continues to provide data.</w:t>
      </w:r>
    </w:p>
    <w:p>
      <w:r>
        <w:t>Why This Matters:</w:t>
      </w:r>
    </w:p>
    <w:p>
      <w:r>
        <w:t>Defined conditions prevent ambiguity</w:t>
      </w:r>
    </w:p>
    <w:p>
      <w:r>
        <w:t>Automatic responses prevent delay</w:t>
      </w:r>
    </w:p>
    <w:p>
      <w:r>
        <w:t>Proportional responses prevent over-reaction</w:t>
      </w:r>
    </w:p>
    <w:p>
      <w:r>
        <w:t>Predictability builds trust</w:t>
      </w:r>
    </w:p>
    <w:p>
      <w:r>
        <w:t>Fallback Reversion</w:t>
      </w:r>
    </w:p>
    <w:p>
      <w:r>
        <w:t>Once primary oracles are restored, the system reverts automatically:</w:t>
      </w:r>
    </w:p>
    <w:p>
      <w:r>
        <w:t>What This Means in Practice:</w:t>
      </w:r>
    </w:p>
    <w:p>
      <w:r>
        <w:t>Reversion is automatic</w:t>
      </w:r>
    </w:p>
    <w:p>
      <w:r>
        <w:t>A stabilization period prevents oscillation</w:t>
      </w:r>
    </w:p>
    <w:p>
      <w:r>
        <w:t>The system is self-healing</w:t>
      </w:r>
    </w:p>
    <w:p>
      <w:r>
        <w:t>Human intervention is not required</w:t>
      </w:r>
    </w:p>
    <w:p>
      <w:r>
        <w:t>Example:</w:t>
      </w:r>
    </w:p>
    <w:p>
      <w:r>
        <w:t>External oracles are restored after an outage. The system verifies 6 consecutive blocks of reliable data. It automatically reverts from the Constitutional Oracle to Chainlink. The transition is smooth and transparent.</w:t>
      </w:r>
    </w:p>
    <w:p>
      <w:r>
        <w:t>Why This Matters:</w:t>
      </w:r>
    </w:p>
    <w:p>
      <w:r>
        <w:t>Automatic reversion reduces operational burden</w:t>
      </w:r>
    </w:p>
    <w:p>
      <w:r>
        <w:t>Stabilization period prevents oscillation</w:t>
      </w:r>
    </w:p>
    <w:p>
      <w:r>
        <w:t>Self-healing reduces manual intervention</w:t>
      </w:r>
    </w:p>
    <w:p>
      <w:r>
        <w:t>Smooth transition prevents disruption</w:t>
      </w:r>
    </w:p>
    <w:p>
      <w:r>
        <w:t>Oracle Security</w:t>
      </w:r>
    </w:p>
    <w:p>
      <w:r>
        <w:t>Security Controls</w:t>
      </w:r>
    </w:p>
    <w:p>
      <w:r>
        <w:t>What This Means in Practice:</w:t>
      </w:r>
    </w:p>
    <w:p>
      <w:r>
        <w:t>Multiple layers of security</w:t>
      </w:r>
    </w:p>
    <w:p>
      <w:r>
        <w:t>Automatic detection and response</w:t>
      </w:r>
    </w:p>
    <w:p>
      <w:r>
        <w:t>Cryptographic verification ensures authenticity</w:t>
      </w:r>
    </w:p>
    <w:p>
      <w:r>
        <w:t>Continuous monitoring identifies issues</w:t>
      </w:r>
    </w:p>
    <w:p>
      <w:r>
        <w:t>Example:</w:t>
      </w:r>
    </w:p>
    <w:p>
      <w:r>
        <w:t>A malicious actor corrupts one oracle feed. The price deviates by 3% from the median. The system automatically excludes the outlier. The feed is quarantined for 24 hours. The consensus price uses the remaining feeds. The attack fails.</w:t>
      </w:r>
    </w:p>
    <w:p>
      <w:r>
        <w:t>Why This Matters:</w:t>
      </w:r>
    </w:p>
    <w:p>
      <w:r>
        <w:t>Multiple layers prevent single-point failure</w:t>
      </w:r>
    </w:p>
    <w:p>
      <w:r>
        <w:t>Automatic responses prevent delay</w:t>
      </w:r>
    </w:p>
    <w:p>
      <w:r>
        <w:t>Cryptographic verification ensures trust</w:t>
      </w:r>
    </w:p>
    <w:p>
      <w:r>
        <w:t>Monitoring detects issues early</w:t>
      </w:r>
    </w:p>
    <w:p>
      <w:r>
        <w:t>Threat Mitigation</w:t>
      </w:r>
    </w:p>
    <w:p>
      <w:r>
        <w:t>What This Means in Practice:</w:t>
      </w:r>
    </w:p>
    <w:p>
      <w:r>
        <w:t>Threats are identified and mitigated</w:t>
      </w:r>
    </w:p>
    <w:p>
      <w:r>
        <w:t>Multiple layers prevent exploitation</w:t>
      </w:r>
    </w:p>
    <w:p>
      <w:r>
        <w:t>Fallback mechanisms ensure continuity</w:t>
      </w:r>
    </w:p>
    <w:p>
      <w:r>
        <w:t>Transparency enables verification</w:t>
      </w:r>
    </w:p>
    <w:p>
      <w:r>
        <w:t>Example:</w:t>
      </w:r>
    </w:p>
    <w:p>
      <w:r>
        <w:t>A coordinated attack corrupts 4 oracle families. The system requires 5 of 8 families for consensus. The attack fails to achieve consensus. The system falls back to the Constitutional Oracle or Internal Pricing Committee. The Institution continues to operate.</w:t>
      </w:r>
    </w:p>
    <w:p>
      <w:r>
        <w:t>Why This Matters:</w:t>
      </w:r>
    </w:p>
    <w:p>
      <w:r>
        <w:t>Comprehensive threat identification</w:t>
      </w:r>
    </w:p>
    <w:p>
      <w:r>
        <w:t>Multiple layers of protection</w:t>
      </w:r>
    </w:p>
    <w:p>
      <w:r>
        <w:t>Fallback mechanisms ensure continuity</w:t>
      </w:r>
    </w:p>
    <w:p>
      <w:r>
        <w:t>Transparency enables accountability</w:t>
      </w:r>
    </w:p>
    <w:p>
      <w:r>
        <w:t>Oracle Monitoring</w:t>
      </w:r>
    </w:p>
    <w:p>
      <w:r>
        <w:t>Monitoring Metrics</w:t>
      </w:r>
    </w:p>
    <w:p>
      <w:r>
        <w:t>What This Means in Practice:</w:t>
      </w:r>
    </w:p>
    <w:p>
      <w:r>
        <w:t>Metrics are continuously monitored</w:t>
      </w:r>
    </w:p>
    <w:p>
      <w:r>
        <w:t>Alerts trigger defined responses</w:t>
      </w:r>
    </w:p>
    <w:p>
      <w:r>
        <w:t>Escalation is proportional</w:t>
      </w:r>
    </w:p>
    <w:p>
      <w:r>
        <w:t>The system is transparent</w:t>
      </w:r>
    </w:p>
    <w:p>
      <w:r>
        <w:t>Example:</w:t>
      </w:r>
    </w:p>
    <w:p>
      <w:r>
        <w:t>Oracle uptime falls below 99.99%. An alert is triggered. The Technical Committee investigates. The issue is identified and resolved. The system returns to normal.</w:t>
      </w:r>
    </w:p>
    <w:p>
      <w:r>
        <w:t>Why This Matters:</w:t>
      </w:r>
    </w:p>
    <w:p>
      <w:r>
        <w:t>Monitoring detects issues early</w:t>
      </w:r>
    </w:p>
    <w:p>
      <w:r>
        <w:t>Alerts enable rapid response</w:t>
      </w:r>
    </w:p>
    <w:p>
      <w:r>
        <w:t>Transparency enables verification</w:t>
      </w:r>
    </w:p>
    <w:p>
      <w:r>
        <w:t>Accountability maintains integrity</w:t>
      </w:r>
    </w:p>
    <w:p>
      <w:r>
        <w:t>Monitoring Dashboard</w:t>
      </w:r>
    </w:p>
    <w:p>
      <w:r>
        <w:t>What This Means in Practice:</w:t>
      </w:r>
    </w:p>
    <w:p>
      <w:r>
        <w:t>A dashboard provides visibility into oracle health</w:t>
      </w:r>
    </w:p>
    <w:p>
      <w:r>
        <w:t>Real-time updates enable rapid response</w:t>
      </w:r>
    </w:p>
    <w:p>
      <w:r>
        <w:t>Historical data enables analysis</w:t>
      </w:r>
    </w:p>
    <w:p>
      <w:r>
        <w:t>Alert status enables awareness</w:t>
      </w:r>
    </w:p>
    <w:p>
      <w:r>
        <w:t>Example:</w:t>
      </w:r>
    </w:p>
    <w:p>
      <w:r>
        <w:t>The Technical Committee monitors the oracle dashboard in real-time. The dashboard shows all oracle families, their status, and any alerts. The Committee can quickly identify and address issues.</w:t>
      </w:r>
    </w:p>
    <w:p>
      <w:r>
        <w:t>Why This Matters:</w:t>
      </w:r>
    </w:p>
    <w:p>
      <w:r>
        <w:t>Visibility enables rapid response</w:t>
      </w:r>
    </w:p>
    <w:p>
      <w:r>
        <w:t>Real-time updates prevent delays</w:t>
      </w:r>
    </w:p>
    <w:p>
      <w:r>
        <w:t>Historical data enables analysis</w:t>
      </w:r>
    </w:p>
    <w:p>
      <w:r>
        <w:t>Alert status enables awareness</w:t>
      </w:r>
    </w:p>
    <w:p>
      <w:r>
        <w:t>Summary Table</w:t>
      </w:r>
    </w:p>
    <w:p>
      <w:r>
        <w:t>Constitutional Interpretation</w:t>
      </w:r>
    </w:p>
    <w:p>
      <w:r>
        <w:t>The Oracle Architecture establishes the data feed infrastructure for the Institution:</w:t>
      </w:r>
    </w:p>
    <w:p>
      <w:r>
        <w:t>8 independent oracle families provide data: Chainlink, Pyth, Chronicle, RedStone, LBMA, Central Bank Feeds, Internal Pricing Committee, and Constitutional Oracle</w:t>
      </w:r>
    </w:p>
    <w:p>
      <w:r>
        <w:t>Data is aggregated using medianization and 2% outlier exclusion</w:t>
      </w:r>
    </w:p>
    <w:p>
      <w:r>
        <w:t>Consensus requires at least 5 of 8 families to agree</w:t>
      </w:r>
    </w:p>
    <w:p>
      <w:r>
        <w:t>Constitutional validation ensures prices are within 5% of previous</w:t>
      </w:r>
    </w:p>
    <w:p>
      <w:r>
        <w:t>Fallback hierarchy ensures data availability: Chainlink → Pyth → Chronicle → RedStone → LBMA → Central Bank → Internal Committee → Constitutional Oracle</w:t>
      </w:r>
    </w:p>
    <w:p>
      <w:r>
        <w:t>Automatic quarantine isolates suspicious feeds for 24 hours</w:t>
      </w:r>
    </w:p>
    <w:p>
      <w:r>
        <w:t>48-hour TWAP from AMM pool provides the ultimate fallback</w:t>
      </w:r>
    </w:p>
    <w:p>
      <w:r>
        <w:t>Oracle architecture is the foundation of data integrity. It provides reliable, tamper-resistant, and continuously available market data. The system is resilient, transparent, and secure.</w:t>
      </w:r>
    </w:p>
    <w:p>
      <w:r>
        <w:t>[END OF PART 4, ARTICLE III — ORACLE ARCHITECTURE]</w:t>
      </w:r>
    </w:p>
    <w:p>
      <w:r>
        <w:t>Article IV: Interoperability</w:t>
      </w:r>
    </w:p>
    <w:p>
      <w:r>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r>
        <w:t>What This Means in Practice:</w:t>
      </w:r>
    </w:p>
    <w:p>
      <w:r>
        <w:t>The Institution supports ISO 20022 messaging standards</w:t>
      </w:r>
    </w:p>
    <w:p>
      <w:r>
        <w:t>APIs are open, documented, and secure</w:t>
      </w:r>
    </w:p>
    <w:p>
      <w:r>
        <w:t>Integration with existing systems is enabled</w:t>
      </w:r>
    </w:p>
    <w:p>
      <w:r>
        <w:t>The Institution complements SWIFT and other messaging networks</w:t>
      </w:r>
    </w:p>
    <w:p>
      <w:r>
        <w:t>Future interoperability with CBDCs is planned</w:t>
      </w:r>
    </w:p>
    <w:p>
      <w:r>
        <w:t>Example:</w:t>
      </w:r>
    </w:p>
    <w:p>
      <w:r>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r>
        <w:t>Why This Matters:</w:t>
      </w:r>
    </w:p>
    <w:p>
      <w:r>
        <w:t>Without interoperability, adoption is hindered</w:t>
      </w:r>
    </w:p>
    <w:p>
      <w:r>
        <w:t>Without interoperability, integration costs are high</w:t>
      </w:r>
    </w:p>
    <w:p>
      <w:r>
        <w:t>Without interoperability, the Institution is isolated</w:t>
      </w:r>
    </w:p>
    <w:p>
      <w:r>
        <w:t>Without interoperability, the Institution cannot serve global trade</w:t>
      </w:r>
    </w:p>
    <w:p>
      <w:r>
        <w:t>Interoperability enables seamless integration with existing systems</w:t>
      </w:r>
    </w:p>
    <w:p>
      <w:r>
        <w:t>Core Principles of Interoperability</w:t>
      </w:r>
    </w:p>
    <w:p>
      <w:pPr>
        <w:pStyle w:val="ListNumber"/>
        <w:ind w:left="425"/>
      </w:pPr>
      <w:r>
        <w:t>Complement, Don't Replace</w:t>
      </w:r>
    </w:p>
    <w:p>
      <w:r>
        <w:t>The Institution complements existing systems, not replaces them.</w:t>
      </w:r>
    </w:p>
    <w:p>
      <w:r>
        <w:t>What This Means in Practice:</w:t>
      </w:r>
    </w:p>
    <w:p>
      <w:r>
        <w:t>Existing messaging systems (SWIFT) remain valuable</w:t>
      </w:r>
    </w:p>
    <w:p>
      <w:r>
        <w:t>The Institution adds settlement efficiency</w:t>
      </w:r>
    </w:p>
    <w:p>
      <w:r>
        <w:t>Integration is incremental, not disruptive</w:t>
      </w:r>
    </w:p>
    <w:p>
      <w:r>
        <w:t>Participants keep their existing infrastructure</w:t>
      </w:r>
    </w:p>
    <w:p>
      <w:r>
        <w:t>Example:</w:t>
      </w:r>
    </w:p>
    <w:p>
      <w:r>
        <w:t>A bank keeps its SWIFT connection for messaging. It adds the Institution's API for settlement. The bank continues to use SWIFT for instructions and the Institution for settlement. The systems complement each other.</w:t>
      </w:r>
    </w:p>
    <w:p>
      <w:r>
        <w:t>Why This Matters:</w:t>
      </w:r>
    </w:p>
    <w:p>
      <w:r>
        <w:t>Complementarity reduces resistance to adoption</w:t>
      </w:r>
    </w:p>
    <w:p>
      <w:r>
        <w:t>Complementarity reduces integration costs</w:t>
      </w:r>
    </w:p>
    <w:p>
      <w:r>
        <w:t>Complementarity preserves existing investments</w:t>
      </w:r>
    </w:p>
    <w:p>
      <w:r>
        <w:t>Complementarity enables incremental adoption</w:t>
      </w:r>
    </w:p>
    <w:p>
      <w:pPr>
        <w:pStyle w:val="ListNumber"/>
        <w:ind w:left="425"/>
      </w:pPr>
      <w:r>
        <w:t>Standards-Based</w:t>
      </w:r>
    </w:p>
    <w:p>
      <w:r>
        <w:t>The Institution uses industry standards for interoperability.</w:t>
      </w:r>
    </w:p>
    <w:p>
      <w:r>
        <w:t>What This Means in Practice:</w:t>
      </w:r>
    </w:p>
    <w:p>
      <w:r>
        <w:t>ISO 20022 is the primary messaging standard</w:t>
      </w:r>
    </w:p>
    <w:p>
      <w:r>
        <w:t>APIs use REST and JSON</w:t>
      </w:r>
    </w:p>
    <w:p>
      <w:r>
        <w:t>Data formats are open and documented</w:t>
      </w:r>
    </w:p>
    <w:p>
      <w:r>
        <w:t>Security standards are followed</w:t>
      </w:r>
    </w:p>
    <w:p>
      <w:r>
        <w:t>Example:</w:t>
      </w:r>
    </w:p>
    <w:p>
      <w:r>
        <w:t>The Institution supports ISO 20022 messaging for settlement instructions. APIs use REST with JSON. Data formats are documented. TLS 1.3 is used for security. Standards are used where appropriate.</w:t>
      </w:r>
    </w:p>
    <w:p>
      <w:r>
        <w:t>Why This Matters:</w:t>
      </w:r>
    </w:p>
    <w:p>
      <w:r>
        <w:t>Standards enable compatibility</w:t>
      </w:r>
    </w:p>
    <w:p>
      <w:r>
        <w:t>Standards reduce integration costs</w:t>
      </w:r>
    </w:p>
    <w:p>
      <w:r>
        <w:t>Standards ensure consistency</w:t>
      </w:r>
    </w:p>
    <w:p>
      <w:r>
        <w:t>Standards build trust</w:t>
      </w:r>
    </w:p>
    <w:p>
      <w:pPr>
        <w:pStyle w:val="ListNumber"/>
        <w:ind w:left="425"/>
      </w:pPr>
      <w:r>
        <w:t>Secure</w:t>
      </w:r>
    </w:p>
    <w:p>
      <w:r>
        <w:t>Interoperability is secure.</w:t>
      </w:r>
    </w:p>
    <w:p>
      <w:r>
        <w:t>What This Means in Practice:</w:t>
      </w:r>
    </w:p>
    <w:p>
      <w:r>
        <w:t>Authentication is required</w:t>
      </w:r>
    </w:p>
    <w:p>
      <w:r>
        <w:t>Authorization is enforced</w:t>
      </w:r>
    </w:p>
    <w:p>
      <w:r>
        <w:t>Encryption protects data</w:t>
      </w:r>
    </w:p>
    <w:p>
      <w:r>
        <w:t>Audit trails are maintained</w:t>
      </w:r>
    </w:p>
    <w:p>
      <w:r>
        <w:t>Example:</w:t>
      </w:r>
    </w:p>
    <w:p>
      <w:r>
        <w:t>API calls require authentication and authorization. All data is encrypted in transit. Audit trails are maintained for all integrations. Security is built into interoperability.</w:t>
      </w:r>
    </w:p>
    <w:p>
      <w:r>
        <w:t>Why This Matters:</w:t>
      </w:r>
    </w:p>
    <w:p>
      <w:r>
        <w:t>Security prevents unauthorized access</w:t>
      </w:r>
    </w:p>
    <w:p>
      <w:r>
        <w:t>Security protects data</w:t>
      </w:r>
    </w:p>
    <w:p>
      <w:r>
        <w:t>Security maintains trust</w:t>
      </w:r>
    </w:p>
    <w:p>
      <w:r>
        <w:t>Security is essential to institutional integrity</w:t>
      </w:r>
    </w:p>
    <w:p>
      <w:pPr>
        <w:pStyle w:val="ListNumber"/>
        <w:ind w:left="425"/>
      </w:pPr>
      <w:r>
        <w:t>Open</w:t>
      </w:r>
    </w:p>
    <w:p>
      <w:r>
        <w:t>Interoperability is open and transparent.</w:t>
      </w:r>
    </w:p>
    <w:p>
      <w:r>
        <w:t>What This Means in Practice:</w:t>
      </w:r>
    </w:p>
    <w:p>
      <w:r>
        <w:t>APIs are publicly documented</w:t>
      </w:r>
    </w:p>
    <w:p>
      <w:r>
        <w:t>Integration is available to all eligible participants</w:t>
      </w:r>
    </w:p>
    <w:p>
      <w:r>
        <w:t>No proprietary lock-in</w:t>
      </w:r>
    </w:p>
    <w:p>
      <w:r>
        <w:t>Standards are publicly available</w:t>
      </w:r>
    </w:p>
    <w:p>
      <w:r>
        <w:t>Example:</w:t>
      </w:r>
    </w:p>
    <w:p>
      <w:r>
        <w:t>The Institution publishes complete API documentation. Any eligible participant can integrate. No proprietary formats or protocols are used. The integration is open and transparent.</w:t>
      </w:r>
    </w:p>
    <w:p>
      <w:r>
        <w:t>Why This Matters:</w:t>
      </w:r>
    </w:p>
    <w:p>
      <w:r>
        <w:t>Openness enables broad adoption</w:t>
      </w:r>
    </w:p>
    <w:p>
      <w:r>
        <w:t>Openness prevents lock-in</w:t>
      </w:r>
    </w:p>
    <w:p>
      <w:r>
        <w:t>Openness fosters competition</w:t>
      </w:r>
    </w:p>
    <w:p>
      <w:r>
        <w:t>Openness builds trust</w:t>
      </w:r>
    </w:p>
    <w:p>
      <w:pPr>
        <w:pStyle w:val="ListNumber"/>
        <w:ind w:left="425"/>
      </w:pPr>
      <w:r>
        <w:t>Future-Ready</w:t>
      </w:r>
    </w:p>
    <w:p>
      <w:r>
        <w:t>Interoperability is designed for future evolution.</w:t>
      </w:r>
    </w:p>
    <w:p>
      <w:r>
        <w:t>What This Means in Practice:</w:t>
      </w:r>
    </w:p>
    <w:p>
      <w:r>
        <w:t>CBDC interoperability is planned</w:t>
      </w:r>
    </w:p>
    <w:p>
      <w:r>
        <w:t>New messaging standards are supported</w:t>
      </w:r>
    </w:p>
    <w:p>
      <w:r>
        <w:t>APIs are versioned for evolution</w:t>
      </w:r>
    </w:p>
    <w:p>
      <w:r>
        <w:t>The system is designed for change</w:t>
      </w:r>
    </w:p>
    <w:p>
      <w:r>
        <w:t>Example:</w:t>
      </w:r>
    </w:p>
    <w:p>
      <w:r>
        <w:t>The Institution is planning integration with CBDCs. ISO 20022 version updates are supported. APIs are versioned. The system is designed to evolve as the financial landscape changes.</w:t>
      </w:r>
    </w:p>
    <w:p>
      <w:r>
        <w:t>Why This Matters:</w:t>
      </w:r>
    </w:p>
    <w:p>
      <w:r>
        <w:t>Future-readiness ensures long-term relevance</w:t>
      </w:r>
    </w:p>
    <w:p>
      <w:r>
        <w:t>Future-readiness supports evolution</w:t>
      </w:r>
    </w:p>
    <w:p>
      <w:r>
        <w:t>Future-readiness prevents obsolescence</w:t>
      </w:r>
    </w:p>
    <w:p>
      <w:r>
        <w:t>Future-readiness enables adaptation</w:t>
      </w:r>
    </w:p>
    <w:p>
      <w:r>
        <w:t>ISO 20022 Messaging Integration</w:t>
      </w:r>
    </w:p>
    <w:p>
      <w:r>
        <w:t>Supported Message Types</w:t>
      </w:r>
    </w:p>
    <w:p>
      <w:r>
        <w:t>What This Means in Practice:</w:t>
      </w:r>
    </w:p>
    <w:p>
      <w:r>
        <w:t>The Institution supports key ISO 20022 message types</w:t>
      </w:r>
    </w:p>
    <w:p>
      <w:r>
        <w:t>Payment initiation messages are supported</w:t>
      </w:r>
    </w:p>
    <w:p>
      <w:r>
        <w:t>Settlement confirmation messages are supported</w:t>
      </w:r>
    </w:p>
    <w:p>
      <w:r>
        <w:t>Trade finance messages are supported</w:t>
      </w:r>
    </w:p>
    <w:p>
      <w:r>
        <w:t>Reporting messages are supported</w:t>
      </w:r>
    </w:p>
    <w:p>
      <w:r>
        <w:t>Example:</w:t>
      </w:r>
    </w:p>
    <w:p>
      <w:r>
        <w:t>A bank sends a pacs.008 customer credit transfer message to the Institution. The Institution processes the message, executes the settlement, and returns a pacs.002 payment status message. The transaction is complete.</w:t>
      </w:r>
    </w:p>
    <w:p>
      <w:r>
        <w:t>Why This Matters:</w:t>
      </w:r>
    </w:p>
    <w:p>
      <w:r>
        <w:t>ISO 20022 is the global messaging standard</w:t>
      </w:r>
    </w:p>
    <w:p>
      <w:r>
        <w:t>Support for key message types enables integration</w:t>
      </w:r>
    </w:p>
    <w:p>
      <w:r>
        <w:t>Payment messages cover most use cases</w:t>
      </w:r>
    </w:p>
    <w:p>
      <w:r>
        <w:t>Trade finance messages support trade settlement</w:t>
      </w:r>
    </w:p>
    <w:p>
      <w:r>
        <w:t>Reporting messages support reconciliation</w:t>
      </w:r>
    </w:p>
    <w:p>
      <w:r>
        <w:t>Message Mapping</w:t>
      </w:r>
    </w:p>
    <w:p>
      <w:r>
        <w:t>pacS.008 — Customer Credit Transfer</w:t>
      </w:r>
    </w:p>
    <w:p>
      <w:r>
        <w:t>Example Mapping:</w:t>
      </w:r>
    </w:p>
    <w:p>
      <w:r>
        <w:t>text</w:t>
      </w:r>
    </w:p>
    <w:p>
      <w:r>
        <w:t>ISO 20022 XML:</w:t>
      </w:r>
    </w:p>
    <w:p>
      <w:r>
        <w:t>&lt;Document&gt;</w:t>
      </w:r>
    </w:p>
    <w:p>
      <w:r>
        <w:t>&lt;pacs.008&gt;</w:t>
      </w:r>
    </w:p>
    <w:p>
      <w:r>
        <w:t>&lt;GrpHdr&gt;</w:t>
      </w:r>
    </w:p>
    <w:p>
      <w:r>
        <w:t>&lt;MsgId&gt;MSG123456&lt;/MsgId&gt;</w:t>
      </w:r>
    </w:p>
    <w:p>
      <w:r>
        <w:t>&lt;CreDtTm&gt;2026-01-15T10:00:00Z&lt;/CreDtTm&gt;</w:t>
      </w:r>
    </w:p>
    <w:p>
      <w:r>
        <w:t>&lt;/GrpHdr&gt;</w:t>
      </w:r>
    </w:p>
    <w:p>
      <w:r>
        <w:t>&lt;PmtInf&gt;</w:t>
      </w:r>
    </w:p>
    <w:p>
      <w:r>
        <w:t>&lt;PmtInfId&gt;PMT123456&lt;/PmtInfId&gt;</w:t>
      </w:r>
    </w:p>
    <w:p>
      <w:r>
        <w:t>&lt;PmtMtd&gt;TRF&lt;/PmtMtd&gt;</w:t>
      </w:r>
    </w:p>
    <w:p>
      <w:r>
        <w:t>&lt;PmtTpInf&gt;</w:t>
      </w:r>
    </w:p>
    <w:p>
      <w:r>
        <w:t>&lt;SvcLvl&gt;</w:t>
      </w:r>
    </w:p>
    <w:p>
      <w:r>
        <w:t>&lt;Cd&gt;URGP&lt;/Cd&gt;</w:t>
      </w:r>
    </w:p>
    <w:p>
      <w:r>
        <w:t>&lt;/SvcLvl&gt;</w:t>
      </w:r>
    </w:p>
    <w:p>
      <w:r>
        <w:t>&lt;/PmtTpInf&gt;</w:t>
      </w:r>
    </w:p>
    <w:p>
      <w:r>
        <w:t>&lt;Dbtr&gt;</w:t>
      </w:r>
    </w:p>
    <w:p>
      <w:r>
        <w:t>&lt;Nm&gt;Central Bank XYZ&lt;/Nm&gt;</w:t>
      </w:r>
    </w:p>
    <w:p>
      <w:r>
        <w:t>&lt;/Dbtr&gt;</w:t>
      </w:r>
    </w:p>
    <w:p>
      <w:r>
        <w:t>&lt;DbtrAcct&gt;</w:t>
      </w:r>
    </w:p>
    <w:p>
      <w:r>
        <w:t>&lt;Id&gt;</w:t>
      </w:r>
    </w:p>
    <w:p>
      <w:r>
        <w:t>&lt;IBAN&gt;AE1234567890&lt;/IBAN&gt;</w:t>
      </w:r>
    </w:p>
    <w:p>
      <w:r>
        <w:t>&lt;/Id&gt;</w:t>
      </w:r>
    </w:p>
    <w:p>
      <w:r>
        <w:t>&lt;/DbtrAcct&gt;</w:t>
      </w:r>
    </w:p>
    <w:p>
      <w:r>
        <w:t>&lt;Cdtr&gt;</w:t>
      </w:r>
    </w:p>
    <w:p>
      <w:r>
        <w:t>&lt;Nm&gt;Central Bank ABC&lt;/Nm&gt;</w:t>
      </w:r>
    </w:p>
    <w:p>
      <w:r>
        <w:t>&lt;/Cdtr&gt;</w:t>
      </w:r>
    </w:p>
    <w:p>
      <w:r>
        <w:t>&lt;CdtrAcct&gt;</w:t>
      </w:r>
    </w:p>
    <w:p>
      <w:r>
        <w:t>&lt;Id&gt;</w:t>
      </w:r>
    </w:p>
    <w:p>
      <w:r>
        <w:t>&lt;IBAN&gt;SG1234567890&lt;/IBAN&gt;</w:t>
      </w:r>
    </w:p>
    <w:p>
      <w:r>
        <w:t>&lt;/Id&gt;</w:t>
      </w:r>
    </w:p>
    <w:p>
      <w:r>
        <w:t>&lt;/CdtrAcct&gt;</w:t>
      </w:r>
    </w:p>
    <w:p>
      <w:r>
        <w:t>&lt;Amt&gt;</w:t>
      </w:r>
    </w:p>
    <w:p>
      <w:r>
        <w:t>&lt;InstdAmt Ccy="USD"&gt;10000000.00&lt;/InstdAmt&gt;</w:t>
      </w:r>
    </w:p>
    <w:p>
      <w:r>
        <w:t>&lt;/Amt&gt;</w:t>
      </w:r>
    </w:p>
    <w:p>
      <w:r>
        <w:t>&lt;RmtInf&gt;</w:t>
      </w:r>
    </w:p>
    <w:p>
      <w:r>
        <w:t>&lt;Ustrd&gt;Trade Settlement&lt;/Ustrd&gt;</w:t>
      </w:r>
    </w:p>
    <w:p>
      <w:r>
        <w:t>&lt;/RmtInf&gt;</w:t>
      </w:r>
    </w:p>
    <w:p>
      <w:r>
        <w:t>&lt;/PmtInf&gt;</w:t>
      </w:r>
    </w:p>
    <w:p>
      <w:r>
        <w:t>&lt;/pacs.008&gt;</w:t>
      </w:r>
    </w:p>
    <w:p>
      <w:r>
        <w:t>&lt;/Document&gt;</w:t>
      </w:r>
    </w:p>
    <w:p>
      <w:r>
        <w:t>MTQ API Request:</w:t>
      </w:r>
    </w:p>
    <w:p>
      <w:r>
        <w:t>{</w:t>
      </w:r>
    </w:p>
    <w:p>
      <w:r>
        <w:t>"from_address": "0x123...ABC",</w:t>
      </w:r>
    </w:p>
    <w:p>
      <w:r>
        <w:t>"to_address": "0x456...DEF",</w:t>
      </w:r>
    </w:p>
    <w:p>
      <w:r>
        <w:t>"amount": "10000000.000000000000000000",</w:t>
      </w:r>
    </w:p>
    <w:p>
      <w:r>
        <w:t>"currency": "MTQ-S",</w:t>
      </w:r>
    </w:p>
    <w:p>
      <w:r>
        <w:t>"reference": "PAY123456",</w:t>
      </w:r>
    </w:p>
    <w:p>
      <w:r>
        <w:t>"timestamp": "2026-01-15T10:00:00Z",</w:t>
      </w:r>
    </w:p>
    <w:p>
      <w:r>
        <w:t>"signature": "0x789...GHI"</w:t>
      </w:r>
    </w:p>
    <w:p>
      <w:r>
        <w:t>}</w:t>
      </w:r>
    </w:p>
    <w:p>
      <w:r>
        <w:t>ISO 20022 Security</w:t>
      </w:r>
    </w:p>
    <w:p>
      <w:r>
        <w:t>What This Means in Practice:</w:t>
      </w:r>
    </w:p>
    <w:p>
      <w:r>
        <w:t>ISO 20022 messages are authenticated and encrypted</w:t>
      </w:r>
    </w:p>
    <w:p>
      <w:r>
        <w:t>Transport security protects data in transit</w:t>
      </w:r>
    </w:p>
    <w:p>
      <w:r>
        <w:t>Identity verification ensures sender authenticity</w:t>
      </w:r>
    </w:p>
    <w:p>
      <w:r>
        <w:t>Non-repudiation prevents denial of transactions</w:t>
      </w:r>
    </w:p>
    <w:p>
      <w:r>
        <w:t>Audit trails enable verification</w:t>
      </w:r>
    </w:p>
    <w:p>
      <w:r>
        <w:t>Example:</w:t>
      </w:r>
    </w:p>
    <w:p>
      <w:r>
        <w:t>An ISO 20022 message is signed with the sender's private key. The message is encrypted. TLS 1.3 protects transport. The Institution verifies the signature. The message is processed. The transaction is non-repudiable.</w:t>
      </w:r>
    </w:p>
    <w:p>
      <w:r>
        <w:t>Why This Matters:</w:t>
      </w:r>
    </w:p>
    <w:p>
      <w:r>
        <w:t>Security protects messages from tampering</w:t>
      </w:r>
    </w:p>
    <w:p>
      <w:r>
        <w:t>Encryption protects data from interception</w:t>
      </w:r>
    </w:p>
    <w:p>
      <w:r>
        <w:t>Authentication prevents impersonation</w:t>
      </w:r>
    </w:p>
    <w:p>
      <w:r>
        <w:t>Non-repudiation ensures accountability</w:t>
      </w:r>
    </w:p>
    <w:p>
      <w:r>
        <w:t>API Framework</w:t>
      </w:r>
    </w:p>
    <w:p>
      <w:r>
        <w:t>API Architecture</w:t>
      </w:r>
    </w:p>
    <w:p>
      <w:r>
        <w:t>text</w:t>
      </w:r>
    </w:p>
    <w:p>
      <w:r>
        <w:t>┌─────────────────────────────────────────────────────────────────────┐</w:t>
      </w:r>
    </w:p>
    <w:p>
      <w:r>
        <w:t>│                         API ARCHITECTURE                           │</w:t>
      </w:r>
    </w:p>
    <w:p>
      <w:r>
        <w:t>│                                                                     │</w:t>
      </w:r>
    </w:p>
    <w:p>
      <w:r>
        <w:t>│  ┌─────────────────────────────────────────────────────────────┐   │</w:t>
      </w:r>
    </w:p>
    <w:p>
      <w:r>
        <w:t>│  │                    API GATEWAY                              │   │</w:t>
      </w:r>
    </w:p>
    <w:p>
      <w:r>
        <w:t>│  │  ┌─────────────────────────────────────────────────────────┐│   │</w:t>
      </w:r>
    </w:p>
    <w:p>
      <w:r>
        <w:t>│  │  │ Authentication │ Authorization │ Rate Limiting        ││   │</w:t>
      </w:r>
    </w:p>
    <w:p>
      <w:r>
        <w:t>│  │  └─────────────────────────────────────────────────────────┘│   │</w:t>
      </w:r>
    </w:p>
    <w:p>
      <w:r>
        <w:t>│  └─────────────────────────────────────────────────────────────┘   │</w:t>
      </w:r>
    </w:p>
    <w:p>
      <w:r>
        <w:t>│                              │                                      │</w:t>
      </w:r>
    </w:p>
    <w:p>
      <w:r>
        <w:t>│                              ▼                                      │</w:t>
      </w:r>
    </w:p>
    <w:p>
      <w:r>
        <w:t>│  ┌─────────────────────────────────────────────────────────────┐   │</w:t>
      </w:r>
    </w:p>
    <w:p>
      <w:r>
        <w:t>│  │                    API SERVICES                            │   │</w:t>
      </w:r>
    </w:p>
    <w:p>
      <w:r>
        <w:t>│  │  ┌─────────────┐ ┌─────────────┐ ┌─────────────┐          │   │</w:t>
      </w:r>
    </w:p>
    <w:p>
      <w:r>
        <w:t>│  │  │ Settlement  │ │  Minting    │ │ Redemption  │          │   │</w:t>
      </w:r>
    </w:p>
    <w:p>
      <w:r>
        <w:t>│  │  │   API       │ │   API      │ │    API     │          │   │</w:t>
      </w:r>
    </w:p>
    <w:p>
      <w:r>
        <w:t>│  │  └─────────────┘ └─────────────┘ └─────────────┘          │   │</w:t>
      </w:r>
    </w:p>
    <w:p>
      <w:r>
        <w:t>│  │  ┌─────────────┐ ┌─────────────┐ ┌─────────────┐          │   │</w:t>
      </w:r>
    </w:p>
    <w:p>
      <w:r>
        <w:t>│  │  │  Balance    │ │  Reserve    │ │ Governance  │          │   │</w:t>
      </w:r>
    </w:p>
    <w:p>
      <w:r>
        <w:t>│  │  │   API       │ │   API      │ │    API     │          │   │</w:t>
      </w:r>
    </w:p>
    <w:p>
      <w:r>
        <w:t>│  │  └─────────────┘ └─────────────┘ └─────────────┘          │   │</w:t>
      </w:r>
    </w:p>
    <w:p>
      <w:r>
        <w:t>│  └─────────────────────────────────────────────────────────────┘   │</w:t>
      </w:r>
    </w:p>
    <w:p>
      <w:r>
        <w:t>└─────────────────────────────────────────────────────────────────────┘</w:t>
      </w:r>
    </w:p>
    <w:p>
      <w:r>
        <w:t>API Endpoints</w:t>
      </w:r>
    </w:p>
    <w:p>
      <w:r>
        <w:t>What This Means in Practice:</w:t>
      </w:r>
    </w:p>
    <w:p>
      <w:r>
        <w:t>Endpoints are organized by function</w:t>
      </w:r>
    </w:p>
    <w:p>
      <w:r>
        <w:t>Settlement API handles settlement instructions</w:t>
      </w:r>
    </w:p>
    <w:p>
      <w:r>
        <w:t>Minting API handles minting requests</w:t>
      </w:r>
    </w:p>
    <w:p>
      <w:r>
        <w:t>Redemption API handles redemption requests</w:t>
      </w:r>
    </w:p>
    <w:p>
      <w:r>
        <w:t>Balance API provides balance information</w:t>
      </w:r>
    </w:p>
    <w:p>
      <w:r>
        <w:t>Reserve API provides reserve information</w:t>
      </w:r>
    </w:p>
    <w:p>
      <w:r>
        <w:t>Governance API supports governance participation</w:t>
      </w:r>
    </w:p>
    <w:p>
      <w:r>
        <w:t>Example:</w:t>
      </w:r>
    </w:p>
    <w:p>
      <w:r>
        <w:t>A bank calls the settlement API to submit a settlement instruction. The API authenticates the request, validates the instruction, and submits it for processing. The API returns a transaction hash and status.</w:t>
      </w:r>
    </w:p>
    <w:p>
      <w:r>
        <w:t>Why This Matters:</w:t>
      </w:r>
    </w:p>
    <w:p>
      <w:r>
        <w:t>Organized endpoints enable integration</w:t>
      </w:r>
    </w:p>
    <w:p>
      <w:r>
        <w:t>Functional separation supports modular integration</w:t>
      </w:r>
    </w:p>
    <w:p>
      <w:r>
        <w:t>Authentication ensures security</w:t>
      </w:r>
    </w:p>
    <w:p>
      <w:r>
        <w:t>Standardized API reduces integration costs</w:t>
      </w:r>
    </w:p>
    <w:p>
      <w:r>
        <w:t>API Authentication</w:t>
      </w:r>
    </w:p>
    <w:p>
      <w:r>
        <w:t>Method: API Key + Digital Signature (ECDSA)</w:t>
      </w:r>
    </w:p>
    <w:p>
      <w:r>
        <w:t>What This Means in Practice:</w:t>
      </w:r>
    </w:p>
    <w:p>
      <w:r>
        <w:t>Each participant receives a unique API key</w:t>
      </w:r>
    </w:p>
    <w:p>
      <w:r>
        <w:t>Requests are signed with the participant's private key</w:t>
      </w:r>
    </w:p>
    <w:p>
      <w:r>
        <w:t>Signatures are verified by the API gateway</w:t>
      </w:r>
    </w:p>
    <w:p>
      <w:r>
        <w:t>Timestamps prevent replay attacks</w:t>
      </w:r>
    </w:p>
    <w:p>
      <w:r>
        <w:t>Expiry ensures freshness</w:t>
      </w:r>
    </w:p>
    <w:p>
      <w:r>
        <w:t>Example:</w:t>
      </w:r>
    </w:p>
    <w:p>
      <w:r>
        <w:t>text</w:t>
      </w:r>
    </w:p>
    <w:p>
      <w:r>
        <w:t>API Key: MITHQAL_API_KEY_1234567890</w:t>
      </w:r>
    </w:p>
    <w:p>
      <w:r>
        <w:t>Request Payload:</w:t>
      </w:r>
    </w:p>
    <w:p>
      <w:r>
        <w:t>{</w:t>
      </w:r>
    </w:p>
    <w:p>
      <w:r>
        <w:t>"from": "0x123...ABC",</w:t>
      </w:r>
    </w:p>
    <w:p>
      <w:r>
        <w:t>"to": "0x456...DEF",</w:t>
      </w:r>
    </w:p>
    <w:p>
      <w:r>
        <w:t>"amount": "10000.000000000000000000",</w:t>
      </w:r>
    </w:p>
    <w:p>
      <w:r>
        <w:t>"timestamp": "2026-01-15T10:00:00Z"</w:t>
      </w:r>
    </w:p>
    <w:p>
      <w:r>
        <w:t>}</w:t>
      </w:r>
    </w:p>
    <w:p>
      <w:r>
        <w:t>Signature: ECDSA_Signature(keccak256(Request Payload))</w:t>
      </w:r>
    </w:p>
    <w:p>
      <w:r>
        <w:t>Why This Matters:</w:t>
      </w:r>
    </w:p>
    <w:p>
      <w:r>
        <w:t>API key provides participant identification</w:t>
      </w:r>
    </w:p>
    <w:p>
      <w:r>
        <w:t>Signature provides authentication</w:t>
      </w:r>
    </w:p>
    <w:p>
      <w:r>
        <w:t>Timestamp provides replay protection</w:t>
      </w:r>
    </w:p>
    <w:p>
      <w:r>
        <w:t>Multiple factors provide security</w:t>
      </w:r>
    </w:p>
    <w:p>
      <w:r>
        <w:t>API Rate Limiting</w:t>
      </w:r>
    </w:p>
    <w:p>
      <w:r>
        <w:t>What This Means in Practice:</w:t>
      </w:r>
    </w:p>
    <w:p>
      <w:r>
        <w:t>Rate limits prevent abuse</w:t>
      </w:r>
    </w:p>
    <w:p>
      <w:r>
        <w:t>Burst limits allow occasional spikes</w:t>
      </w:r>
    </w:p>
    <w:p>
      <w:r>
        <w:t>Windows define the measurement period</w:t>
      </w:r>
    </w:p>
    <w:p>
      <w:r>
        <w:t>Limits are proportional to function</w:t>
      </w:r>
    </w:p>
    <w:p>
      <w:r>
        <w:t>Example:</w:t>
      </w:r>
    </w:p>
    <w:p>
      <w:r>
        <w:t>A participant submits 150 settlement instructions in one minute. The rate limit is 100 per minute. The first 100 are processed. The next 50 receive a "Rate Limit Exceeded" response. The participant waits 30 seconds and retries.</w:t>
      </w:r>
    </w:p>
    <w:p>
      <w:r>
        <w:t>Why This Matters:</w:t>
      </w:r>
    </w:p>
    <w:p>
      <w:r>
        <w:t>Rate limiting prevents denial of service</w:t>
      </w:r>
    </w:p>
    <w:p>
      <w:r>
        <w:t>Rate limiting ensures fair access</w:t>
      </w:r>
    </w:p>
    <w:p>
      <w:r>
        <w:t>Rate limiting maintains system stability</w:t>
      </w:r>
    </w:p>
    <w:p>
      <w:r>
        <w:t>Burst limits accommodate legitimate spikes</w:t>
      </w:r>
    </w:p>
    <w:p>
      <w:r>
        <w:t>API Error Codes</w:t>
      </w:r>
    </w:p>
    <w:p>
      <w:r>
        <w:t>What This Means in Practice:</w:t>
      </w:r>
    </w:p>
    <w:p>
      <w:r>
        <w:t>Standard HTTP error codes are used</w:t>
      </w:r>
    </w:p>
    <w:p>
      <w:r>
        <w:t>Each code has a clear meaning</w:t>
      </w:r>
    </w:p>
    <w:p>
      <w:r>
        <w:t>Each code has a recommended resolution</w:t>
      </w:r>
    </w:p>
    <w:p>
      <w:r>
        <w:t>Errors are consistent and predictable</w:t>
      </w:r>
    </w:p>
    <w:p>
      <w:r>
        <w:t>Example:</w:t>
      </w:r>
    </w:p>
    <w:p>
      <w:r>
        <w:t>A participant submits a request with an invalid signature. The API returns 401 Unauthorized. The participant corrects the signature and resubmits.</w:t>
      </w:r>
    </w:p>
    <w:p>
      <w:r>
        <w:t>Why This Matters:</w:t>
      </w:r>
    </w:p>
    <w:p>
      <w:r>
        <w:t>Standard codes reduce confusion</w:t>
      </w:r>
    </w:p>
    <w:p>
      <w:r>
        <w:t>Clear meanings enable troubleshooting</w:t>
      </w:r>
    </w:p>
    <w:p>
      <w:r>
        <w:t>Recommended resolutions guide participants</w:t>
      </w:r>
    </w:p>
    <w:p>
      <w:r>
        <w:t>Consistent errors enable automation</w:t>
      </w:r>
    </w:p>
    <w:p>
      <w:r>
        <w:t>API SDK</w:t>
      </w:r>
    </w:p>
    <w:p>
      <w:r>
        <w:t>The Institution provides SDKs for common languages:</w:t>
      </w:r>
    </w:p>
    <w:p>
      <w:r>
        <w:t>What This Means in Practice:</w:t>
      </w:r>
    </w:p>
    <w:p>
      <w:r>
        <w:t>SDKs simplify integration</w:t>
      </w:r>
    </w:p>
    <w:p>
      <w:r>
        <w:t>SDKs handle authentication</w:t>
      </w:r>
    </w:p>
    <w:p>
      <w:r>
        <w:t>SDKs handle error handling</w:t>
      </w:r>
    </w:p>
    <w:p>
      <w:r>
        <w:t>SDKs are open-source</w:t>
      </w:r>
    </w:p>
    <w:p>
      <w:r>
        <w:t>Example:</w:t>
      </w:r>
    </w:p>
    <w:p>
      <w:r>
        <w:t>javascript</w:t>
      </w:r>
    </w:p>
    <w:p>
      <w:r>
        <w:t>// JavaScript/TypeScript SDK</w:t>
      </w:r>
    </w:p>
    <w:p>
      <w:r>
        <w:t>import { MithqalClient } from '@mithqal/sdk';</w:t>
      </w:r>
    </w:p>
    <w:p>
      <w:r>
        <w:t>const client = new MithqalClient({</w:t>
      </w:r>
    </w:p>
    <w:p>
      <w:r>
        <w:t>apiKey: process.env.MTQ_API_KEY,</w:t>
      </w:r>
    </w:p>
    <w:p>
      <w:r>
        <w:t>privateKey: process.env.MTQ_PRIVATE_KEY,</w:t>
      </w:r>
    </w:p>
    <w:p>
      <w:r>
        <w:t>network: 'mainnet'</w:t>
      </w:r>
    </w:p>
    <w:p>
      <w:r>
        <w:t>});</w:t>
      </w:r>
    </w:p>
    <w:p>
      <w:r>
        <w:t>// Submit settlement</w:t>
      </w:r>
    </w:p>
    <w:p>
      <w:r>
        <w:t>const result = await client.settlement.submit({</w:t>
      </w:r>
    </w:p>
    <w:p>
      <w:r>
        <w:t>fromAddress: '0x123...ABC',</w:t>
      </w:r>
    </w:p>
    <w:p>
      <w:r>
        <w:t>toAddress: '0x456...DEF',</w:t>
      </w:r>
    </w:p>
    <w:p>
      <w:r>
        <w:t>amount: '10000.000000000000000000',</w:t>
      </w:r>
    </w:p>
    <w:p>
      <w:r>
        <w:t>currency: 'MTQ-S',</w:t>
      </w:r>
    </w:p>
    <w:p>
      <w:r>
        <w:t>reference: 'INV-2026-0001'</w:t>
      </w:r>
    </w:p>
    <w:p>
      <w:r>
        <w:t>});</w:t>
      </w:r>
    </w:p>
    <w:p>
      <w:r>
        <w:t>console.log(result.transactionHash);</w:t>
      </w:r>
    </w:p>
    <w:p>
      <w:r>
        <w:t>console.log(result.softFinalityTime);</w:t>
      </w:r>
    </w:p>
    <w:p>
      <w:r>
        <w:t>Why This Matters:</w:t>
      </w:r>
    </w:p>
    <w:p>
      <w:r>
        <w:t>SDKs reduce integration effort</w:t>
      </w:r>
    </w:p>
    <w:p>
      <w:r>
        <w:t>SDKs reduce errors</w:t>
      </w:r>
    </w:p>
    <w:p>
      <w:r>
        <w:t>SDKs ensure best practices</w:t>
      </w:r>
    </w:p>
    <w:p>
      <w:r>
        <w:t>SDKs enable rapid development</w:t>
      </w:r>
    </w:p>
    <w:p>
      <w:r>
        <w:t>SWIFT Integration</w:t>
      </w:r>
    </w:p>
    <w:p>
      <w:r>
        <w:t>Complement, Not Replace</w:t>
      </w:r>
    </w:p>
    <w:p>
      <w:r>
        <w:t>The Institution complements SWIFT; it does not replace it.</w:t>
      </w:r>
    </w:p>
    <w:p>
      <w:r>
        <w:t>What This Means in Practice:</w:t>
      </w:r>
    </w:p>
    <w:p>
      <w:r>
        <w:t>SWIFT carries the message</w:t>
      </w:r>
    </w:p>
    <w:p>
      <w:r>
        <w:t>The Institution carries the value</w:t>
      </w:r>
    </w:p>
    <w:p>
      <w:r>
        <w:t>The message and value are separate</w:t>
      </w:r>
    </w:p>
    <w:p>
      <w:r>
        <w:t>Both systems are used together</w:t>
      </w:r>
    </w:p>
    <w:p>
      <w:r>
        <w:t>Example:</w:t>
      </w:r>
    </w:p>
    <w:p>
      <w:r>
        <w:t>A bank uses SWIFT for messaging and the Institution for settlement. The SWIFT message instructs the Institution to settle. The Institution settles the value. The bank uses the Institution's API for settlement. The systems complement each other.</w:t>
      </w:r>
    </w:p>
    <w:p>
      <w:r>
        <w:t>Why This Matters:</w:t>
      </w:r>
    </w:p>
    <w:p>
      <w:r>
        <w:t>SWIFT investment is preserved</w:t>
      </w:r>
    </w:p>
    <w:p>
      <w:r>
        <w:t>Incremental adoption is possible</w:t>
      </w:r>
    </w:p>
    <w:p>
      <w:r>
        <w:t>No disruption to existing operations</w:t>
      </w:r>
    </w:p>
    <w:p>
      <w:r>
        <w:t>Clear value proposition</w:t>
      </w:r>
    </w:p>
    <w:p>
      <w:r>
        <w:t>Integration Model:</w:t>
      </w:r>
    </w:p>
    <w:p>
      <w:r>
        <w:t>text</w:t>
      </w:r>
    </w:p>
    <w:p>
      <w:r>
        <w:t>┌─────────────────────────────────────────────────────────────────────┐</w:t>
      </w:r>
    </w:p>
    <w:p>
      <w:r>
        <w:t>│                    SWIFT + MTQ INTEGRATION                         │</w:t>
      </w:r>
    </w:p>
    <w:p>
      <w:r>
        <w:t>│                                                                     │</w:t>
      </w:r>
    </w:p>
    <w:p>
      <w:r>
        <w:t>│  ┌─────────────────────────────────────────────────────────────┐   │</w:t>
      </w:r>
    </w:p>
    <w:p>
      <w:r>
        <w:t>│  │                         SWIFT                               │   │</w:t>
      </w:r>
    </w:p>
    <w:p>
      <w:r>
        <w:t>│  │  ┌─────────────────────────────────────────────────────────┐│   │</w:t>
      </w:r>
    </w:p>
    <w:p>
      <w:r>
        <w:t>│  │  │ MT/MX Messages: Payment Instruction (MT103/MT202)     ││   │</w:t>
      </w:r>
    </w:p>
    <w:p>
      <w:r>
        <w:t>│  │  │ Message carries the instruction to settle              ││   │</w:t>
      </w:r>
    </w:p>
    <w:p>
      <w:r>
        <w:t>│  │  └─────────────────────────────────────────────────────────┘│   │</w:t>
      </w:r>
    </w:p>
    <w:p>
      <w:r>
        <w:t>│  └─────────────────────────────────────────────────────────────┘   │</w:t>
      </w:r>
    </w:p>
    <w:p>
      <w:r>
        <w:t>│                              │                                      │</w:t>
      </w:r>
    </w:p>
    <w:p>
      <w:r>
        <w:t>│                              ▼                                      │</w:t>
      </w:r>
    </w:p>
    <w:p>
      <w:r>
        <w:t>│  ┌─────────────────────────────────────────────────────────────┐   │</w:t>
      </w:r>
    </w:p>
    <w:p>
      <w:r>
        <w:t>│  │                      INSTITUTION                            │   │</w:t>
      </w:r>
    </w:p>
    <w:p>
      <w:r>
        <w:t>│  │  ┌─────────────────────────────────────────────────────────┐│   │</w:t>
      </w:r>
    </w:p>
    <w:p>
      <w:r>
        <w:t>│  │  │ MTQ Settlement: 10-minute finality                     ││   │</w:t>
      </w:r>
    </w:p>
    <w:p>
      <w:r>
        <w:t>│  │  │ Settlement carries the value                           ││   │</w:t>
      </w:r>
    </w:p>
    <w:p>
      <w:r>
        <w:t>│  │  └─────────────────────────────────────────────────────────┘│   │</w:t>
      </w:r>
    </w:p>
    <w:p>
      <w:r>
        <w:t>│  └─────────────────────────────────────────────────────────────┘   │</w:t>
      </w:r>
    </w:p>
    <w:p>
      <w:r>
        <w:t>│                              │                                      │</w:t>
      </w:r>
    </w:p>
    <w:p>
      <w:r>
        <w:t>│                              ▼                                      │</w:t>
      </w:r>
    </w:p>
    <w:p>
      <w:r>
        <w:t>│  ┌─────────────────────────────────────────────────────────────┐   │</w:t>
      </w:r>
    </w:p>
    <w:p>
      <w:r>
        <w:t>│  │                         SWIFT                               │   │</w:t>
      </w:r>
    </w:p>
    <w:p>
      <w:r>
        <w:t>│  │  ┌─────────────────────────────────────────────────────────┐│   │</w:t>
      </w:r>
    </w:p>
    <w:p>
      <w:r>
        <w:t>│  │  │ MT/MX Messages: Confirmation (MT199/MT950)             ││   │</w:t>
      </w:r>
    </w:p>
    <w:p>
      <w:r>
        <w:t>│  │  │ Message confirms settlement                            ││   │</w:t>
      </w:r>
    </w:p>
    <w:p>
      <w:r>
        <w:t>│  │  └─────────────────────────────────────────────────────────┘│   │</w:t>
      </w:r>
    </w:p>
    <w:p>
      <w:r>
        <w:t>│  └─────────────────────────────────────────────────────────────┘   │</w:t>
      </w:r>
    </w:p>
    <w:p>
      <w:r>
        <w:t>└─────────────────────────────────────────────────────────────────────┘</w:t>
      </w:r>
    </w:p>
    <w:p>
      <w:r>
        <w:t>Why This Works:</w:t>
      </w:r>
    </w:p>
    <w:p>
      <w:r>
        <w:t>Existing Investment Preserved: Banks keep their SWIFT infrastructure</w:t>
      </w:r>
    </w:p>
    <w:p>
      <w:r>
        <w:t>Incremental Value: MTQ adds settlement efficiency</w:t>
      </w:r>
    </w:p>
    <w:p>
      <w:r>
        <w:t>Low Integration Cost: Simple API integration</w:t>
      </w:r>
    </w:p>
    <w:p>
      <w:r>
        <w:t>Clear ROI: 97% cost reduction</w:t>
      </w:r>
    </w:p>
    <w:p>
      <w:r>
        <w:t>Regulatory Clarity: Full regulatory compliance</w:t>
      </w:r>
    </w:p>
    <w:p>
      <w:r>
        <w:t>CBDC Interoperability</w:t>
      </w:r>
    </w:p>
    <w:p>
      <w:r>
        <w:t>CBDC Integration Architecture</w:t>
      </w:r>
    </w:p>
    <w:p>
      <w:r>
        <w:t>text</w:t>
      </w:r>
    </w:p>
    <w:p>
      <w:r>
        <w:t>┌─────────────────────────────────────────────────────────────────────┐</w:t>
      </w:r>
    </w:p>
    <w:p>
      <w:r>
        <w:t>│                    CBDC INTEROPERABILITY ARCHITECTURE              │</w:t>
      </w:r>
    </w:p>
    <w:p>
      <w:r>
        <w:t>│                                                                     │</w:t>
      </w:r>
    </w:p>
    <w:p>
      <w:r>
        <w:t>│  ┌─────────────────────────────────────────────────────────────┐   │</w:t>
      </w:r>
    </w:p>
    <w:p>
      <w:r>
        <w:t>│  │                       CBDC SYSTEMS                          │   │</w:t>
      </w:r>
    </w:p>
    <w:p>
      <w:r>
        <w:t>│  │  ┌─────────┐ ┌─────────┐ ┌─────────┐ ┌─────────┐          │   │</w:t>
      </w:r>
    </w:p>
    <w:p>
      <w:r>
        <w:t>│  │  │ Digital │ │ Digital │ │ Digital │ │ Digital │          │   │</w:t>
      </w:r>
    </w:p>
    <w:p>
      <w:r>
        <w:t>│  │  │ Dirham  │ │ Dollar  │ │  Euro   │ │  Yuan   │          │   │</w:t>
      </w:r>
    </w:p>
    <w:p>
      <w:r>
        <w:t>│  │  └─────────┘ └─────────┘ └─────────┘ └─────────┘          │   │</w:t>
      </w:r>
    </w:p>
    <w:p>
      <w:r>
        <w:t>│  └─────────────────────────────────────────────────────────────┘   │</w:t>
      </w:r>
    </w:p>
    <w:p>
      <w:r>
        <w:t>│                              │                                      │</w:t>
      </w:r>
    </w:p>
    <w:p>
      <w:r>
        <w:t>│                              ▼                                      │</w:t>
      </w:r>
    </w:p>
    <w:p>
      <w:r>
        <w:t>│  ┌─────────────────────────────────────────────────────────────┐   │</w:t>
      </w:r>
    </w:p>
    <w:p>
      <w:r>
        <w:t>│  │                    INTEROPERABILITY LAYER                   │   │</w:t>
      </w:r>
    </w:p>
    <w:p>
      <w:r>
        <w:t>│  │  ┌─────────────────────────────────────────────────────────┐│   │</w:t>
      </w:r>
    </w:p>
    <w:p>
      <w:r>
        <w:t>│  │  │ mBridge │ ISO 20022 │ SWIFT │ Custom Integration      ││   │</w:t>
      </w:r>
    </w:p>
    <w:p>
      <w:r>
        <w:t>│  │  └─────────────────────────────────────────────────────────┘│   │</w:t>
      </w:r>
    </w:p>
    <w:p>
      <w:r>
        <w:t>│  └─────────────────────────────────────────────────────────────┘   │</w:t>
      </w:r>
    </w:p>
    <w:p>
      <w:r>
        <w:t>│                              │                                      │</w:t>
      </w:r>
    </w:p>
    <w:p>
      <w:r>
        <w:t>│                              ▼                                      │</w:t>
      </w:r>
    </w:p>
    <w:p>
      <w:r>
        <w:t>│  ┌─────────────────────────────────────────────────────────────┐   │</w:t>
      </w:r>
    </w:p>
    <w:p>
      <w:r>
        <w:t>│  │                      INSTITUTION                            │   │</w:t>
      </w:r>
    </w:p>
    <w:p>
      <w:r>
        <w:t>│  │  ┌─────────────────────────────────────────────────────────┐│   │</w:t>
      </w:r>
    </w:p>
    <w:p>
      <w:r>
        <w:t>│  │  │ MTQ Settlement: 10-minute finality                     ││   │</w:t>
      </w:r>
    </w:p>
    <w:p>
      <w:r>
        <w:t>│  │  │ Cross-border settlement with CBDCs                     ││   │</w:t>
      </w:r>
    </w:p>
    <w:p>
      <w:r>
        <w:t>│  │  └─────────────────────────────────────────────────────────┘│   │</w:t>
      </w:r>
    </w:p>
    <w:p>
      <w:r>
        <w:t>│  └─────────────────────────────────────────────────────────────┘   │</w:t>
      </w:r>
    </w:p>
    <w:p>
      <w:r>
        <w:t>└─────────────────────────────────────────────────────────────────────┘</w:t>
      </w:r>
    </w:p>
    <w:p>
      <w:r>
        <w:t>mBridge Integration</w:t>
      </w:r>
    </w:p>
    <w:p>
      <w:r>
        <w:t>What This Means in Practice:</w:t>
      </w:r>
    </w:p>
    <w:p>
      <w:r>
        <w:t>mBridge enables CBDC interoperability</w:t>
      </w:r>
    </w:p>
    <w:p>
      <w:r>
        <w:t>The Institution can integrate with mBridge</w:t>
      </w:r>
    </w:p>
    <w:p>
      <w:r>
        <w:t>Settlement can occur between CBDCs and MTQ</w:t>
      </w:r>
    </w:p>
    <w:p>
      <w:r>
        <w:t>The integration is planned for the future</w:t>
      </w:r>
    </w:p>
    <w:p>
      <w:r>
        <w:t>Example:</w:t>
      </w:r>
    </w:p>
    <w:p>
      <w:r>
        <w:t>A trade settlement occurs between a Digital Dirham and MTQ. The transaction is routed through mBridge. The settlement is executed in 10 minutes. The value is transferred between the systems.</w:t>
      </w:r>
    </w:p>
    <w:p>
      <w:r>
        <w:t>Why This Matters:</w:t>
      </w:r>
    </w:p>
    <w:p>
      <w:r>
        <w:t>mBridge is a key CBDC interoperability platform</w:t>
      </w:r>
    </w:p>
    <w:p>
      <w:r>
        <w:t>Integration enables cross-border settlement</w:t>
      </w:r>
    </w:p>
    <w:p>
      <w:r>
        <w:t>Future-readiness ensures long-term relevance</w:t>
      </w:r>
    </w:p>
    <w:p>
      <w:r>
        <w:t>Support for CBDCs is essential for institutional adoption</w:t>
      </w:r>
    </w:p>
    <w:p>
      <w:r>
        <w:t>Digital Currency Integration Roadmap</w:t>
      </w:r>
    </w:p>
    <w:p>
      <w:r>
        <w:t>What This Means in Practice:</w:t>
      </w:r>
    </w:p>
    <w:p>
      <w:r>
        <w:t>Integration is phased</w:t>
      </w:r>
    </w:p>
    <w:p>
      <w:r>
        <w:t>Digital Dirham is first (UAE priority)</w:t>
      </w:r>
    </w:p>
    <w:p>
      <w:r>
        <w:t>mBridge is next (international)</w:t>
      </w:r>
    </w:p>
    <w:p>
      <w:r>
        <w:t>Major CBDCs follow</w:t>
      </w:r>
    </w:p>
    <w:p>
      <w:r>
        <w:t>Phased approach enables learning</w:t>
      </w:r>
    </w:p>
    <w:p>
      <w:r>
        <w:t>Why This Matters:</w:t>
      </w:r>
    </w:p>
    <w:p>
      <w:r>
        <w:t>Phased approach reduces risk</w:t>
      </w:r>
    </w:p>
    <w:p>
      <w:r>
        <w:t>Phased approach enables learning</w:t>
      </w:r>
    </w:p>
    <w:p>
      <w:r>
        <w:t>Phased approach builds momentum</w:t>
      </w:r>
    </w:p>
    <w:p>
      <w:r>
        <w:t>Future-readiness ensures long-term relevance</w:t>
      </w:r>
    </w:p>
    <w:p>
      <w:r>
        <w:t>Summary Table</w:t>
      </w:r>
    </w:p>
    <w:p>
      <w:r>
        <w:t>Constitutional Interpretation</w:t>
      </w:r>
    </w:p>
    <w:p>
      <w:r>
        <w:t>The Interoperability article establishes the technical framework for integration with existing systems:</w:t>
      </w:r>
    </w:p>
    <w:p>
      <w:r>
        <w:t>The Institution complements existing systems (SWIFT), it does not replace them</w:t>
      </w:r>
    </w:p>
    <w:p>
      <w:r>
        <w:t>ISO 20022 is the primary messaging standard</w:t>
      </w:r>
    </w:p>
    <w:p>
      <w:r>
        <w:t>REST APIs with JSON provide programmatic access</w:t>
      </w:r>
    </w:p>
    <w:p>
      <w:r>
        <w:t>API authentication uses API keys + digital signatures (ECDSA)</w:t>
      </w:r>
    </w:p>
    <w:p>
      <w:r>
        <w:t>Rate limiting ensures fair access and system stability</w:t>
      </w:r>
    </w:p>
    <w:p>
      <w:r>
        <w:t>SDKs simplify integration for participants</w:t>
      </w:r>
    </w:p>
    <w:p>
      <w:r>
        <w:t>CBDC interoperability is planned through mBridge and other channels</w:t>
      </w:r>
    </w:p>
    <w:p>
      <w:r>
        <w:t>Integration is future-ready and designed for evolution</w:t>
      </w:r>
    </w:p>
    <w:p>
      <w:r>
        <w:t>Interoperability is essential for institutional adoption. The Institution integrates seamlessly with existing systems, enabling participants to adopt the settlement infrastructure without disruption.</w:t>
      </w:r>
    </w:p>
    <w:p>
      <w:r>
        <w:t>[END OF PART 4, ARTICLE IV — INTEROPERABILITY]</w:t>
      </w:r>
    </w:p>
    <w:p>
      <w:r>
        <w:t>Article V: Security</w:t>
      </w:r>
    </w:p>
    <w:p>
      <w:r>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r>
        <w:t>What This Means in Practice:</w:t>
      </w:r>
    </w:p>
    <w:p>
      <w:r>
        <w:t>Security is built into the architecture from the ground up</w:t>
      </w:r>
    </w:p>
    <w:p>
      <w:r>
        <w:t>Multiple layers of defense protect against diverse threats</w:t>
      </w:r>
    </w:p>
    <w:p>
      <w:r>
        <w:t>Systems are monitored continuously for threats and anomalies</w:t>
      </w:r>
    </w:p>
    <w:p>
      <w:r>
        <w:t>Incident response procedures are defined and tested</w:t>
      </w:r>
    </w:p>
    <w:p>
      <w:r>
        <w:t>Security is continuously improved based on evolving threats</w:t>
      </w:r>
    </w:p>
    <w:p>
      <w:r>
        <w:t>Example:</w:t>
      </w:r>
    </w:p>
    <w:p>
      <w:r>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r>
        <w:t>Why This Matters:</w:t>
      </w:r>
    </w:p>
    <w:p>
      <w:r>
        <w:t>Without security, the Institution's assets and operations are vulnerable</w:t>
      </w:r>
    </w:p>
    <w:p>
      <w:r>
        <w:t>Without security, participants cannot trust the Institution</w:t>
      </w:r>
    </w:p>
    <w:p>
      <w:r>
        <w:t>Without security, the Institution cannot fulfill its constitutional purpose</w:t>
      </w:r>
    </w:p>
    <w:p>
      <w:r>
        <w:t>Without security, the Institution would be a target for malicious actors</w:t>
      </w:r>
    </w:p>
    <w:p>
      <w:r>
        <w:t>Security is the foundation of institutional trust and operational integrity</w:t>
      </w:r>
    </w:p>
    <w:p>
      <w:r>
        <w:t>Core Principles of Security Design</w:t>
      </w:r>
    </w:p>
    <w:p>
      <w:pPr>
        <w:pStyle w:val="ListNumber"/>
        <w:ind w:left="425"/>
      </w:pPr>
      <w:r>
        <w:t>Defense in Depth</w:t>
      </w:r>
    </w:p>
    <w:p>
      <w:r>
        <w:t>Multiple layers of security protect the Institution.</w:t>
      </w:r>
    </w:p>
    <w:p>
      <w:r>
        <w:t>What This Means in Practice:</w:t>
      </w:r>
    </w:p>
    <w:p>
      <w:r>
        <w:t>No single layer is relied upon for complete security</w:t>
      </w:r>
    </w:p>
    <w:p>
      <w:r>
        <w:t>If one layer fails, others continue to protect</w:t>
      </w:r>
    </w:p>
    <w:p>
      <w:r>
        <w:t>Layers are independent and complementary</w:t>
      </w:r>
    </w:p>
    <w:p>
      <w:r>
        <w:t>Redundancy is built into the security architecture</w:t>
      </w:r>
    </w:p>
    <w:p>
      <w:r>
        <w:t>Example:</w:t>
      </w:r>
    </w:p>
    <w:p>
      <w:r>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r>
        <w:t>Why This Matters:</w:t>
      </w:r>
    </w:p>
    <w:p>
      <w:r>
        <w:t>No single security measure is perfect</w:t>
      </w:r>
    </w:p>
    <w:p>
      <w:r>
        <w:t>Multiple layers provide redundancy</w:t>
      </w:r>
    </w:p>
    <w:p>
      <w:r>
        <w:t>Defense in depth prevents single points of failure</w:t>
      </w:r>
    </w:p>
    <w:p>
      <w:r>
        <w:t>Defense in depth increases overall security</w:t>
      </w:r>
    </w:p>
    <w:p>
      <w:pPr>
        <w:pStyle w:val="ListNumber"/>
        <w:ind w:left="425"/>
      </w:pPr>
      <w:r>
        <w:t>Zero Trust</w:t>
      </w:r>
    </w:p>
    <w:p>
      <w:r>
        <w:t>Never trust, always verify.</w:t>
      </w:r>
    </w:p>
    <w:p>
      <w:r>
        <w:t>What This Means in Practice:</w:t>
      </w:r>
    </w:p>
    <w:p>
      <w:r>
        <w:t>All access requests are authenticated and authorized</w:t>
      </w:r>
    </w:p>
    <w:p>
      <w:r>
        <w:t>No implicit trust is granted based on location or network</w:t>
      </w:r>
    </w:p>
    <w:p>
      <w:r>
        <w:t>All communications are encrypted and verified</w:t>
      </w:r>
    </w:p>
    <w:p>
      <w:r>
        <w:t>Access is granted on a least-privilege basis</w:t>
      </w:r>
    </w:p>
    <w:p>
      <w:r>
        <w:t>Example:</w:t>
      </w:r>
    </w:p>
    <w:p>
      <w:r>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r>
        <w:t>Why This Matters:</w:t>
      </w:r>
    </w:p>
    <w:p>
      <w:r>
        <w:t>Zero trust prevents lateral movement</w:t>
      </w:r>
    </w:p>
    <w:p>
      <w:r>
        <w:t>Zero trust reduces the impact of breaches</w:t>
      </w:r>
    </w:p>
    <w:p>
      <w:r>
        <w:t>Zero trust ensures access is always verified</w:t>
      </w:r>
    </w:p>
    <w:p>
      <w:r>
        <w:t>Zero trust is the modern security standard</w:t>
      </w:r>
    </w:p>
    <w:p>
      <w:pPr>
        <w:pStyle w:val="ListNumber"/>
        <w:ind w:left="425"/>
      </w:pPr>
      <w:r>
        <w:t>Least Privilege</w:t>
      </w:r>
    </w:p>
    <w:p>
      <w:r>
        <w:t>Users and systems have only the minimum permissions necessary.</w:t>
      </w:r>
    </w:p>
    <w:p>
      <w:r>
        <w:t>What This Means in Practice:</w:t>
      </w:r>
    </w:p>
    <w:p>
      <w:r>
        <w:t>Permissions are granted on a need-to-know basis</w:t>
      </w:r>
    </w:p>
    <w:p>
      <w:r>
        <w:t>Permissions are reviewed regularly</w:t>
      </w:r>
    </w:p>
    <w:p>
      <w:r>
        <w:t>Permissions are revoked when no longer needed</w:t>
      </w:r>
    </w:p>
    <w:p>
      <w:r>
        <w:t>Administrative access is tightly controlled</w:t>
      </w:r>
    </w:p>
    <w:p>
      <w:r>
        <w:t>Example:</w:t>
      </w:r>
    </w:p>
    <w:p>
      <w:r>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r>
        <w:t>Why This Matters:</w:t>
      </w:r>
    </w:p>
    <w:p>
      <w:r>
        <w:t>Least privilege limits the impact of breaches</w:t>
      </w:r>
    </w:p>
    <w:p>
      <w:r>
        <w:t>Least privilege prevents unauthorized actions</w:t>
      </w:r>
    </w:p>
    <w:p>
      <w:r>
        <w:t>Least privilege reduces the attack surface</w:t>
      </w:r>
    </w:p>
    <w:p>
      <w:r>
        <w:t>Least privilege is a foundational security principle</w:t>
      </w:r>
    </w:p>
    <w:p>
      <w:pPr>
        <w:pStyle w:val="ListNumber"/>
        <w:ind w:left="425"/>
      </w:pPr>
      <w:r>
        <w:t>Assume Breach</w:t>
      </w:r>
    </w:p>
    <w:p>
      <w:r>
        <w:t>Design for compromise, not just prevention.</w:t>
      </w:r>
    </w:p>
    <w:p>
      <w:r>
        <w:t>What This Means in Practice:</w:t>
      </w:r>
    </w:p>
    <w:p>
      <w:r>
        <w:t>The system is designed to survive compromise</w:t>
      </w:r>
    </w:p>
    <w:p>
      <w:r>
        <w:t>Detection capabilities are prioritized</w:t>
      </w:r>
    </w:p>
    <w:p>
      <w:r>
        <w:t>Recovery procedures are defined and tested</w:t>
      </w:r>
    </w:p>
    <w:p>
      <w:r>
        <w:t>Breach scenarios are practiced</w:t>
      </w:r>
    </w:p>
    <w:p>
      <w:r>
        <w:t>Example:</w:t>
      </w:r>
    </w:p>
    <w:p>
      <w:r>
        <w:t>An attacker compromises a system. The system's design limits the attacker's ability to move laterally. The monitoring system detects the compromise. The incident response team is notified and begins containment. The backup systems are restored. The system recovers.</w:t>
      </w:r>
    </w:p>
    <w:p>
      <w:r>
        <w:t>Why This Matters:</w:t>
      </w:r>
    </w:p>
    <w:p>
      <w:r>
        <w:t>Prevention is not perfect</w:t>
      </w:r>
    </w:p>
    <w:p>
      <w:r>
        <w:t>Breaches will occur</w:t>
      </w:r>
    </w:p>
    <w:p>
      <w:r>
        <w:t>Detection and recovery are essential</w:t>
      </w:r>
    </w:p>
    <w:p>
      <w:r>
        <w:t>Assume breach enables resilience</w:t>
      </w:r>
    </w:p>
    <w:p>
      <w:pPr>
        <w:pStyle w:val="ListNumber"/>
        <w:ind w:left="425"/>
      </w:pPr>
      <w:r>
        <w:t>Transparency</w:t>
      </w:r>
    </w:p>
    <w:p>
      <w:r>
        <w:t>Security is transparent and auditable.</w:t>
      </w:r>
    </w:p>
    <w:p>
      <w:r>
        <w:t>What This Means in Practice:</w:t>
      </w:r>
    </w:p>
    <w:p>
      <w:r>
        <w:t>Security controls are documented</w:t>
      </w:r>
    </w:p>
    <w:p>
      <w:r>
        <w:t>Security incidents are disclosed</w:t>
      </w:r>
    </w:p>
    <w:p>
      <w:r>
        <w:t>Security audits are published</w:t>
      </w:r>
    </w:p>
    <w:p>
      <w:r>
        <w:t>Security practices are open to review</w:t>
      </w:r>
    </w:p>
    <w:p>
      <w:r>
        <w:t>Example:</w:t>
      </w:r>
    </w:p>
    <w:p>
      <w:r>
        <w:t>The Institution publishes its security architecture, audit reports, and incident response procedures. Participants can verify the security of the Institution. Transparency builds trust.</w:t>
      </w:r>
    </w:p>
    <w:p>
      <w:r>
        <w:t>Why This Matters:</w:t>
      </w:r>
    </w:p>
    <w:p>
      <w:r>
        <w:t>Transparency builds trust</w:t>
      </w:r>
    </w:p>
    <w:p>
      <w:r>
        <w:t>Transparency enables verification</w:t>
      </w:r>
    </w:p>
    <w:p>
      <w:r>
        <w:t>Transparency ensures accountability</w:t>
      </w:r>
    </w:p>
    <w:p>
      <w:r>
        <w:t>Transparency prevents cover-ups</w:t>
      </w:r>
    </w:p>
    <w:p>
      <w:pPr>
        <w:pStyle w:val="ListNumber"/>
        <w:ind w:left="425"/>
      </w:pPr>
      <w:r>
        <w:t>Continuous Improvement</w:t>
      </w:r>
    </w:p>
    <w:p>
      <w:r>
        <w:t>Security is never complete.</w:t>
      </w:r>
    </w:p>
    <w:p>
      <w:r>
        <w:t>What This Means in Practice:</w:t>
      </w:r>
    </w:p>
    <w:p>
      <w:r>
        <w:t>Security is continuously monitored</w:t>
      </w:r>
    </w:p>
    <w:p>
      <w:r>
        <w:t>Security is continuously tested</w:t>
      </w:r>
    </w:p>
    <w:p>
      <w:r>
        <w:t>Security is continuously improved</w:t>
      </w:r>
    </w:p>
    <w:p>
      <w:r>
        <w:t>Security evolves with threats</w:t>
      </w:r>
    </w:p>
    <w:p>
      <w:r>
        <w:t>Example:</w:t>
      </w:r>
    </w:p>
    <w:p>
      <w:r>
        <w:t>The Institution conducts regular security assessments, penetration tests, and audits. Findings are addressed. Security controls are updated. The security posture is continuously improved. Security is never "done."</w:t>
      </w:r>
    </w:p>
    <w:p>
      <w:r>
        <w:t>Why This Matters:</w:t>
      </w:r>
    </w:p>
    <w:p>
      <w:r>
        <w:t>Threats evolve</w:t>
      </w:r>
    </w:p>
    <w:p>
      <w:r>
        <w:t>Vulnerabilities are discovered</w:t>
      </w:r>
    </w:p>
    <w:p>
      <w:r>
        <w:t>Improvements are always possible</w:t>
      </w:r>
    </w:p>
    <w:p>
      <w:r>
        <w:t>Continuous improvement maintains security</w:t>
      </w:r>
    </w:p>
    <w:p>
      <w:r>
        <w:t>Security Architecture</w:t>
      </w:r>
    </w:p>
    <w:p>
      <w:r>
        <w:t>Architecture Overview</w:t>
      </w:r>
    </w:p>
    <w:p>
      <w:r>
        <w:t>text</w:t>
      </w:r>
    </w:p>
    <w:p>
      <w:r>
        <w:t>┌─────────────────────────────────────────────────────────────────────┐</w:t>
      </w:r>
    </w:p>
    <w:p>
      <w:r>
        <w:t>│                      SECURITY ARCHITECTURE                         │</w:t>
      </w:r>
    </w:p>
    <w:p>
      <w:r>
        <w:t>│                                                                     │</w:t>
      </w:r>
    </w:p>
    <w:p>
      <w:r>
        <w:t>│  ┌─────────────────────────────────────────────────────────────┐   │</w:t>
      </w:r>
    </w:p>
    <w:p>
      <w:r>
        <w:t>│  │                      CONSTITUTIONAL LAYER                   │   │</w:t>
      </w:r>
    </w:p>
    <w:p>
      <w:r>
        <w:t>│  │  ┌─────────────────────────────────────────────────────────┐│   │</w:t>
      </w:r>
    </w:p>
    <w:p>
      <w:r>
        <w:t>│  │  │ 15 Articles │ 100% Reserve │ No Lending │ No Minting  ││   │</w:t>
      </w:r>
    </w:p>
    <w:p>
      <w:r>
        <w:t>│  │  └─────────────────────────────────────────────────────────┘│   │</w:t>
      </w:r>
    </w:p>
    <w:p>
      <w:r>
        <w:t>│  └─────────────────────────────────────────────────────────────┘   │</w:t>
      </w:r>
    </w:p>
    <w:p>
      <w:r>
        <w:t>│                              │                                      │</w:t>
      </w:r>
    </w:p>
    <w:p>
      <w:r>
        <w:t>│                              ▼                                      │</w:t>
      </w:r>
    </w:p>
    <w:p>
      <w:r>
        <w:t>│  ┌─────────────────────────────────────────────────────────────┐   │</w:t>
      </w:r>
    </w:p>
    <w:p>
      <w:r>
        <w:t>│  │                      SMART CONTRACT LAYER                   │   │</w:t>
      </w:r>
    </w:p>
    <w:p>
      <w:r>
        <w:t>│  │  ┌─────────────────────────────────────────────────────────┐│   │</w:t>
      </w:r>
    </w:p>
    <w:p>
      <w:r>
        <w:t>│  │  │ Formal Verification │ Audits │ Bug Bounty │ Timelocks ││   │</w:t>
      </w:r>
    </w:p>
    <w:p>
      <w:r>
        <w:t>│  │  └─────────────────────────────────────────────────────────┘│   │</w:t>
      </w:r>
    </w:p>
    <w:p>
      <w:r>
        <w:t>│  └─────────────────────────────────────────────────────────────┘   │</w:t>
      </w:r>
    </w:p>
    <w:p>
      <w:r>
        <w:t>│                              │                                      │</w:t>
      </w:r>
    </w:p>
    <w:p>
      <w:r>
        <w:t>│                              ▼                                      │</w:t>
      </w:r>
    </w:p>
    <w:p>
      <w:r>
        <w:t>│  ┌─────────────────────────────────────────────────────────────┐   │</w:t>
      </w:r>
    </w:p>
    <w:p>
      <w:r>
        <w:t>│  │                      CRYPTOGRAPHIC LAYER                   │   │</w:t>
      </w:r>
    </w:p>
    <w:p>
      <w:r>
        <w:t>│  │  ┌─────────────────────────────────────────────────────────┐│   │</w:t>
      </w:r>
    </w:p>
    <w:p>
      <w:r>
        <w:t>│  │  │ ECDSA │ Falcon-512 │ MPC │ ZK-SNARKs │ HSMs │         ││   │</w:t>
      </w:r>
    </w:p>
    <w:p>
      <w:r>
        <w:t>│  │  └─────────────────────────────────────────────────────────┘│   │</w:t>
      </w:r>
    </w:p>
    <w:p>
      <w:r>
        <w:t>│  └─────────────────────────────────────────────────────────────┘   │</w:t>
      </w:r>
    </w:p>
    <w:p>
      <w:r>
        <w:t>│                              │                                      │</w:t>
      </w:r>
    </w:p>
    <w:p>
      <w:r>
        <w:t>│                              ▼                                      │</w:t>
      </w:r>
    </w:p>
    <w:p>
      <w:r>
        <w:t>│  ┌─────────────────────────────────────────────────────────────┐   │</w:t>
      </w:r>
    </w:p>
    <w:p>
      <w:r>
        <w:t>│  │                      ORACLE LAYER                           │   │</w:t>
      </w:r>
    </w:p>
    <w:p>
      <w:r>
        <w:t>│  │  ┌─────────────────────────────────────────────────────────┐│   │</w:t>
      </w:r>
    </w:p>
    <w:p>
      <w:r>
        <w:t>│  │  │ Multi-Family │ 8 Providers │ 60 Nodes │ TWAP │         ││   │</w:t>
      </w:r>
    </w:p>
    <w:p>
      <w:r>
        <w:t>│  │  └─────────────────────────────────────────────────────────┘│   │</w:t>
      </w:r>
    </w:p>
    <w:p>
      <w:r>
        <w:t>│  └─────────────────────────────────────────────────────────────┘   │</w:t>
      </w:r>
    </w:p>
    <w:p>
      <w:r>
        <w:t>│                              │                                      │</w:t>
      </w:r>
    </w:p>
    <w:p>
      <w:r>
        <w:t>│                              ▼                                      │</w:t>
      </w:r>
    </w:p>
    <w:p>
      <w:r>
        <w:t>│  ┌─────────────────────────────────────────────────────────────┐   │</w:t>
      </w:r>
    </w:p>
    <w:p>
      <w:r>
        <w:t>│  │                      CUSTODY LAYER                          │   │</w:t>
      </w:r>
    </w:p>
    <w:p>
      <w:r>
        <w:t>│  │  ┌─────────────────────────────────────────────────────────┐│   │</w:t>
      </w:r>
    </w:p>
    <w:p>
      <w:r>
        <w:t>│  │  │ Geopolitical Silos │ MPC │ Insurance │ Audits │         ││   │</w:t>
      </w:r>
    </w:p>
    <w:p>
      <w:r>
        <w:t>│  │  └─────────────────────────────────────────────────────────┘│   │</w:t>
      </w:r>
    </w:p>
    <w:p>
      <w:r>
        <w:t>│  └─────────────────────────────────────────────────────────────┘   │</w:t>
      </w:r>
    </w:p>
    <w:p>
      <w:r>
        <w:t>│                              │                                      │</w:t>
      </w:r>
    </w:p>
    <w:p>
      <w:r>
        <w:t>│                              ▼                                      │</w:t>
      </w:r>
    </w:p>
    <w:p>
      <w:r>
        <w:t>│  ┌─────────────────────────────────────────────────────────────┐   │</w:t>
      </w:r>
    </w:p>
    <w:p>
      <w:r>
        <w:t>│  │                      NETWORK LAYER                          │   │</w:t>
      </w:r>
    </w:p>
    <w:p>
      <w:r>
        <w:t>│  │  ┌─────────────────────────────────────────────────────────┐│   │</w:t>
      </w:r>
    </w:p>
    <w:p>
      <w:r>
        <w:t>│  │  │ WAF │ DDoS Protection │ Firewalls │ Segmentation │     ││   │</w:t>
      </w:r>
    </w:p>
    <w:p>
      <w:r>
        <w:t>│  │  └─────────────────────────────────────────────────────────┘│   │</w:t>
      </w:r>
    </w:p>
    <w:p>
      <w:r>
        <w:t>│  └─────────────────────────────────────────────────────────────┘   │</w:t>
      </w:r>
    </w:p>
    <w:p>
      <w:r>
        <w:t>│                              │                                      │</w:t>
      </w:r>
    </w:p>
    <w:p>
      <w:r>
        <w:t>│                              ▼                                      │</w:t>
      </w:r>
    </w:p>
    <w:p>
      <w:r>
        <w:t>│  ┌─────────────────────────────────────────────────────────────┐   │</w:t>
      </w:r>
    </w:p>
    <w:p>
      <w:r>
        <w:t>│  │                      GOVERNANCE LAYER                       │   │</w:t>
      </w:r>
    </w:p>
    <w:p>
      <w:r>
        <w:t>│  │  ┌─────────────────────────────────────────────────────────┐│   │</w:t>
      </w:r>
    </w:p>
    <w:p>
      <w:r>
        <w:t>│  │  │ Council Security │ Holder Rights │ Transparency │       ││   │</w:t>
      </w:r>
    </w:p>
    <w:p>
      <w:r>
        <w:t>│  │  └─────────────────────────────────────────────────────────┘│   │</w:t>
      </w:r>
    </w:p>
    <w:p>
      <w:r>
        <w:t>│  └─────────────────────────────────────────────────────────────┘   │</w:t>
      </w:r>
    </w:p>
    <w:p>
      <w:r>
        <w:t>│                              │                                      │</w:t>
      </w:r>
    </w:p>
    <w:p>
      <w:r>
        <w:t>│                              ▼                                      │</w:t>
      </w:r>
    </w:p>
    <w:p>
      <w:r>
        <w:t>│  ┌─────────────────────────────────────────────────────────────┐   │</w:t>
      </w:r>
    </w:p>
    <w:p>
      <w:r>
        <w:t>│  │                      QUANTUM LAYER                          │   │</w:t>
      </w:r>
    </w:p>
    <w:p>
      <w:r>
        <w:t>│  │  ┌─────────────────────────────────────────────────────────┐│   │</w:t>
      </w:r>
    </w:p>
    <w:p>
      <w:r>
        <w:t>│  │  │ Falcon-512 │ Lamport Signatures │ PQC Roadmap │        ││   │</w:t>
      </w:r>
    </w:p>
    <w:p>
      <w:r>
        <w:t>│  │  └─────────────────────────────────────────────────────────┘│   │</w:t>
      </w:r>
    </w:p>
    <w:p>
      <w:r>
        <w:t>│  └─────────────────────────────────────────────────────────────┘   │</w:t>
      </w:r>
    </w:p>
    <w:p>
      <w:r>
        <w:t>└─────────────────────────────────────────────────────────────────────┘</w:t>
      </w:r>
    </w:p>
    <w:p>
      <w:r>
        <w:t>Threat Model</w:t>
      </w:r>
    </w:p>
    <w:p>
      <w:r>
        <w:t>Threat Actors</w:t>
      </w:r>
    </w:p>
    <w:p>
      <w:r>
        <w:t>What This Means in Practice:</w:t>
      </w:r>
    </w:p>
    <w:p>
      <w:r>
        <w:t>Different threats require different mitigation</w:t>
      </w:r>
    </w:p>
    <w:p>
      <w:r>
        <w:t>High-capability actors require high-security measures</w:t>
      </w:r>
    </w:p>
    <w:p>
      <w:r>
        <w:t>Likelihood is considered in risk assessment</w:t>
      </w:r>
    </w:p>
    <w:p>
      <w:r>
        <w:t>Mitigation is proportional to risk</w:t>
      </w:r>
    </w:p>
    <w:p>
      <w:r>
        <w:t>Example:</w:t>
      </w:r>
    </w:p>
    <w:p>
      <w:r>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r>
        <w:t>Why This Matters:</w:t>
      </w:r>
    </w:p>
    <w:p>
      <w:r>
        <w:t>Understanding threats enables effective security</w:t>
      </w:r>
    </w:p>
    <w:p>
      <w:r>
        <w:t>Different threats require different responses</w:t>
      </w:r>
    </w:p>
    <w:p>
      <w:r>
        <w:t>High-capability actors require robust defenses</w:t>
      </w:r>
    </w:p>
    <w:p>
      <w:r>
        <w:t>Threat modeling guides security investment</w:t>
      </w:r>
    </w:p>
    <w:p>
      <w:r>
        <w:t>Attack Vectors</w:t>
      </w:r>
    </w:p>
    <w:p>
      <w:r>
        <w:t>What This Means in Practice:</w:t>
      </w:r>
    </w:p>
    <w:p>
      <w:r>
        <w:t>Attack vectors are identified and categorized</w:t>
      </w:r>
    </w:p>
    <w:p>
      <w:r>
        <w:t>Primary threat actors are identified</w:t>
      </w:r>
    </w:p>
    <w:p>
      <w:r>
        <w:t>Mitigation is defined for each vector</w:t>
      </w:r>
    </w:p>
    <w:p>
      <w:r>
        <w:t>The attack surface is minimized</w:t>
      </w:r>
    </w:p>
    <w:p>
      <w:r>
        <w:t>Example:</w:t>
      </w:r>
    </w:p>
    <w:p>
      <w:r>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r>
        <w:t>Why This Matters:</w:t>
      </w:r>
    </w:p>
    <w:p>
      <w:r>
        <w:t>Identifying vectors enables targeted defense</w:t>
      </w:r>
    </w:p>
    <w:p>
      <w:r>
        <w:t>Primary threat actors guide response</w:t>
      </w:r>
    </w:p>
    <w:p>
      <w:r>
        <w:t>Defined mitigation enables implementation</w:t>
      </w:r>
    </w:p>
    <w:p>
      <w:r>
        <w:t>Minimizing attack surface reduces risk</w:t>
      </w:r>
    </w:p>
    <w:p>
      <w:r>
        <w:t>Smart Contract Security</w:t>
      </w:r>
    </w:p>
    <w:p>
      <w:r>
        <w:t>Security Controls</w:t>
      </w:r>
    </w:p>
    <w:p>
      <w:r>
        <w:t>What This Means in Practice:</w:t>
      </w:r>
    </w:p>
    <w:p>
      <w:r>
        <w:t>Multiple controls protect smart contracts</w:t>
      </w:r>
    </w:p>
    <w:p>
      <w:r>
        <w:t>Formal verification provides mathematical certainty</w:t>
      </w:r>
    </w:p>
    <w:p>
      <w:r>
        <w:t>Audits provide independent validation</w:t>
      </w:r>
    </w:p>
    <w:p>
      <w:r>
        <w:t>Bug bounty incentivizes vulnerability discovery</w:t>
      </w:r>
    </w:p>
    <w:p>
      <w:r>
        <w:t>Access control prevents unauthorized actions</w:t>
      </w:r>
    </w:p>
    <w:p>
      <w:r>
        <w:t>Pausability enables emergency response</w:t>
      </w:r>
    </w:p>
    <w:p>
      <w:r>
        <w:t>Example:</w:t>
      </w:r>
    </w:p>
    <w:p>
      <w:r>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r>
        <w:t>Why This Matters:</w:t>
      </w:r>
    </w:p>
    <w:p>
      <w:r>
        <w:t>Multiple controls provide defense in depth</w:t>
      </w:r>
    </w:p>
    <w:p>
      <w:r>
        <w:t>Formal verification provides mathematical certainty</w:t>
      </w:r>
    </w:p>
    <w:p>
      <w:r>
        <w:t>Audits provide independent validation</w:t>
      </w:r>
    </w:p>
    <w:p>
      <w:r>
        <w:t>Bug bounty incentivizes discovery</w:t>
      </w:r>
    </w:p>
    <w:p>
      <w:r>
        <w:t>Access control prevents unauthorized actions</w:t>
      </w:r>
    </w:p>
    <w:p>
      <w:r>
        <w:t>Formal Verification</w:t>
      </w:r>
    </w:p>
    <w:p>
      <w:r>
        <w:t>What This Means in Practice:</w:t>
      </w:r>
    </w:p>
    <w:p>
      <w:r>
        <w:t>Critical invariants are formally verified</w:t>
      </w:r>
    </w:p>
    <w:p>
      <w:r>
        <w:t>Verification provides mathematical certainty</w:t>
      </w:r>
    </w:p>
    <w:p>
      <w:r>
        <w:t>Verification is conducted quarterly</w:t>
      </w:r>
    </w:p>
    <w:p>
      <w:r>
        <w:t>Verification covers all critical contracts</w:t>
      </w:r>
    </w:p>
    <w:p>
      <w:r>
        <w:t>Example:</w:t>
      </w:r>
    </w:p>
    <w:p>
      <w:r>
        <w:t>The Certora Prover verifies that the reserve invariant "Reserve_Value ≥ Supply_Value × NAV" holds for all possible execution paths. The proof is mathematical. The invariant cannot be violated.</w:t>
      </w:r>
    </w:p>
    <w:p>
      <w:r>
        <w:t>Why This Matters:</w:t>
      </w:r>
    </w:p>
    <w:p>
      <w:r>
        <w:t>Formal verification provides mathematical certainty</w:t>
      </w:r>
    </w:p>
    <w:p>
      <w:r>
        <w:t>Formal verification is stronger than testing</w:t>
      </w:r>
    </w:p>
    <w:p>
      <w:r>
        <w:t>Formal verification covers all execution paths</w:t>
      </w:r>
    </w:p>
    <w:p>
      <w:r>
        <w:t>Formal verification proves correctness</w:t>
      </w:r>
    </w:p>
    <w:p>
      <w:r>
        <w:t>Audits</w:t>
      </w:r>
    </w:p>
    <w:p>
      <w:r>
        <w:t>What This Means in Practice:</w:t>
      </w:r>
    </w:p>
    <w:p>
      <w:r>
        <w:t>Regular audits ensure security</w:t>
      </w:r>
    </w:p>
    <w:p>
      <w:r>
        <w:t>Multiple firms provide independent validation</w:t>
      </w:r>
    </w:p>
    <w:p>
      <w:r>
        <w:t>Upgrades are audited before deployment</w:t>
      </w:r>
    </w:p>
    <w:p>
      <w:r>
        <w:t>Penetration testing identifies vulnerabilities</w:t>
      </w:r>
    </w:p>
    <w:p>
      <w:r>
        <w:t>Example:</w:t>
      </w:r>
    </w:p>
    <w:p>
      <w:r>
        <w:t>The Institution engages three independent security firms for its annual full protocol audit. Each firm reviews all smart contracts. The firms produce separate reports. Any findings are addressed. The audits provide assurance.</w:t>
      </w:r>
    </w:p>
    <w:p>
      <w:r>
        <w:t>Why This Matters:</w:t>
      </w:r>
    </w:p>
    <w:p>
      <w:r>
        <w:t>Audits provide independent validation</w:t>
      </w:r>
    </w:p>
    <w:p>
      <w:r>
        <w:t>Multiple firms increase confidence</w:t>
      </w:r>
    </w:p>
    <w:p>
      <w:r>
        <w:t>Regular audits maintain security</w:t>
      </w:r>
    </w:p>
    <w:p>
      <w:r>
        <w:t>Findings are addressed</w:t>
      </w:r>
    </w:p>
    <w:p>
      <w:r>
        <w:t>Bug Bounty Program</w:t>
      </w:r>
    </w:p>
    <w:p>
      <w:r>
        <w:t>What This Means in Practice:</w:t>
      </w:r>
    </w:p>
    <w:p>
      <w:r>
        <w:t>A bug bounty program incentivizes vulnerability discovery</w:t>
      </w:r>
    </w:p>
    <w:p>
      <w:r>
        <w:t>Rewards are proportional to severity</w:t>
      </w:r>
    </w:p>
    <w:p>
      <w:r>
        <w:t>The program is publicly managed</w:t>
      </w:r>
    </w:p>
    <w:p>
      <w:r>
        <w:t>All reports are investigated</w:t>
      </w:r>
    </w:p>
    <w:p>
      <w:r>
        <w:t>Example:</w:t>
      </w:r>
    </w:p>
    <w:p>
      <w:r>
        <w:t>A security researcher discovers a medium-severity vulnerability in the Algorithm contract. The researcher submits a report through Immunefi. The Institution investigates and confirms the vulnerability. The researcher receives $25,000. The vulnerability is patched.</w:t>
      </w:r>
    </w:p>
    <w:p>
      <w:r>
        <w:t>Why This Matters:</w:t>
      </w:r>
    </w:p>
    <w:p>
      <w:r>
        <w:t>Bug bounty incentivizes community testing</w:t>
      </w:r>
    </w:p>
    <w:p>
      <w:r>
        <w:t>Rewards proportional to severity</w:t>
      </w:r>
    </w:p>
    <w:p>
      <w:r>
        <w:t>Public program attracts researchers</w:t>
      </w:r>
    </w:p>
    <w:p>
      <w:r>
        <w:t>Vulnerabilities are discovered and patched</w:t>
      </w:r>
    </w:p>
    <w:p>
      <w:r>
        <w:t>Infrastructure Security</w:t>
      </w:r>
    </w:p>
    <w:p>
      <w:r>
        <w:t>Network Security</w:t>
      </w:r>
    </w:p>
    <w:p>
      <w:r>
        <w:t>What This Means in Practice:</w:t>
      </w:r>
    </w:p>
    <w:p>
      <w:r>
        <w:t>Network security protects the infrastructure</w:t>
      </w:r>
    </w:p>
    <w:p>
      <w:r>
        <w:t>Firewalls control traffic</w:t>
      </w:r>
    </w:p>
    <w:p>
      <w:r>
        <w:t>WAF protects web applications</w:t>
      </w:r>
    </w:p>
    <w:p>
      <w:r>
        <w:t>DDoS protection ensures availability</w:t>
      </w:r>
    </w:p>
    <w:p>
      <w:r>
        <w:t>Intrusion detection identifies threats</w:t>
      </w:r>
    </w:p>
    <w:p>
      <w:r>
        <w:t>Example:</w:t>
      </w:r>
    </w:p>
    <w:p>
      <w:r>
        <w:t>A DDoS attack targets the API gateway. The DDoS protection (AWS Shield) automatically mitigates the attack. The application remains available. No legitimate traffic is disrupted.</w:t>
      </w:r>
    </w:p>
    <w:p>
      <w:r>
        <w:t>Why This Matters:</w:t>
      </w:r>
    </w:p>
    <w:p>
      <w:r>
        <w:t>Network security is the foundation of infrastructure security</w:t>
      </w:r>
    </w:p>
    <w:p>
      <w:r>
        <w:t>Firewalls control access</w:t>
      </w:r>
    </w:p>
    <w:p>
      <w:r>
        <w:t>DDoS protection ensures availability</w:t>
      </w:r>
    </w:p>
    <w:p>
      <w:r>
        <w:t>Intrusion detection identifies threats</w:t>
      </w:r>
    </w:p>
    <w:p>
      <w:r>
        <w:t>Cloud Security</w:t>
      </w:r>
    </w:p>
    <w:p>
      <w:r>
        <w:t>What This Means in Practice:</w:t>
      </w:r>
    </w:p>
    <w:p>
      <w:r>
        <w:t>Cloud security controls protect cloud infrastructure</w:t>
      </w:r>
    </w:p>
    <w:p>
      <w:r>
        <w:t>IAM controls access</w:t>
      </w:r>
    </w:p>
    <w:p>
      <w:r>
        <w:t>KMS manages keys</w:t>
      </w:r>
    </w:p>
    <w:p>
      <w:r>
        <w:t>Secrets Manager stores secrets</w:t>
      </w:r>
    </w:p>
    <w:p>
      <w:r>
        <w:t>CloudTrail provides audit logging</w:t>
      </w:r>
    </w:p>
    <w:p>
      <w:r>
        <w:t>GuardDuty detects threats</w:t>
      </w:r>
    </w:p>
    <w:p>
      <w:r>
        <w:t>Inspector scans for vulnerabilities</w:t>
      </w:r>
    </w:p>
    <w:p>
      <w:r>
        <w:t>Example:</w:t>
      </w:r>
    </w:p>
    <w:p>
      <w:r>
        <w:t>An AWS IAM role is misconfigured, granting excessive permissions. GuardDuty detects the misconfiguration. Security Hub alerts the security team. The misconfiguration is corrected. CloudTrail logs record the action.</w:t>
      </w:r>
    </w:p>
    <w:p>
      <w:r>
        <w:t>Why This Matters:</w:t>
      </w:r>
    </w:p>
    <w:p>
      <w:r>
        <w:t>Cloud security is essential for cloud infrastructure</w:t>
      </w:r>
    </w:p>
    <w:p>
      <w:r>
        <w:t>IAM prevents unauthorized access</w:t>
      </w:r>
    </w:p>
    <w:p>
      <w:r>
        <w:t>KMS protects keys</w:t>
      </w:r>
    </w:p>
    <w:p>
      <w:r>
        <w:t>GuardDuty detects threats</w:t>
      </w:r>
    </w:p>
    <w:p>
      <w:r>
        <w:t>Audit logs provide accountability</w:t>
      </w:r>
    </w:p>
    <w:p>
      <w:r>
        <w:t>Container Security</w:t>
      </w:r>
    </w:p>
    <w:p>
      <w:r>
        <w:t>What This Means in Practice:</w:t>
      </w:r>
    </w:p>
    <w:p>
      <w:r>
        <w:t>Container security protects containerized workloads</w:t>
      </w:r>
    </w:p>
    <w:p>
      <w:r>
        <w:t>Image scanning detects vulnerabilities</w:t>
      </w:r>
    </w:p>
    <w:p>
      <w:r>
        <w:t>Runtime security detects threats</w:t>
      </w:r>
    </w:p>
    <w:p>
      <w:r>
        <w:t>Network policies control traffic</w:t>
      </w:r>
    </w:p>
    <w:p>
      <w:r>
        <w:t>RBAC controls access</w:t>
      </w:r>
    </w:p>
    <w:p>
      <w:r>
        <w:t>Example:</w:t>
      </w:r>
    </w:p>
    <w:p>
      <w:r>
        <w:t>A container image contains a known vulnerability. The image scanning (Trivy) detects the vulnerability. The deployment is blocked. The engineering team updates the image. The vulnerability is fixed.</w:t>
      </w:r>
    </w:p>
    <w:p>
      <w:r>
        <w:t>Why This Matters:</w:t>
      </w:r>
    </w:p>
    <w:p>
      <w:r>
        <w:t>Container security is essential for containerized workloads</w:t>
      </w:r>
    </w:p>
    <w:p>
      <w:r>
        <w:t>Image scanning prevents vulnerable deployments</w:t>
      </w:r>
    </w:p>
    <w:p>
      <w:r>
        <w:t>Runtime security detects threats</w:t>
      </w:r>
    </w:p>
    <w:p>
      <w:r>
        <w:t>RBAC prevents unauthorized access</w:t>
      </w:r>
    </w:p>
    <w:p>
      <w:r>
        <w:t>Custody Security</w:t>
      </w:r>
    </w:p>
    <w:p>
      <w:r>
        <w:t>Multi-Jurisdictional Custody</w:t>
      </w:r>
    </w:p>
    <w:p>
      <w:r>
        <w:t>What This Means in Practice:</w:t>
      </w:r>
    </w:p>
    <w:p>
      <w:r>
        <w:t>Reserves are distributed across multiple jurisdictions</w:t>
      </w:r>
    </w:p>
    <w:p>
      <w:r>
        <w:t>No single jurisdiction holds more than 40%</w:t>
      </w:r>
    </w:p>
    <w:p>
      <w:r>
        <w:t>Geographic diversification reduces regulatory risk</w:t>
      </w:r>
    </w:p>
    <w:p>
      <w:r>
        <w:t>Multiple custodians provide redundancy</w:t>
      </w:r>
    </w:p>
    <w:p>
      <w:r>
        <w:t>Example:</w:t>
      </w:r>
    </w:p>
    <w:p>
      <w:r>
        <w:t>A regulatory freeze is applied in the UAE. The Singapore and UK jurisdictions remain accessible. Redemptions continue from these jurisdictions. The Institution maintains operational continuity.</w:t>
      </w:r>
    </w:p>
    <w:p>
      <w:r>
        <w:t>Why This Matters:</w:t>
      </w:r>
    </w:p>
    <w:p>
      <w:r>
        <w:t>Geographic diversification reduces regulatory risk</w:t>
      </w:r>
    </w:p>
    <w:p>
      <w:r>
        <w:t>No single jurisdiction can freeze all reserves</w:t>
      </w:r>
    </w:p>
    <w:p>
      <w:r>
        <w:t>Multiple jurisdictions provide redundancy</w:t>
      </w:r>
    </w:p>
    <w:p>
      <w:r>
        <w:t>Resilient to jurisdictional disruptions</w:t>
      </w:r>
    </w:p>
    <w:p>
      <w:r>
        <w:t>MPC Wallet Security</w:t>
      </w:r>
    </w:p>
    <w:p>
      <w:r>
        <w:t>What This Means in Practice:</w:t>
      </w:r>
    </w:p>
    <w:p>
      <w:r>
        <w:t>MPC prevents single points of failure</w:t>
      </w:r>
    </w:p>
    <w:p>
      <w:r>
        <w:t>No single party has the full key</w:t>
      </w:r>
    </w:p>
    <w:p>
      <w:r>
        <w:t>Geographic distribution provides redundancy</w:t>
      </w:r>
    </w:p>
    <w:p>
      <w:r>
        <w:t>HSMs protect key shares</w:t>
      </w:r>
    </w:p>
    <w:p>
      <w:r>
        <w:t>Example:</w:t>
      </w:r>
    </w:p>
    <w:p>
      <w:r>
        <w:t>A malicious actor compromises the CEO's key share. The actor cannot move funds because 3 of 5 shares are required. The other shares are secure. The compromised share is rotated. The funds remain secure.</w:t>
      </w:r>
    </w:p>
    <w:p>
      <w:r>
        <w:t>Why This Matters:</w:t>
      </w:r>
    </w:p>
    <w:p>
      <w:r>
        <w:t>MPC prevents single points of failure</w:t>
      </w:r>
    </w:p>
    <w:p>
      <w:r>
        <w:t>No single party has the full key</w:t>
      </w:r>
    </w:p>
    <w:p>
      <w:r>
        <w:t>Geographic distribution provides resilience</w:t>
      </w:r>
    </w:p>
    <w:p>
      <w:r>
        <w:t>Key shares can be rotated</w:t>
      </w:r>
    </w:p>
    <w:p>
      <w:r>
        <w:t>Physical Gold Security</w:t>
      </w:r>
    </w:p>
    <w:p>
      <w:r>
        <w:t>What This Means in Practice:</w:t>
      </w:r>
    </w:p>
    <w:p>
      <w:r>
        <w:t>Physical gold is held in secure vaults</w:t>
      </w:r>
    </w:p>
    <w:p>
      <w:r>
        <w:t>Gold meets LBMA Good Delivery standards</w:t>
      </w:r>
    </w:p>
    <w:p>
      <w:r>
        <w:t>Serial numbers enable identification</w:t>
      </w:r>
    </w:p>
    <w:p>
      <w:r>
        <w:t>Physical security protects against theft</w:t>
      </w:r>
    </w:p>
    <w:p>
      <w:r>
        <w:t>Insurance transfers risk</w:t>
      </w:r>
    </w:p>
    <w:p>
      <w:r>
        <w:t>Audits verify holdings</w:t>
      </w:r>
    </w:p>
    <w:p>
      <w:r>
        <w:t>Example:</w:t>
      </w:r>
    </w:p>
    <w:p>
      <w:r>
        <w:t>A vault is burglarized. The physical security (surveillance, guards) deters the burglars. The gold remains secure. If theft occurred, insurance would cover the loss. Quarterly audits verify the holdings.</w:t>
      </w:r>
    </w:p>
    <w:p>
      <w:r>
        <w:t>Why This Matters:</w:t>
      </w:r>
    </w:p>
    <w:p>
      <w:r>
        <w:t>Physical security protects gold</w:t>
      </w:r>
    </w:p>
    <w:p>
      <w:r>
        <w:t>Insurance transfers risk</w:t>
      </w:r>
    </w:p>
    <w:p>
      <w:r>
        <w:t>Audits verify holdings</w:t>
      </w:r>
    </w:p>
    <w:p>
      <w:r>
        <w:t>Serial numbers enable identification</w:t>
      </w:r>
    </w:p>
    <w:p>
      <w:r>
        <w:t>Security Monitoring</w:t>
      </w:r>
    </w:p>
    <w:p>
      <w:r>
        <w:t>Monitoring Stack</w:t>
      </w:r>
    </w:p>
    <w:p>
      <w:r>
        <w:t>What This Means in Practice:</w:t>
      </w:r>
    </w:p>
    <w:p>
      <w:r>
        <w:t>Comprehensive monitoring covers all systems</w:t>
      </w:r>
    </w:p>
    <w:p>
      <w:r>
        <w:t>Metrics provide performance visibility</w:t>
      </w:r>
    </w:p>
    <w:p>
      <w:r>
        <w:t>Logs provide audit trail</w:t>
      </w:r>
    </w:p>
    <w:p>
      <w:r>
        <w:t>Security monitoring detects threats</w:t>
      </w:r>
    </w:p>
    <w:p>
      <w:r>
        <w:t>Alerts enable rapid response</w:t>
      </w:r>
    </w:p>
    <w:p>
      <w:r>
        <w:t>Example:</w:t>
      </w:r>
    </w:p>
    <w:p>
      <w:r>
        <w:t>A security event is detected. The SIEM generates an alert. The alert is sent to PagerDuty. The on-call security engineer is notified. The incident response team investigates. The issue is resolved.</w:t>
      </w:r>
    </w:p>
    <w:p>
      <w:r>
        <w:t>Why This Matters:</w:t>
      </w:r>
    </w:p>
    <w:p>
      <w:r>
        <w:t>Monitoring enables threat detection</w:t>
      </w:r>
    </w:p>
    <w:p>
      <w:r>
        <w:t>Logs provide audit trail</w:t>
      </w:r>
    </w:p>
    <w:p>
      <w:r>
        <w:t>Alerts enable rapid response</w:t>
      </w:r>
    </w:p>
    <w:p>
      <w:r>
        <w:t>Visualization provides situational awareness</w:t>
      </w:r>
    </w:p>
    <w:p>
      <w:r>
        <w:t>Key Security Metrics</w:t>
      </w:r>
    </w:p>
    <w:p>
      <w:r>
        <w:t>What This Means in Practice:</w:t>
      </w:r>
    </w:p>
    <w:p>
      <w:r>
        <w:t>Metrics are tracked and reported</w:t>
      </w:r>
    </w:p>
    <w:p>
      <w:r>
        <w:t>Targets are defined</w:t>
      </w:r>
    </w:p>
    <w:p>
      <w:r>
        <w:t>Alerts trigger defined responses</w:t>
      </w:r>
    </w:p>
    <w:p>
      <w:r>
        <w:t>Security posture is continuously assessed</w:t>
      </w:r>
    </w:p>
    <w:p>
      <w:r>
        <w:t>Example:</w:t>
      </w:r>
    </w:p>
    <w:p>
      <w:r>
        <w:t>The Mean Time to Detect (MTTD) increases to 20 minutes. The target is 15 minutes. The alert is triggered. The security team investigates. The issue is identified and resolved. The MTTD returns to target.</w:t>
      </w:r>
    </w:p>
    <w:p>
      <w:r>
        <w:t>Why This Matters:</w:t>
      </w:r>
    </w:p>
    <w:p>
      <w:r>
        <w:t>Metrics enable measurement</w:t>
      </w:r>
    </w:p>
    <w:p>
      <w:r>
        <w:t>Targets define expected performance</w:t>
      </w:r>
    </w:p>
    <w:p>
      <w:r>
        <w:t>Alerts enable rapid response</w:t>
      </w:r>
    </w:p>
    <w:p>
      <w:r>
        <w:t>Continuous assessment drives improvement</w:t>
      </w:r>
    </w:p>
    <w:p>
      <w:r>
        <w:t>Incident Response</w:t>
      </w:r>
    </w:p>
    <w:p>
      <w:r>
        <w:t>Incident Severity Classification</w:t>
      </w:r>
    </w:p>
    <w:p>
      <w:r>
        <w:t>What This Means in Practice:</w:t>
      </w:r>
    </w:p>
    <w:p>
      <w:r>
        <w:t>Incidents are classified by severity</w:t>
      </w:r>
    </w:p>
    <w:p>
      <w:r>
        <w:t>Response time is proportional to severity</w:t>
      </w:r>
    </w:p>
    <w:p>
      <w:r>
        <w:t>Critical incidents require immediate response</w:t>
      </w:r>
    </w:p>
    <w:p>
      <w:r>
        <w:t>Low severity incidents are addressed within business hours</w:t>
      </w:r>
    </w:p>
    <w:p>
      <w:r>
        <w:t>Example:</w:t>
      </w:r>
    </w:p>
    <w:p>
      <w:r>
        <w:t>A critical incident occurs: a governance breach. The incident response team is activated immediately. The breach is contained. The issue is resolved. A post-mortem is conducted.</w:t>
      </w:r>
    </w:p>
    <w:p>
      <w:r>
        <w:t>Why This Matters:</w:t>
      </w:r>
    </w:p>
    <w:p>
      <w:r>
        <w:t>Severity classification enables prioritization</w:t>
      </w:r>
    </w:p>
    <w:p>
      <w:r>
        <w:t>Defined response times enable accountability</w:t>
      </w:r>
    </w:p>
    <w:p>
      <w:r>
        <w:t>Proportional responses are efficient</w:t>
      </w:r>
    </w:p>
    <w:p>
      <w:r>
        <w:t>Clear classification prevents confusion</w:t>
      </w:r>
    </w:p>
    <w:p>
      <w:r>
        <w:t>Incident Response Process</w:t>
      </w:r>
    </w:p>
    <w:p>
      <w:r>
        <w:t>Step 1: Detection</w:t>
      </w:r>
    </w:p>
    <w:p>
      <w:r>
        <w:t>Monitoring detects an incident</w:t>
      </w:r>
    </w:p>
    <w:p>
      <w:r>
        <w:t>Alert is triggered</w:t>
      </w:r>
    </w:p>
    <w:p>
      <w:r>
        <w:t>Incident is identified</w:t>
      </w:r>
    </w:p>
    <w:p>
      <w:r>
        <w:t>Step 2: Triage</w:t>
      </w:r>
    </w:p>
    <w:p>
      <w:r>
        <w:t>Incident is classified</w:t>
      </w:r>
    </w:p>
    <w:p>
      <w:r>
        <w:t>Severity is assessed</w:t>
      </w:r>
    </w:p>
    <w:p>
      <w:r>
        <w:t>Response team is notified</w:t>
      </w:r>
    </w:p>
    <w:p>
      <w:r>
        <w:t>Step 3: Containment</w:t>
      </w:r>
    </w:p>
    <w:p>
      <w:r>
        <w:t>Immediate containment actions are taken</w:t>
      </w:r>
    </w:p>
    <w:p>
      <w:r>
        <w:t>Incident is isolated</w:t>
      </w:r>
    </w:p>
    <w:p>
      <w:r>
        <w:t>Further spread is prevented</w:t>
      </w:r>
    </w:p>
    <w:p>
      <w:r>
        <w:t>Step 4: Investigation</w:t>
      </w:r>
    </w:p>
    <w:p>
      <w:r>
        <w:t>Root cause is identified</w:t>
      </w:r>
    </w:p>
    <w:p>
      <w:r>
        <w:t>Scope is assessed</w:t>
      </w:r>
    </w:p>
    <w:p>
      <w:r>
        <w:t>Additional issues are identified</w:t>
      </w:r>
    </w:p>
    <w:p>
      <w:r>
        <w:t>Step 5: Remediation</w:t>
      </w:r>
    </w:p>
    <w:p>
      <w:r>
        <w:t>Issue is resolved</w:t>
      </w:r>
    </w:p>
    <w:p>
      <w:r>
        <w:t>Patching is applied</w:t>
      </w:r>
    </w:p>
    <w:p>
      <w:r>
        <w:t>Systems are restored</w:t>
      </w:r>
    </w:p>
    <w:p>
      <w:r>
        <w:t>Step 6: Recovery</w:t>
      </w:r>
    </w:p>
    <w:p>
      <w:r>
        <w:t>Systems are returned to normal</w:t>
      </w:r>
    </w:p>
    <w:p>
      <w:r>
        <w:t>Operations are resumed</w:t>
      </w:r>
    </w:p>
    <w:p>
      <w:r>
        <w:t>Monitoring is increased</w:t>
      </w:r>
    </w:p>
    <w:p>
      <w:r>
        <w:t>Step 7: Post-Mortem</w:t>
      </w:r>
    </w:p>
    <w:p>
      <w:r>
        <w:t>Root cause is documented</w:t>
      </w:r>
    </w:p>
    <w:p>
      <w:r>
        <w:t>Lessons learned are identified</w:t>
      </w:r>
    </w:p>
    <w:p>
      <w:r>
        <w:t>Improvement actions are defined</w:t>
      </w:r>
    </w:p>
    <w:p>
      <w:r>
        <w:t>Incident Response Team</w:t>
      </w:r>
    </w:p>
    <w:p>
      <w:r>
        <w:t>What This Means in Practice:</w:t>
      </w:r>
    </w:p>
    <w:p>
      <w:r>
        <w:t>A dedicated incident response team is defined</w:t>
      </w:r>
    </w:p>
    <w:p>
      <w:r>
        <w:t>Each role has specific responsibilities</w:t>
      </w:r>
    </w:p>
    <w:p>
      <w:r>
        <w:t>The team is trained and ready</w:t>
      </w:r>
    </w:p>
    <w:p>
      <w:r>
        <w:t>The team is activated for incidents</w:t>
      </w:r>
    </w:p>
    <w:p>
      <w:r>
        <w:t>Example:</w:t>
      </w:r>
    </w:p>
    <w:p>
      <w:r>
        <w:t>A critical incident occurs. The Incident Commander activates the team. The Technical Lead investigates. The Operations Lead contains the incident. The Communications Lead communicates with stakeholders. The Legal Lead ensures compliance. The incident is resolved.</w:t>
      </w:r>
    </w:p>
    <w:p>
      <w:r>
        <w:t>Why This Matters:</w:t>
      </w:r>
    </w:p>
    <w:p>
      <w:r>
        <w:t>Dedicated team ensures rapid response</w:t>
      </w:r>
    </w:p>
    <w:p>
      <w:r>
        <w:t>Clear roles prevent confusion</w:t>
      </w:r>
    </w:p>
    <w:p>
      <w:r>
        <w:t>Training ensures preparedness</w:t>
      </w:r>
    </w:p>
    <w:p>
      <w:r>
        <w:t>Accountability ensures effectiveness</w:t>
      </w:r>
    </w:p>
    <w:p>
      <w:r>
        <w:t>Incident Communication</w:t>
      </w:r>
    </w:p>
    <w:p>
      <w:r>
        <w:t>What This Means in Practice:</w:t>
      </w:r>
    </w:p>
    <w:p>
      <w:r>
        <w:t>Stakeholders are notified based on severity</w:t>
      </w:r>
    </w:p>
    <w:p>
      <w:r>
        <w:t>Critical incidents require immediate notification</w:t>
      </w:r>
    </w:p>
    <w:p>
      <w:r>
        <w:t>Communication is transparent and honest</w:t>
      </w:r>
    </w:p>
    <w:p>
      <w:r>
        <w:t>Regulators are notified as required</w:t>
      </w:r>
    </w:p>
    <w:p>
      <w:r>
        <w:t>Example:</w:t>
      </w:r>
    </w:p>
    <w:p>
      <w:r>
        <w:t>A critical incident occurs. The internal team is notified immediately. The Council is notified within 1 hour. Participants are notified within 2 hours. Regulators are notified within 4 hours. A public statement is issued within 24 hours.</w:t>
      </w:r>
    </w:p>
    <w:p>
      <w:r>
        <w:t>Why This Matters:</w:t>
      </w:r>
    </w:p>
    <w:p>
      <w:r>
        <w:t>Stakeholders need to know</w:t>
      </w:r>
    </w:p>
    <w:p>
      <w:r>
        <w:t>Timely communication builds trust</w:t>
      </w:r>
    </w:p>
    <w:p>
      <w:r>
        <w:t>Regulatory notification is legally required</w:t>
      </w:r>
    </w:p>
    <w:p>
      <w:r>
        <w:t>Transparency enables accountability</w:t>
      </w:r>
    </w:p>
    <w:p>
      <w:r>
        <w:t>Security Testing</w:t>
      </w:r>
    </w:p>
    <w:p>
      <w:r>
        <w:t>Testing Types</w:t>
      </w:r>
    </w:p>
    <w:p>
      <w:r>
        <w:t>What This Means in Practice:</w:t>
      </w:r>
    </w:p>
    <w:p>
      <w:r>
        <w:t>Multiple testing types are used</w:t>
      </w:r>
    </w:p>
    <w:p>
      <w:r>
        <w:t>Testing is conducted regularly</w:t>
      </w:r>
    </w:p>
    <w:p>
      <w:r>
        <w:t>Testing covers all systems</w:t>
      </w:r>
    </w:p>
    <w:p>
      <w:r>
        <w:t>Findings are addressed</w:t>
      </w:r>
    </w:p>
    <w:p>
      <w:r>
        <w:t>Example:</w:t>
      </w:r>
    </w:p>
    <w:p>
      <w:r>
        <w:t>Static analysis is run on every commit. Fuzz testing is run daily. Penetration testing is conducted quarterly. Security audits are conducted annually. All findings are addressed.</w:t>
      </w:r>
    </w:p>
    <w:p>
      <w:r>
        <w:t>Why This Matters:</w:t>
      </w:r>
    </w:p>
    <w:p>
      <w:r>
        <w:t>Multiple testing types find different issues</w:t>
      </w:r>
    </w:p>
    <w:p>
      <w:r>
        <w:t>Regular testing catches issues early</w:t>
      </w:r>
    </w:p>
    <w:p>
      <w:r>
        <w:t>Comprehensive testing covers all systems</w:t>
      </w:r>
    </w:p>
    <w:p>
      <w:r>
        <w:t>Addressing findings improves security</w:t>
      </w:r>
    </w:p>
    <w:p>
      <w:r>
        <w:t>Penetration Testing</w:t>
      </w:r>
    </w:p>
    <w:p>
      <w:r>
        <w:t>What This Means in Practice:</w:t>
      </w:r>
    </w:p>
    <w:p>
      <w:r>
        <w:t>Independent penetration testing is conducted quarterly</w:t>
      </w:r>
    </w:p>
    <w:p>
      <w:r>
        <w:t>Testing covers all systems</w:t>
      </w:r>
    </w:p>
    <w:p>
      <w:r>
        <w:t>Findings are addressed</w:t>
      </w:r>
    </w:p>
    <w:p>
      <w:r>
        <w:t>Reports are reviewed</w:t>
      </w:r>
    </w:p>
    <w:p>
      <w:r>
        <w:t>Example:</w:t>
      </w:r>
    </w:p>
    <w:p>
      <w:r>
        <w:t>A penetration test identifies a moderate vulnerability. The security team addresses the vulnerability within 30 days. The penetration test is repeated to verify the fix. The vulnerability is resolved.</w:t>
      </w:r>
    </w:p>
    <w:p>
      <w:r>
        <w:t>Why This Matters:</w:t>
      </w:r>
    </w:p>
    <w:p>
      <w:r>
        <w:t>Independent testing provides objective assessment</w:t>
      </w:r>
    </w:p>
    <w:p>
      <w:r>
        <w:t>Regular testing catches vulnerabilities</w:t>
      </w:r>
    </w:p>
    <w:p>
      <w:r>
        <w:t>Addressing findings improves security</w:t>
      </w:r>
    </w:p>
    <w:p>
      <w:r>
        <w:t>Verification ensures fixes are effective</w:t>
      </w:r>
    </w:p>
    <w:p>
      <w:r>
        <w:t>Security Governance</w:t>
      </w:r>
    </w:p>
    <w:p>
      <w:r>
        <w:t>Security Roles</w:t>
      </w:r>
    </w:p>
    <w:p>
      <w:r>
        <w:t>What This Means in Practice:</w:t>
      </w:r>
    </w:p>
    <w:p>
      <w:r>
        <w:t>Security roles are defined</w:t>
      </w:r>
    </w:p>
    <w:p>
      <w:r>
        <w:t>Responsibilities are clear</w:t>
      </w:r>
    </w:p>
    <w:p>
      <w:r>
        <w:t>Reporting lines are established</w:t>
      </w:r>
    </w:p>
    <w:p>
      <w:r>
        <w:t>Accountability is maintained</w:t>
      </w:r>
    </w:p>
    <w:p>
      <w:r>
        <w:t>Example:</w:t>
      </w:r>
    </w:p>
    <w:p>
      <w:r>
        <w:t>The Security Lead manages day-to-day security operations. The Security Engineers implement security controls. The Incident Response Team handles incidents. The CTO oversees security. The Council provides oversight.</w:t>
      </w:r>
    </w:p>
    <w:p>
      <w:r>
        <w:t>Why This Matters:</w:t>
      </w:r>
    </w:p>
    <w:p>
      <w:r>
        <w:t>Clear roles enable accountability</w:t>
      </w:r>
    </w:p>
    <w:p>
      <w:r>
        <w:t>Defined responsibilities prevent gaps</w:t>
      </w:r>
    </w:p>
    <w:p>
      <w:r>
        <w:t>Reporting lines ensure oversight</w:t>
      </w:r>
    </w:p>
    <w:p>
      <w:r>
        <w:t>Organizational structure supports security</w:t>
      </w:r>
    </w:p>
    <w:p>
      <w:r>
        <w:t>Security Policies</w:t>
      </w:r>
    </w:p>
    <w:p>
      <w:r>
        <w:t>What This Means in Practice:</w:t>
      </w:r>
    </w:p>
    <w:p>
      <w:r>
        <w:t>Security policies are documented</w:t>
      </w:r>
    </w:p>
    <w:p>
      <w:r>
        <w:t>Policies are reviewed regularly</w:t>
      </w:r>
    </w:p>
    <w:p>
      <w:r>
        <w:t>Policies are enforced</w:t>
      </w:r>
    </w:p>
    <w:p>
      <w:r>
        <w:t>Policies are updated as needed</w:t>
      </w:r>
    </w:p>
    <w:p>
      <w:r>
        <w:t>Example:</w:t>
      </w:r>
    </w:p>
    <w:p>
      <w:r>
        <w:t>The Access Control Policy is reviewed annually. The policy is updated to reflect new requirements. The policy is enforced. Access is audited to ensure compliance.</w:t>
      </w:r>
    </w:p>
    <w:p>
      <w:r>
        <w:t>Why This Matters:</w:t>
      </w:r>
    </w:p>
    <w:p>
      <w:r>
        <w:t>Documented policies provide clarity</w:t>
      </w:r>
    </w:p>
    <w:p>
      <w:r>
        <w:t>Regular review ensures relevance</w:t>
      </w:r>
    </w:p>
    <w:p>
      <w:r>
        <w:t>Enforcement ensures compliance</w:t>
      </w:r>
    </w:p>
    <w:p>
      <w:r>
        <w:t>Updates address evolving threats</w:t>
      </w:r>
    </w:p>
    <w:p>
      <w:r>
        <w:t>Summary Table</w:t>
      </w:r>
    </w:p>
    <w:p>
      <w:r>
        <w:t>Constitutional Interpretation</w:t>
      </w:r>
    </w:p>
    <w:p>
      <w:r>
        <w:t>The Security article establishes the comprehensive security framework for the Institution:</w:t>
      </w:r>
    </w:p>
    <w:p>
      <w:r>
        <w:t>Defense in depth with multiple layers of protection</w:t>
      </w:r>
    </w:p>
    <w:p>
      <w:r>
        <w:t>Zero trust with continuous verification</w:t>
      </w:r>
    </w:p>
    <w:p>
      <w:r>
        <w:t>Least privilege with minimal permissions</w:t>
      </w:r>
    </w:p>
    <w:p>
      <w:r>
        <w:t>Assume breach with resilience and recovery</w:t>
      </w:r>
    </w:p>
    <w:p>
      <w:r>
        <w:t>Formal verification of smart contracts</w:t>
      </w:r>
    </w:p>
    <w:p>
      <w:r>
        <w:t>Multi-jurisdictional custody with geographic diversification</w:t>
      </w:r>
    </w:p>
    <w:p>
      <w:r>
        <w:t>MPC wallets with distributed key shares</w:t>
      </w:r>
    </w:p>
    <w:p>
      <w:r>
        <w:t>Comprehensive monitoring and incident response</w:t>
      </w:r>
    </w:p>
    <w:p>
      <w:r>
        <w:t>Regular security testing and audits</w:t>
      </w:r>
    </w:p>
    <w:p>
      <w:r>
        <w:t>Post-quantum migration planning</w:t>
      </w:r>
    </w:p>
    <w:p>
      <w:r>
        <w:t>Security is the foundation of institutional trust. It is built into every layer of the architecture, continuously monitored, and continuously improved. The Institution assumes breach and designs for resilience.</w:t>
      </w:r>
    </w:p>
    <w:p>
      <w:r>
        <w:t>[END OF PART 4, ARTICLE V — SECURITY]</w:t>
      </w:r>
    </w:p>
    <w:p>
      <w:r>
        <w:t>Article VI: Infrastructure</w:t>
      </w:r>
    </w:p>
    <w:p>
      <w:r>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r>
        <w:t>What This Means in Practice:</w:t>
      </w:r>
    </w:p>
    <w:p>
      <w:r>
        <w:t>Infrastructure is designed for high availability (99.99%+ uptime)</w:t>
      </w:r>
    </w:p>
    <w:p>
      <w:r>
        <w:t>Infrastructure is geographically distributed for resilience</w:t>
      </w:r>
    </w:p>
    <w:p>
      <w:r>
        <w:t>Infrastructure is scalable to handle growing transaction volumes</w:t>
      </w:r>
    </w:p>
    <w:p>
      <w:r>
        <w:t>Infrastructure is secure with defense-in-depth controls</w:t>
      </w:r>
    </w:p>
    <w:p>
      <w:r>
        <w:t>Infrastructure is continuously monitored and maintained</w:t>
      </w:r>
    </w:p>
    <w:p>
      <w:r>
        <w:t>Example:</w:t>
      </w:r>
    </w:p>
    <w:p>
      <w:r>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r>
        <w:t>Why This Matters:</w:t>
      </w:r>
    </w:p>
    <w:p>
      <w:r>
        <w:t>Without robust infrastructure, the Institution cannot provide reliable operations</w:t>
      </w:r>
    </w:p>
    <w:p>
      <w:r>
        <w:t>Without infrastructure resilience, the Institution is vulnerable to disruptions</w:t>
      </w:r>
    </w:p>
    <w:p>
      <w:r>
        <w:t>Without infrastructure security, the Institution's assets are at risk</w:t>
      </w:r>
    </w:p>
    <w:p>
      <w:r>
        <w:t>Without infrastructure scalability, the Institution cannot grow with demand</w:t>
      </w:r>
    </w:p>
    <w:p>
      <w:r>
        <w:t>Infrastructure is the foundation upon which all technical operations rest</w:t>
      </w:r>
    </w:p>
    <w:p>
      <w:r>
        <w:t>Core Principles of Infrastructure Design</w:t>
      </w:r>
    </w:p>
    <w:p>
      <w:pPr>
        <w:pStyle w:val="ListNumber"/>
        <w:ind w:left="425"/>
      </w:pPr>
      <w:r>
        <w:t>High Availability</w:t>
      </w:r>
    </w:p>
    <w:p>
      <w:r>
        <w:t>Infrastructure is designed for continuous availability.</w:t>
      </w:r>
    </w:p>
    <w:p>
      <w:r>
        <w:t>What This Means in Practice:</w:t>
      </w:r>
    </w:p>
    <w:p>
      <w:r>
        <w:t>Systems are redundant with failover capabilities</w:t>
      </w:r>
    </w:p>
    <w:p>
      <w:r>
        <w:t>No single point of failure exists</w:t>
      </w:r>
    </w:p>
    <w:p>
      <w:r>
        <w:t>Uptime targets are defined and measured</w:t>
      </w:r>
    </w:p>
    <w:p>
      <w:r>
        <w:t>Recovery from failures is automatic where possible</w:t>
      </w:r>
    </w:p>
    <w:p>
      <w:r>
        <w:t>Example:</w:t>
      </w:r>
    </w:p>
    <w:p>
      <w:r>
        <w:t>The Institution's API servers are deployed across multiple availability zones. If one zone fails, traffic automatically routes to other zones. The API remains available. The uptime target is 99.99% (less than 1 hour of downtime per year).</w:t>
      </w:r>
    </w:p>
    <w:p>
      <w:r>
        <w:t>Why This Matters:</w:t>
      </w:r>
    </w:p>
    <w:p>
      <w:r>
        <w:t>Settlement operations must be continuously available</w:t>
      </w:r>
    </w:p>
    <w:p>
      <w:r>
        <w:t>Downtime undermines trust</w:t>
      </w:r>
    </w:p>
    <w:p>
      <w:r>
        <w:t>High availability is essential for institutional adoption</w:t>
      </w:r>
    </w:p>
    <w:p>
      <w:r>
        <w:t>Redundancy prevents single points of failure</w:t>
      </w:r>
    </w:p>
    <w:p>
      <w:pPr>
        <w:pStyle w:val="ListNumber"/>
        <w:ind w:left="425"/>
      </w:pPr>
      <w:r>
        <w:t>Geographic Distribution</w:t>
      </w:r>
    </w:p>
    <w:p>
      <w:r>
        <w:t>Infrastructure is distributed across multiple geographic regions.</w:t>
      </w:r>
    </w:p>
    <w:p>
      <w:r>
        <w:t>What This Means in Practice:</w:t>
      </w:r>
    </w:p>
    <w:p>
      <w:r>
        <w:t>Systems are deployed in multiple regions</w:t>
      </w:r>
    </w:p>
    <w:p>
      <w:r>
        <w:t>Failover between regions is automatic</w:t>
      </w:r>
    </w:p>
    <w:p>
      <w:r>
        <w:t>Data is replicated across regions</w:t>
      </w:r>
    </w:p>
    <w:p>
      <w:r>
        <w:t>Regional disruptions do not affect operations</w:t>
      </w:r>
    </w:p>
    <w:p>
      <w:r>
        <w:t>Example:</w:t>
      </w:r>
    </w:p>
    <w:p>
      <w:r>
        <w:t>The Institution's infrastructure is deployed in AWS US-East (North America), AWS EU-West (Europe), and AWS AP-Southeast (Asia). If one region experiences a disruption, traffic fails over to another region. The Institution continues to operate.</w:t>
      </w:r>
    </w:p>
    <w:p>
      <w:r>
        <w:t>Why This Matters:</w:t>
      </w:r>
    </w:p>
    <w:p>
      <w:r>
        <w:t>Geographic distribution prevents regional disruptions</w:t>
      </w:r>
    </w:p>
    <w:p>
      <w:r>
        <w:t>Geographic distribution reduces latency for global participants</w:t>
      </w:r>
    </w:p>
    <w:p>
      <w:r>
        <w:t>Geographic distribution provides regulatory optionality</w:t>
      </w:r>
    </w:p>
    <w:p>
      <w:r>
        <w:t>Geographic distribution enhances resilience</w:t>
      </w:r>
    </w:p>
    <w:p>
      <w:pPr>
        <w:pStyle w:val="ListNumber"/>
        <w:ind w:left="425"/>
      </w:pPr>
      <w:r>
        <w:t>Scalability</w:t>
      </w:r>
    </w:p>
    <w:p>
      <w:r>
        <w:t>Infrastructure scales to meet demand.</w:t>
      </w:r>
    </w:p>
    <w:p>
      <w:r>
        <w:t>What This Means in Practice:</w:t>
      </w:r>
    </w:p>
    <w:p>
      <w:r>
        <w:t>Systems are designed for horizontal scaling</w:t>
      </w:r>
    </w:p>
    <w:p>
      <w:r>
        <w:t>Resources are provisioned elastically</w:t>
      </w:r>
    </w:p>
    <w:p>
      <w:r>
        <w:t>Capacity planning is conducted regularly</w:t>
      </w:r>
    </w:p>
    <w:p>
      <w:r>
        <w:t>Scaling is automated where possible</w:t>
      </w:r>
    </w:p>
    <w:p>
      <w:r>
        <w:t>Example:</w:t>
      </w:r>
    </w:p>
    <w:p>
      <w:r>
        <w:t>Transaction volume increases during a peak period. The infrastructure automatically scales up to handle the increased load. Additional API servers are provisioned. The database is scaled. The system handles the increased demand without degradation.</w:t>
      </w:r>
    </w:p>
    <w:p>
      <w:r>
        <w:t>Why This Matters:</w:t>
      </w:r>
    </w:p>
    <w:p>
      <w:r>
        <w:t>Transaction volumes vary over time</w:t>
      </w:r>
    </w:p>
    <w:p>
      <w:r>
        <w:t>Scalability ensures consistent performance</w:t>
      </w:r>
    </w:p>
    <w:p>
      <w:r>
        <w:t>Elasticity prevents over-provisioning</w:t>
      </w:r>
    </w:p>
    <w:p>
      <w:r>
        <w:t>Automation reduces operational burden</w:t>
      </w:r>
    </w:p>
    <w:p>
      <w:pPr>
        <w:pStyle w:val="ListNumber"/>
        <w:ind w:left="425"/>
      </w:pPr>
      <w:r>
        <w:t>Security</w:t>
      </w:r>
    </w:p>
    <w:p>
      <w:r>
        <w:t>Infrastructure is secure by design.</w:t>
      </w:r>
    </w:p>
    <w:p>
      <w:r>
        <w:t>What This Means in Practice:</w:t>
      </w:r>
    </w:p>
    <w:p>
      <w:r>
        <w:t>Network segmentation isolates systems</w:t>
      </w:r>
    </w:p>
    <w:p>
      <w:r>
        <w:t>Access controls restrict unauthorized access</w:t>
      </w:r>
    </w:p>
    <w:p>
      <w:r>
        <w:t>Encryption protects data at rest and in transit</w:t>
      </w:r>
    </w:p>
    <w:p>
      <w:r>
        <w:t>Monitoring detects security threats</w:t>
      </w:r>
    </w:p>
    <w:p>
      <w:r>
        <w:t>Example:</w:t>
      </w:r>
    </w:p>
    <w:p>
      <w:r>
        <w:t>The Institution's infrastructure uses VPC segmentation to isolate different system components. Public-facing services are in a DMZ. Internal services are in private subnets. Databases are in isolated subnets. Access is restricted at each layer.</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Observability</w:t>
      </w:r>
    </w:p>
    <w:p>
      <w:r>
        <w:t>Infrastructure is continuously monitored and observable.</w:t>
      </w:r>
    </w:p>
    <w:p>
      <w:r>
        <w:t>What This Means in Practice:</w:t>
      </w:r>
    </w:p>
    <w:p>
      <w:r>
        <w:t>Metrics are collected for all systems</w:t>
      </w:r>
    </w:p>
    <w:p>
      <w:r>
        <w:t>Logs are aggregated and searchable</w:t>
      </w:r>
    </w:p>
    <w:p>
      <w:r>
        <w:t>Traces enable performance analysis</w:t>
      </w:r>
    </w:p>
    <w:p>
      <w:r>
        <w:t>Alerts notify of issues</w:t>
      </w:r>
    </w:p>
    <w:p>
      <w:r>
        <w:t>Example:</w:t>
      </w:r>
    </w:p>
    <w:p>
      <w:r>
        <w:t>The Institution's infrastructure collects metrics (CPU, memory, latency), logs (access logs, error logs), and traces (request flows). These are aggregated in a monitoring platform. Dashboards provide visibility. Alerts notify the operations team of issues.</w:t>
      </w:r>
    </w:p>
    <w:p>
      <w:r>
        <w:t>Why This Matters:</w:t>
      </w:r>
    </w:p>
    <w:p>
      <w:r>
        <w:t>Observability enables issue detection</w:t>
      </w:r>
    </w:p>
    <w:p>
      <w:r>
        <w:t>Observability supports troubleshooting</w:t>
      </w:r>
    </w:p>
    <w:p>
      <w:r>
        <w:t>Observability enables capacity planning</w:t>
      </w:r>
    </w:p>
    <w:p>
      <w:r>
        <w:t>Observability maintains accountability</w:t>
      </w:r>
    </w:p>
    <w:p>
      <w:r>
        <w:t>Cloud Infrastructure</w:t>
      </w:r>
    </w:p>
    <w:p>
      <w:r>
        <w:t>Provider Strategy</w:t>
      </w:r>
    </w:p>
    <w:p>
      <w:r>
        <w:t>What This Means in Practice:</w:t>
      </w:r>
    </w:p>
    <w:p>
      <w:r>
        <w:t>AWS is the primary cloud provider</w:t>
      </w:r>
    </w:p>
    <w:p>
      <w:r>
        <w:t>Multiple regions provide geographic distribution</w:t>
      </w:r>
    </w:p>
    <w:p>
      <w:r>
        <w:t>Backup regions provide failover capability</w:t>
      </w:r>
    </w:p>
    <w:p>
      <w:r>
        <w:t>Cloudflare provides CDN, WAF, and DDoS protection</w:t>
      </w:r>
    </w:p>
    <w:p>
      <w:r>
        <w:t>The strategy is designed for resilience</w:t>
      </w:r>
    </w:p>
    <w:p>
      <w:r>
        <w:t>Example:</w:t>
      </w:r>
    </w:p>
    <w:p>
      <w:r>
        <w:t>The Institution's primary infrastructure is in AWS US-East-1. Backups are maintained in AWS US-West-2. If US-East-1 experiences an outage, traffic fails over to US-West-2. Cloudflare provides CDN and DDoS protection globally.</w:t>
      </w:r>
    </w:p>
    <w:p>
      <w:r>
        <w:t>Why This Matters:</w:t>
      </w:r>
    </w:p>
    <w:p>
      <w:r>
        <w:t>Multiple providers prevent vendor lock-in</w:t>
      </w:r>
    </w:p>
    <w:p>
      <w:r>
        <w:t>Multiple regions prevent regional failures</w:t>
      </w:r>
    </w:p>
    <w:p>
      <w:r>
        <w:t>CDN reduces latency</w:t>
      </w:r>
    </w:p>
    <w:p>
      <w:r>
        <w:t>WAF provides application protection</w:t>
      </w:r>
    </w:p>
    <w:p>
      <w:r>
        <w:t>Infrastructure as Code</w:t>
      </w:r>
    </w:p>
    <w:p>
      <w:r>
        <w:t>What This Means in Practice:</w:t>
      </w:r>
    </w:p>
    <w:p>
      <w:r>
        <w:t>Infrastructure is defined as code</w:t>
      </w:r>
    </w:p>
    <w:p>
      <w:r>
        <w:t>Infrastructure is version-controlled</w:t>
      </w:r>
    </w:p>
    <w:p>
      <w:r>
        <w:t>Infrastructure is reproducible</w:t>
      </w:r>
    </w:p>
    <w:p>
      <w:r>
        <w:t>Infrastructure is auditable</w:t>
      </w:r>
    </w:p>
    <w:p>
      <w:r>
        <w:t>Example:</w:t>
      </w:r>
    </w:p>
    <w:p>
      <w:r>
        <w:t>A new environment is needed. The engineering team defines the infrastructure in Terraform. The Terraform code is committed to Git. The infrastructure is provisioned automatically. The environment is consistent and reproducible.</w:t>
      </w:r>
    </w:p>
    <w:p>
      <w:r>
        <w:t>Why This Matters:</w:t>
      </w:r>
    </w:p>
    <w:p>
      <w:r>
        <w:t>Infrastructure as code ensures consistency</w:t>
      </w:r>
    </w:p>
    <w:p>
      <w:r>
        <w:t>Version control enables auditability</w:t>
      </w:r>
    </w:p>
    <w:p>
      <w:r>
        <w:t>Automation reduces errors</w:t>
      </w:r>
    </w:p>
    <w:p>
      <w:r>
        <w:t>Reproducibility enables disaster recovery</w:t>
      </w:r>
    </w:p>
    <w:p>
      <w:r>
        <w:t>Compute Resources</w:t>
      </w:r>
    </w:p>
    <w:p>
      <w:r>
        <w:t>What This Means in Practice:</w:t>
      </w:r>
    </w:p>
    <w:p>
      <w:r>
        <w:t>Container orchestration manages compute resources</w:t>
      </w:r>
    </w:p>
    <w:p>
      <w:r>
        <w:t>Kubernetes provides orchestration</w:t>
      </w:r>
    </w:p>
    <w:p>
      <w:r>
        <w:t>Horizontal scaling handles demand</w:t>
      </w:r>
    </w:p>
    <w:p>
      <w:r>
        <w:t>Scheduled tasks run on defined schedules</w:t>
      </w:r>
    </w:p>
    <w:p>
      <w:r>
        <w:t>Example:</w:t>
      </w:r>
    </w:p>
    <w:p>
      <w:r>
        <w:t>The Institution's API servers are deployed as Kubernetes pods. During peak demand, the number of pods scales up. During low demand, the number of pods scales down. The system handles varying demand efficiently.</w:t>
      </w:r>
    </w:p>
    <w:p>
      <w:r>
        <w:t>Why This Matters:</w:t>
      </w:r>
    </w:p>
    <w:p>
      <w:r>
        <w:t>Container orchestration simplifies management</w:t>
      </w:r>
    </w:p>
    <w:p>
      <w:r>
        <w:t>Horizontal scaling handles demand</w:t>
      </w:r>
    </w:p>
    <w:p>
      <w:r>
        <w:t>Kubernetes is the industry standard</w:t>
      </w:r>
    </w:p>
    <w:p>
      <w:r>
        <w:t>Efficiency reduces costs</w:t>
      </w:r>
    </w:p>
    <w:p>
      <w:r>
        <w:t>Blockchain Infrastructure</w:t>
      </w:r>
    </w:p>
    <w:p>
      <w:r>
        <w:t>Network Selection</w:t>
      </w:r>
    </w:p>
    <w:p>
      <w:r>
        <w:t>What This Means in Practice:</w:t>
      </w:r>
    </w:p>
    <w:p>
      <w:r>
        <w:t>Primary execution is on Arbitrum Nitro (high throughput, low fees)</w:t>
      </w:r>
    </w:p>
    <w:p>
      <w:r>
        <w:t>Settlement layer is Ethereum Mainnet (highest security)</w:t>
      </w:r>
    </w:p>
    <w:p>
      <w:r>
        <w:t>Testnet is Arbitrum Sepolia (testing)</w:t>
      </w:r>
    </w:p>
    <w:p>
      <w:r>
        <w:t>Future layers include Base (institutional) and Permissioned Chain (government)</w:t>
      </w:r>
    </w:p>
    <w:p>
      <w:r>
        <w:t>Example:</w:t>
      </w:r>
    </w:p>
    <w:p>
      <w:r>
        <w:t>A participant submits a settlement transaction. The transaction is processed on Arbitrum Nitro (fast, low cost). The transaction is anchored to Ethereum Mainnet (immutable, secure). The transaction is finalized.</w:t>
      </w:r>
    </w:p>
    <w:p>
      <w:r>
        <w:t>Why This Matters:</w:t>
      </w:r>
    </w:p>
    <w:p>
      <w:r>
        <w:t>Multiple networks serve different purposes</w:t>
      </w:r>
    </w:p>
    <w:p>
      <w:r>
        <w:t>Arbitrum provides low fees and high throughput</w:t>
      </w:r>
    </w:p>
    <w:p>
      <w:r>
        <w:t>Ethereum provides security and finality</w:t>
      </w:r>
    </w:p>
    <w:p>
      <w:r>
        <w:t>Future networks support additional use cases</w:t>
      </w:r>
    </w:p>
    <w:p>
      <w:r>
        <w:t>RPC Infrastructure</w:t>
      </w:r>
    </w:p>
    <w:p>
      <w:r>
        <w:t>What This Means in Practice:</w:t>
      </w:r>
    </w:p>
    <w:p>
      <w:r>
        <w:t>Multiple RPC providers ensure availability</w:t>
      </w:r>
    </w:p>
    <w:p>
      <w:r>
        <w:t>Geographic distribution reduces latency</w:t>
      </w:r>
    </w:p>
    <w:p>
      <w:r>
        <w:t>Redundancy prevents single-point failure</w:t>
      </w:r>
    </w:p>
    <w:p>
      <w:r>
        <w:t>Self-hosted provides internal access</w:t>
      </w:r>
    </w:p>
    <w:p>
      <w:r>
        <w:t>Example:</w:t>
      </w:r>
    </w:p>
    <w:p>
      <w:r>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r>
        <w:t>Why This Matters:</w:t>
      </w:r>
    </w:p>
    <w:p>
      <w:r>
        <w:t>RPC is essential for blockchain interaction</w:t>
      </w:r>
    </w:p>
    <w:p>
      <w:r>
        <w:t>Multiple providers prevent downtime</w:t>
      </w:r>
    </w:p>
    <w:p>
      <w:r>
        <w:t>Geographic distribution reduces latency</w:t>
      </w:r>
    </w:p>
    <w:p>
      <w:r>
        <w:t>Redundancy is essential for resilience</w:t>
      </w:r>
    </w:p>
    <w:p>
      <w:r>
        <w:t>Cross-Chain Bridges</w:t>
      </w:r>
    </w:p>
    <w:p>
      <w:r>
        <w:t>What This Means in Practice:</w:t>
      </w:r>
    </w:p>
    <w:p>
      <w:r>
        <w:t>Bridges connect different blockchain networks</w:t>
      </w:r>
    </w:p>
    <w:p>
      <w:r>
        <w:t>Security models vary by bridge type</w:t>
      </w:r>
    </w:p>
    <w:p>
      <w:r>
        <w:t>Multi-sig provides security for asset transfers</w:t>
      </w:r>
    </w:p>
    <w:p>
      <w:r>
        <w:t>Bridges are planned for future networks</w:t>
      </w:r>
    </w:p>
    <w:p>
      <w:r>
        <w:t>Example:</w:t>
      </w:r>
    </w:p>
    <w:p>
      <w:r>
        <w:t>A participant moves assets from Ethereum Mainnet to Arbitrum Nitro. The assets are locked on Ethereum. The equivalent amount is minted on Arbitrum. The participant can use the assets on Arbitrum. The bridge is secure.</w:t>
      </w:r>
    </w:p>
    <w:p>
      <w:r>
        <w:t>Why This Matters:</w:t>
      </w:r>
    </w:p>
    <w:p>
      <w:r>
        <w:t>Bridges enable cross-chain functionality</w:t>
      </w:r>
    </w:p>
    <w:p>
      <w:r>
        <w:t>Bridges provide asset mobility</w:t>
      </w:r>
    </w:p>
    <w:p>
      <w:r>
        <w:t>Security is essential for bridge operations</w:t>
      </w:r>
    </w:p>
    <w:p>
      <w:r>
        <w:t>Multiple bridges provide redundancy</w:t>
      </w:r>
    </w:p>
    <w:p>
      <w:r>
        <w:t>Database Infrastructure</w:t>
      </w:r>
    </w:p>
    <w:p>
      <w:r>
        <w:t>Database Services</w:t>
      </w:r>
    </w:p>
    <w:p>
      <w:r>
        <w:t>What This Means in Practice:</w:t>
      </w:r>
    </w:p>
    <w:p>
      <w:r>
        <w:t>PostgreSQL is the primary relational database</w:t>
      </w:r>
    </w:p>
    <w:p>
      <w:r>
        <w:t>TimescaleDB handles time-series data</w:t>
      </w:r>
    </w:p>
    <w:p>
      <w:r>
        <w:t>Redis provides caching for performance</w:t>
      </w:r>
    </w:p>
    <w:p>
      <w:r>
        <w:t>S3 provides object storage</w:t>
      </w:r>
    </w:p>
    <w:p>
      <w:r>
        <w:t>Example:</w:t>
      </w:r>
    </w:p>
    <w:p>
      <w:r>
        <w:t>Transaction data is stored in PostgreSQL. Time-series data (NAV history, price history) is stored in TimescaleDB. Frequently accessed data is cached in Redis. Logs and backups are stored in S3. Each service is optimized for its purpose.</w:t>
      </w:r>
    </w:p>
    <w:p>
      <w:r>
        <w:t>Why This Matters:</w:t>
      </w:r>
    </w:p>
    <w:p>
      <w:r>
        <w:t>Different data types require different databases</w:t>
      </w:r>
    </w:p>
    <w:p>
      <w:r>
        <w:t>Purpose-built databases provide better performance</w:t>
      </w:r>
    </w:p>
    <w:p>
      <w:r>
        <w:t>Caching improves application performance</w:t>
      </w:r>
    </w:p>
    <w:p>
      <w:r>
        <w:t>Object storage provides durable storage</w:t>
      </w:r>
    </w:p>
    <w:p>
      <w:r>
        <w:t>High Availability Configuration</w:t>
      </w:r>
    </w:p>
    <w:p>
      <w:r>
        <w:t>What This Means in Practice:</w:t>
      </w:r>
    </w:p>
    <w:p>
      <w:r>
        <w:t>Databases are configured for high availability</w:t>
      </w:r>
    </w:p>
    <w:p>
      <w:r>
        <w:t>Multi-AZ provides automatic failover</w:t>
      </w:r>
    </w:p>
    <w:p>
      <w:r>
        <w:t>Read replicas provide read scaling</w:t>
      </w:r>
    </w:p>
    <w:p>
      <w:r>
        <w:t>Cross-region replication provides disaster recovery</w:t>
      </w:r>
    </w:p>
    <w:p>
      <w:r>
        <w:t>Example:</w:t>
      </w:r>
    </w:p>
    <w:p>
      <w:r>
        <w:t>A database failure occurs in the primary availability zone. The failover is automatic. The database switches to the secondary availability zone. The RTO (Recovery Time Objective) is less than 1 hour. Data loss is minimal (RPO of 5 minutes).</w:t>
      </w:r>
    </w:p>
    <w:p>
      <w:r>
        <w:t>Why This Matters:</w:t>
      </w:r>
    </w:p>
    <w:p>
      <w:r>
        <w:t>High availability prevents downtime</w:t>
      </w:r>
    </w:p>
    <w:p>
      <w:r>
        <w:t>Automatic failover reduces human error</w:t>
      </w:r>
    </w:p>
    <w:p>
      <w:r>
        <w:t>Read replicas improve performance</w:t>
      </w:r>
    </w:p>
    <w:p>
      <w:r>
        <w:t>Disaster recovery ensures data protection</w:t>
      </w:r>
    </w:p>
    <w:p>
      <w:r>
        <w:t>Backup Strategy</w:t>
      </w:r>
    </w:p>
    <w:p>
      <w:r>
        <w:t>What This Means in Practice:</w:t>
      </w:r>
    </w:p>
    <w:p>
      <w:r>
        <w:t>Full backups are taken daily</w:t>
      </w:r>
    </w:p>
    <w:p>
      <w:r>
        <w:t>Continuous archiving (WAL) provides point-in-time recovery</w:t>
      </w:r>
    </w:p>
    <w:p>
      <w:r>
        <w:t>Backups are stored in S3 with cross-region replication</w:t>
      </w:r>
    </w:p>
    <w:p>
      <w:r>
        <w:t>Retention periods are defined by policy</w:t>
      </w:r>
    </w:p>
    <w:p>
      <w:r>
        <w:t>Example:</w:t>
      </w:r>
    </w:p>
    <w:p>
      <w:r>
        <w:t>A database corruption occurs. The Institution restores from a daily backup and applies WAL archives to recover to the point just before the corruption. Data loss is minimal. The database is restored.</w:t>
      </w:r>
    </w:p>
    <w:p>
      <w:r>
        <w:t>Why This Matters:</w:t>
      </w:r>
    </w:p>
    <w:p>
      <w:r>
        <w:t>Backups enable disaster recovery</w:t>
      </w:r>
    </w:p>
    <w:p>
      <w:r>
        <w:t>Point-in-time recovery minimizes data loss</w:t>
      </w:r>
    </w:p>
    <w:p>
      <w:r>
        <w:t>Cross-region replication protects against regional failures</w:t>
      </w:r>
    </w:p>
    <w:p>
      <w:r>
        <w:t>Retention policies balance cost and compliance</w:t>
      </w:r>
    </w:p>
    <w:p>
      <w:r>
        <w:t>Networking Infrastructure</w:t>
      </w:r>
    </w:p>
    <w:p>
      <w:r>
        <w:t>Network Architecture</w:t>
      </w:r>
    </w:p>
    <w:p>
      <w:r>
        <w:t>text</w:t>
      </w:r>
    </w:p>
    <w:p>
      <w:r>
        <w:t>┌─────────────────────────────────────────────────────────────────────┐</w:t>
      </w:r>
    </w:p>
    <w:p>
      <w:r>
        <w:t>│                     NETWORK ARCHITECTURE                           │</w:t>
      </w:r>
    </w:p>
    <w:p>
      <w:r>
        <w:t>│                                                                     │</w:t>
      </w:r>
    </w:p>
    <w:p>
      <w:r>
        <w:t>│  ┌─────────────────────────────────────────────────────────────┐   │</w:t>
      </w:r>
    </w:p>
    <w:p>
      <w:r>
        <w:t>│  │                      PUBLIC INTERNET                        │   │</w:t>
      </w:r>
    </w:p>
    <w:p>
      <w:r>
        <w:t>│  │                      (Untrusted)                            │   │</w:t>
      </w:r>
    </w:p>
    <w:p>
      <w:r>
        <w:t>│  └─────────────────────────────────────────────────────────────┘   │</w:t>
      </w:r>
    </w:p>
    <w:p>
      <w:r>
        <w:t>│                              │                                      │</w:t>
      </w:r>
    </w:p>
    <w:p>
      <w:r>
        <w:t>│                              ▼                                      │</w:t>
      </w:r>
    </w:p>
    <w:p>
      <w:r>
        <w:t>│  ┌─────────────────────────────────────────────────────────────┐   │</w:t>
      </w:r>
    </w:p>
    <w:p>
      <w:r>
        <w:t>│  │                      DMZ LAYER                              │   │</w:t>
      </w:r>
    </w:p>
    <w:p>
      <w:r>
        <w:t>│  │  ┌─────────────┐ ┌─────────────┐ ┌─────────────┐          │   │</w:t>
      </w:r>
    </w:p>
    <w:p>
      <w:r>
        <w:t>│  │  │ Cloudflare  │ │  API       │ │  Load      │          │   │</w:t>
      </w:r>
    </w:p>
    <w:p>
      <w:r>
        <w:t>│  │  │ WAF/CDN    │ │  Gateway   │ │  Balancer  │          │   │</w:t>
      </w:r>
    </w:p>
    <w:p>
      <w:r>
        <w:t>│  │  └─────────────┘ └─────────────┘ └─────────────┘          │   │</w:t>
      </w:r>
    </w:p>
    <w:p>
      <w:r>
        <w:t>│  └─────────────────────────────────────────────────────────────┘   │</w:t>
      </w:r>
    </w:p>
    <w:p>
      <w:r>
        <w:t>│                              │                                      │</w:t>
      </w:r>
    </w:p>
    <w:p>
      <w:r>
        <w:t>│                              ▼                                      │</w:t>
      </w:r>
    </w:p>
    <w:p>
      <w:r>
        <w:t>│  ┌─────────────────────────────────────────────────────────────┐   │</w:t>
      </w:r>
    </w:p>
    <w:p>
      <w:r>
        <w:t>│  │                      APPLICATION LAYER                      │   │</w:t>
      </w:r>
    </w:p>
    <w:p>
      <w:r>
        <w:t>│  │  ┌─────────────┐ ┌─────────────┐ ┌─────────────┐          │   │</w:t>
      </w:r>
    </w:p>
    <w:p>
      <w:r>
        <w:t>│  │  │ Settlement  │ │ Mint/Redeem │ │ Governance  │          │   │</w:t>
      </w:r>
    </w:p>
    <w:p>
      <w:r>
        <w:t>│  │  │   Service   │ │   Service   │ │   Service   │          │   │</w:t>
      </w:r>
    </w:p>
    <w:p>
      <w:r>
        <w:t>│  │  └─────────────┘ └─────────────┘ └─────────────┘          │   │</w:t>
      </w:r>
    </w:p>
    <w:p>
      <w:r>
        <w:t>│  └─────────────────────────────────────────────────────────────┘   │</w:t>
      </w:r>
    </w:p>
    <w:p>
      <w:r>
        <w:t>│                              │                                      │</w:t>
      </w:r>
    </w:p>
    <w:p>
      <w:r>
        <w:t>│                              ▼                                      │</w:t>
      </w:r>
    </w:p>
    <w:p>
      <w:r>
        <w:t>│  ┌─────────────────────────────────────────────────────────────┐   │</w:t>
      </w:r>
    </w:p>
    <w:p>
      <w:r>
        <w:t>│  │                      DATA LAYER                             │   │</w:t>
      </w:r>
    </w:p>
    <w:p>
      <w:r>
        <w:t>│  │  ┌─────────────┐ ┌─────────────┐ ┌─────────────┐          │   │</w:t>
      </w:r>
    </w:p>
    <w:p>
      <w:r>
        <w:t>│  │  │ PostgreSQL  │ │TimescaleDB │ │   Redis     │          │   │</w:t>
      </w:r>
    </w:p>
    <w:p>
      <w:r>
        <w:t>│  │  └─────────────┘ └─────────────┘ └─────────────┘          │   │</w:t>
      </w:r>
    </w:p>
    <w:p>
      <w:r>
        <w:t>│  └─────────────────────────────────────────────────────────────┘   │</w:t>
      </w:r>
    </w:p>
    <w:p>
      <w:r>
        <w:t>│                              │                                      │</w:t>
      </w:r>
    </w:p>
    <w:p>
      <w:r>
        <w:t>│                              ▼                                      │</w:t>
      </w:r>
    </w:p>
    <w:p>
      <w:r>
        <w:t>│  ┌─────────────────────────────────────────────────────────────┐   │</w:t>
      </w:r>
    </w:p>
    <w:p>
      <w:r>
        <w:t>│  │                      CRYPTO LAYER                           │   │</w:t>
      </w:r>
    </w:p>
    <w:p>
      <w:r>
        <w:t>│  │  ┌─────────────┐ ┌─────────────┐                          │   │</w:t>
      </w:r>
    </w:p>
    <w:p>
      <w:r>
        <w:t>│  │  │  HSM/MPC    │ │  KMS        │                          │   │</w:t>
      </w:r>
    </w:p>
    <w:p>
      <w:r>
        <w:t>│  │  └─────────────┘ └─────────────┘                          │   │</w:t>
      </w:r>
    </w:p>
    <w:p>
      <w:r>
        <w:t>│  └─────────────────────────────────────────────────────────────┘   │</w:t>
      </w:r>
    </w:p>
    <w:p>
      <w:r>
        <w:t>└─────────────────────────────────────────────────────────────────────┘</w:t>
      </w:r>
    </w:p>
    <w:p>
      <w:r>
        <w:t>Network Security Controls</w:t>
      </w:r>
    </w:p>
    <w:p>
      <w:r>
        <w:t>What This Means in Practice:</w:t>
      </w:r>
    </w:p>
    <w:p>
      <w:r>
        <w:t>VPC provides network isolation</w:t>
      </w:r>
    </w:p>
    <w:p>
      <w:r>
        <w:t>Subnets provide segmentation</w:t>
      </w:r>
    </w:p>
    <w:p>
      <w:r>
        <w:t>Security Groups control instance access</w:t>
      </w:r>
    </w:p>
    <w:p>
      <w:r>
        <w:t>WAF protects applications</w:t>
      </w:r>
    </w:p>
    <w:p>
      <w:r>
        <w:t>DDoS protection ensures availability</w:t>
      </w:r>
    </w:p>
    <w:p>
      <w:r>
        <w:t>Example:</w:t>
      </w:r>
    </w:p>
    <w:p>
      <w:r>
        <w:t>A malicious actor attempts to attack the API gateway. The WAF blocks the attack. The DDoS protection mitigates any volumetric attack. The Security Groups prevent the attacker from reaching internal services. Multiple layers protect the infrastructure.</w:t>
      </w:r>
    </w:p>
    <w:p>
      <w:r>
        <w:t>Why This Matters:</w:t>
      </w:r>
    </w:p>
    <w:p>
      <w:r>
        <w:t>Network security is the foundation of infrastructure security</w:t>
      </w:r>
    </w:p>
    <w:p>
      <w:r>
        <w:t>Segmentation prevents lateral movement</w:t>
      </w:r>
    </w:p>
    <w:p>
      <w:r>
        <w:t>WAF protects applications</w:t>
      </w:r>
    </w:p>
    <w:p>
      <w:r>
        <w:t>DDoS protection ensures availability</w:t>
      </w:r>
    </w:p>
    <w:p>
      <w:r>
        <w:t>Connectivity</w:t>
      </w:r>
    </w:p>
    <w:p>
      <w:r>
        <w:t>What This Means in Practice:</w:t>
      </w:r>
    </w:p>
    <w:p>
      <w:r>
        <w:t>Public Internet provides API access</w:t>
      </w:r>
    </w:p>
    <w:p>
      <w:r>
        <w:t>VPN provides secure administrative access</w:t>
      </w:r>
    </w:p>
    <w:p>
      <w:r>
        <w:t>Private Line provides high-bandwidth internal connectivity</w:t>
      </w:r>
    </w:p>
    <w:p>
      <w:r>
        <w:t>VPC Peering enables inter-service communication</w:t>
      </w:r>
    </w:p>
    <w:p>
      <w:r>
        <w:t>Example:</w:t>
      </w:r>
    </w:p>
    <w:p>
      <w:r>
        <w:t>An administrator connects via VPN to manage infrastructure. The connection uses IPSec/IKEv2 with MFA. The connection is secure. The administrator has access to internal services.</w:t>
      </w:r>
    </w:p>
    <w:p>
      <w:r>
        <w:t>Why This Matters:</w:t>
      </w:r>
    </w:p>
    <w:p>
      <w:r>
        <w:t>Secure connectivity is essential for operations</w:t>
      </w:r>
    </w:p>
    <w:p>
      <w:r>
        <w:t>VPN provides secure remote access</w:t>
      </w:r>
    </w:p>
    <w:p>
      <w:r>
        <w:t>Private Line provides high bandwidth</w:t>
      </w:r>
    </w:p>
    <w:p>
      <w:r>
        <w:t>VPC Peering enables communication</w:t>
      </w:r>
    </w:p>
    <w:p>
      <w:r>
        <w:t>Monitoring Infrastructure</w:t>
      </w:r>
    </w:p>
    <w:p>
      <w:r>
        <w:t>Monitoring Stack</w:t>
      </w:r>
    </w:p>
    <w:p>
      <w:r>
        <w:t>What This Means in Practice:</w:t>
      </w:r>
    </w:p>
    <w:p>
      <w:r>
        <w:t>Metrics provide performance visibility</w:t>
      </w:r>
    </w:p>
    <w:p>
      <w:r>
        <w:t>Logs provide audit trail</w:t>
      </w:r>
    </w:p>
    <w:p>
      <w:r>
        <w:t>Traces enable performance analysis</w:t>
      </w:r>
    </w:p>
    <w:p>
      <w:r>
        <w:t>Alerts enable rapid response</w:t>
      </w:r>
    </w:p>
    <w:p>
      <w:r>
        <w:t>Dashboards provide visualization</w:t>
      </w:r>
    </w:p>
    <w:p>
      <w:r>
        <w:t>Security monitoring detects threats</w:t>
      </w:r>
    </w:p>
    <w:p>
      <w:r>
        <w:t>Example:</w:t>
      </w:r>
    </w:p>
    <w:p>
      <w:r>
        <w:t>An API server experiences high latency. The metric (latency) triggers an alert. The operations team investigates using logs and traces. The issue is identified and resolved. The system returns to normal.</w:t>
      </w:r>
    </w:p>
    <w:p>
      <w:r>
        <w:t>Why This Matters:</w:t>
      </w:r>
    </w:p>
    <w:p>
      <w:r>
        <w:t>Monitoring enables issue detection</w:t>
      </w:r>
    </w:p>
    <w:p>
      <w:r>
        <w:t>Logs provide audit trail</w:t>
      </w:r>
    </w:p>
    <w:p>
      <w:r>
        <w:t>Alerts enable rapid response</w:t>
      </w:r>
    </w:p>
    <w:p>
      <w:r>
        <w:t>Visualization provides situational awareness</w:t>
      </w:r>
    </w:p>
    <w:p>
      <w:r>
        <w:t>Key Metrics</w:t>
      </w:r>
    </w:p>
    <w:p>
      <w:r>
        <w:t>What This Means in Practice:</w:t>
      </w:r>
    </w:p>
    <w:p>
      <w:r>
        <w:t>Metrics are defined with targets</w:t>
      </w:r>
    </w:p>
    <w:p>
      <w:r>
        <w:t>Alert thresholds trigger notifications</w:t>
      </w:r>
    </w:p>
    <w:p>
      <w:r>
        <w:t>Notifications escalate based on severity</w:t>
      </w:r>
    </w:p>
    <w:p>
      <w:r>
        <w:t>On-call engineers respond to alerts</w:t>
      </w:r>
    </w:p>
    <w:p>
      <w:r>
        <w:t>Example:</w:t>
      </w:r>
    </w:p>
    <w:p>
      <w:r>
        <w:t>API latency exceeds 1 second. The alert triggers a notification to the on-call engineer. The engineer investigates. The issue is identified and resolved. The latency returns to normal.</w:t>
      </w:r>
    </w:p>
    <w:p>
      <w:r>
        <w:t>Why This Matters:</w:t>
      </w:r>
    </w:p>
    <w:p>
      <w:r>
        <w:t>Defined metrics enable measurement</w:t>
      </w:r>
    </w:p>
    <w:p>
      <w:r>
        <w:t>Alert thresholds enable rapid response</w:t>
      </w:r>
    </w:p>
    <w:p>
      <w:r>
        <w:t>Escalation ensures attention</w:t>
      </w:r>
    </w:p>
    <w:p>
      <w:r>
        <w:t>Resolution maintains performance</w:t>
      </w:r>
    </w:p>
    <w:p>
      <w:r>
        <w:t>Logging Strategy</w:t>
      </w:r>
    </w:p>
    <w:p>
      <w:r>
        <w:t>What This Means in Practice:</w:t>
      </w:r>
    </w:p>
    <w:p>
      <w:r>
        <w:t>All systems produce logs</w:t>
      </w:r>
    </w:p>
    <w:p>
      <w:r>
        <w:t>Logs are aggregated and searchable</w:t>
      </w:r>
    </w:p>
    <w:p>
      <w:r>
        <w:t>Critical logs are retained for 7 years</w:t>
      </w:r>
    </w:p>
    <w:p>
      <w:r>
        <w:t>Logs support troubleshooting and compliance</w:t>
      </w:r>
    </w:p>
    <w:p>
      <w:r>
        <w:t>Example:</w:t>
      </w:r>
    </w:p>
    <w:p>
      <w:r>
        <w:t>An error occurs. The operations team searches the logs to identify the cause. The logs show the error details. The team resolves the issue. The logs are retained for future reference.</w:t>
      </w:r>
    </w:p>
    <w:p>
      <w:r>
        <w:t>Why This Matters:</w:t>
      </w:r>
    </w:p>
    <w:p>
      <w:r>
        <w:t>Logs enable troubleshooting</w:t>
      </w:r>
    </w:p>
    <w:p>
      <w:r>
        <w:t>Logs provide audit trail</w:t>
      </w:r>
    </w:p>
    <w:p>
      <w:r>
        <w:t>Logs support compliance</w:t>
      </w:r>
    </w:p>
    <w:p>
      <w:r>
        <w:t>Logs enable forensic analysis</w:t>
      </w:r>
    </w:p>
    <w:p>
      <w:r>
        <w:t>Disaster Recovery Infrastructure</w:t>
      </w:r>
    </w:p>
    <w:p>
      <w:r>
        <w:t>Recovery Objectives</w:t>
      </w:r>
    </w:p>
    <w:p>
      <w:r>
        <w:t>What This Means in Practice:</w:t>
      </w:r>
    </w:p>
    <w:p>
      <w:r>
        <w:t>RTO defines maximum acceptable downtime</w:t>
      </w:r>
    </w:p>
    <w:p>
      <w:r>
        <w:t>RPO defines maximum acceptable data loss</w:t>
      </w:r>
    </w:p>
    <w:p>
      <w:r>
        <w:t>Different systems have different recovery objectives</w:t>
      </w:r>
    </w:p>
    <w:p>
      <w:r>
        <w:t>Objectives guide disaster recovery planning</w:t>
      </w:r>
    </w:p>
    <w:p>
      <w:r>
        <w:t>Example:</w:t>
      </w:r>
    </w:p>
    <w:p>
      <w:r>
        <w:t>A regional disaster occurs. The API services recover within 2 hours (RTO). Data loss is limited to 1 hour (RPO). The Institution continues operations. The recovery objectives are met.</w:t>
      </w:r>
    </w:p>
    <w:p>
      <w:r>
        <w:t>Why This Matters:</w:t>
      </w:r>
    </w:p>
    <w:p>
      <w:r>
        <w:t>RTO ensures timely recovery</w:t>
      </w:r>
    </w:p>
    <w:p>
      <w:r>
        <w:t>RPO limits data loss</w:t>
      </w:r>
    </w:p>
    <w:p>
      <w:r>
        <w:t>Defined objectives guide planning</w:t>
      </w:r>
    </w:p>
    <w:p>
      <w:r>
        <w:t>Meeting objectives maintains trust</w:t>
      </w:r>
    </w:p>
    <w:p>
      <w:r>
        <w:t>Disaster Recovery Playbooks</w:t>
      </w:r>
    </w:p>
    <w:p>
      <w:r>
        <w:t>What This Means in Practice:</w:t>
      </w:r>
    </w:p>
    <w:p>
      <w:r>
        <w:t>Playbooks define responses for specific scenarios</w:t>
      </w:r>
    </w:p>
    <w:p>
      <w:r>
        <w:t>Each playbook has defined actions and timelines</w:t>
      </w:r>
    </w:p>
    <w:p>
      <w:r>
        <w:t>Playbooks are tested regularly</w:t>
      </w:r>
    </w:p>
    <w:p>
      <w:r>
        <w:t>Playbooks are updated based on experience</w:t>
      </w:r>
    </w:p>
    <w:p>
      <w:r>
        <w:t>Example:</w:t>
      </w:r>
    </w:p>
    <w:p>
      <w:r>
        <w:t>A smart contract exploit is detected. The Technical Committee activates the Smart Contract Exploit playbook. The contract is paused within 2 hours. The exploit is identified and patched. The contract is redeployed within 48 hours. The Institution recovers.</w:t>
      </w:r>
    </w:p>
    <w:p>
      <w:r>
        <w:t>Why This Matters:</w:t>
      </w:r>
    </w:p>
    <w:p>
      <w:r>
        <w:t>Playbooks enable rapid response</w:t>
      </w:r>
    </w:p>
    <w:p>
      <w:r>
        <w:t>Defined actions prevent confusion</w:t>
      </w:r>
    </w:p>
    <w:p>
      <w:r>
        <w:t>Testing ensures effectiveness</w:t>
      </w:r>
    </w:p>
    <w:p>
      <w:r>
        <w:t>Updates improve resilience</w:t>
      </w:r>
    </w:p>
    <w:p>
      <w:r>
        <w:t>Testing</w:t>
      </w:r>
    </w:p>
    <w:p>
      <w:r>
        <w:t>What This Means in Practice:</w:t>
      </w:r>
    </w:p>
    <w:p>
      <w:r>
        <w:t>DR capabilities are tested regularly</w:t>
      </w:r>
    </w:p>
    <w:p>
      <w:r>
        <w:t>Tabletop exercises validate plans</w:t>
      </w:r>
    </w:p>
    <w:p>
      <w:r>
        <w:t>Failover tests validate technical capabilities</w:t>
      </w:r>
    </w:p>
    <w:p>
      <w:r>
        <w:t>Full DR tests validate end-to-end recovery</w:t>
      </w:r>
    </w:p>
    <w:p>
      <w:r>
        <w:t>Example:</w:t>
      </w:r>
    </w:p>
    <w:p>
      <w:r>
        <w:t>The annual full DR test is conducted. A simulated disaster is declared. The DR team executes the recovery procedures. Systems are restored. The recovery objectives are met. Lessons learned are documented.</w:t>
      </w:r>
    </w:p>
    <w:p>
      <w:r>
        <w:t>Why This Matters:</w:t>
      </w:r>
    </w:p>
    <w:p>
      <w:r>
        <w:t>Testing validates plans</w:t>
      </w:r>
    </w:p>
    <w:p>
      <w:r>
        <w:t>Testing identifies gaps</w:t>
      </w:r>
    </w:p>
    <w:p>
      <w:r>
        <w:t>Testing builds team readiness</w:t>
      </w:r>
    </w:p>
    <w:p>
      <w:r>
        <w:t>Testing improves resilience</w:t>
      </w:r>
    </w:p>
    <w:p>
      <w:r>
        <w:t>Infrastructure Evolution</w:t>
      </w:r>
    </w:p>
    <w:p>
      <w:r>
        <w:t>Evolution Principles</w:t>
      </w:r>
    </w:p>
    <w:p>
      <w:r>
        <w:t>What This Means in Practice:</w:t>
      </w:r>
    </w:p>
    <w:p>
      <w:r>
        <w:t>Infrastructure evolves over time</w:t>
      </w:r>
    </w:p>
    <w:p>
      <w:r>
        <w:t>Changes are made incrementally</w:t>
      </w:r>
    </w:p>
    <w:p>
      <w:r>
        <w:t>Changes are tested before deployment</w:t>
      </w:r>
    </w:p>
    <w:p>
      <w:r>
        <w:t>Changes are documented</w:t>
      </w:r>
    </w:p>
    <w:p>
      <w:r>
        <w:t>Changes are automated</w:t>
      </w:r>
    </w:p>
    <w:p>
      <w:r>
        <w:t>Example:</w:t>
      </w:r>
    </w:p>
    <w:p>
      <w:r>
        <w:t>A database upgrade is needed. The upgrade is tested in the test environment. The upgrade is applied to the staging environment. The upgrade is tested. The upgrade is applied to production during a maintenance window. The upgrade is successful.</w:t>
      </w:r>
    </w:p>
    <w:p>
      <w:r>
        <w:t>Why This Matters:</w:t>
      </w:r>
    </w:p>
    <w:p>
      <w:r>
        <w:t>Infrastructure must evolve</w:t>
      </w:r>
    </w:p>
    <w:p>
      <w:r>
        <w:t>Incremental change reduces risk</w:t>
      </w:r>
    </w:p>
    <w:p>
      <w:r>
        <w:t>Testing prevents errors</w:t>
      </w:r>
    </w:p>
    <w:p>
      <w:r>
        <w:t>Documentation ensures knowledge transfer</w:t>
      </w:r>
    </w:p>
    <w:p>
      <w:r>
        <w:t>Technology Roadmap</w:t>
      </w:r>
    </w:p>
    <w:p>
      <w:r>
        <w:t>What This Means in Practice:</w:t>
      </w:r>
    </w:p>
    <w:p>
      <w:r>
        <w:t>Infrastructure evolves with technology</w:t>
      </w:r>
    </w:p>
    <w:p>
      <w:r>
        <w:t>Multi-cloud provides additional resilience</w:t>
      </w:r>
    </w:p>
    <w:p>
      <w:r>
        <w:t>Kubernetes remains the orchestration standard</w:t>
      </w:r>
    </w:p>
    <w:p>
      <w:r>
        <w:t>Multiple blockchain networks support different use cases</w:t>
      </w:r>
    </w:p>
    <w:p>
      <w:r>
        <w:t>Monitoring evolves to meet new requirements</w:t>
      </w:r>
    </w:p>
    <w:p>
      <w:r>
        <w:t>Example:</w:t>
      </w:r>
    </w:p>
    <w:p>
      <w:r>
        <w:t>The Institution adopts a multi-cloud strategy. GCP and Azure are added as secondary providers. Infrastructure is deployed across three cloud providers. Resilience is enhanced. Vendor lock-in is reduced.</w:t>
      </w:r>
    </w:p>
    <w:p>
      <w:r>
        <w:t>Why This Matters:</w:t>
      </w:r>
    </w:p>
    <w:p>
      <w:r>
        <w:t>Technology evolves</w:t>
      </w:r>
    </w:p>
    <w:p>
      <w:r>
        <w:t>Multi-cloud reduces vendor lock-in</w:t>
      </w:r>
    </w:p>
    <w:p>
      <w:r>
        <w:t>Multiple blockchain networks support use cases</w:t>
      </w:r>
    </w:p>
    <w:p>
      <w:r>
        <w:t>Monitoring evolves with requirements</w:t>
      </w:r>
    </w:p>
    <w:p>
      <w:r>
        <w:t>Summary Table</w:t>
      </w:r>
    </w:p>
    <w:p>
      <w:r>
        <w:t>Constitutional Interpretation</w:t>
      </w:r>
    </w:p>
    <w:p>
      <w:r>
        <w:t>The Infrastructure article establishes the physical and logical infrastructure for the Institution:</w:t>
      </w:r>
    </w:p>
    <w:p>
      <w:r>
        <w:t>High availability with 99.99%+ uptime target</w:t>
      </w:r>
    </w:p>
    <w:p>
      <w:r>
        <w:t>Geographic distribution across multiple regions</w:t>
      </w:r>
    </w:p>
    <w:p>
      <w:r>
        <w:t>Scalability to handle growing demand</w:t>
      </w:r>
    </w:p>
    <w:p>
      <w:r>
        <w:t>Security with defense-in-depth controls</w:t>
      </w:r>
    </w:p>
    <w:p>
      <w:r>
        <w:t>Observability through comprehensive monitoring</w:t>
      </w:r>
    </w:p>
    <w:p>
      <w:r>
        <w:t>Multiple cloud providers for resilience</w:t>
      </w:r>
    </w:p>
    <w:p>
      <w:r>
        <w:t>Infrastructure as code for consistency</w:t>
      </w:r>
    </w:p>
    <w:p>
      <w:r>
        <w:t>Disaster recovery with defined RTO/RPO objectives</w:t>
      </w:r>
    </w:p>
    <w:p>
      <w:r>
        <w:t>Regular testing of recovery capabilities</w:t>
      </w:r>
    </w:p>
    <w:p>
      <w:r>
        <w:t>Continuous evolution of infrastructure</w:t>
      </w:r>
    </w:p>
    <w:p>
      <w:r>
        <w:t>Infrastructure is the foundation of technical operations. It is designed for resilience, security, and scalability. The Institution's infrastructure ensures continuous availability and operational integrity.</w:t>
      </w:r>
    </w:p>
    <w:p>
      <w:r>
        <w:t>[END OF PART 4, ARTICLE VI — INFRASTRUCTURE]</w:t>
      </w:r>
    </w:p>
    <w:p>
      <w:r>
        <w:t>Article VII: Formal Verification</w:t>
      </w:r>
    </w:p>
    <w:p>
      <w:r>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r>
        <w:t>What This Means in Practice:</w:t>
      </w:r>
    </w:p>
    <w:p>
      <w:r>
        <w:t>Critical invariants are proven mathematically</w:t>
      </w:r>
    </w:p>
    <w:p>
      <w:r>
        <w:t>Security properties are verified across all execution paths</w:t>
      </w:r>
    </w:p>
    <w:p>
      <w:r>
        <w:t>Verification is continuous and automated</w:t>
      </w:r>
    </w:p>
    <w:p>
      <w:r>
        <w:t>Proofs are published and auditable</w:t>
      </w:r>
    </w:p>
    <w:p>
      <w:r>
        <w:t>Verification provides mathematical certainty, not just testing</w:t>
      </w:r>
    </w:p>
    <w:p>
      <w:r>
        <w:t>Example:</w:t>
      </w:r>
    </w:p>
    <w:p>
      <w:r>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r>
        <w:t>Why This Matters:</w:t>
      </w:r>
    </w:p>
    <w:p>
      <w:r>
        <w:t>Without formal verification, correctness depends on testing</w:t>
      </w:r>
    </w:p>
    <w:p>
      <w:r>
        <w:t>Testing cannot cover all execution paths</w:t>
      </w:r>
    </w:p>
    <w:p>
      <w:r>
        <w:t>Formal verification provides mathematical certainty</w:t>
      </w:r>
    </w:p>
    <w:p>
      <w:r>
        <w:t>Formal verification is the strongest assurance available</w:t>
      </w:r>
    </w:p>
    <w:p>
      <w:r>
        <w:t>Formal verification is essential for institutional-grade software</w:t>
      </w:r>
    </w:p>
    <w:p>
      <w:r>
        <w:t>Core Principles of Formal Verification</w:t>
      </w:r>
    </w:p>
    <w:p>
      <w:pPr>
        <w:pStyle w:val="ListNumber"/>
        <w:ind w:left="425"/>
      </w:pPr>
      <w:r>
        <w:t>Mathematical Certainty</w:t>
      </w:r>
    </w:p>
    <w:p>
      <w:r>
        <w:t>Verification provides mathematical proof of correctness.</w:t>
      </w:r>
    </w:p>
    <w:p>
      <w:r>
        <w:t>What This Means in Practice:</w:t>
      </w:r>
    </w:p>
    <w:p>
      <w:r>
        <w:t>Invariants are expressed as mathematical properties</w:t>
      </w:r>
    </w:p>
    <w:p>
      <w:r>
        <w:t>Properties are proven using formal logic</w:t>
      </w:r>
    </w:p>
    <w:p>
      <w:r>
        <w:t>Proofs cover all possible execution paths</w:t>
      </w:r>
    </w:p>
    <w:p>
      <w:r>
        <w:t>Proofs are machine-checked and auditable</w:t>
      </w:r>
    </w:p>
    <w:p>
      <w:r>
        <w:t>Example:</w:t>
      </w:r>
    </w:p>
    <w:p>
      <w:r>
        <w:t>The property "Reserve_Value ≥ Supply_Value × NAV" is expressed as a logical formula. The Certora Prover constructs a mathematical proof that the property holds for all states. The proof is machine-checked. The property is proven.</w:t>
      </w:r>
    </w:p>
    <w:p>
      <w:r>
        <w:t>Why This Matters:</w:t>
      </w:r>
    </w:p>
    <w:p>
      <w:r>
        <w:t>Testing cannot prove correctness</w:t>
      </w:r>
    </w:p>
    <w:p>
      <w:r>
        <w:t>Mathematical proof covers all cases</w:t>
      </w:r>
    </w:p>
    <w:p>
      <w:r>
        <w:t>Machine-checked proofs are reliable</w:t>
      </w:r>
    </w:p>
    <w:p>
      <w:r>
        <w:t>Formal verification provides the strongest assurance</w:t>
      </w:r>
    </w:p>
    <w:p>
      <w:pPr>
        <w:pStyle w:val="ListNumber"/>
        <w:ind w:left="425"/>
      </w:pPr>
      <w:r>
        <w:t>Continuous Verification</w:t>
      </w:r>
    </w:p>
    <w:p>
      <w:r>
        <w:t>Verification is continuous and automated.</w:t>
      </w:r>
    </w:p>
    <w:p>
      <w:r>
        <w:t>What This Means in Practice:</w:t>
      </w:r>
    </w:p>
    <w:p>
      <w:r>
        <w:t>Verification runs on every code change</w:t>
      </w:r>
    </w:p>
    <w:p>
      <w:r>
        <w:t>Verification is integrated into CI/CD</w:t>
      </w:r>
    </w:p>
    <w:p>
      <w:r>
        <w:t>Verification results are tracked</w:t>
      </w:r>
    </w:p>
    <w:p>
      <w:r>
        <w:t>Verification ensures ongoing correctness</w:t>
      </w:r>
    </w:p>
    <w:p>
      <w:r>
        <w:t>Example:</w:t>
      </w:r>
    </w:p>
    <w:p>
      <w:r>
        <w:t>A developer submits a code change. The CI/CD pipeline automatically runs the formal verification suite. The verification checks all invariants. If any property fails, the build fails. The developer must fix the issue before the change is merged.</w:t>
      </w:r>
    </w:p>
    <w:p>
      <w:r>
        <w:t>Why This Matters:</w:t>
      </w:r>
    </w:p>
    <w:p>
      <w:r>
        <w:t>Continuous verification catches issues early</w:t>
      </w:r>
    </w:p>
    <w:p>
      <w:r>
        <w:t>Integration into CI/CD prevents regressions</w:t>
      </w:r>
    </w:p>
    <w:p>
      <w:r>
        <w:t>Automation ensures consistency</w:t>
      </w:r>
    </w:p>
    <w:p>
      <w:r>
        <w:t>Continuous verification maintains correctness</w:t>
      </w:r>
    </w:p>
    <w:p>
      <w:pPr>
        <w:pStyle w:val="ListNumber"/>
        <w:ind w:left="425"/>
      </w:pPr>
      <w:r>
        <w:t>Comprehensive Coverage</w:t>
      </w:r>
    </w:p>
    <w:p>
      <w:r>
        <w:t>Verification covers all critical systems.</w:t>
      </w:r>
    </w:p>
    <w:p>
      <w:r>
        <w:t>What This Means in Practice:</w:t>
      </w:r>
    </w:p>
    <w:p>
      <w:r>
        <w:t>All smart contracts are verified</w:t>
      </w:r>
    </w:p>
    <w:p>
      <w:r>
        <w:t>All critical invariants are proven</w:t>
      </w:r>
    </w:p>
    <w:p>
      <w:r>
        <w:t>All security properties are checked</w:t>
      </w:r>
    </w:p>
    <w:p>
      <w:r>
        <w:t>All edge cases are considered</w:t>
      </w:r>
    </w:p>
    <w:p>
      <w:r>
        <w:t>Example:</w:t>
      </w:r>
    </w:p>
    <w:p>
      <w:r>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r>
        <w:t>Why This Matters:</w:t>
      </w:r>
    </w:p>
    <w:p>
      <w:r>
        <w:t>Partial verification leaves gaps</w:t>
      </w:r>
    </w:p>
    <w:p>
      <w:r>
        <w:t>Critical systems must be verified</w:t>
      </w:r>
    </w:p>
    <w:p>
      <w:r>
        <w:t>Comprehensive coverage ensures correctness</w:t>
      </w:r>
    </w:p>
    <w:p>
      <w:r>
        <w:t>Complete verification provides complete assurance</w:t>
      </w:r>
    </w:p>
    <w:p>
      <w:pPr>
        <w:pStyle w:val="ListNumber"/>
        <w:ind w:left="425"/>
      </w:pPr>
      <w:r>
        <w:t>Transparency</w:t>
      </w:r>
    </w:p>
    <w:p>
      <w:r>
        <w:t>Verification proofs are transparent and auditable.</w:t>
      </w:r>
    </w:p>
    <w:p>
      <w:r>
        <w:t>What This Means in Practice:</w:t>
      </w:r>
    </w:p>
    <w:p>
      <w:r>
        <w:t>Proofs are published</w:t>
      </w:r>
    </w:p>
    <w:p>
      <w:r>
        <w:t>Verification methodology is documented</w:t>
      </w:r>
    </w:p>
    <w:p>
      <w:r>
        <w:t>Verification results are disclosed</w:t>
      </w:r>
    </w:p>
    <w:p>
      <w:r>
        <w:t>Proofs are independently auditable</w:t>
      </w:r>
    </w:p>
    <w:p>
      <w:r>
        <w:t>Example:</w:t>
      </w:r>
    </w:p>
    <w:p>
      <w:r>
        <w:t>The Institution publishes verification proofs, methodology, and results. Anyone can audit the proofs. The proofs are independently auditable. Transparency builds trust.</w:t>
      </w:r>
    </w:p>
    <w:p>
      <w:r>
        <w:t>Why This Matters:</w:t>
      </w:r>
    </w:p>
    <w:p>
      <w:r>
        <w:t>Transparency builds trust</w:t>
      </w:r>
    </w:p>
    <w:p>
      <w:r>
        <w:t>Auditable proofs enable verification</w:t>
      </w:r>
    </w:p>
    <w:p>
      <w:r>
        <w:t>Public disclosure prevents hidden issues</w:t>
      </w:r>
    </w:p>
    <w:p>
      <w:r>
        <w:t>Transparency is essential to institutional credibility</w:t>
      </w:r>
    </w:p>
    <w:p>
      <w:pPr>
        <w:pStyle w:val="ListNumber"/>
        <w:ind w:left="425"/>
      </w:pPr>
      <w:r>
        <w:t>Evolution</w:t>
      </w:r>
    </w:p>
    <w:p>
      <w:r>
        <w:t>Verification evolves with the code.</w:t>
      </w:r>
    </w:p>
    <w:p>
      <w:r>
        <w:t>What This Means in Practice:</w:t>
      </w:r>
    </w:p>
    <w:p>
      <w:r>
        <w:t>Verification is updated with code changes</w:t>
      </w:r>
    </w:p>
    <w:p>
      <w:r>
        <w:t>Verification evolves with the system</w:t>
      </w:r>
    </w:p>
    <w:p>
      <w:r>
        <w:t>Verification covers new features</w:t>
      </w:r>
    </w:p>
    <w:p>
      <w:r>
        <w:t>Verification maintains correctness as the system changes</w:t>
      </w:r>
    </w:p>
    <w:p>
      <w:r>
        <w:t>Example:</w:t>
      </w:r>
    </w:p>
    <w:p>
      <w:r>
        <w:t>A new feature is added to the Algorithm contract. The formal verification suite is updated to cover the new feature. The verification checks that the new feature does not break existing invariants. The verification evolves with the code.</w:t>
      </w:r>
    </w:p>
    <w:p>
      <w:r>
        <w:t>Why This Matters:</w:t>
      </w:r>
    </w:p>
    <w:p>
      <w:r>
        <w:t>Code evolves</w:t>
      </w:r>
    </w:p>
    <w:p>
      <w:r>
        <w:t>Verification must evolve with it</w:t>
      </w:r>
    </w:p>
    <w:p>
      <w:r>
        <w:t>New features must be verified</w:t>
      </w:r>
    </w:p>
    <w:p>
      <w:r>
        <w:t>Maintaining correctness requires continuous verification</w:t>
      </w:r>
    </w:p>
    <w:p>
      <w:r>
        <w:t>Verification Toolchain</w:t>
      </w:r>
    </w:p>
    <w:p>
      <w:r>
        <w:t>Tools</w:t>
      </w:r>
    </w:p>
    <w:p>
      <w:r>
        <w:t>What This Means in Practice:</w:t>
      </w:r>
    </w:p>
    <w:p>
      <w:r>
        <w:t>Multiple tools are used for verification</w:t>
      </w:r>
    </w:p>
    <w:p>
      <w:r>
        <w:t>Certora Prover provides formal invariant proofs</w:t>
      </w:r>
    </w:p>
    <w:p>
      <w:r>
        <w:t>Halmos provides symbolic execution</w:t>
      </w:r>
    </w:p>
    <w:p>
      <w:r>
        <w:t>Foundry provides invariant testing</w:t>
      </w:r>
    </w:p>
    <w:p>
      <w:r>
        <w:t>Echidna provides fuzz testing</w:t>
      </w:r>
    </w:p>
    <w:p>
      <w:r>
        <w:t>Slither and Mythril provide static analysis</w:t>
      </w:r>
    </w:p>
    <w:p>
      <w:r>
        <w:t>Example:</w:t>
      </w:r>
    </w:p>
    <w:p>
      <w:r>
        <w:t>The Institution uses Certora Prover for formal invariant proofs, Halmos for symbolic execution of new code changes, Foundry for invariant testing, Echidna for fuzz testing, and Slither/Mythril for static analysis. The toolchain provides comprehensive verification.</w:t>
      </w:r>
    </w:p>
    <w:p>
      <w:r>
        <w:t>Why This Matters:</w:t>
      </w:r>
    </w:p>
    <w:p>
      <w:r>
        <w:t>Different tools provide different types of verification</w:t>
      </w:r>
    </w:p>
    <w:p>
      <w:r>
        <w:t>Formal verification provides mathematical certainty</w:t>
      </w:r>
    </w:p>
    <w:p>
      <w:r>
        <w:t>Symbolic execution explores edge cases</w:t>
      </w:r>
    </w:p>
    <w:p>
      <w:r>
        <w:t>Testing provides additional coverage</w:t>
      </w:r>
    </w:p>
    <w:p>
      <w:r>
        <w:t>Static analysis catches common issues</w:t>
      </w:r>
    </w:p>
    <w:p>
      <w:r>
        <w:t>Verification Pipeline</w:t>
      </w:r>
    </w:p>
    <w:p>
      <w:r>
        <w:t>text</w:t>
      </w:r>
    </w:p>
    <w:p>
      <w:r>
        <w:t>┌─────────────────────────────────────────────────────────────────────┐</w:t>
      </w:r>
    </w:p>
    <w:p>
      <w:r>
        <w:t>│                     VERIFICATION PIPELINE                          │</w:t>
      </w:r>
    </w:p>
    <w:p>
      <w:r>
        <w:t>│                                                                     │</w:t>
      </w:r>
    </w:p>
    <w:p>
      <w:r>
        <w:t>│  ┌─────────────────────────────────────────────────────────────┐   │</w:t>
      </w:r>
    </w:p>
    <w:p>
      <w:r>
        <w:t>│  │                    CODE CHANGE                              │   │</w:t>
      </w:r>
    </w:p>
    <w:p>
      <w:r>
        <w:t>│  └─────────────────────────────────────────────────────────────┘   │</w:t>
      </w:r>
    </w:p>
    <w:p>
      <w:r>
        <w:t>│                              │                                      │</w:t>
      </w:r>
    </w:p>
    <w:p>
      <w:r>
        <w:t>│                              ▼                                      │</w:t>
      </w:r>
    </w:p>
    <w:p>
      <w:r>
        <w:t>│  ┌─────────────────────────────────────────────────────────────┐   │</w:t>
      </w:r>
    </w:p>
    <w:p>
      <w:r>
        <w:t>│  │                    STATIC ANALYSIS                         │   │</w:t>
      </w:r>
    </w:p>
    <w:p>
      <w:r>
        <w:t>│  │  ┌─────────────────────────────────────────────────────────┐│   │</w:t>
      </w:r>
    </w:p>
    <w:p>
      <w:r>
        <w:t>│  │  │ Slither │ Mythril │ Code Review                        ││   │</w:t>
      </w:r>
    </w:p>
    <w:p>
      <w:r>
        <w:t>│  │  └─────────────────────────────────────────────────────────┘│   │</w:t>
      </w:r>
    </w:p>
    <w:p>
      <w:r>
        <w:t>│  └─────────────────────────────────────────────────────────────┘   │</w:t>
      </w:r>
    </w:p>
    <w:p>
      <w:r>
        <w:t>│                              │                                      │</w:t>
      </w:r>
    </w:p>
    <w:p>
      <w:r>
        <w:t>│                              ▼                                      │</w:t>
      </w:r>
    </w:p>
    <w:p>
      <w:r>
        <w:t>│  ┌─────────────────────────────────────────────────────────────┐   │</w:t>
      </w:r>
    </w:p>
    <w:p>
      <w:r>
        <w:t>│  │                    INVARIANT TESTING                       │   │</w:t>
      </w:r>
    </w:p>
    <w:p>
      <w:r>
        <w:t>│  │  ┌─────────────────────────────────────────────────────────┐│   │</w:t>
      </w:r>
    </w:p>
    <w:p>
      <w:r>
        <w:t>│  │  │ Foundry │ Echidna │ Fuzz Testing                       ││   │</w:t>
      </w:r>
    </w:p>
    <w:p>
      <w:r>
        <w:t>│  │  └─────────────────────────────────────────────────────────┘│   │</w:t>
      </w:r>
    </w:p>
    <w:p>
      <w:r>
        <w:t>│  └─────────────────────────────────────────────────────────────┘   │</w:t>
      </w:r>
    </w:p>
    <w:p>
      <w:r>
        <w:t>│                              │                                      │</w:t>
      </w:r>
    </w:p>
    <w:p>
      <w:r>
        <w:t>│                              ▼                                      │</w:t>
      </w:r>
    </w:p>
    <w:p>
      <w:r>
        <w:t>│  ┌─────────────────────────────────────────────────────────────┐   │</w:t>
      </w:r>
    </w:p>
    <w:p>
      <w:r>
        <w:t>│  │                    SYMBOLIC EXECUTION                       │   │</w:t>
      </w:r>
    </w:p>
    <w:p>
      <w:r>
        <w:t>│  │  ┌─────────────────────────────────────────────────────────┐│   │</w:t>
      </w:r>
    </w:p>
    <w:p>
      <w:r>
        <w:t>│  │  │ Halmos │ Coverage Analysis                             ││   │</w:t>
      </w:r>
    </w:p>
    <w:p>
      <w:r>
        <w:t>│  │  └─────────────────────────────────────────────────────────┘│   │</w:t>
      </w:r>
    </w:p>
    <w:p>
      <w:r>
        <w:t>│  └─────────────────────────────────────────────────────────────┘   │</w:t>
      </w:r>
    </w:p>
    <w:p>
      <w:r>
        <w:t>│                              │                                      │</w:t>
      </w:r>
    </w:p>
    <w:p>
      <w:r>
        <w:t>│                              ▼                                      │</w:t>
      </w:r>
    </w:p>
    <w:p>
      <w:r>
        <w:t>│  ┌─────────────────────────────────────────────────────────────┐   │</w:t>
      </w:r>
    </w:p>
    <w:p>
      <w:r>
        <w:t>│  │                    FORMAL VERIFICATION                     │   │</w:t>
      </w:r>
    </w:p>
    <w:p>
      <w:r>
        <w:t>│  │  ┌─────────────────────────────────────────────────────────┐│   │</w:t>
      </w:r>
    </w:p>
    <w:p>
      <w:r>
        <w:t>│  │  │ Certora Prover │ Invariant Proofs                      ││   │</w:t>
      </w:r>
    </w:p>
    <w:p>
      <w:r>
        <w:t>│  │  └─────────────────────────────────────────────────────────┘│   │</w:t>
      </w:r>
    </w:p>
    <w:p>
      <w:r>
        <w:t>│  └─────────────────────────────────────────────────────────────┘   │</w:t>
      </w:r>
    </w:p>
    <w:p>
      <w:r>
        <w:t>│                              │                                      │</w:t>
      </w:r>
    </w:p>
    <w:p>
      <w:r>
        <w:t>│                              ▼                                      │</w:t>
      </w:r>
    </w:p>
    <w:p>
      <w:r>
        <w:t>│  ┌─────────────────────────────────────────────────────────────┐   │</w:t>
      </w:r>
    </w:p>
    <w:p>
      <w:r>
        <w:t>│  │                    VERIFICATION REPORT                     │   │</w:t>
      </w:r>
    </w:p>
    <w:p>
      <w:r>
        <w:t>│  │  ┌─────────────────────────────────────────────────────────┐│   │</w:t>
      </w:r>
    </w:p>
    <w:p>
      <w:r>
        <w:t>│  │  │ Results │ Issues │ Recommendations                     ││   │</w:t>
      </w:r>
    </w:p>
    <w:p>
      <w:r>
        <w:t>│  │  └─────────────────────────────────────────────────────────┘│   │</w:t>
      </w:r>
    </w:p>
    <w:p>
      <w:r>
        <w:t>│  └─────────────────────────────────────────────────────────────┘   │</w:t>
      </w:r>
    </w:p>
    <w:p>
      <w:r>
        <w:t>└─────────────────────────────────────────────────────────────────────┘</w:t>
      </w:r>
    </w:p>
    <w:p>
      <w:r>
        <w:t>Verified Invariants</w:t>
      </w:r>
    </w:p>
    <w:p>
      <w:r>
        <w:t>Smart Contract Invariants</w:t>
      </w:r>
    </w:p>
    <w:p>
      <w:r>
        <w:t>What This Means in Practice:</w:t>
      </w:r>
    </w:p>
    <w:p>
      <w:r>
        <w:t>12 critical invariants are formally verified</w:t>
      </w:r>
    </w:p>
    <w:p>
      <w:r>
        <w:t>Verification provides mathematical certainty</w:t>
      </w:r>
    </w:p>
    <w:p>
      <w:r>
        <w:t>Invariants cover all critical functions</w:t>
      </w:r>
    </w:p>
    <w:p>
      <w:r>
        <w:t>Verification is conducted quarterly</w:t>
      </w:r>
    </w:p>
    <w:p>
      <w:r>
        <w:t>Example:</w:t>
      </w:r>
    </w:p>
    <w:p>
      <w:r>
        <w:t>The reserve invariant (I-1) is proven using the Certora Prover. The proof shows that for all possible states, the reserve value is at least the supply value times the NAV. The invariant cannot be violated. The proof is mathematical.</w:t>
      </w:r>
    </w:p>
    <w:p>
      <w:r>
        <w:t>Why This Matters:</w:t>
      </w:r>
    </w:p>
    <w:p>
      <w:r>
        <w:t>Invariants are the foundation of institutional integrity</w:t>
      </w:r>
    </w:p>
    <w:p>
      <w:r>
        <w:t>Formal verification proves invariants</w:t>
      </w:r>
    </w:p>
    <w:p>
      <w:r>
        <w:t>Mathematical certainty provides the strongest assurance</w:t>
      </w:r>
    </w:p>
    <w:p>
      <w:r>
        <w:t>Verified invariants cannot be violated</w:t>
      </w:r>
    </w:p>
    <w:p>
      <w:r>
        <w:t>Formal Verification Proofs</w:t>
      </w:r>
    </w:p>
    <w:p>
      <w:r>
        <w:t>Invariant I-1: Reserve Solvency</w:t>
      </w:r>
    </w:p>
    <w:p>
      <w:r>
        <w:t>solidity</w:t>
      </w:r>
    </w:p>
    <w:p>
      <w:r>
        <w:t>// Certora Rule</w:t>
      </w:r>
    </w:p>
    <w:p>
      <w:r>
        <w:t>rule reserve_solvency() {</w:t>
      </w:r>
    </w:p>
    <w:p>
      <w:r>
        <w:t>uint256 total_supply = getTotalSupply();</w:t>
      </w:r>
    </w:p>
    <w:p>
      <w:r>
        <w:t>uint256 basket_price = getBasketPrice();</w:t>
      </w:r>
    </w:p>
    <w:p>
      <w:r>
        <w:t>uint256 reserve_value = getReserveValue();</w:t>
      </w:r>
    </w:p>
    <w:p>
      <w:r>
        <w:t>assert(reserve_value &gt;= total_supply * basket_price);</w:t>
      </w:r>
    </w:p>
    <w:p>
      <w:r>
        <w:t>}</w:t>
      </w:r>
    </w:p>
    <w:p>
      <w:r>
        <w:t>Proof:</w:t>
      </w:r>
    </w:p>
    <w:p>
      <w:r>
        <w:t>text</w:t>
      </w:r>
    </w:p>
    <w:p>
      <w:r>
        <w:t>The reserve_solvency invariant is proven by induction:</w:t>
      </w:r>
    </w:p>
    <w:p>
      <w:pPr>
        <w:pStyle w:val="ListBullet"/>
        <w:ind w:left="425"/>
      </w:pPr>
      <w:r>
        <w:t>Base Case: At launch, reserve_value = total_supply × basket_price</w:t>
      </w:r>
    </w:p>
    <w:p>
      <w:pPr>
        <w:pStyle w:val="ListBullet"/>
        <w:ind w:left="425"/>
      </w:pPr>
      <w:r>
        <w:t>Minting: When minting occurs, supply increases by ΔS and reserve increases by ΔR ≥ NAV × ΔS</w:t>
      </w:r>
    </w:p>
    <w:p>
      <w:pPr>
        <w:pStyle w:val="ListBullet"/>
        <w:ind w:left="425"/>
      </w:pPr>
      <w:r>
        <w:t>Redemption: When redemption occurs, supply decreases by ΔS and reserve decreases by NAV × ΔS</w:t>
      </w:r>
    </w:p>
    <w:p>
      <w:pPr>
        <w:pStyle w:val="ListBullet"/>
        <w:ind w:left="425"/>
      </w:pPr>
      <w:r>
        <w:t>Rebalancing: Rebalancing does not affect the reserve ratio</w:t>
      </w:r>
    </w:p>
    <w:p>
      <w:pPr>
        <w:pStyle w:val="ListBullet"/>
        <w:ind w:left="425"/>
      </w:pPr>
      <w:r>
        <w:t>Conclusion: For all transitions, the invariant holds</w:t>
      </w:r>
    </w:p>
    <w:p>
      <w:r>
        <w:t>Invariant I-2: Mint Authorization</w:t>
      </w:r>
    </w:p>
    <w:p>
      <w:r>
        <w:t>solidity</w:t>
      </w:r>
    </w:p>
    <w:p>
      <w:r>
        <w:t>// Certora Rule</w:t>
      </w:r>
    </w:p>
    <w:p>
      <w:r>
        <w:t>rule mint_requires_proof() {</w:t>
      </w:r>
    </w:p>
    <w:p>
      <w:r>
        <w:t>env e;</w:t>
      </w:r>
    </w:p>
    <w:p>
      <w:r>
        <w:t>address caller = e.msg.sender;</w:t>
      </w:r>
    </w:p>
    <w:p>
      <w:r>
        <w:t>uint256 amount = getMintAmount();</w:t>
      </w:r>
    </w:p>
    <w:p>
      <w:r>
        <w:t>assert(mint(e, amount) =&gt; custodianAttestation[caller] == true);</w:t>
      </w:r>
    </w:p>
    <w:p>
      <w:r>
        <w:t>}</w:t>
      </w:r>
    </w:p>
    <w:p>
      <w:r>
        <w:t>Proof:</w:t>
      </w:r>
    </w:p>
    <w:p>
      <w:r>
        <w:t>text</w:t>
      </w:r>
    </w:p>
    <w:p>
      <w:r>
        <w:t>The mint_requires_proof invariant is proven by ensuring that the mint function:</w:t>
      </w:r>
    </w:p>
    <w:p>
      <w:pPr>
        <w:pStyle w:val="ListBullet"/>
        <w:ind w:left="425"/>
      </w:pPr>
      <w:r>
        <w:t>Always checks the custodianAttestation mapping</w:t>
      </w:r>
    </w:p>
    <w:p>
      <w:pPr>
        <w:pStyle w:val="ListBullet"/>
        <w:ind w:left="425"/>
      </w:pPr>
      <w:r>
        <w:t>Always requires custodianAttestation[caller] to be true</w:t>
      </w:r>
    </w:p>
    <w:p>
      <w:pPr>
        <w:pStyle w:val="ListBullet"/>
        <w:ind w:left="425"/>
      </w:pPr>
      <w:r>
        <w:t>Only mints when the attestation is verified</w:t>
      </w:r>
    </w:p>
    <w:p>
      <w:pPr>
        <w:pStyle w:val="ListBullet"/>
        <w:ind w:left="425"/>
      </w:pPr>
      <w:r>
        <w:t>Has no code path that bypasses the attestation check</w:t>
      </w:r>
    </w:p>
    <w:p>
      <w:pPr>
        <w:pStyle w:val="ListBullet"/>
        <w:ind w:left="425"/>
      </w:pPr>
      <w:r>
        <w:t>The invariant holds for all possible callers and amounts</w:t>
      </w:r>
    </w:p>
    <w:p>
      <w:r>
        <w:t>Invariant I-3: Redemption Proportionality</w:t>
      </w:r>
    </w:p>
    <w:p>
      <w:r>
        <w:t>solidity</w:t>
      </w:r>
    </w:p>
    <w:p>
      <w:r>
        <w:t>// Certora Rule</w:t>
      </w:r>
    </w:p>
    <w:p>
      <w:r>
        <w:t>rule redemption_proportional() {</w:t>
      </w:r>
    </w:p>
    <w:p>
      <w:r>
        <w:t>uint256 burnAmount = getBurnAmount();</w:t>
      </w:r>
    </w:p>
    <w:p>
      <w:r>
        <w:t>uint256 supplyBefore = getTotalSupply();</w:t>
      </w:r>
    </w:p>
    <w:p>
      <w:r>
        <w:t>uint256 reserveBefore = getReserveValue();</w:t>
      </w:r>
    </w:p>
    <w:p>
      <w:r>
        <w:t>redeem(burnAmount);</w:t>
      </w:r>
    </w:p>
    <w:p>
      <w:r>
        <w:t>uint256 supplyAfter = getTotalSupply();</w:t>
      </w:r>
    </w:p>
    <w:p>
      <w:r>
        <w:t>uint256 reserveAfter = getReserveValue();</w:t>
      </w:r>
    </w:p>
    <w:p>
      <w:r>
        <w:t>assert(reserveAfter - reserveBefore == (burnAmount / supplyBefore) * reserveBefore);</w:t>
      </w:r>
    </w:p>
    <w:p>
      <w:r>
        <w:t>}</w:t>
      </w:r>
    </w:p>
    <w:p>
      <w:r>
        <w:t>Proof:</w:t>
      </w:r>
    </w:p>
    <w:p>
      <w:r>
        <w:t>text</w:t>
      </w:r>
    </w:p>
    <w:p>
      <w:r>
        <w:t>The redemption_proportional invariant is proven by ensuring that:</w:t>
      </w:r>
    </w:p>
    <w:p>
      <w:pPr>
        <w:pStyle w:val="ListBullet"/>
        <w:ind w:left="425"/>
      </w:pPr>
      <w:r>
        <w:t>The redemption function correctly calculates the proportional claim</w:t>
      </w:r>
    </w:p>
    <w:p>
      <w:pPr>
        <w:pStyle w:val="ListBullet"/>
        <w:ind w:left="425"/>
      </w:pPr>
      <w:r>
        <w:t>The proportional claim is (burnAmount / supplyBefore) × reserveBefore</w:t>
      </w:r>
    </w:p>
    <w:p>
      <w:pPr>
        <w:pStyle w:val="ListBullet"/>
        <w:ind w:left="425"/>
      </w:pPr>
      <w:r>
        <w:t>The reserve value decreases by exactly the proportional claim</w:t>
      </w:r>
    </w:p>
    <w:p>
      <w:pPr>
        <w:pStyle w:val="ListBullet"/>
        <w:ind w:left="425"/>
      </w:pPr>
      <w:r>
        <w:t>The supply value decreases by exactly burnAmount</w:t>
      </w:r>
    </w:p>
    <w:p>
      <w:pPr>
        <w:pStyle w:val="ListBullet"/>
        <w:ind w:left="425"/>
      </w:pPr>
      <w:r>
        <w:t>The invariant holds for all possible burn amounts</w:t>
      </w:r>
    </w:p>
    <w:p>
      <w:r>
        <w:t>Invariant I-5: SDP Trigger Correctness</w:t>
      </w:r>
    </w:p>
    <w:p>
      <w:r>
        <w:t>solidity</w:t>
      </w:r>
    </w:p>
    <w:p>
      <w:r>
        <w:t>// Certora Rule</w:t>
      </w:r>
    </w:p>
    <w:p>
      <w:r>
        <w:t>rule sdp_triggers_correctly() {</w:t>
      </w:r>
    </w:p>
    <w:p>
      <w:r>
        <w:t>uint256 volatility = calculateVolatility(7 days);</w:t>
      </w:r>
    </w:p>
    <w:p>
      <w:r>
        <w:t>uint256 sdpState = getSDPState();</w:t>
      </w:r>
    </w:p>
    <w:p>
      <w:r>
        <w:t>if (volatility &gt; 0.05) {</w:t>
      </w:r>
    </w:p>
    <w:p>
      <w:r>
        <w:t>assert(sdpState == TRIGGERED);</w:t>
      </w:r>
    </w:p>
    <w:p>
      <w:r>
        <w:t>}</w:t>
      </w:r>
    </w:p>
    <w:p>
      <w:r>
        <w:t>}</w:t>
      </w:r>
    </w:p>
    <w:p>
      <w:r>
        <w:t>Proof:</w:t>
      </w:r>
    </w:p>
    <w:p>
      <w:r>
        <w:t>text</w:t>
      </w:r>
    </w:p>
    <w:p>
      <w:r>
        <w:t>The sdp_triggers_correctly invariant is proven by ensuring that:</w:t>
      </w:r>
    </w:p>
    <w:p>
      <w:pPr>
        <w:pStyle w:val="ListBullet"/>
        <w:ind w:left="425"/>
      </w:pPr>
      <w:r>
        <w:t>The SDP calculates volatility correctly</w:t>
      </w:r>
    </w:p>
    <w:p>
      <w:pPr>
        <w:pStyle w:val="ListBullet"/>
        <w:ind w:left="425"/>
      </w:pPr>
      <w:r>
        <w:t>The SDP triggers when volatility exceeds 5%</w:t>
      </w:r>
    </w:p>
    <w:p>
      <w:pPr>
        <w:pStyle w:val="ListBullet"/>
        <w:ind w:left="425"/>
      </w:pPr>
      <w:r>
        <w:t>The SDP state is updated to TRIGGERED</w:t>
      </w:r>
    </w:p>
    <w:p>
      <w:pPr>
        <w:pStyle w:val="ListBullet"/>
        <w:ind w:left="425"/>
      </w:pPr>
      <w:r>
        <w:t>The SDP does not trigger when volatility is below 5%</w:t>
      </w:r>
    </w:p>
    <w:p>
      <w:pPr>
        <w:pStyle w:val="ListBullet"/>
        <w:ind w:left="425"/>
      </w:pPr>
      <w:r>
        <w:t>The invariant holds for all possible volatility values</w:t>
      </w:r>
    </w:p>
    <w:p>
      <w:r>
        <w:t>Symbolic Execution</w:t>
      </w:r>
    </w:p>
    <w:p>
      <w:r>
        <w:t>Halmos Symbolic Execution</w:t>
      </w:r>
    </w:p>
    <w:p>
      <w:r>
        <w:t>What This Means in Practice:</w:t>
      </w:r>
    </w:p>
    <w:p>
      <w:r>
        <w:t>Halmos performs symbolic execution of smart contracts</w:t>
      </w:r>
    </w:p>
    <w:p>
      <w:r>
        <w:t>It explores all possible execution paths</w:t>
      </w:r>
    </w:p>
    <w:p>
      <w:r>
        <w:t>It identifies edge cases and vulnerabilities</w:t>
      </w:r>
    </w:p>
    <w:p>
      <w:r>
        <w:t>It runs on every code change</w:t>
      </w:r>
    </w:p>
    <w:p>
      <w:r>
        <w:t>Example:</w:t>
      </w:r>
    </w:p>
    <w:p>
      <w:r>
        <w:t>A developer submits a code change to the Mint contract. Halmos performs symbolic execution on the changed code. It explores all possible execution paths. It identifies a potential edge case. The developer fixes the edge case. The code is safe.</w:t>
      </w:r>
    </w:p>
    <w:p>
      <w:r>
        <w:t>Why This Matters:</w:t>
      </w:r>
    </w:p>
    <w:p>
      <w:r>
        <w:t>Symbolic execution explores all paths</w:t>
      </w:r>
    </w:p>
    <w:p>
      <w:r>
        <w:t>Symbolic execution finds edge cases</w:t>
      </w:r>
    </w:p>
    <w:p>
      <w:r>
        <w:t>Integration into CI/CD catches issues early</w:t>
      </w:r>
    </w:p>
    <w:p>
      <w:r>
        <w:t>Symbolic execution complements formal verification</w:t>
      </w:r>
    </w:p>
    <w:p>
      <w:r>
        <w:t>Invariant Testing</w:t>
      </w:r>
    </w:p>
    <w:p>
      <w:r>
        <w:t>Foundry Invariant Testing</w:t>
      </w:r>
    </w:p>
    <w:p>
      <w:r>
        <w:t>What This Means in Practice:</w:t>
      </w:r>
    </w:p>
    <w:p>
      <w:r>
        <w:t>Foundry tests invariants</w:t>
      </w:r>
    </w:p>
    <w:p>
      <w:r>
        <w:t>Invariants are tested in a real execution environment</w:t>
      </w:r>
    </w:p>
    <w:p>
      <w:r>
        <w:t>Tests are run on every code change</w:t>
      </w:r>
    </w:p>
    <w:p>
      <w:r>
        <w:t>Failing tests block deployment</w:t>
      </w:r>
    </w:p>
    <w:p>
      <w:r>
        <w:t>Example:</w:t>
      </w:r>
    </w:p>
    <w:p>
      <w:r>
        <w:t>A developer submits a code change. Foundry runs all invariant tests. The reserve solvency invariant passes. The mint authorization invariant passes. The redemption proportionality invariant passes. All tests pass. The change is deployed.</w:t>
      </w:r>
    </w:p>
    <w:p>
      <w:r>
        <w:t>Why This Matters:</w:t>
      </w:r>
    </w:p>
    <w:p>
      <w:r>
        <w:t>Testing catches issues in a real environment</w:t>
      </w:r>
    </w:p>
    <w:p>
      <w:r>
        <w:t>Integration into CI/CD prevents regressions</w:t>
      </w:r>
    </w:p>
    <w:p>
      <w:r>
        <w:t>Failing tests block deployment</w:t>
      </w:r>
    </w:p>
    <w:p>
      <w:r>
        <w:t>Testing provides additional assurance</w:t>
      </w:r>
    </w:p>
    <w:p>
      <w:r>
        <w:t>Echidna Fuzz Testing</w:t>
      </w:r>
    </w:p>
    <w:p>
      <w:r>
        <w:t>What This Means in Practice:</w:t>
      </w:r>
    </w:p>
    <w:p>
      <w:r>
        <w:t>Echidna performs fuzz testing</w:t>
      </w:r>
    </w:p>
    <w:p>
      <w:r>
        <w:t>It generates random inputs</w:t>
      </w:r>
    </w:p>
    <w:p>
      <w:r>
        <w:t>It tests all functions with random inputs</w:t>
      </w:r>
    </w:p>
    <w:p>
      <w:r>
        <w:t>It identifies edge cases and vulnerabilities</w:t>
      </w:r>
    </w:p>
    <w:p>
      <w:r>
        <w:t>Example:</w:t>
      </w:r>
    </w:p>
    <w:p>
      <w:r>
        <w:t>Echidna generates random inputs for the Mint contract. It tests minting with random amounts. It tests minting with random caller addresses. It identifies an edge case with extremely large amounts. The edge case is fixed.</w:t>
      </w:r>
    </w:p>
    <w:p>
      <w:r>
        <w:t>Why This Matters:</w:t>
      </w:r>
    </w:p>
    <w:p>
      <w:r>
        <w:t>Fuzz testing finds edge cases</w:t>
      </w:r>
    </w:p>
    <w:p>
      <w:r>
        <w:t>Random inputs explore unexpected scenarios</w:t>
      </w:r>
    </w:p>
    <w:p>
      <w:r>
        <w:t>Daily testing catches issues early</w:t>
      </w:r>
    </w:p>
    <w:p>
      <w:r>
        <w:t>Fuzz testing complements formal verification</w:t>
      </w:r>
    </w:p>
    <w:p>
      <w:r>
        <w:t>Verification Artifacts</w:t>
      </w:r>
    </w:p>
    <w:p>
      <w:r>
        <w:t>Published Artifacts</w:t>
      </w:r>
    </w:p>
    <w:p>
      <w:r>
        <w:t>What This Means in Practice:</w:t>
      </w:r>
    </w:p>
    <w:p>
      <w:r>
        <w:t>Verification artifacts are published</w:t>
      </w:r>
    </w:p>
    <w:p>
      <w:r>
        <w:t>Artifacts are publicly accessible</w:t>
      </w:r>
    </w:p>
    <w:p>
      <w:r>
        <w:t>Artifacts are updated regularly</w:t>
      </w:r>
    </w:p>
    <w:p>
      <w:r>
        <w:t>Artifacts are auditable</w:t>
      </w:r>
    </w:p>
    <w:p>
      <w:r>
        <w:t>Example:</w:t>
      </w:r>
    </w:p>
    <w:p>
      <w:r>
        <w:t>The Institution publishes formal proofs on GitHub. The proofs are publicly accessible. Anyone can audit the proofs. The proofs are updated quarterly. Transparency builds trust.</w:t>
      </w:r>
    </w:p>
    <w:p>
      <w:r>
        <w:t>Why This Matters:</w:t>
      </w:r>
    </w:p>
    <w:p>
      <w:r>
        <w:t>Publication enables verification</w:t>
      </w:r>
    </w:p>
    <w:p>
      <w:r>
        <w:t>Public access builds trust</w:t>
      </w:r>
    </w:p>
    <w:p>
      <w:r>
        <w:t>Regular updates ensure relevance</w:t>
      </w:r>
    </w:p>
    <w:p>
      <w:r>
        <w:t>Auditability enables independent review</w:t>
      </w:r>
    </w:p>
    <w:p>
      <w:r>
        <w:t>Verification Report</w:t>
      </w:r>
    </w:p>
    <w:p>
      <w:r>
        <w:t>What This Means in Practice:</w:t>
      </w:r>
    </w:p>
    <w:p>
      <w:r>
        <w:t>Verification reports are comprehensive</w:t>
      </w:r>
    </w:p>
    <w:p>
      <w:r>
        <w:t>Reports include all relevant information</w:t>
      </w:r>
    </w:p>
    <w:p>
      <w:r>
        <w:t>Reports are published quarterly</w:t>
      </w:r>
    </w:p>
    <w:p>
      <w:r>
        <w:t>Reports are reviewed by the Council</w:t>
      </w:r>
    </w:p>
    <w:p>
      <w:r>
        <w:t>Example:</w:t>
      </w:r>
    </w:p>
    <w:p>
      <w:r>
        <w:t>The quarterly verification report is published. It shows that all 12 invariants are proven. It shows no vulnerabilities. It includes recommendations for additional verification. The Council reviews the report.</w:t>
      </w:r>
    </w:p>
    <w:p>
      <w:r>
        <w:t>Why This Matters:</w:t>
      </w:r>
    </w:p>
    <w:p>
      <w:r>
        <w:t>Reports provide visibility</w:t>
      </w:r>
    </w:p>
    <w:p>
      <w:r>
        <w:t>Comprehensive reports ensure no gaps</w:t>
      </w:r>
    </w:p>
    <w:p>
      <w:r>
        <w:t>Regular reporting maintains accountability</w:t>
      </w:r>
    </w:p>
    <w:p>
      <w:r>
        <w:t>Council review ensures oversight</w:t>
      </w:r>
    </w:p>
    <w:p>
      <w:r>
        <w:t>Verification Process</w:t>
      </w:r>
    </w:p>
    <w:p>
      <w:r>
        <w:t>Quarterly Verification</w:t>
      </w:r>
    </w:p>
    <w:p>
      <w:r>
        <w:t>Step 1: Code Freeze</w:t>
      </w:r>
    </w:p>
    <w:p>
      <w:r>
        <w:t>All code changes are frozen for the verification period</w:t>
      </w:r>
    </w:p>
    <w:p>
      <w:r>
        <w:t>The code is stable</w:t>
      </w:r>
    </w:p>
    <w:p>
      <w:r>
        <w:t>Step 2: Formal Verification</w:t>
      </w:r>
    </w:p>
    <w:p>
      <w:r>
        <w:t>Certora Prover runs all invariant proofs</w:t>
      </w:r>
    </w:p>
    <w:p>
      <w:r>
        <w:t>Proofs are checked</w:t>
      </w:r>
    </w:p>
    <w:p>
      <w:r>
        <w:t>Results are documented</w:t>
      </w:r>
    </w:p>
    <w:p>
      <w:r>
        <w:t>Step 3: Symbolic Execution</w:t>
      </w:r>
    </w:p>
    <w:p>
      <w:r>
        <w:t>Halmos runs symbolic execution</w:t>
      </w:r>
    </w:p>
    <w:p>
      <w:r>
        <w:t>Edge cases are identified</w:t>
      </w:r>
    </w:p>
    <w:p>
      <w:r>
        <w:t>Issues are addressed</w:t>
      </w:r>
    </w:p>
    <w:p>
      <w:r>
        <w:t>Step 4: Testing</w:t>
      </w:r>
    </w:p>
    <w:p>
      <w:r>
        <w:t>Foundry runs all invariant tests</w:t>
      </w:r>
    </w:p>
    <w:p>
      <w:r>
        <w:t>Echidna runs fuzz tests</w:t>
      </w:r>
    </w:p>
    <w:p>
      <w:r>
        <w:t>Results are documented</w:t>
      </w:r>
    </w:p>
    <w:p>
      <w:r>
        <w:t>Step 5: Report</w:t>
      </w:r>
    </w:p>
    <w:p>
      <w:r>
        <w:t>Verification results are compiled</w:t>
      </w:r>
    </w:p>
    <w:p>
      <w:r>
        <w:t>Report is prepared</w:t>
      </w:r>
    </w:p>
    <w:p>
      <w:r>
        <w:t>Report is published</w:t>
      </w:r>
    </w:p>
    <w:p>
      <w:r>
        <w:t>Step 6: Review</w:t>
      </w:r>
    </w:p>
    <w:p>
      <w:r>
        <w:t>Council reviews the report</w:t>
      </w:r>
    </w:p>
    <w:p>
      <w:r>
        <w:t>Findings are addressed</w:t>
      </w:r>
    </w:p>
    <w:p>
      <w:r>
        <w:t>Recommendations are implemented</w:t>
      </w:r>
    </w:p>
    <w:p>
      <w:r>
        <w:t>Verification Schedule</w:t>
      </w:r>
    </w:p>
    <w:p>
      <w:r>
        <w:t>Verification Governance</w:t>
      </w:r>
    </w:p>
    <w:p>
      <w:r>
        <w:t>Verification Responsibilities</w:t>
      </w:r>
    </w:p>
    <w:p>
      <w:r>
        <w:t>What This Means in Practice:</w:t>
      </w:r>
    </w:p>
    <w:p>
      <w:r>
        <w:t>Responsibilities are defined</w:t>
      </w:r>
    </w:p>
    <w:p>
      <w:r>
        <w:t>Oversight ensures quality</w:t>
      </w:r>
    </w:p>
    <w:p>
      <w:r>
        <w:t>Review ensures correctness</w:t>
      </w:r>
    </w:p>
    <w:p>
      <w:r>
        <w:t>Accountability maintains integrity</w:t>
      </w:r>
    </w:p>
    <w:p>
      <w:r>
        <w:t>Example:</w:t>
      </w:r>
    </w:p>
    <w:p>
      <w:r>
        <w:t>The Technical Committee oversees the verification program. The Engineering Team implements verification. The Security Team reviews results. The Council reviews reports. All parties are accountable.</w:t>
      </w:r>
    </w:p>
    <w:p>
      <w:r>
        <w:t>Why This Matters:</w:t>
      </w:r>
    </w:p>
    <w:p>
      <w:r>
        <w:t>Clear responsibilities ensure accountability</w:t>
      </w:r>
    </w:p>
    <w:p>
      <w:r>
        <w:t>Oversight maintains quality</w:t>
      </w:r>
    </w:p>
    <w:p>
      <w:r>
        <w:t>Review catches issues</w:t>
      </w:r>
    </w:p>
    <w:p>
      <w:r>
        <w:t>Governance ensures integrity</w:t>
      </w:r>
    </w:p>
    <w:p>
      <w:r>
        <w:t>Verification Standards</w:t>
      </w:r>
    </w:p>
    <w:p>
      <w:r>
        <w:t>What This Means in Practice:</w:t>
      </w:r>
    </w:p>
    <w:p>
      <w:r>
        <w:t>Verification standards are defined</w:t>
      </w:r>
    </w:p>
    <w:p>
      <w:r>
        <w:t>Standards ensure quality</w:t>
      </w:r>
    </w:p>
    <w:p>
      <w:r>
        <w:t>Standards are enforced</w:t>
      </w:r>
    </w:p>
    <w:p>
      <w:r>
        <w:t>Standards are reviewed</w:t>
      </w:r>
    </w:p>
    <w:p>
      <w:r>
        <w:t>Example:</w:t>
      </w:r>
    </w:p>
    <w:p>
      <w:r>
        <w:t>The verification program meets all standards: completeness (all invariants verified), correctness (proofs are mathematical), transparency (results published), independence (separate team), continuous (CI/CD integrated).</w:t>
      </w:r>
    </w:p>
    <w:p>
      <w:r>
        <w:t>Why This Matters:</w:t>
      </w:r>
    </w:p>
    <w:p>
      <w:r>
        <w:t>Standards ensure quality</w:t>
      </w:r>
    </w:p>
    <w:p>
      <w:r>
        <w:t>Defined standards enable measurement</w:t>
      </w:r>
    </w:p>
    <w:p>
      <w:r>
        <w:t>Enforcement ensures compliance</w:t>
      </w:r>
    </w:p>
    <w:p>
      <w:r>
        <w:t>Review enables improvement</w:t>
      </w:r>
    </w:p>
    <w:p>
      <w:r>
        <w:t>Summary Table</w:t>
      </w:r>
    </w:p>
    <w:p>
      <w:r>
        <w:t>Constitutional Interpretation</w:t>
      </w:r>
    </w:p>
    <w:p>
      <w:r>
        <w:t>The Formal Verification article establishes the mathematical verification framework for the Institution:</w:t>
      </w:r>
    </w:p>
    <w:p>
      <w:r>
        <w:t>12 critical invariants are formally verified</w:t>
      </w:r>
    </w:p>
    <w:p>
      <w:r>
        <w:t>Formal verification provides mathematical certainty</w:t>
      </w:r>
    </w:p>
    <w:p>
      <w:r>
        <w:t>Multiple verification tools provide comprehensive coverage</w:t>
      </w:r>
    </w:p>
    <w:p>
      <w:r>
        <w:t>Verification is continuous and integrated into CI/CD</w:t>
      </w:r>
    </w:p>
    <w:p>
      <w:r>
        <w:t>Verification results are published and auditable</w:t>
      </w:r>
    </w:p>
    <w:p>
      <w:r>
        <w:t>Formal verification is the strongest form of software assurance</w:t>
      </w:r>
    </w:p>
    <w:p>
      <w:r>
        <w:t>Formal verification provides mathematical certainty that smart contracts enforce constitutional invariants. It is the strongest form of software assurance and is essential for institutional-grade software.</w:t>
      </w:r>
    </w:p>
    <w:p>
      <w:r>
        <w:t>[END OF PART 4, ARTICLE VII — FORMAL VERIFICATION]</w:t>
      </w:r>
    </w:p>
    <w:p>
      <w:r>
        <w:t>Article VIII: Disaster Recovery</w:t>
      </w:r>
    </w:p>
    <w:p>
      <w:r>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r>
        <w:t>What This Means in Practice:</w:t>
      </w:r>
    </w:p>
    <w:p>
      <w:r>
        <w:t>Disaster Recovery is planned and tested, not improvised</w:t>
      </w:r>
    </w:p>
    <w:p>
      <w:r>
        <w:t>Recovery objectives are defined and measured</w:t>
      </w:r>
    </w:p>
    <w:p>
      <w:r>
        <w:t>Recovery procedures are documented and practiced</w:t>
      </w:r>
    </w:p>
    <w:p>
      <w:r>
        <w:t>The Institution assumes that disasters will occur</w:t>
      </w:r>
    </w:p>
    <w:p>
      <w:r>
        <w:t>Recovery is designed for speed and reliability</w:t>
      </w:r>
    </w:p>
    <w:p>
      <w:r>
        <w:t>Example:</w:t>
      </w:r>
    </w:p>
    <w:p>
      <w:r>
        <w:t>A catastrophic data center failure occurs. The Institution's disaster recovery plan is activated. Systems failover to the backup region. Operations resume within 2 hours. Data loss is limited to 5 minutes. The Institution continues to operate. The disaster is survived.</w:t>
      </w:r>
    </w:p>
    <w:p>
      <w:r>
        <w:t>Why This Matters:</w:t>
      </w:r>
    </w:p>
    <w:p>
      <w:r>
        <w:t>Without Disaster Recovery, catastrophic failures are permanent</w:t>
      </w:r>
    </w:p>
    <w:p>
      <w:r>
        <w:t>Without Disaster Recovery, the Institution is fragile</w:t>
      </w:r>
    </w:p>
    <w:p>
      <w:r>
        <w:t>Without Disaster Recovery, participants cannot trust the Institution</w:t>
      </w:r>
    </w:p>
    <w:p>
      <w:r>
        <w:t>Without Disaster Recovery, constitutional integrity is at risk</w:t>
      </w:r>
    </w:p>
    <w:p>
      <w:r>
        <w:t>Disaster Recovery is essential to institutional resilience</w:t>
      </w:r>
    </w:p>
    <w:p>
      <w:r>
        <w:t>Core Principles of Disaster Recovery</w:t>
      </w:r>
    </w:p>
    <w:p>
      <w:pPr>
        <w:pStyle w:val="ListNumber"/>
        <w:ind w:left="425"/>
      </w:pPr>
      <w:r>
        <w:t>Assume Failure</w:t>
      </w:r>
    </w:p>
    <w:p>
      <w:r>
        <w:t>The Institution assumes that disasters will occur.</w:t>
      </w:r>
    </w:p>
    <w:p>
      <w:r>
        <w:t>What This Means in Practice:</w:t>
      </w:r>
    </w:p>
    <w:p>
      <w:r>
        <w:t>Disasters are not if, but when</w:t>
      </w:r>
    </w:p>
    <w:p>
      <w:r>
        <w:t>Planning assumes the worst-case scenario</w:t>
      </w:r>
    </w:p>
    <w:p>
      <w:r>
        <w:t>Recovery is designed for catastrophic failure</w:t>
      </w:r>
    </w:p>
    <w:p>
      <w:r>
        <w:t>The Institution is prepared for the unexpected</w:t>
      </w:r>
    </w:p>
    <w:p>
      <w:r>
        <w:t>Example:</w:t>
      </w:r>
    </w:p>
    <w:p>
      <w:r>
        <w:t>The Institution's disaster recovery planning assumes that an entire cloud region will fail. It assumes that primary systems will be unavailable. It assumes that personnel may not be available. The plan accounts for worst-case scenarios.</w:t>
      </w:r>
    </w:p>
    <w:p>
      <w:r>
        <w:t>Why This Matters:</w:t>
      </w:r>
    </w:p>
    <w:p>
      <w:r>
        <w:t>Assuming failure prevents complacency</w:t>
      </w:r>
    </w:p>
    <w:p>
      <w:r>
        <w:t>Worst-case planning ensures readiness</w:t>
      </w:r>
    </w:p>
    <w:p>
      <w:r>
        <w:t>Catastrophic preparation covers all scenarios</w:t>
      </w:r>
    </w:p>
    <w:p>
      <w:r>
        <w:t>Preparedness enables survival</w:t>
      </w:r>
    </w:p>
    <w:p>
      <w:pPr>
        <w:pStyle w:val="ListNumber"/>
        <w:ind w:left="425"/>
      </w:pPr>
      <w:r>
        <w:t>Defined Objectives</w:t>
      </w:r>
    </w:p>
    <w:p>
      <w:r>
        <w:t>Recovery objectives are defined and measured.</w:t>
      </w:r>
    </w:p>
    <w:p>
      <w:r>
        <w:t>What This Means in Practice:</w:t>
      </w:r>
    </w:p>
    <w:p>
      <w:r>
        <w:t>RTO (Recovery Time Objective) defines maximum acceptable downtime</w:t>
      </w:r>
    </w:p>
    <w:p>
      <w:r>
        <w:t>RPO (Recovery Point Objective) defines maximum acceptable data loss</w:t>
      </w:r>
    </w:p>
    <w:p>
      <w:r>
        <w:t>Objectives are defined for each system</w:t>
      </w:r>
    </w:p>
    <w:p>
      <w:r>
        <w:t>Objectives are measured and reported</w:t>
      </w:r>
    </w:p>
    <w:p>
      <w:r>
        <w:t>Example:</w:t>
      </w:r>
    </w:p>
    <w:p>
      <w:r>
        <w:t>The Institution's RTO for core systems is 2 hours. The RPO is 1 hour. These objectives are defined, measured, and reported. If recovery exceeds these targets, the incident is escalated. The objectives drive recovery planning.</w:t>
      </w:r>
    </w:p>
    <w:p>
      <w:r>
        <w:t>Why This Matters:</w:t>
      </w:r>
    </w:p>
    <w:p>
      <w:r>
        <w:t>Defined objectives enable measurement</w:t>
      </w:r>
    </w:p>
    <w:p>
      <w:r>
        <w:t>Measurement enables accountability</w:t>
      </w:r>
    </w:p>
    <w:p>
      <w:r>
        <w:t>Objectives guide planning</w:t>
      </w:r>
    </w:p>
    <w:p>
      <w:r>
        <w:t>Objectives ensure timely recovery</w:t>
      </w:r>
    </w:p>
    <w:p>
      <w:pPr>
        <w:pStyle w:val="ListNumber"/>
        <w:ind w:left="425"/>
      </w:pPr>
      <w:r>
        <w:t>Documented Procedures</w:t>
      </w:r>
    </w:p>
    <w:p>
      <w:r>
        <w:t>Recovery procedures are documented and tested.</w:t>
      </w:r>
    </w:p>
    <w:p>
      <w:r>
        <w:t>What This Means in Practice:</w:t>
      </w:r>
    </w:p>
    <w:p>
      <w:r>
        <w:t>Procedures are written and maintained</w:t>
      </w:r>
    </w:p>
    <w:p>
      <w:r>
        <w:t>Procedures are detailed and actionable</w:t>
      </w:r>
    </w:p>
    <w:p>
      <w:r>
        <w:t>Procedures are tested regularly</w:t>
      </w:r>
    </w:p>
    <w:p>
      <w:r>
        <w:t>Procedures are updated based on testing</w:t>
      </w:r>
    </w:p>
    <w:p>
      <w:r>
        <w:t>Example:</w:t>
      </w:r>
    </w:p>
    <w:p>
      <w:r>
        <w:t>The Institution maintains detailed disaster recovery playbooks. Each playbook covers a specific scenario. The playbooks include step-by-step procedures, responsibilities, and timelines. The playbooks are tested quarterly and updated based on lessons learned.</w:t>
      </w:r>
    </w:p>
    <w:p>
      <w:r>
        <w:t>Why This Matters:</w:t>
      </w:r>
    </w:p>
    <w:p>
      <w:r>
        <w:t>Documented procedures enable consistent recovery</w:t>
      </w:r>
    </w:p>
    <w:p>
      <w:r>
        <w:t>Detailed procedures reduce errors</w:t>
      </w:r>
    </w:p>
    <w:p>
      <w:r>
        <w:t>Testing validates procedures</w:t>
      </w:r>
    </w:p>
    <w:p>
      <w:r>
        <w:t>Updates improve procedures</w:t>
      </w:r>
    </w:p>
    <w:p>
      <w:pPr>
        <w:pStyle w:val="ListNumber"/>
        <w:ind w:left="425"/>
      </w:pPr>
      <w:r>
        <w:t>Regular Testing</w:t>
      </w:r>
    </w:p>
    <w:p>
      <w:r>
        <w:t>Disaster recovery capabilities are tested regularly.</w:t>
      </w:r>
    </w:p>
    <w:p>
      <w:r>
        <w:t>What This Means in Practice:</w:t>
      </w:r>
    </w:p>
    <w:p>
      <w:r>
        <w:t>Tabletop exercises test plans</w:t>
      </w:r>
    </w:p>
    <w:p>
      <w:r>
        <w:t>Failover tests test technical capabilities</w:t>
      </w:r>
    </w:p>
    <w:p>
      <w:r>
        <w:t>Full disaster tests test end-to-end recovery</w:t>
      </w:r>
    </w:p>
    <w:p>
      <w:r>
        <w:t>Testing identifies gaps and improves readiness</w:t>
      </w:r>
    </w:p>
    <w:p>
      <w:r>
        <w:t>Example:</w:t>
      </w:r>
    </w:p>
    <w:p>
      <w:r>
        <w:t>The Institution conducts quarterly tabletop exercises, semi-annual failover tests, and annual full disaster tests. Each test validates recovery capabilities. Findings are documented and addressed. Continuous testing ensures readiness.</w:t>
      </w:r>
    </w:p>
    <w:p>
      <w:r>
        <w:t>Why This Matters:</w:t>
      </w:r>
    </w:p>
    <w:p>
      <w:r>
        <w:t>Testing validates plans</w:t>
      </w:r>
    </w:p>
    <w:p>
      <w:r>
        <w:t>Testing identifies gaps</w:t>
      </w:r>
    </w:p>
    <w:p>
      <w:r>
        <w:t>Testing builds team readiness</w:t>
      </w:r>
    </w:p>
    <w:p>
      <w:r>
        <w:t>Testing improves recovery capabilities</w:t>
      </w:r>
    </w:p>
    <w:p>
      <w:pPr>
        <w:pStyle w:val="ListNumber"/>
        <w:ind w:left="425"/>
      </w:pPr>
      <w:r>
        <w:t>Continuous Improvement</w:t>
      </w:r>
    </w:p>
    <w:p>
      <w:r>
        <w:t>Disaster recovery capabilities are continuously improved.</w:t>
      </w:r>
    </w:p>
    <w:p>
      <w:r>
        <w:t>What This Means in Practice:</w:t>
      </w:r>
    </w:p>
    <w:p>
      <w:r>
        <w:t>Lessons learned are incorporated</w:t>
      </w:r>
    </w:p>
    <w:p>
      <w:r>
        <w:t>Procedures are updated</w:t>
      </w:r>
    </w:p>
    <w:p>
      <w:r>
        <w:t>Technology is improved</w:t>
      </w:r>
    </w:p>
    <w:p>
      <w:r>
        <w:t>Capabilities are enhanced</w:t>
      </w:r>
    </w:p>
    <w:p>
      <w:r>
        <w:t>Example:</w:t>
      </w:r>
    </w:p>
    <w:p>
      <w:r>
        <w:t>After each disaster recovery test, a post-mortem is conducted. Lessons learned are documented. Procedures are updated. Technology is improved. The Institution's disaster recovery capabilities continuously improve.</w:t>
      </w:r>
    </w:p>
    <w:p>
      <w:r>
        <w:t>Why This Matters:</w:t>
      </w:r>
    </w:p>
    <w:p>
      <w:r>
        <w:t>Continuous improvement maintains readiness</w:t>
      </w:r>
    </w:p>
    <w:p>
      <w:r>
        <w:t>Lessons learned prevent recurrence</w:t>
      </w:r>
    </w:p>
    <w:p>
      <w:r>
        <w:t>Updates address evolving threats</w:t>
      </w:r>
    </w:p>
    <w:p>
      <w:r>
        <w:t>Improvement enhances resilience</w:t>
      </w:r>
    </w:p>
    <w:p>
      <w:r>
        <w:t>Recovery Objectives</w:t>
      </w:r>
    </w:p>
    <w:p>
      <w:r>
        <w:t>Recovery Time Objectives (RTO)</w:t>
      </w:r>
    </w:p>
    <w:p>
      <w:r>
        <w:t>What This Means in Practice:</w:t>
      </w:r>
    </w:p>
    <w:p>
      <w:r>
        <w:t>Critical systems have the shortest RTO</w:t>
      </w:r>
    </w:p>
    <w:p>
      <w:r>
        <w:t>High-priority systems have moderate RTO</w:t>
      </w:r>
    </w:p>
    <w:p>
      <w:r>
        <w:t>Medium-priority systems have longer RTO</w:t>
      </w:r>
    </w:p>
    <w:p>
      <w:r>
        <w:t>RTOs are defined and measured</w:t>
      </w:r>
    </w:p>
    <w:p>
      <w:r>
        <w:t>Example:</w:t>
      </w:r>
    </w:p>
    <w:p>
      <w:r>
        <w:t>A disaster occurs. Smart contracts must recover within 2 hours (RTO). API services must recover within 2 hours. Reserve management must recover within 2 hours. Oracle services recover within 6 hours. Databases recover within 4 hours.</w:t>
      </w:r>
    </w:p>
    <w:p>
      <w:r>
        <w:t>Why This Matters:</w:t>
      </w:r>
    </w:p>
    <w:p>
      <w:r>
        <w:t>RTO ensures timely recovery</w:t>
      </w:r>
    </w:p>
    <w:p>
      <w:r>
        <w:t>Priority ensures appropriate focus</w:t>
      </w:r>
    </w:p>
    <w:p>
      <w:r>
        <w:t>Measurement ensures accountability</w:t>
      </w:r>
    </w:p>
    <w:p>
      <w:r>
        <w:t>Defined RTOs guide planning</w:t>
      </w:r>
    </w:p>
    <w:p>
      <w:r>
        <w:t>Recovery Point Objectives (RPO)</w:t>
      </w:r>
    </w:p>
    <w:p>
      <w:r>
        <w:t>What This Means in Practice:</w:t>
      </w:r>
    </w:p>
    <w:p>
      <w:r>
        <w:t>Blockchain data has no RPO (immutable)</w:t>
      </w:r>
    </w:p>
    <w:p>
      <w:r>
        <w:t>Critical state data has minimal RPO</w:t>
      </w:r>
    </w:p>
    <w:p>
      <w:r>
        <w:t>Monitoring data can tolerate more loss</w:t>
      </w:r>
    </w:p>
    <w:p>
      <w:r>
        <w:t>RPOs are defined and measured</w:t>
      </w:r>
    </w:p>
    <w:p>
      <w:r>
        <w:t>Example:</w:t>
      </w:r>
    </w:p>
    <w:p>
      <w:r>
        <w:t>A database failure occurs. The RPO is 5 minutes. The database is restored from backup. Data loss is limited to 5 minutes. The Institution continues operations. The RPO is met.</w:t>
      </w:r>
    </w:p>
    <w:p>
      <w:r>
        <w:t>Why This Matters:</w:t>
      </w:r>
    </w:p>
    <w:p>
      <w:r>
        <w:t>RPO limits data loss</w:t>
      </w:r>
    </w:p>
    <w:p>
      <w:r>
        <w:t>Minimal RPO protects critical data</w:t>
      </w:r>
    </w:p>
    <w:p>
      <w:r>
        <w:t>Measurement ensures accountability</w:t>
      </w:r>
    </w:p>
    <w:p>
      <w:r>
        <w:t>Defined RPOs guide backup strategy</w:t>
      </w:r>
    </w:p>
    <w:p>
      <w:r>
        <w:t>Recovery Priority</w:t>
      </w:r>
    </w:p>
    <w:p>
      <w:r>
        <w:t>What This Means in Practice:</w:t>
      </w:r>
    </w:p>
    <w:p>
      <w:r>
        <w:t>Critical systems are restored first</w:t>
      </w:r>
    </w:p>
    <w:p>
      <w:r>
        <w:t>High-priority systems are restored next</w:t>
      </w:r>
    </w:p>
    <w:p>
      <w:r>
        <w:t>Medium-priority systems follow</w:t>
      </w:r>
    </w:p>
    <w:p>
      <w:r>
        <w:t>Low-priority systems are last</w:t>
      </w:r>
    </w:p>
    <w:p>
      <w:r>
        <w:t>Example:</w:t>
      </w:r>
    </w:p>
    <w:p>
      <w:r>
        <w:t>A disaster occurs. Critical systems are restored first (2 hours). High-priority systems are restored next (4-6 hours). Medium-priority systems follow (4-24 hours). Low-priority systems are last.</w:t>
      </w:r>
    </w:p>
    <w:p>
      <w:r>
        <w:t>Why This Matters:</w:t>
      </w:r>
    </w:p>
    <w:p>
      <w:r>
        <w:t>Priority ensures critical systems first</w:t>
      </w:r>
    </w:p>
    <w:p>
      <w:r>
        <w:t>Prioritization enables efficient recovery</w:t>
      </w:r>
    </w:p>
    <w:p>
      <w:r>
        <w:t>Defined priorities guide execution</w:t>
      </w:r>
    </w:p>
    <w:p>
      <w:r>
        <w:t>Accountability ensures completion</w:t>
      </w:r>
    </w:p>
    <w:p>
      <w:r>
        <w:t>Backup Strategy</w:t>
      </w:r>
    </w:p>
    <w:p>
      <w:r>
        <w:t>Backup Types</w:t>
      </w:r>
    </w:p>
    <w:p>
      <w:r>
        <w:t>What This Means in Practice:</w:t>
      </w:r>
    </w:p>
    <w:p>
      <w:r>
        <w:t>Full backups capture complete state daily</w:t>
      </w:r>
    </w:p>
    <w:p>
      <w:r>
        <w:t>Incremental backups capture changes hourly</w:t>
      </w:r>
    </w:p>
    <w:p>
      <w:r>
        <w:t>WAL archives enable point-in-time recovery</w:t>
      </w:r>
    </w:p>
    <w:p>
      <w:r>
        <w:t>Snapshots capture point-in-time state</w:t>
      </w:r>
    </w:p>
    <w:p>
      <w:r>
        <w:t>Cold storage provides long-term retention</w:t>
      </w:r>
    </w:p>
    <w:p>
      <w:r>
        <w:t>Example:</w:t>
      </w:r>
    </w:p>
    <w:p>
      <w:r>
        <w:t>The Institution performs daily full backups. Hourly incremental backups capture changes. Continuous WAL archiving enables point-in-time recovery. Monthly cold storage backups are retained for 7 years.</w:t>
      </w:r>
    </w:p>
    <w:p>
      <w:r>
        <w:t>Why This Matters:</w:t>
      </w:r>
    </w:p>
    <w:p>
      <w:r>
        <w:t>Multiple backup types provide flexibility</w:t>
      </w:r>
    </w:p>
    <w:p>
      <w:r>
        <w:t>Different frequencies balance cost and recovery</w:t>
      </w:r>
    </w:p>
    <w:p>
      <w:r>
        <w:t>Point-in-time recovery minimizes data loss</w:t>
      </w:r>
    </w:p>
    <w:p>
      <w:r>
        <w:t>Long-term retention ensures compliance</w:t>
      </w:r>
    </w:p>
    <w:p>
      <w:r>
        <w:t>Backup Storage</w:t>
      </w:r>
    </w:p>
    <w:p>
      <w:r>
        <w:t>What This Means in Practice:</w:t>
      </w:r>
    </w:p>
    <w:p>
      <w:r>
        <w:t>Backups are stored in S3</w:t>
      </w:r>
    </w:p>
    <w:p>
      <w:r>
        <w:t>Backups are encrypted</w:t>
      </w:r>
    </w:p>
    <w:p>
      <w:r>
        <w:t>Backups are access-controlled</w:t>
      </w:r>
    </w:p>
    <w:p>
      <w:r>
        <w:t>Backups are replicated across regions</w:t>
      </w:r>
    </w:p>
    <w:p>
      <w:r>
        <w:t>Example:</w:t>
      </w:r>
    </w:p>
    <w:p>
      <w:r>
        <w:t>Daily backups are stored in S3. The backups are encrypted with AES-256. Access is controlled by IAM. Backups are automatically replicated to a secondary region for disaster recovery.</w:t>
      </w:r>
    </w:p>
    <w:p>
      <w:r>
        <w:t>Why This Matters:</w:t>
      </w:r>
    </w:p>
    <w:p>
      <w:r>
        <w:t>S3 provides durable storage</w:t>
      </w:r>
    </w:p>
    <w:p>
      <w:r>
        <w:t>Encryption protects data</w:t>
      </w:r>
    </w:p>
    <w:p>
      <w:r>
        <w:t>Access control prevents unauthorized access</w:t>
      </w:r>
    </w:p>
    <w:p>
      <w:r>
        <w:t>Cross-region replication ensures availability</w:t>
      </w:r>
    </w:p>
    <w:p>
      <w:r>
        <w:t>Backup Verification</w:t>
      </w:r>
    </w:p>
    <w:p>
      <w:r>
        <w:t>What This Means in Practice:</w:t>
      </w:r>
    </w:p>
    <w:p>
      <w:r>
        <w:t>Backup integrity is verified daily</w:t>
      </w:r>
    </w:p>
    <w:p>
      <w:r>
        <w:t>Partial restores are tested weekly</w:t>
      </w:r>
    </w:p>
    <w:p>
      <w:r>
        <w:t>Full restores are tested quarterly</w:t>
      </w:r>
    </w:p>
    <w:p>
      <w:r>
        <w:t>Backups are audited annually</w:t>
      </w:r>
    </w:p>
    <w:p>
      <w:r>
        <w:t>Example:</w:t>
      </w:r>
    </w:p>
    <w:p>
      <w:r>
        <w:t>A weekly restore test is conducted. A backup is selected and partially restored. The restore is successful. The backup is verified. The test is documented.</w:t>
      </w:r>
    </w:p>
    <w:p>
      <w:r>
        <w:t>Why This Matters:</w:t>
      </w:r>
    </w:p>
    <w:p>
      <w:r>
        <w:t>Verification ensures backup integrity</w:t>
      </w:r>
    </w:p>
    <w:p>
      <w:r>
        <w:t>Testing validates recoverability</w:t>
      </w:r>
    </w:p>
    <w:p>
      <w:r>
        <w:t>Regular verification catches issues</w:t>
      </w:r>
    </w:p>
    <w:p>
      <w:r>
        <w:t>Audits ensure compliance</w:t>
      </w:r>
    </w:p>
    <w:p>
      <w:r>
        <w:t>Disaster Scenarios</w:t>
      </w:r>
    </w:p>
    <w:p>
      <w:r>
        <w:t>Scenario Categories</w:t>
      </w:r>
    </w:p>
    <w:p>
      <w:r>
        <w:t>What This Means in Practice:</w:t>
      </w:r>
    </w:p>
    <w:p>
      <w:r>
        <w:t>Scenarios are categorized</w:t>
      </w:r>
    </w:p>
    <w:p>
      <w:r>
        <w:t>Probability is assessed</w:t>
      </w:r>
    </w:p>
    <w:p>
      <w:r>
        <w:t>Impact is evaluated</w:t>
      </w:r>
    </w:p>
    <w:p>
      <w:r>
        <w:t>Plans address each scenario</w:t>
      </w:r>
    </w:p>
    <w:p>
      <w:r>
        <w:t>Example:</w:t>
      </w:r>
    </w:p>
    <w:p>
      <w:r>
        <w:t>A regional cloud outage occurs. The probability is medium. The impact is high. The disaster recovery plan addresses cloud outages. The plan is tested. The Institution is prepared.</w:t>
      </w:r>
    </w:p>
    <w:p>
      <w:r>
        <w:t>Why This Matters:</w:t>
      </w:r>
    </w:p>
    <w:p>
      <w:r>
        <w:t>Scenario identification enables planning</w:t>
      </w:r>
    </w:p>
    <w:p>
      <w:r>
        <w:t>Probability assessment guides resource allocation</w:t>
      </w:r>
    </w:p>
    <w:p>
      <w:r>
        <w:t>Impact assessment prioritizes response</w:t>
      </w:r>
    </w:p>
    <w:p>
      <w:r>
        <w:t>Preparedness ensures survival</w:t>
      </w:r>
    </w:p>
    <w:p>
      <w:r>
        <w:t>Scenario Examples</w:t>
      </w:r>
    </w:p>
    <w:p>
      <w:r>
        <w:t>Scenario 1: Regional Cloud Outage</w:t>
      </w:r>
    </w:p>
    <w:p>
      <w:r>
        <w:t>Scenario 2: Database Corruption</w:t>
      </w:r>
    </w:p>
    <w:p>
      <w:r>
        <w:t>Scenario 3: Cyber Attack</w:t>
      </w:r>
    </w:p>
    <w:p>
      <w:r>
        <w:t>Scenario 4: Custodian Failure</w:t>
      </w:r>
    </w:p>
    <w:p>
      <w:r>
        <w:t>Scenario 5: Oracle Failure</w:t>
      </w:r>
    </w:p>
    <w:p>
      <w:r>
        <w:t>Disaster Recovery Playbooks</w:t>
      </w:r>
    </w:p>
    <w:p>
      <w:r>
        <w:t>Playbook Structure</w:t>
      </w:r>
    </w:p>
    <w:p>
      <w:r>
        <w:t>Playbook: Regional Cloud Outage</w:t>
      </w:r>
    </w:p>
    <w:p>
      <w:r>
        <w:t>Scenario: Complete regional cloud provider outage</w:t>
      </w:r>
    </w:p>
    <w:p>
      <w:r>
        <w:t>Trigger: Region becomes unavailable</w:t>
      </w:r>
    </w:p>
    <w:p>
      <w:r>
        <w:t>Response Team: Operations Team (primary), Technical Committee (oversight)</w:t>
      </w:r>
    </w:p>
    <w:p>
      <w:r>
        <w:t>Immediate Actions:</w:t>
      </w:r>
    </w:p>
    <w:p>
      <w:r>
        <w:t>Confirm region outage via multiple monitoring sources</w:t>
      </w:r>
    </w:p>
    <w:p>
      <w:r>
        <w:t>Activate incident response team</w:t>
      </w:r>
    </w:p>
    <w:p>
      <w:r>
        <w:t>Begin failover to secondary region</w:t>
      </w:r>
    </w:p>
    <w:p>
      <w:r>
        <w:t>Recovery Steps:</w:t>
      </w:r>
    </w:p>
    <w:p>
      <w:r>
        <w:t>Route traffic to secondary region (DNS update)</w:t>
      </w:r>
    </w:p>
    <w:p>
      <w:r>
        <w:t>Scale up secondary region resources</w:t>
      </w:r>
    </w:p>
    <w:p>
      <w:r>
        <w:t>Restore databases from cross-region replicas</w:t>
      </w:r>
    </w:p>
    <w:p>
      <w:r>
        <w:t>Verify smart contract accessibility</w:t>
      </w:r>
    </w:p>
    <w:p>
      <w:r>
        <w:t>Test API functionality</w:t>
      </w:r>
    </w:p>
    <w:p>
      <w:r>
        <w:t>Monitor performance</w:t>
      </w:r>
    </w:p>
    <w:p>
      <w:r>
        <w:t>Resume normal operations</w:t>
      </w:r>
    </w:p>
    <w:p>
      <w:r>
        <w:t>Verification:</w:t>
      </w:r>
    </w:p>
    <w:p>
      <w:r>
        <w:t>Check API availability</w:t>
      </w:r>
    </w:p>
    <w:p>
      <w:r>
        <w:t>Verify transaction processing</w:t>
      </w:r>
    </w:p>
    <w:p>
      <w:r>
        <w:t>Confirm reserve accessibility</w:t>
      </w:r>
    </w:p>
    <w:p>
      <w:r>
        <w:t>Validate NAV calculation</w:t>
      </w:r>
    </w:p>
    <w:p>
      <w:r>
        <w:t>Escalation:</w:t>
      </w:r>
    </w:p>
    <w:p>
      <w:r>
        <w:t>Escalate to Council if RTO is exceeded</w:t>
      </w:r>
    </w:p>
    <w:p>
      <w:r>
        <w:t>Escalate to Technical Committee if technical issues arise</w:t>
      </w:r>
    </w:p>
    <w:p>
      <w:r>
        <w:t>Communication:</w:t>
      </w:r>
    </w:p>
    <w:p>
      <w:r>
        <w:t>Internal team: immediate</w:t>
      </w:r>
    </w:p>
    <w:p>
      <w:r>
        <w:t>Council: within 1 hour</w:t>
      </w:r>
    </w:p>
    <w:p>
      <w:r>
        <w:t>Participants: within 2 hours</w:t>
      </w:r>
    </w:p>
    <w:p>
      <w:r>
        <w:t>Regulators: within 4 hours (if required)</w:t>
      </w:r>
    </w:p>
    <w:p>
      <w:r>
        <w:t>Post-Mortem:</w:t>
      </w:r>
    </w:p>
    <w:p>
      <w:r>
        <w:t>Root cause analysis</w:t>
      </w:r>
    </w:p>
    <w:p>
      <w:r>
        <w:t>Identification of improvements</w:t>
      </w:r>
    </w:p>
    <w:p>
      <w:r>
        <w:t>Update procedures</w:t>
      </w:r>
    </w:p>
    <w:p>
      <w:r>
        <w:t>Retest</w:t>
      </w:r>
    </w:p>
    <w:p>
      <w:r>
        <w:t>Playbook: Database Corruption</w:t>
      </w:r>
    </w:p>
    <w:p>
      <w:r>
        <w:t>Scenario: Critical database corruption</w:t>
      </w:r>
    </w:p>
    <w:p>
      <w:r>
        <w:t>Trigger: Database corruption detected</w:t>
      </w:r>
    </w:p>
    <w:p>
      <w:r>
        <w:t>Response Team: Operations Team (primary), Technical Committee (oversight)</w:t>
      </w:r>
    </w:p>
    <w:p>
      <w:r>
        <w:t>Immediate Actions:</w:t>
      </w:r>
    </w:p>
    <w:p>
      <w:r>
        <w:t>Stop all write operations to the database</w:t>
      </w:r>
    </w:p>
    <w:p>
      <w:r>
        <w:t>Capture a copy of the corrupted database for forensics</w:t>
      </w:r>
    </w:p>
    <w:p>
      <w:r>
        <w:t>Identify the corruption point</w:t>
      </w:r>
    </w:p>
    <w:p>
      <w:r>
        <w:t>Recovery Steps:</w:t>
      </w:r>
    </w:p>
    <w:p>
      <w:r>
        <w:t>Identify the last known good backup</w:t>
      </w:r>
    </w:p>
    <w:p>
      <w:r>
        <w:t>Restore from full backup</w:t>
      </w:r>
    </w:p>
    <w:p>
      <w:r>
        <w:t>Apply WAL archives to recover to the point before corruption</w:t>
      </w:r>
    </w:p>
    <w:p>
      <w:r>
        <w:t>Verify data integrity</w:t>
      </w:r>
    </w:p>
    <w:p>
      <w:r>
        <w:t>Resume write operations</w:t>
      </w:r>
    </w:p>
    <w:p>
      <w:r>
        <w:t>Validate system functionality</w:t>
      </w:r>
    </w:p>
    <w:p>
      <w:r>
        <w:t>Verification:</w:t>
      </w:r>
    </w:p>
    <w:p>
      <w:r>
        <w:t>Check data integrity</w:t>
      </w:r>
    </w:p>
    <w:p>
      <w:r>
        <w:t>Verify recent transactions</w:t>
      </w:r>
    </w:p>
    <w:p>
      <w:r>
        <w:t>Confirm system functionality</w:t>
      </w:r>
    </w:p>
    <w:p>
      <w:r>
        <w:t>Escalation:</w:t>
      </w:r>
    </w:p>
    <w:p>
      <w:r>
        <w:t>Escalate to Council if RTO is exceeded</w:t>
      </w:r>
    </w:p>
    <w:p>
      <w:r>
        <w:t>Escalate to Legal if data loss affects compliance</w:t>
      </w:r>
    </w:p>
    <w:p>
      <w:r>
        <w:t>Communication:</w:t>
      </w:r>
    </w:p>
    <w:p>
      <w:r>
        <w:t>Internal team: immediate</w:t>
      </w:r>
    </w:p>
    <w:p>
      <w:r>
        <w:t>Council: within 1 hour</w:t>
      </w:r>
    </w:p>
    <w:p>
      <w:r>
        <w:t>Participants: within 4 hours (if data loss occurs)</w:t>
      </w:r>
    </w:p>
    <w:p>
      <w:r>
        <w:t>Regulators: within 24 hours (if required)</w:t>
      </w:r>
    </w:p>
    <w:p>
      <w:r>
        <w:t>Post-Mortem:</w:t>
      </w:r>
    </w:p>
    <w:p>
      <w:r>
        <w:t>Root cause analysis</w:t>
      </w:r>
    </w:p>
    <w:p>
      <w:r>
        <w:t>Identification of improvements</w:t>
      </w:r>
    </w:p>
    <w:p>
      <w:r>
        <w:t>Update backup and recovery procedures</w:t>
      </w:r>
    </w:p>
    <w:p>
      <w:r>
        <w:t>Retest</w:t>
      </w:r>
    </w:p>
    <w:p>
      <w:r>
        <w:t>Playbook: Cyber Attack</w:t>
      </w:r>
    </w:p>
    <w:p>
      <w:r>
        <w:t>Scenario: Ransomware or critical vulnerability exploitation</w:t>
      </w:r>
    </w:p>
    <w:p>
      <w:r>
        <w:t>Trigger: Security incident detection</w:t>
      </w:r>
    </w:p>
    <w:p>
      <w:r>
        <w:t>Response Team: Incident Response Team (lead), Security Team, Operations Team</w:t>
      </w:r>
    </w:p>
    <w:p>
      <w:r>
        <w:t>Immediate Actions:</w:t>
      </w:r>
    </w:p>
    <w:p>
      <w:r>
        <w:t>Isolate affected systems</w:t>
      </w:r>
    </w:p>
    <w:p>
      <w:r>
        <w:t>Stop all non-essential services</w:t>
      </w:r>
    </w:p>
    <w:p>
      <w:r>
        <w:t>Preserve forensic evidence</w:t>
      </w:r>
    </w:p>
    <w:p>
      <w:r>
        <w:t>Notify leadership</w:t>
      </w:r>
    </w:p>
    <w:p>
      <w:r>
        <w:t>Recovery Steps:</w:t>
      </w:r>
    </w:p>
    <w:p>
      <w:r>
        <w:t>Identify the attack vector</w:t>
      </w:r>
    </w:p>
    <w:p>
      <w:r>
        <w:t>Remove the threat from affected systems</w:t>
      </w:r>
    </w:p>
    <w:p>
      <w:r>
        <w:t>Restore from clean backups</w:t>
      </w:r>
    </w:p>
    <w:p>
      <w:r>
        <w:t>Apply security patches</w:t>
      </w:r>
    </w:p>
    <w:p>
      <w:r>
        <w:t>Verify system integrity</w:t>
      </w:r>
    </w:p>
    <w:p>
      <w:r>
        <w:t>Resume normal operations</w:t>
      </w:r>
    </w:p>
    <w:p>
      <w:r>
        <w:t>Conduct security review</w:t>
      </w:r>
    </w:p>
    <w:p>
      <w:r>
        <w:t>Verification:</w:t>
      </w:r>
    </w:p>
    <w:p>
      <w:r>
        <w:t>Check system integrity</w:t>
      </w:r>
    </w:p>
    <w:p>
      <w:r>
        <w:t>Verify no residual threats</w:t>
      </w:r>
    </w:p>
    <w:p>
      <w:r>
        <w:t>Confirm system functionality</w:t>
      </w:r>
    </w:p>
    <w:p>
      <w:r>
        <w:t>Escalation:</w:t>
      </w:r>
    </w:p>
    <w:p>
      <w:r>
        <w:t>Escalate to Council immediately</w:t>
      </w:r>
    </w:p>
    <w:p>
      <w:r>
        <w:t>Escalate to Legal immediately (data breach)</w:t>
      </w:r>
    </w:p>
    <w:p>
      <w:r>
        <w:t>Escalate to Regulators within 24 hours (if required)</w:t>
      </w:r>
    </w:p>
    <w:p>
      <w:r>
        <w:t>Communication:</w:t>
      </w:r>
    </w:p>
    <w:p>
      <w:r>
        <w:t>Internal team: immediate</w:t>
      </w:r>
    </w:p>
    <w:p>
      <w:r>
        <w:t>Council: within 1 hour</w:t>
      </w:r>
    </w:p>
    <w:p>
      <w:r>
        <w:t>Participants: within 2 hours (if data affected)</w:t>
      </w:r>
    </w:p>
    <w:p>
      <w:r>
        <w:t>Regulators: within 4 hours (if required)</w:t>
      </w:r>
    </w:p>
    <w:p>
      <w:r>
        <w:t>Public: within 24 hours (if material)</w:t>
      </w:r>
    </w:p>
    <w:p>
      <w:r>
        <w:t>Post-Mortem:</w:t>
      </w:r>
    </w:p>
    <w:p>
      <w:r>
        <w:t>Forensic analysis</w:t>
      </w:r>
    </w:p>
    <w:p>
      <w:r>
        <w:t>Root cause identification</w:t>
      </w:r>
    </w:p>
    <w:p>
      <w:r>
        <w:t>Security improvements</w:t>
      </w:r>
    </w:p>
    <w:p>
      <w:r>
        <w:t>Policy updates</w:t>
      </w:r>
    </w:p>
    <w:p>
      <w:r>
        <w:t>Retesting</w:t>
      </w:r>
    </w:p>
    <w:p>
      <w:r>
        <w:t>Playbook: Custodian Failure</w:t>
      </w:r>
    </w:p>
    <w:p>
      <w:r>
        <w:t>Scenario: Primary custodian compromised or fails</w:t>
      </w:r>
    </w:p>
    <w:p>
      <w:r>
        <w:t>Trigger: Custodian failure detected</w:t>
      </w:r>
    </w:p>
    <w:p>
      <w:r>
        <w:t>Response Team: CFO (lead), Operations Team, Legal Team</w:t>
      </w:r>
    </w:p>
    <w:p>
      <w:r>
        <w:t>Immediate Actions:</w:t>
      </w:r>
    </w:p>
    <w:p>
      <w:r>
        <w:t>Confirm custodian failure</w:t>
      </w:r>
    </w:p>
    <w:p>
      <w:r>
        <w:t>Assess impact on reserves</w:t>
      </w:r>
    </w:p>
    <w:p>
      <w:r>
        <w:t>Notify Council</w:t>
      </w:r>
    </w:p>
    <w:p>
      <w:r>
        <w:t>Activate insurance claims process (if applicable)</w:t>
      </w:r>
    </w:p>
    <w:p>
      <w:r>
        <w:t>Recovery Steps:</w:t>
      </w:r>
    </w:p>
    <w:p>
      <w:r>
        <w:t>Activate backup custodian</w:t>
      </w:r>
    </w:p>
    <w:p>
      <w:r>
        <w:t>Initiate asset transfer</w:t>
      </w:r>
    </w:p>
    <w:p>
      <w:r>
        <w:t>Verify asset receipt</w:t>
      </w:r>
    </w:p>
    <w:p>
      <w:r>
        <w:t>Update reserve records</w:t>
      </w:r>
    </w:p>
    <w:p>
      <w:r>
        <w:t>Confirm operational continuity</w:t>
      </w:r>
    </w:p>
    <w:p>
      <w:r>
        <w:t>Verification:</w:t>
      </w:r>
    </w:p>
    <w:p>
      <w:r>
        <w:t>Check physical gold inventory</w:t>
      </w:r>
    </w:p>
    <w:p>
      <w:r>
        <w:t>Verify stablecoin balances</w:t>
      </w:r>
    </w:p>
    <w:p>
      <w:r>
        <w:t>Confirm reserve ratio</w:t>
      </w:r>
    </w:p>
    <w:p>
      <w:r>
        <w:t>Escalation:</w:t>
      </w:r>
    </w:p>
    <w:p>
      <w:r>
        <w:t>Escalate to Council immediately</w:t>
      </w:r>
    </w:p>
    <w:p>
      <w:r>
        <w:t>Escalate to Legal immediately (legal implications)</w:t>
      </w:r>
    </w:p>
    <w:p>
      <w:r>
        <w:t>Escalate to Regulators within 24 hours (if required)</w:t>
      </w:r>
    </w:p>
    <w:p>
      <w:r>
        <w:t>Communication:</w:t>
      </w:r>
    </w:p>
    <w:p>
      <w:r>
        <w:t>Internal team: immediate</w:t>
      </w:r>
    </w:p>
    <w:p>
      <w:r>
        <w:t>Council: within 1 hour</w:t>
      </w:r>
    </w:p>
    <w:p>
      <w:r>
        <w:t>Participants: within 4 hours (if redemptions affected)</w:t>
      </w:r>
    </w:p>
    <w:p>
      <w:r>
        <w:t>Regulators: within 24 hours (if required)</w:t>
      </w:r>
    </w:p>
    <w:p>
      <w:r>
        <w:t>Insurance providers: immediate</w:t>
      </w:r>
    </w:p>
    <w:p>
      <w:r>
        <w:t>Post-Mortem:</w:t>
      </w:r>
    </w:p>
    <w:p>
      <w:r>
        <w:t>Root cause analysis</w:t>
      </w:r>
    </w:p>
    <w:p>
      <w:r>
        <w:t>Custodian selection review</w:t>
      </w:r>
    </w:p>
    <w:p>
      <w:r>
        <w:t>Custody agreement review</w:t>
      </w:r>
    </w:p>
    <w:p>
      <w:r>
        <w:t>Process improvements</w:t>
      </w:r>
    </w:p>
    <w:p>
      <w:r>
        <w:t>Playbook: Oracle Failure</w:t>
      </w:r>
    </w:p>
    <w:p>
      <w:r>
        <w:t>Scenario: Multiple oracle families fail</w:t>
      </w:r>
    </w:p>
    <w:p>
      <w:r>
        <w:t>Trigger: Oracle failure detected (consensus fails)</w:t>
      </w:r>
    </w:p>
    <w:p>
      <w:r>
        <w:t>Response Team: Technical Committee (lead), Operations Team</w:t>
      </w:r>
    </w:p>
    <w:p>
      <w:r>
        <w:t>Immediate Actions:</w:t>
      </w:r>
    </w:p>
    <w:p>
      <w:r>
        <w:t>Confirm oracle failure</w:t>
      </w:r>
    </w:p>
    <w:p>
      <w:r>
        <w:t>Assess impact on NAV calculation</w:t>
      </w:r>
    </w:p>
    <w:p>
      <w:r>
        <w:t>Activate fallback oracles</w:t>
      </w:r>
    </w:p>
    <w:p>
      <w:r>
        <w:t>Recovery Steps:</w:t>
      </w:r>
    </w:p>
    <w:p>
      <w:r>
        <w:t>Activate 48-hour TWAP (Constitutional Oracle)</w:t>
      </w:r>
    </w:p>
    <w:p>
      <w:r>
        <w:t>If TWAP fails, activate Internal Pricing Committee</w:t>
      </w:r>
    </w:p>
    <w:p>
      <w:r>
        <w:t>Restore oracle connections</w:t>
      </w:r>
    </w:p>
    <w:p>
      <w:r>
        <w:t>Verify restored data</w:t>
      </w:r>
    </w:p>
    <w:p>
      <w:r>
        <w:t>Resume normal oracle operations</w:t>
      </w:r>
    </w:p>
    <w:p>
      <w:r>
        <w:t>Verification:</w:t>
      </w:r>
    </w:p>
    <w:p>
      <w:r>
        <w:t>Check price accuracy</w:t>
      </w:r>
    </w:p>
    <w:p>
      <w:r>
        <w:t>Verify NAV consistency</w:t>
      </w:r>
    </w:p>
    <w:p>
      <w:r>
        <w:t>Confirm reserve ratio calculation</w:t>
      </w:r>
    </w:p>
    <w:p>
      <w:r>
        <w:t>Escalation:</w:t>
      </w:r>
    </w:p>
    <w:p>
      <w:r>
        <w:t>Escalate to Council if TWAP and Internal Committee fail</w:t>
      </w:r>
    </w:p>
    <w:p>
      <w:r>
        <w:t>Escalate to Technical Committee for technical resolution</w:t>
      </w:r>
    </w:p>
    <w:p>
      <w:r>
        <w:t>Communication:</w:t>
      </w:r>
    </w:p>
    <w:p>
      <w:r>
        <w:t>Internal team: immediate</w:t>
      </w:r>
    </w:p>
    <w:p>
      <w:r>
        <w:t>Council: within 1 hour</w:t>
      </w:r>
    </w:p>
    <w:p>
      <w:r>
        <w:t>Participants: within 2 hours (if NAV calculation delayed)</w:t>
      </w:r>
    </w:p>
    <w:p>
      <w:r>
        <w:t>Post-Mortem:</w:t>
      </w:r>
    </w:p>
    <w:p>
      <w:r>
        <w:t>Root cause analysis</w:t>
      </w:r>
    </w:p>
    <w:p>
      <w:r>
        <w:t>Oracle provider review</w:t>
      </w:r>
    </w:p>
    <w:p>
      <w:r>
        <w:t>Fallback procedure update</w:t>
      </w:r>
    </w:p>
    <w:p>
      <w:r>
        <w:t>Resilience improvements</w:t>
      </w:r>
    </w:p>
    <w:p>
      <w:r>
        <w:t>Failover Procedures</w:t>
      </w:r>
    </w:p>
    <w:p>
      <w:r>
        <w:t>Failover Process</w:t>
      </w:r>
    </w:p>
    <w:p>
      <w:r>
        <w:t>Step 1: Detection</w:t>
      </w:r>
    </w:p>
    <w:p>
      <w:r>
        <w:t>Monitor detects failure</w:t>
      </w:r>
    </w:p>
    <w:p>
      <w:r>
        <w:t>Alert is triggered</w:t>
      </w:r>
    </w:p>
    <w:p>
      <w:r>
        <w:t>Incident is logged</w:t>
      </w:r>
    </w:p>
    <w:p>
      <w:r>
        <w:t>Step 2: Assessment</w:t>
      </w:r>
    </w:p>
    <w:p>
      <w:r>
        <w:t>Impact is assessed</w:t>
      </w:r>
    </w:p>
    <w:p>
      <w:r>
        <w:t>RTO/RPO is evaluated</w:t>
      </w:r>
    </w:p>
    <w:p>
      <w:r>
        <w:t>Decisions are made</w:t>
      </w:r>
    </w:p>
    <w:p>
      <w:r>
        <w:t>Step 3: Failover</w:t>
      </w:r>
    </w:p>
    <w:p>
      <w:r>
        <w:t>Traffic is routed to backup</w:t>
      </w:r>
    </w:p>
    <w:p>
      <w:r>
        <w:t>Services are scaled up</w:t>
      </w:r>
    </w:p>
    <w:p>
      <w:r>
        <w:t>Data is restored</w:t>
      </w:r>
    </w:p>
    <w:p>
      <w:r>
        <w:t>Step 4: Verification</w:t>
      </w:r>
    </w:p>
    <w:p>
      <w:r>
        <w:t>Services are validated</w:t>
      </w:r>
    </w:p>
    <w:p>
      <w:r>
        <w:t>Data integrity is checked</w:t>
      </w:r>
    </w:p>
    <w:p>
      <w:r>
        <w:t>Operations are confirmed</w:t>
      </w:r>
    </w:p>
    <w:p>
      <w:r>
        <w:t>Step 5: Stabilization</w:t>
      </w:r>
    </w:p>
    <w:p>
      <w:r>
        <w:t>Monitoring is increased</w:t>
      </w:r>
    </w:p>
    <w:p>
      <w:r>
        <w:t>Performance is tracked</w:t>
      </w:r>
    </w:p>
    <w:p>
      <w:r>
        <w:t>Issues are addressed</w:t>
      </w:r>
    </w:p>
    <w:p>
      <w:r>
        <w:t>Step 6: Resolution</w:t>
      </w:r>
    </w:p>
    <w:p>
      <w:r>
        <w:t>Primary is restored</w:t>
      </w:r>
    </w:p>
    <w:p>
      <w:r>
        <w:t>Traffic is failed back</w:t>
      </w:r>
    </w:p>
    <w:p>
      <w:r>
        <w:t>Normal operations resume</w:t>
      </w:r>
    </w:p>
    <w:p>
      <w:r>
        <w:t>Failover Triggers</w:t>
      </w:r>
    </w:p>
    <w:p>
      <w:r>
        <w:t>Failback Process</w:t>
      </w:r>
    </w:p>
    <w:p>
      <w:r>
        <w:t>Step 1: Primary Restoration</w:t>
      </w:r>
    </w:p>
    <w:p>
      <w:r>
        <w:t>Primary system is restored</w:t>
      </w:r>
    </w:p>
    <w:p>
      <w:r>
        <w:t>Data is synchronized</w:t>
      </w:r>
    </w:p>
    <w:p>
      <w:r>
        <w:t>Services are tested</w:t>
      </w:r>
    </w:p>
    <w:p>
      <w:r>
        <w:t>Step 2: Traffic Switch</w:t>
      </w:r>
    </w:p>
    <w:p>
      <w:r>
        <w:t>Traffic is gradually switched to primary</w:t>
      </w:r>
    </w:p>
    <w:p>
      <w:r>
        <w:t>Secondary is maintained as backup</w:t>
      </w:r>
    </w:p>
    <w:p>
      <w:r>
        <w:t>Step 3: Verification</w:t>
      </w:r>
    </w:p>
    <w:p>
      <w:r>
        <w:t>Primary is validated</w:t>
      </w:r>
    </w:p>
    <w:p>
      <w:r>
        <w:t>Secondary is confirmed as backup</w:t>
      </w:r>
    </w:p>
    <w:p>
      <w:r>
        <w:t>Operations resume</w:t>
      </w:r>
    </w:p>
    <w:p>
      <w:r>
        <w:t>Step 4: Stabilization</w:t>
      </w:r>
    </w:p>
    <w:p>
      <w:r>
        <w:t>Monitoring is increased</w:t>
      </w:r>
    </w:p>
    <w:p>
      <w:r>
        <w:t>Performance is tracked</w:t>
      </w:r>
    </w:p>
    <w:p>
      <w:r>
        <w:t>Issues are addressed</w:t>
      </w:r>
    </w:p>
    <w:p>
      <w:r>
        <w:t>Step 5: Resolution</w:t>
      </w:r>
    </w:p>
    <w:p>
      <w:r>
        <w:t>Incident is closed</w:t>
      </w:r>
    </w:p>
    <w:p>
      <w:r>
        <w:t>Post-mortem is conducted</w:t>
      </w:r>
    </w:p>
    <w:p>
      <w:r>
        <w:t>Disaster Recovery Testing</w:t>
      </w:r>
    </w:p>
    <w:p>
      <w:r>
        <w:t>Testing Schedule</w:t>
      </w:r>
    </w:p>
    <w:p>
      <w:r>
        <w:t>What This Means in Practice:</w:t>
      </w:r>
    </w:p>
    <w:p>
      <w:r>
        <w:t>Tests are conducted regularly</w:t>
      </w:r>
    </w:p>
    <w:p>
      <w:r>
        <w:t>Different tests cover different aspects</w:t>
      </w:r>
    </w:p>
    <w:p>
      <w:r>
        <w:t>All teams participate</w:t>
      </w:r>
    </w:p>
    <w:p>
      <w:r>
        <w:t>Tests validate recovery capabilities</w:t>
      </w:r>
    </w:p>
    <w:p>
      <w:r>
        <w:t>Example:</w:t>
      </w:r>
    </w:p>
    <w:p>
      <w:r>
        <w:t>The Institution conducts quarterly tabletop exercises, semi-annual partial failover tests, annual full DR tests, quarterly backup restore tests, and annual security incident tests. Each test validates different aspects of disaster recovery.</w:t>
      </w:r>
    </w:p>
    <w:p>
      <w:r>
        <w:t>Why This Matters:</w:t>
      </w:r>
    </w:p>
    <w:p>
      <w:r>
        <w:t>Regular testing maintains readiness</w:t>
      </w:r>
    </w:p>
    <w:p>
      <w:r>
        <w:t>Different tests cover different scenarios</w:t>
      </w:r>
    </w:p>
    <w:p>
      <w:r>
        <w:t>Team participation builds experience</w:t>
      </w:r>
    </w:p>
    <w:p>
      <w:r>
        <w:t>Testing validates recovery capabilities</w:t>
      </w:r>
    </w:p>
    <w:p>
      <w:r>
        <w:t>Tabletop Exercise</w:t>
      </w:r>
    </w:p>
    <w:p>
      <w:r>
        <w:t>Purpose: Validate disaster recovery plans without executing technical recovery</w:t>
      </w:r>
    </w:p>
    <w:p>
      <w:r>
        <w:t>Process:</w:t>
      </w:r>
    </w:p>
    <w:p>
      <w:r>
        <w:t>Scenario is presented</w:t>
      </w:r>
    </w:p>
    <w:p>
      <w:r>
        <w:t>Team discusses response</w:t>
      </w:r>
    </w:p>
    <w:p>
      <w:r>
        <w:t>Decisions are made</w:t>
      </w:r>
    </w:p>
    <w:p>
      <w:r>
        <w:t>Actions are planned</w:t>
      </w:r>
    </w:p>
    <w:p>
      <w:r>
        <w:t>Issues are identified</w:t>
      </w:r>
    </w:p>
    <w:p>
      <w:r>
        <w:t>Output:</w:t>
      </w:r>
    </w:p>
    <w:p>
      <w:r>
        <w:t>Action items</w:t>
      </w:r>
    </w:p>
    <w:p>
      <w:r>
        <w:t>Plan improvements</w:t>
      </w:r>
    </w:p>
    <w:p>
      <w:r>
        <w:t>Training needs</w:t>
      </w:r>
    </w:p>
    <w:p>
      <w:r>
        <w:t>Example:</w:t>
      </w:r>
    </w:p>
    <w:p>
      <w:r>
        <w:t>A tabletop exercise presents a scenario: regional cloud outage. The team discusses the response. They identify issues with the failover procedure. Action items are created. The procedure is improved.</w:t>
      </w:r>
    </w:p>
    <w:p>
      <w:r>
        <w:t>Full DR Test</w:t>
      </w:r>
    </w:p>
    <w:p>
      <w:r>
        <w:t>Purpose: Validate end-to-end disaster recovery</w:t>
      </w:r>
    </w:p>
    <w:p>
      <w:r>
        <w:t>Process:</w:t>
      </w:r>
    </w:p>
    <w:p>
      <w:r>
        <w:t>Disaster is declared (test)</w:t>
      </w:r>
    </w:p>
    <w:p>
      <w:r>
        <w:t>DR plan is executed</w:t>
      </w:r>
    </w:p>
    <w:p>
      <w:r>
        <w:t>Systems are recovered</w:t>
      </w:r>
    </w:p>
    <w:p>
      <w:r>
        <w:t>Operations resume</w:t>
      </w:r>
    </w:p>
    <w:p>
      <w:r>
        <w:t>Lessons are documented</w:t>
      </w:r>
    </w:p>
    <w:p>
      <w:r>
        <w:t>Output:</w:t>
      </w:r>
    </w:p>
    <w:p>
      <w:r>
        <w:t>Test results</w:t>
      </w:r>
    </w:p>
    <w:p>
      <w:r>
        <w:t>Lessons learned</w:t>
      </w:r>
    </w:p>
    <w:p>
      <w:r>
        <w:t>Plan improvements</w:t>
      </w:r>
    </w:p>
    <w:p>
      <w:r>
        <w:t>Example:</w:t>
      </w:r>
    </w:p>
    <w:p>
      <w:r>
        <w:t>The annual full DR test is conducted. A simulated disaster is declared. The DR plan is executed. Systems are recovered. The test validates the plan. Lessons are documented and addressed.</w:t>
      </w:r>
    </w:p>
    <w:p>
      <w:r>
        <w:t>Post-Mortem Process</w:t>
      </w:r>
    </w:p>
    <w:p>
      <w:r>
        <w:t>Post-Mortem Steps</w:t>
      </w:r>
    </w:p>
    <w:p>
      <w:r>
        <w:t>Step 1: Data Collection</w:t>
      </w:r>
    </w:p>
    <w:p>
      <w:r>
        <w:t>Incident timeline</w:t>
      </w:r>
    </w:p>
    <w:p>
      <w:r>
        <w:t>Logs and monitoring data</w:t>
      </w:r>
    </w:p>
    <w:p>
      <w:r>
        <w:t>Impact assessment</w:t>
      </w:r>
    </w:p>
    <w:p>
      <w:r>
        <w:t>Communications</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Recommendations</w:t>
      </w:r>
    </w:p>
    <w:p>
      <w:r>
        <w:t>Immediate fixes</w:t>
      </w:r>
    </w:p>
    <w:p>
      <w:r>
        <w:t>Process improvements</w:t>
      </w:r>
    </w:p>
    <w:p>
      <w:r>
        <w:t>Long-term improvements</w:t>
      </w:r>
    </w:p>
    <w:p>
      <w:r>
        <w:t>Step 5: Implementation</w:t>
      </w:r>
    </w:p>
    <w:p>
      <w:r>
        <w:t>Actions are assigned</w:t>
      </w:r>
    </w:p>
    <w:p>
      <w:r>
        <w:t>Timeline is set</w:t>
      </w:r>
    </w:p>
    <w:p>
      <w:r>
        <w:t>Progress is tracked</w:t>
      </w:r>
    </w:p>
    <w:p>
      <w:r>
        <w:t>Step 6: Review</w:t>
      </w:r>
    </w:p>
    <w:p>
      <w:r>
        <w:t>Implementation is verified</w:t>
      </w:r>
    </w:p>
    <w:p>
      <w:r>
        <w:t>Effectiveness is assessed</w:t>
      </w:r>
    </w:p>
    <w:p>
      <w:r>
        <w:t>Further improvements are identified</w:t>
      </w:r>
    </w:p>
    <w:p>
      <w:r>
        <w:t>Post-Mortem Template</w:t>
      </w:r>
    </w:p>
    <w:p>
      <w:r>
        <w:t>Governance</w:t>
      </w:r>
    </w:p>
    <w:p>
      <w:r>
        <w:t>DR Governance Structure</w:t>
      </w:r>
    </w:p>
    <w:p>
      <w:r>
        <w:t>What This Means in Practice:</w:t>
      </w:r>
    </w:p>
    <w:p>
      <w:r>
        <w:t>Responsibilities are defined</w:t>
      </w:r>
    </w:p>
    <w:p>
      <w:r>
        <w:t>Oversight ensures quality</w:t>
      </w:r>
    </w:p>
    <w:p>
      <w:r>
        <w:t>Implementation is managed</w:t>
      </w:r>
    </w:p>
    <w:p>
      <w:r>
        <w:t>Risk is assessed</w:t>
      </w:r>
    </w:p>
    <w:p>
      <w:r>
        <w:t>Example:</w:t>
      </w:r>
    </w:p>
    <w:p>
      <w:r>
        <w:t>The Council approves the DR policy annually. The Technical Committee implements DR strategy. The Operations Team manages day-to-day DR. The Risk Committee assesses DR risk quarterly.</w:t>
      </w:r>
    </w:p>
    <w:p>
      <w:r>
        <w:t>Why This Matters:</w:t>
      </w:r>
    </w:p>
    <w:p>
      <w:r>
        <w:t>Clear responsibilities ensure accountability</w:t>
      </w:r>
    </w:p>
    <w:p>
      <w:r>
        <w:t>Oversight maintains quality</w:t>
      </w:r>
    </w:p>
    <w:p>
      <w:r>
        <w:t>Implementation ensures readiness</w:t>
      </w:r>
    </w:p>
    <w:p>
      <w:r>
        <w:t>Risk assessment identifies gaps</w:t>
      </w:r>
    </w:p>
    <w:p>
      <w:r>
        <w:t>DR Documentation</w:t>
      </w:r>
    </w:p>
    <w:p>
      <w:r>
        <w:t>What This Means in Practice:</w:t>
      </w:r>
    </w:p>
    <w:p>
      <w:r>
        <w:t>Documentation is comprehensive</w:t>
      </w:r>
    </w:p>
    <w:p>
      <w:r>
        <w:t>Documentation is maintained</w:t>
      </w:r>
    </w:p>
    <w:p>
      <w:r>
        <w:t>Documentation is updated</w:t>
      </w:r>
    </w:p>
    <w:p>
      <w:r>
        <w:t>Documentation is accessible</w:t>
      </w:r>
    </w:p>
    <w:p>
      <w:r>
        <w:t>Example:</w:t>
      </w:r>
    </w:p>
    <w:p>
      <w:r>
        <w:t>The Institution maintains a comprehensive DR Policy, Plan, Playbooks, Test Reports, and Post-Mortems. All documentation is maintained and updated regularly. Documentation is accessible to the team.</w:t>
      </w:r>
    </w:p>
    <w:p>
      <w:r>
        <w:t>Why This Matters:</w:t>
      </w:r>
    </w:p>
    <w:p>
      <w:r>
        <w:t>Documentation enables consistency</w:t>
      </w:r>
    </w:p>
    <w:p>
      <w:r>
        <w:t>Maintenance ensures relevance</w:t>
      </w:r>
    </w:p>
    <w:p>
      <w:r>
        <w:t>Updates address new issues</w:t>
      </w:r>
    </w:p>
    <w:p>
      <w:r>
        <w:t>Accessibility enables use</w:t>
      </w:r>
    </w:p>
    <w:p>
      <w:r>
        <w:t>Summary Table</w:t>
      </w:r>
    </w:p>
    <w:p>
      <w:r>
        <w:t>Constitutional Interpretation</w:t>
      </w:r>
    </w:p>
    <w:p>
      <w:r>
        <w:t>The Disaster Recovery article establishes the comprehensive framework for recovering from catastrophic failures:</w:t>
      </w:r>
    </w:p>
    <w:p>
      <w:r>
        <w:t>Recovery objectives (RTO, RPO) are defined for all critical systems</w:t>
      </w:r>
    </w:p>
    <w:p>
      <w:r>
        <w:t>Backup strategy includes full backups, incremental backups, and WAL archives</w:t>
      </w:r>
    </w:p>
    <w:p>
      <w:r>
        <w:t>Disaster scenarios are identified, categorized, and addressed</w:t>
      </w:r>
    </w:p>
    <w:p>
      <w:r>
        <w:t>Detailed playbooks cover specific scenarios</w:t>
      </w:r>
    </w:p>
    <w:p>
      <w:r>
        <w:t>Failover and failback procedures are defined</w:t>
      </w:r>
    </w:p>
    <w:p>
      <w:r>
        <w:t>Testing is conducted quarterly, semi-annually, and annually</w:t>
      </w:r>
    </w:p>
    <w:p>
      <w:r>
        <w:t>Post-mortems identify lessons learned and drive improvement</w:t>
      </w:r>
    </w:p>
    <w:p>
      <w:r>
        <w:t>Governance ensures accountability and oversight</w:t>
      </w:r>
    </w:p>
    <w:p>
      <w:r>
        <w:t>Disaster Recovery is the Institution's insurance policy against catastrophic failure. It is planned, documented, tested, and continuously improved. The Institution assumes disasters will occur and designs for survival and recovery.</w:t>
      </w:r>
    </w:p>
    <w:p>
      <w:r>
        <w:t>[END OF PART 4, ARTICLE VIII — DISASTER RECOVERY]</w:t>
      </w:r>
    </w:p>
    <w:p>
      <w:r>
        <w:t>[END OF PART 4 — LAYER 4: TECHNICAL FRAMEWORK]</w:t>
      </w:r>
    </w:p>
    <w:p>
      <w:r>
        <w:t>Part 5: Layer 5 — Operations</w:t>
      </w:r>
    </w:p>
    <w:p>
      <w:r>
        <w:t>Introduction — The Operations Framework</w:t>
      </w:r>
    </w:p>
    <w:p>
      <w:r>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r>
        <w:t>What This Means in Practice:</w:t>
      </w:r>
    </w:p>
    <w:p>
      <w:r>
        <w:t>Operations execute the decisions of higher layers</w:t>
      </w:r>
    </w:p>
    <w:p>
      <w:r>
        <w:t>Operations manage day-to-day institutional activities</w:t>
      </w:r>
    </w:p>
    <w:p>
      <w:r>
        <w:t>Operations maintain reserve integrity through custody and reconciliation</w:t>
      </w:r>
    </w:p>
    <w:p>
      <w:r>
        <w:t>Operations ensure compliance through monitoring and reporting</w:t>
      </w:r>
    </w:p>
    <w:p>
      <w:r>
        <w:t>Operations provide participant support and onboarding</w:t>
      </w:r>
    </w:p>
    <w:p>
      <w:r>
        <w:t>Example:</w:t>
      </w:r>
    </w:p>
    <w:p>
      <w:r>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r>
        <w:t>Why This Matters:</w:t>
      </w:r>
    </w:p>
    <w:p>
      <w:r>
        <w:t>Without Operations, constitutional principles remain abstract</w:t>
      </w:r>
    </w:p>
    <w:p>
      <w:r>
        <w:t>Without Operations, policy cannot be implemented</w:t>
      </w:r>
    </w:p>
    <w:p>
      <w:r>
        <w:t>Without Operations, technical architecture is unused</w:t>
      </w:r>
    </w:p>
    <w:p>
      <w:r>
        <w:t>Without Operations, the Institution cannot serve participants</w:t>
      </w:r>
    </w:p>
    <w:p>
      <w:r>
        <w:t>Operations is the practical execution of constitutional governance</w:t>
      </w:r>
    </w:p>
    <w:p>
      <w:r>
        <w:t>Relationship to Higher Layers</w:t>
      </w:r>
    </w:p>
    <w:p>
      <w:r>
        <w:t>What This Means in Practice:</w:t>
      </w:r>
    </w:p>
    <w:p>
      <w:r>
        <w:t>Higher layers are more stable</w:t>
      </w:r>
    </w:p>
    <w:p>
      <w:r>
        <w:t>Lower layers are more flexible</w:t>
      </w:r>
    </w:p>
    <w:p>
      <w:r>
        <w:t>Operations implements higher layers</w:t>
      </w:r>
    </w:p>
    <w:p>
      <w:r>
        <w:t>Operations adapts continuously while higher layers endure</w:t>
      </w:r>
    </w:p>
    <w:p>
      <w:r>
        <w:t>Example:</w:t>
      </w:r>
    </w:p>
    <w:p>
      <w:r>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r>
        <w:t>Why This Matters:</w:t>
      </w:r>
    </w:p>
    <w:p>
      <w:r>
        <w:t>Separation of layers provides stability</w:t>
      </w:r>
    </w:p>
    <w:p>
      <w:r>
        <w:t>Separation of layers enables adaptation</w:t>
      </w:r>
    </w:p>
    <w:p>
      <w:r>
        <w:t>Operations flexibility supports participant needs</w:t>
      </w:r>
    </w:p>
    <w:p>
      <w:r>
        <w:t>Operations adaptation does not compromise constitutional principles</w:t>
      </w:r>
    </w:p>
    <w:p>
      <w:r>
        <w:t>Core Principles of Operations</w:t>
      </w:r>
    </w:p>
    <w:p>
      <w:pPr>
        <w:pStyle w:val="ListNumber"/>
        <w:ind w:left="425"/>
      </w:pPr>
      <w:r>
        <w:t>Constitutional Compliance</w:t>
      </w:r>
    </w:p>
    <w:p>
      <w:r>
        <w:t>All operations comply with constitutional principles.</w:t>
      </w:r>
    </w:p>
    <w:p>
      <w:r>
        <w:t>What This Means in Practice:</w:t>
      </w:r>
    </w:p>
    <w:p>
      <w:r>
        <w:t>No operation violates constitutional invariants</w:t>
      </w:r>
    </w:p>
    <w:p>
      <w:r>
        <w:t>All operations honor constitutional rights</w:t>
      </w:r>
    </w:p>
    <w:p>
      <w:r>
        <w:t>Operations preserve constitutional integrity</w:t>
      </w:r>
    </w:p>
    <w:p>
      <w:r>
        <w:t>Constitutional compliance is absolute</w:t>
      </w:r>
    </w:p>
    <w:p>
      <w:r>
        <w:t>Example:</w:t>
      </w:r>
    </w:p>
    <w:p>
      <w:r>
        <w:t>The Operations team processes redemption requests without exception. Redemption is never suspended. Redemption is processed promptly. The constitutional right to redemption is honored.</w:t>
      </w:r>
    </w:p>
    <w:p>
      <w:r>
        <w:t>Why This Matters:</w:t>
      </w:r>
    </w:p>
    <w:p>
      <w:r>
        <w:t>Constitutional compliance preserves institutional integrity</w:t>
      </w:r>
    </w:p>
    <w:p>
      <w:r>
        <w:t>Compliance maintains trust</w:t>
      </w:r>
    </w:p>
    <w:p>
      <w:r>
        <w:t>Compliance prevents drift</w:t>
      </w:r>
    </w:p>
    <w:p>
      <w:r>
        <w:t>Compliance is non-negotiable</w:t>
      </w:r>
    </w:p>
    <w:p>
      <w:pPr>
        <w:pStyle w:val="ListNumber"/>
        <w:ind w:left="425"/>
      </w:pPr>
      <w:r>
        <w:t>Operational Excellence</w:t>
      </w:r>
    </w:p>
    <w:p>
      <w:r>
        <w:t>Operations are efficient, accurate, and reliable.</w:t>
      </w:r>
    </w:p>
    <w:p>
      <w:r>
        <w:t>What This Means in Practice:</w:t>
      </w:r>
    </w:p>
    <w:p>
      <w:r>
        <w:t>Procedures are documented and followed</w:t>
      </w:r>
    </w:p>
    <w:p>
      <w:r>
        <w:t>Processes are optimized for efficiency</w:t>
      </w:r>
    </w:p>
    <w:p>
      <w:r>
        <w:t>Accuracy is measured and maintained</w:t>
      </w:r>
    </w:p>
    <w:p>
      <w:r>
        <w:t>Reliability is continuously improved</w:t>
      </w:r>
    </w:p>
    <w:p>
      <w:r>
        <w:t>Example:</w:t>
      </w:r>
    </w:p>
    <w:p>
      <w:r>
        <w:t>The Operations team processes redemptions accurately and efficiently. Errors are rare. Issues are resolved promptly. Operational excellence is maintained.</w:t>
      </w:r>
    </w:p>
    <w:p>
      <w:r>
        <w:t>Why This Matters:</w:t>
      </w:r>
    </w:p>
    <w:p>
      <w:r>
        <w:t>Excellence builds trust</w:t>
      </w:r>
    </w:p>
    <w:p>
      <w:r>
        <w:t>Accuracy prevents errors</w:t>
      </w:r>
    </w:p>
    <w:p>
      <w:r>
        <w:t>Efficiency reduces costs</w:t>
      </w:r>
    </w:p>
    <w:p>
      <w:r>
        <w:t>Reliability ensures consistency</w:t>
      </w:r>
    </w:p>
    <w:p>
      <w:pPr>
        <w:pStyle w:val="ListNumber"/>
        <w:ind w:left="425"/>
      </w:pPr>
      <w:r>
        <w:t>Transparency</w:t>
      </w:r>
    </w:p>
    <w:p>
      <w:r>
        <w:t>Operations are transparent and auditable.</w:t>
      </w:r>
    </w:p>
    <w:p>
      <w:r>
        <w:t>What This Means in Practice:</w:t>
      </w:r>
    </w:p>
    <w:p>
      <w:r>
        <w:t>Procedures are documented</w:t>
      </w:r>
    </w:p>
    <w:p>
      <w:r>
        <w:t>Operations are logged</w:t>
      </w:r>
    </w:p>
    <w:p>
      <w:r>
        <w:t>Records are maintained</w:t>
      </w:r>
    </w:p>
    <w:p>
      <w:r>
        <w:t>Audits are conducted</w:t>
      </w:r>
    </w:p>
    <w:p>
      <w:r>
        <w:t>Example:</w:t>
      </w:r>
    </w:p>
    <w:p>
      <w:r>
        <w:t>All operations are documented. All actions are logged. Records are maintained for 7+ years. Audits verify operations. Transparency is maintained.</w:t>
      </w:r>
    </w:p>
    <w:p>
      <w:r>
        <w:t>Why This Matters:</w:t>
      </w:r>
    </w:p>
    <w:p>
      <w:r>
        <w:t>Transparency builds trust</w:t>
      </w:r>
    </w:p>
    <w:p>
      <w:r>
        <w:t>Auditability enables verification</w:t>
      </w:r>
    </w:p>
    <w:p>
      <w:r>
        <w:t>Documentation supports consistency</w:t>
      </w:r>
    </w:p>
    <w:p>
      <w:r>
        <w:t>Records support compliance</w:t>
      </w:r>
    </w:p>
    <w:p>
      <w:pPr>
        <w:pStyle w:val="ListNumber"/>
        <w:ind w:left="425"/>
      </w:pPr>
      <w:r>
        <w:t>Security</w:t>
      </w:r>
    </w:p>
    <w:p>
      <w:r>
        <w:t>Operations are secure.</w:t>
      </w:r>
    </w:p>
    <w:p>
      <w:r>
        <w:t>What This Means in Practice:</w:t>
      </w:r>
    </w:p>
    <w:p>
      <w:r>
        <w:t>Access is controlled</w:t>
      </w:r>
    </w:p>
    <w:p>
      <w:r>
        <w:t>Data is protected</w:t>
      </w:r>
    </w:p>
    <w:p>
      <w:r>
        <w:t>Assets are safeguarded</w:t>
      </w:r>
    </w:p>
    <w:p>
      <w:r>
        <w:t>Security is maintained</w:t>
      </w:r>
    </w:p>
    <w:p>
      <w:r>
        <w:t>Example:</w:t>
      </w:r>
    </w:p>
    <w:p>
      <w:r>
        <w:t>Operations access is restricted to authorized personnel. Data is encrypted. Assets are held securely. Security is maintained through continuous monitoring.</w:t>
      </w:r>
    </w:p>
    <w:p>
      <w:r>
        <w:t>Why This Matters:</w:t>
      </w:r>
    </w:p>
    <w:p>
      <w:r>
        <w:t>Security protects assets</w:t>
      </w:r>
    </w:p>
    <w:p>
      <w:r>
        <w:t>Security protects participants</w:t>
      </w:r>
    </w:p>
    <w:p>
      <w:r>
        <w:t>Security maintains trust</w:t>
      </w:r>
    </w:p>
    <w:p>
      <w:r>
        <w:t>Security is essential to institutional integrity</w:t>
      </w:r>
    </w:p>
    <w:p>
      <w:pPr>
        <w:pStyle w:val="ListNumber"/>
        <w:ind w:left="425"/>
      </w:pPr>
      <w:r>
        <w:t>Continuous Improvement</w:t>
      </w:r>
    </w:p>
    <w:p>
      <w:r>
        <w:t>Operations are continuously improved.</w:t>
      </w:r>
    </w:p>
    <w:p>
      <w:r>
        <w:t>What This Means in Practice:</w:t>
      </w:r>
    </w:p>
    <w:p>
      <w:r>
        <w:t>Procedures are reviewed</w:t>
      </w:r>
    </w:p>
    <w:p>
      <w:r>
        <w:t>Processes are optimized</w:t>
      </w:r>
    </w:p>
    <w:p>
      <w:r>
        <w:t>Training is provided</w:t>
      </w:r>
    </w:p>
    <w:p>
      <w:r>
        <w:t>Lessons are learned</w:t>
      </w:r>
    </w:p>
    <w:p>
      <w:r>
        <w:t>Example:</w:t>
      </w:r>
    </w:p>
    <w:p>
      <w:r>
        <w:t>The Operations team reviews procedures quarterly. Processes are optimized based on experience. Training is provided for new procedures. Lessons are learned from incidents.</w:t>
      </w:r>
    </w:p>
    <w:p>
      <w:r>
        <w:t>Why This Matters:</w:t>
      </w:r>
    </w:p>
    <w:p>
      <w:r>
        <w:t>Continuous improvement maintains excellence</w:t>
      </w:r>
    </w:p>
    <w:p>
      <w:r>
        <w:t>Review identifies opportunities</w:t>
      </w:r>
    </w:p>
    <w:p>
      <w:r>
        <w:t>Optimization reduces costs</w:t>
      </w:r>
    </w:p>
    <w:p>
      <w:r>
        <w:t>Learning prevents recurrence</w:t>
      </w:r>
    </w:p>
    <w:p>
      <w:r>
        <w:t>Operations Scope</w:t>
      </w:r>
    </w:p>
    <w:p>
      <w:r>
        <w:t>Operations covers:</w:t>
      </w:r>
    </w:p>
    <w:p>
      <w:pPr>
        <w:pStyle w:val="ListNumber"/>
        <w:ind w:left="425"/>
      </w:pPr>
      <w:r>
        <w:t>Reserve Management</w:t>
      </w:r>
    </w:p>
    <w:p>
      <w:r>
        <w:t>Custody operations</w:t>
      </w:r>
    </w:p>
    <w:p>
      <w:r>
        <w:t>Reserve reconciliation</w:t>
      </w:r>
    </w:p>
    <w:p>
      <w:r>
        <w:t>Reserve reporting</w:t>
      </w:r>
    </w:p>
    <w:p>
      <w:r>
        <w:t>Physical gold management</w:t>
      </w:r>
    </w:p>
    <w:p>
      <w:pPr>
        <w:pStyle w:val="ListNumber"/>
        <w:ind w:left="425"/>
      </w:pPr>
      <w:r>
        <w:t>Transaction Processing</w:t>
      </w:r>
    </w:p>
    <w:p>
      <w:r>
        <w:t>Minting operations</w:t>
      </w:r>
    </w:p>
    <w:p>
      <w:r>
        <w:t>Redemption operations</w:t>
      </w:r>
    </w:p>
    <w:p>
      <w:r>
        <w:t>Settlement operations</w:t>
      </w:r>
    </w:p>
    <w:p>
      <w:r>
        <w:t>Transfer operations</w:t>
      </w:r>
    </w:p>
    <w:p>
      <w:pPr>
        <w:pStyle w:val="ListNumber"/>
        <w:ind w:left="425"/>
      </w:pPr>
      <w:r>
        <w:t>Participant Services</w:t>
      </w:r>
    </w:p>
    <w:p>
      <w:r>
        <w:t>Onboarding</w:t>
      </w:r>
    </w:p>
    <w:p>
      <w:r>
        <w:t>Support</w:t>
      </w:r>
    </w:p>
    <w:p>
      <w:r>
        <w:t>Communication</w:t>
      </w:r>
    </w:p>
    <w:p>
      <w:r>
        <w:t>Account management</w:t>
      </w:r>
    </w:p>
    <w:p>
      <w:pPr>
        <w:pStyle w:val="ListNumber"/>
        <w:ind w:left="425"/>
      </w:pPr>
      <w:r>
        <w:t>Compliance Execution</w:t>
      </w:r>
    </w:p>
    <w:p>
      <w:r>
        <w:t>AML/KYC operations</w:t>
      </w:r>
    </w:p>
    <w:p>
      <w:r>
        <w:t>Sanctions screening</w:t>
      </w:r>
    </w:p>
    <w:p>
      <w:r>
        <w:t>Transaction monitoring</w:t>
      </w:r>
    </w:p>
    <w:p>
      <w:r>
        <w:t>Regulatory reporting</w:t>
      </w:r>
    </w:p>
    <w:p>
      <w:pPr>
        <w:pStyle w:val="ListNumber"/>
        <w:ind w:left="425"/>
      </w:pPr>
      <w:r>
        <w:t>Technical Operations</w:t>
      </w:r>
    </w:p>
    <w:p>
      <w:r>
        <w:t>System monitoring</w:t>
      </w:r>
    </w:p>
    <w:p>
      <w:r>
        <w:t>Incident response</w:t>
      </w:r>
    </w:p>
    <w:p>
      <w:r>
        <w:t>Maintenance</w:t>
      </w:r>
    </w:p>
    <w:p>
      <w:r>
        <w:t>Disaster recovery</w:t>
      </w:r>
    </w:p>
    <w:p>
      <w:pPr>
        <w:pStyle w:val="ListNumber"/>
        <w:ind w:left="425"/>
      </w:pPr>
      <w:r>
        <w:t>Vendor Management</w:t>
      </w:r>
    </w:p>
    <w:p>
      <w:r>
        <w:t>Custodian management</w:t>
      </w:r>
    </w:p>
    <w:p>
      <w:r>
        <w:t>Service provider management</w:t>
      </w:r>
    </w:p>
    <w:p>
      <w:r>
        <w:t>Contract management</w:t>
      </w:r>
    </w:p>
    <w:p>
      <w:r>
        <w:t>Performance monitoring</w:t>
      </w:r>
    </w:p>
    <w:p>
      <w:pPr>
        <w:pStyle w:val="ListNumber"/>
        <w:ind w:left="425"/>
      </w:pPr>
      <w:r>
        <w:t>Documentation and Reporting</w:t>
      </w:r>
    </w:p>
    <w:p>
      <w:r>
        <w:t>Record keeping</w:t>
      </w:r>
    </w:p>
    <w:p>
      <w:r>
        <w:t>Reporting</w:t>
      </w:r>
    </w:p>
    <w:p>
      <w:r>
        <w:t>Audit support</w:t>
      </w:r>
    </w:p>
    <w:p>
      <w:r>
        <w:t>Archival</w:t>
      </w:r>
    </w:p>
    <w:p>
      <w:r>
        <w:t>[END OF PART 5, INTRODUCTION — OPERATIONS FRAMEWORK]</w:t>
      </w:r>
    </w:p>
    <w:p>
      <w:r>
        <w:t>Article I: Reserve Management Operations</w:t>
      </w:r>
    </w:p>
    <w:p>
      <w:r>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r>
        <w:t>What This Means in Practice:</w:t>
      </w:r>
    </w:p>
    <w:p>
      <w:r>
        <w:t>Reserves are held in secure custody with qualified custodians</w:t>
      </w:r>
    </w:p>
    <w:p>
      <w:r>
        <w:t>Reserves are reconciled daily to ensure accuracy</w:t>
      </w:r>
    </w:p>
    <w:p>
      <w:r>
        <w:t>Reserves are audited regularly to verify integrity</w:t>
      </w:r>
    </w:p>
    <w:p>
      <w:r>
        <w:t>Reserves are managed according to constitutional principles</w:t>
      </w:r>
    </w:p>
    <w:p>
      <w:r>
        <w:t>Reserve operations maintain the 100%+ reserve ratio</w:t>
      </w:r>
    </w:p>
    <w:p>
      <w:r>
        <w:t>Example:</w:t>
      </w:r>
    </w:p>
    <w:p>
      <w:r>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r>
        <w:t>Why This Matters:</w:t>
      </w:r>
    </w:p>
    <w:p>
      <w:r>
        <w:t>Without proper reserve management, the Institution cannot maintain solvency</w:t>
      </w:r>
    </w:p>
    <w:p>
      <w:r>
        <w:t>Without accurate reconciliation, reserve integrity is uncertain</w:t>
      </w:r>
    </w:p>
    <w:p>
      <w:r>
        <w:t>Without regular audits, reserve claims are unverified</w:t>
      </w:r>
    </w:p>
    <w:p>
      <w:r>
        <w:t>Without secure custody, reserves are vulnerable to loss</w:t>
      </w:r>
    </w:p>
    <w:p>
      <w:r>
        <w:t>Reserve management is the operational foundation of constitutional solvency</w:t>
      </w:r>
    </w:p>
    <w:p>
      <w:r>
        <w:t>Core Principles of Reserve Management Operations</w:t>
      </w:r>
    </w:p>
    <w:p>
      <w:pPr>
        <w:pStyle w:val="ListNumber"/>
        <w:ind w:left="425"/>
      </w:pPr>
      <w:r>
        <w:t>Accuracy</w:t>
      </w:r>
    </w:p>
    <w:p>
      <w:r>
        <w:t>All reserve records must be accurate.</w:t>
      </w:r>
    </w:p>
    <w:p>
      <w:r>
        <w:t>What This Means in Practice:</w:t>
      </w:r>
    </w:p>
    <w:p>
      <w:r>
        <w:t>Reserve balances are reconciled daily</w:t>
      </w:r>
    </w:p>
    <w:p>
      <w:r>
        <w:t>Discrepancies are investigated immediately</w:t>
      </w:r>
    </w:p>
    <w:p>
      <w:r>
        <w:t>Records are maintained with precision</w:t>
      </w:r>
    </w:p>
    <w:p>
      <w:r>
        <w:t>Errors are corrected promptly</w:t>
      </w:r>
    </w:p>
    <w:p>
      <w:r>
        <w:t>Example:</w:t>
      </w:r>
    </w:p>
    <w:p>
      <w:r>
        <w:t>A reconciliation identifies a $1,000 discrepancy in stablecoin balances. The Operations team investigates and identifies a timing difference. The discrepancy is resolved. The records are accurate.</w:t>
      </w:r>
    </w:p>
    <w:p>
      <w:r>
        <w:t>Why This Matters:</w:t>
      </w:r>
    </w:p>
    <w:p>
      <w:r>
        <w:t>Accurate records are essential for solvency</w:t>
      </w:r>
    </w:p>
    <w:p>
      <w:r>
        <w:t>Inaccurate records undermine trust</w:t>
      </w:r>
    </w:p>
    <w:p>
      <w:r>
        <w:t>Discrepancies may indicate issues</w:t>
      </w:r>
    </w:p>
    <w:p>
      <w:r>
        <w:t>Precision maintains institutional integrity</w:t>
      </w:r>
    </w:p>
    <w:p>
      <w:pPr>
        <w:pStyle w:val="ListNumber"/>
        <w:ind w:left="425"/>
      </w:pPr>
      <w:r>
        <w:t>Security</w:t>
      </w:r>
    </w:p>
    <w:p>
      <w:r>
        <w:t>Reserves must be held securely.</w:t>
      </w:r>
    </w:p>
    <w:p>
      <w:r>
        <w:t>What This Means in Practice:</w:t>
      </w:r>
    </w:p>
    <w:p>
      <w:r>
        <w:t>Reserves are held with qualified custodians</w:t>
      </w:r>
    </w:p>
    <w:p>
      <w:r>
        <w:t>Reserves are segregated from custodian assets</w:t>
      </w:r>
    </w:p>
    <w:p>
      <w:r>
        <w:t>Reserves are protected from theft and loss</w:t>
      </w:r>
    </w:p>
    <w:p>
      <w:r>
        <w:t>Access to reserves is tightly controlled</w:t>
      </w:r>
    </w:p>
    <w:p>
      <w:r>
        <w:t>Example:</w:t>
      </w:r>
    </w:p>
    <w:p>
      <w:r>
        <w:t>Stablecoin reserves are held in MPC wallets requiring 3 of 5 signatures. Physical gold is held in secure vaults with 24/7 surveillance. No single person can access reserves alone. Multiple layers of security protect the reserves.</w:t>
      </w:r>
    </w:p>
    <w:p>
      <w:r>
        <w:t>Why This Matters:</w:t>
      </w:r>
    </w:p>
    <w:p>
      <w:r>
        <w:t>Security prevents theft and loss</w:t>
      </w:r>
    </w:p>
    <w:p>
      <w:r>
        <w:t>Segregation protects against custodian failure</w:t>
      </w:r>
    </w:p>
    <w:p>
      <w:r>
        <w:t>Access controls prevent unauthorized transfers</w:t>
      </w:r>
    </w:p>
    <w:p>
      <w:r>
        <w:t>Insurance provides additional protection</w:t>
      </w:r>
    </w:p>
    <w:p>
      <w:pPr>
        <w:pStyle w:val="ListNumber"/>
        <w:ind w:left="425"/>
      </w:pPr>
      <w:r>
        <w:t>Transparency</w:t>
      </w:r>
    </w:p>
    <w:p>
      <w:r>
        <w:t>Reserve operations are transparent.</w:t>
      </w:r>
    </w:p>
    <w:p>
      <w:r>
        <w:t>What This Means in Practice:</w:t>
      </w:r>
    </w:p>
    <w:p>
      <w:r>
        <w:t>Reserve balances are published daily</w:t>
      </w:r>
    </w:p>
    <w:p>
      <w:r>
        <w:t>Reserve composition is disclosed</w:t>
      </w:r>
    </w:p>
    <w:p>
      <w:r>
        <w:t>Reserve operations are audited</w:t>
      </w:r>
    </w:p>
    <w:p>
      <w:r>
        <w:t>Reserve reports are public</w:t>
      </w:r>
    </w:p>
    <w:p>
      <w:r>
        <w:t>Example:</w:t>
      </w:r>
    </w:p>
    <w:p>
      <w:r>
        <w:t>The Institution publishes daily proof of reserves, quarterly independent audit reports, and annual comprehensive reserve reports. Anyone can verify reserve holdings. Transparency builds trust.</w:t>
      </w:r>
    </w:p>
    <w:p>
      <w:r>
        <w:t>Why This Matters:</w:t>
      </w:r>
    </w:p>
    <w:p>
      <w:r>
        <w:t>Transparency enables verification</w:t>
      </w:r>
    </w:p>
    <w:p>
      <w:r>
        <w:t>Verification builds trust</w:t>
      </w:r>
    </w:p>
    <w:p>
      <w:r>
        <w:t>Disclosure ensures accountability</w:t>
      </w:r>
    </w:p>
    <w:p>
      <w:r>
        <w:t>Public reporting maintains institutional integrity</w:t>
      </w:r>
    </w:p>
    <w:p>
      <w:pPr>
        <w:pStyle w:val="ListNumber"/>
        <w:ind w:left="425"/>
      </w:pPr>
      <w:r>
        <w:t>Independence</w:t>
      </w:r>
    </w:p>
    <w:p>
      <w:r>
        <w:t>Reserve operations are independently verified.</w:t>
      </w:r>
    </w:p>
    <w:p>
      <w:r>
        <w:t>What This Means in Practice:</w:t>
      </w:r>
    </w:p>
    <w:p>
      <w:r>
        <w:t>Independent auditors verify reserves</w:t>
      </w:r>
    </w:p>
    <w:p>
      <w:r>
        <w:t>Independent custodians hold reserves</w:t>
      </w:r>
    </w:p>
    <w:p>
      <w:r>
        <w:t>Independent verification ensures accuracy</w:t>
      </w:r>
    </w:p>
    <w:p>
      <w:r>
        <w:t>Conflicts of interest are avoided</w:t>
      </w:r>
    </w:p>
    <w:p>
      <w:r>
        <w:t>Example:</w:t>
      </w:r>
    </w:p>
    <w:p>
      <w:r>
        <w:t>Big Four auditors verify reserve holdings quarterly. Independent custodians hold reserves. No single entity controls all reserves. Independent verification provides assurance.</w:t>
      </w:r>
    </w:p>
    <w:p>
      <w:r>
        <w:t>Why This Matters:</w:t>
      </w:r>
    </w:p>
    <w:p>
      <w:r>
        <w:t>Independent verification prevents conflicts</w:t>
      </w:r>
    </w:p>
    <w:p>
      <w:r>
        <w:t>Auditors provide objective assessment</w:t>
      </w:r>
    </w:p>
    <w:p>
      <w:r>
        <w:t>Multiple custodians reduce concentration risk</w:t>
      </w:r>
    </w:p>
    <w:p>
      <w:r>
        <w:t>Independence maintains integrity</w:t>
      </w:r>
    </w:p>
    <w:p>
      <w:r>
        <w:t>Custody Operations</w:t>
      </w:r>
    </w:p>
    <w:p>
      <w:r>
        <w:t>Custodian Management</w:t>
      </w:r>
    </w:p>
    <w:p>
      <w:r>
        <w:t>What This Means in Practice:</w:t>
      </w:r>
    </w:p>
    <w:p>
      <w:r>
        <w:t>Custodians are managed actively</w:t>
      </w:r>
    </w:p>
    <w:p>
      <w:r>
        <w:t>Performance is monitored regularly</w:t>
      </w:r>
    </w:p>
    <w:p>
      <w:r>
        <w:t>Due diligence is conducted annually</w:t>
      </w:r>
    </w:p>
    <w:p>
      <w:r>
        <w:t>Contracts are reviewed annually</w:t>
      </w:r>
    </w:p>
    <w:p>
      <w:r>
        <w:t>Insurance is verified quarterly</w:t>
      </w:r>
    </w:p>
    <w:p>
      <w:r>
        <w:t>Example:</w:t>
      </w:r>
    </w:p>
    <w:p>
      <w:r>
        <w:t>The Operations team reconciles custodian balances daily. The CFO reviews custodian performance monthly. Annual due diligence is conducted. Contracts are reviewed annually. Insurance is verified quarterly. Custodian management is comprehensive.</w:t>
      </w:r>
    </w:p>
    <w:p>
      <w:r>
        <w:t>Why This Matters:</w:t>
      </w:r>
    </w:p>
    <w:p>
      <w:r>
        <w:t>Active management ensures performance</w:t>
      </w:r>
    </w:p>
    <w:p>
      <w:r>
        <w:t>Monitoring identifies issues early</w:t>
      </w:r>
    </w:p>
    <w:p>
      <w:r>
        <w:t>Due diligence ensures custodian quality</w:t>
      </w:r>
    </w:p>
    <w:p>
      <w:r>
        <w:t>Contract review ensures terms are met</w:t>
      </w:r>
    </w:p>
    <w:p>
      <w:r>
        <w:t>Insurance verification ensures coverage</w:t>
      </w:r>
    </w:p>
    <w:p>
      <w:r>
        <w:t>Custodian Reconciliation</w:t>
      </w:r>
    </w:p>
    <w:p>
      <w:r>
        <w:t>Step 1: Data Collection</w:t>
      </w:r>
    </w:p>
    <w:p>
      <w:r>
        <w:t>Collect custodian reports</w:t>
      </w:r>
    </w:p>
    <w:p>
      <w:r>
        <w:t>Collect on-chain data</w:t>
      </w:r>
    </w:p>
    <w:p>
      <w:r>
        <w:t>Collect internal records</w:t>
      </w:r>
    </w:p>
    <w:p>
      <w:r>
        <w:t>Step 2: Balance Verification</w:t>
      </w:r>
    </w:p>
    <w:p>
      <w:r>
        <w:t>Verify stablecoin balances on-chain</w:t>
      </w:r>
    </w:p>
    <w:p>
      <w:r>
        <w:t>Verify physical gold holdings with custodian</w:t>
      </w:r>
    </w:p>
    <w:p>
      <w:r>
        <w:t>Compare with internal records</w:t>
      </w:r>
    </w:p>
    <w:p>
      <w:r>
        <w:t>Step 3: Discrepancy Investigation</w:t>
      </w:r>
    </w:p>
    <w:p>
      <w:r>
        <w:t>Identify any discrepancies</w:t>
      </w:r>
    </w:p>
    <w:p>
      <w:r>
        <w:t>Investigate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any unresolved issues</w:t>
      </w:r>
    </w:p>
    <w:p>
      <w:r>
        <w:t>Archive records</w:t>
      </w:r>
    </w:p>
    <w:p>
      <w:r>
        <w:t>Physical Gold Management</w:t>
      </w:r>
    </w:p>
    <w:p>
      <w:r>
        <w:t>What This Means in Practice:</w:t>
      </w:r>
    </w:p>
    <w:p>
      <w:r>
        <w:t>Gold weight is verified daily</w:t>
      </w:r>
    </w:p>
    <w:p>
      <w:r>
        <w:t>Serial numbers are verified quarterly</w:t>
      </w:r>
    </w:p>
    <w:p>
      <w:r>
        <w:t>Physical counts are conducted quarterly</w:t>
      </w:r>
    </w:p>
    <w:p>
      <w:r>
        <w:t>Purity is verified annually</w:t>
      </w:r>
    </w:p>
    <w:p>
      <w:r>
        <w:t>Vault access is monitored continuously</w:t>
      </w:r>
    </w:p>
    <w:p>
      <w:r>
        <w:t>Example:</w:t>
      </w:r>
    </w:p>
    <w:p>
      <w:r>
        <w:t>The Operations team verifies gold weight daily using custodian reports. Quarterly, independent auditors physically count gold bars and verify serial numbers. Annual purity tests ensure gold meets LBMA standards. Vault access is continuously monitored.</w:t>
      </w:r>
    </w:p>
    <w:p>
      <w:r>
        <w:t>Why This Matters:</w:t>
      </w:r>
    </w:p>
    <w:p>
      <w:r>
        <w:t>Daily weight verification ensures accuracy</w:t>
      </w:r>
    </w:p>
    <w:p>
      <w:r>
        <w:t>Serial number verification prevents fraud</w:t>
      </w:r>
    </w:p>
    <w:p>
      <w:r>
        <w:t>Physical counts validate records</w:t>
      </w:r>
    </w:p>
    <w:p>
      <w:r>
        <w:t>Purity verification ensures quality</w:t>
      </w:r>
    </w:p>
    <w:p>
      <w:r>
        <w:t>Access monitoring prevents theft</w:t>
      </w:r>
    </w:p>
    <w:p>
      <w:r>
        <w:t>Gold Bar Serialization</w:t>
      </w:r>
    </w:p>
    <w:p>
      <w:r>
        <w:t>Serial Number Format:</w:t>
      </w:r>
    </w:p>
    <w:p>
      <w:r>
        <w:t>text</w:t>
      </w:r>
    </w:p>
    <w:p>
      <w:r>
        <w:t>[Refiner Code][Year][Sequential Number]</w:t>
      </w:r>
    </w:p>
    <w:p>
      <w:r>
        <w:t>Example: VALC2026001234</w:t>
      </w:r>
    </w:p>
    <w:p>
      <w:r>
        <w:t>What This Means in Practice:</w:t>
      </w:r>
    </w:p>
    <w:p>
      <w:r>
        <w:t>Each bar has a unique serial number</w:t>
      </w:r>
    </w:p>
    <w:p>
      <w:r>
        <w:t>Serial numbers identify the refiner, year, and sequence</w:t>
      </w:r>
    </w:p>
    <w:p>
      <w:r>
        <w:t>Serial numbers are tracked in the reserve registry</w:t>
      </w:r>
    </w:p>
    <w:p>
      <w:r>
        <w:t>Serial numbers are verified during audits</w:t>
      </w:r>
    </w:p>
    <w:p>
      <w:r>
        <w:t>Example:</w:t>
      </w:r>
    </w:p>
    <w:p>
      <w:r>
        <w:t>A gold bar has serial number VALC2026001234. This indicates the bar was refined by Valcambi in 2026 and is the 1234th bar of that year. The serial number is recorded in the reserve registry. During audits, the serial number is verified against the registry.</w:t>
      </w:r>
    </w:p>
    <w:p>
      <w:r>
        <w:t>Why This Matters:</w:t>
      </w:r>
    </w:p>
    <w:p>
      <w:r>
        <w:t>Serial numbers enable identification</w:t>
      </w:r>
    </w:p>
    <w:p>
      <w:r>
        <w:t>Serial numbers prevent fraud</w:t>
      </w:r>
    </w:p>
    <w:p>
      <w:r>
        <w:t>Serial numbers support audits</w:t>
      </w:r>
    </w:p>
    <w:p>
      <w:r>
        <w:t>Serial numbers provide provenance</w:t>
      </w:r>
    </w:p>
    <w:p>
      <w:r>
        <w:t>Gold Vault Management</w:t>
      </w:r>
    </w:p>
    <w:p>
      <w:r>
        <w:t>What This Means in Practice:</w:t>
      </w:r>
    </w:p>
    <w:p>
      <w:r>
        <w:t>Gold is stored in multiple vaults</w:t>
      </w:r>
    </w:p>
    <w:p>
      <w:r>
        <w:t>Vaults are geographically distributed</w:t>
      </w:r>
    </w:p>
    <w:p>
      <w:r>
        <w:t>Insurance covers all vaults</w:t>
      </w:r>
    </w:p>
    <w:p>
      <w:r>
        <w:t>Vaults are independently audited</w:t>
      </w:r>
    </w:p>
    <w:p>
      <w:r>
        <w:t>Example:</w:t>
      </w:r>
    </w:p>
    <w:p>
      <w:r>
        <w:t>Gold reserves are distributed across vaults in Dubai, Singapore, and London. No single vault holds more than 40% of gold reserves. All vaults are insured by Lloyd's of London. Vaults are audited quarterly by independent auditors.</w:t>
      </w:r>
    </w:p>
    <w:p>
      <w:r>
        <w:t>Why This Matters:</w:t>
      </w:r>
    </w:p>
    <w:p>
      <w:r>
        <w:t>Geographic distribution reduces risk</w:t>
      </w:r>
    </w:p>
    <w:p>
      <w:r>
        <w:t>Multiple vaults prevent concentration</w:t>
      </w:r>
    </w:p>
    <w:p>
      <w:r>
        <w:t>Insurance protects against loss</w:t>
      </w:r>
    </w:p>
    <w:p>
      <w:r>
        <w:t>Audits verify holdings</w:t>
      </w:r>
    </w:p>
    <w:p>
      <w:r>
        <w:t>Reserve Reconciliation</w:t>
      </w:r>
    </w:p>
    <w:p>
      <w:r>
        <w:t>Daily Reconciliation</w:t>
      </w:r>
    </w:p>
    <w:p>
      <w:r>
        <w:t>Step 1: Stablecoin Reconciliation</w:t>
      </w:r>
    </w:p>
    <w:p>
      <w:r>
        <w:t>Verify USDC balance on-chain</w:t>
      </w:r>
    </w:p>
    <w:p>
      <w:r>
        <w:t>Verify EURC balance on-chain</w:t>
      </w:r>
    </w:p>
    <w:p>
      <w:r>
        <w:t>Verify JPYC balance on-chain</w:t>
      </w:r>
    </w:p>
    <w:p>
      <w:r>
        <w:t>Verify GBPT balance on-chain</w:t>
      </w:r>
    </w:p>
    <w:p>
      <w:r>
        <w:t>Verify CNHC balance on-chain</w:t>
      </w:r>
    </w:p>
    <w:p>
      <w:r>
        <w:t>Verify AUDC balance on-chain</w:t>
      </w:r>
    </w:p>
    <w:p>
      <w:r>
        <w:t>Verify SGDC balance on-chain</w:t>
      </w:r>
    </w:p>
    <w:p>
      <w:r>
        <w:t>Compare with custodian reports</w:t>
      </w:r>
    </w:p>
    <w:p>
      <w:r>
        <w:t>Compare with internal records</w:t>
      </w:r>
    </w:p>
    <w:p>
      <w:r>
        <w:t>Step 2: Gold Reconciliation</w:t>
      </w:r>
    </w:p>
    <w:p>
      <w:r>
        <w:t>Verify gold weight with custodian</w:t>
      </w:r>
    </w:p>
    <w:p>
      <w:r>
        <w:t>Verify gold serial numbers</w:t>
      </w:r>
    </w:p>
    <w:p>
      <w:r>
        <w:t>Compare with internal records</w:t>
      </w:r>
    </w:p>
    <w:p>
      <w:r>
        <w:t>Step 3: Total Reserve Reconciliation</w:t>
      </w:r>
    </w:p>
    <w:p>
      <w:r>
        <w:t>Calculate total reserve value</w:t>
      </w:r>
    </w:p>
    <w:p>
      <w:r>
        <w:t>Verify reserve ratio ≥ 100%</w:t>
      </w:r>
    </w:p>
    <w:p>
      <w:r>
        <w:t>Publish reserve ratio</w:t>
      </w:r>
    </w:p>
    <w:p>
      <w:r>
        <w:t>Step 4: Exception Handling</w:t>
      </w:r>
    </w:p>
    <w:p>
      <w:r>
        <w:t>Identify any discrepancies</w:t>
      </w:r>
    </w:p>
    <w:p>
      <w:r>
        <w:t>Investigate root cause</w:t>
      </w:r>
    </w:p>
    <w:p>
      <w:r>
        <w:t>Resolve within 24 hours</w:t>
      </w:r>
    </w:p>
    <w:p>
      <w:r>
        <w:t>Document resolution</w:t>
      </w:r>
    </w:p>
    <w:p>
      <w:r>
        <w:t>Step 5: Reporting</w:t>
      </w:r>
    </w:p>
    <w:p>
      <w:r>
        <w:t>Prepare daily reconciliation report</w:t>
      </w:r>
    </w:p>
    <w:p>
      <w:r>
        <w:t>Escalate unresolved issues</w:t>
      </w:r>
    </w:p>
    <w:p>
      <w:r>
        <w:t>Archive records</w:t>
      </w:r>
    </w:p>
    <w:p>
      <w:r>
        <w:t>Reconciliation Reporting</w:t>
      </w:r>
    </w:p>
    <w:p>
      <w:r>
        <w:t>What This Means in Practice:</w:t>
      </w:r>
    </w:p>
    <w:p>
      <w:r>
        <w:t>Reports are produced at defined frequencies</w:t>
      </w:r>
    </w:p>
    <w:p>
      <w:r>
        <w:t>Reports cover all reserve aspects</w:t>
      </w:r>
    </w:p>
    <w:p>
      <w:r>
        <w:t>Reports are delivered to appropriate audiences</w:t>
      </w:r>
    </w:p>
    <w:p>
      <w:r>
        <w:t>Public reports are published</w:t>
      </w:r>
    </w:p>
    <w:p>
      <w:r>
        <w:t>Example:</w:t>
      </w:r>
    </w:p>
    <w:p>
      <w:r>
        <w:t>The Operations team produces a daily reconciliation report. The report includes all reserve balances and the reserve ratio. The report is delivered to the Council weekly. Quarterly and annual reports are published publicly.</w:t>
      </w:r>
    </w:p>
    <w:p>
      <w:r>
        <w:t>Why This Matters:</w:t>
      </w:r>
    </w:p>
    <w:p>
      <w:r>
        <w:t>Regular reporting ensures accountability</w:t>
      </w:r>
    </w:p>
    <w:p>
      <w:r>
        <w:t>Comprehensive reports provide visibility</w:t>
      </w:r>
    </w:p>
    <w:p>
      <w:r>
        <w:t>Public reporting builds trust</w:t>
      </w:r>
    </w:p>
    <w:p>
      <w:r>
        <w:t>Audit trails support verification</w:t>
      </w:r>
    </w:p>
    <w:p>
      <w:r>
        <w:t>Reserve Operations Procedures</w:t>
      </w:r>
    </w:p>
    <w:p>
      <w:r>
        <w:t>Stablecoin Deposit Procedure</w:t>
      </w:r>
    </w:p>
    <w:p>
      <w:r>
        <w:t>Purpose: Process stablecoin deposits for reserve backing</w:t>
      </w:r>
    </w:p>
    <w:p>
      <w:r>
        <w:t>Procedure:</w:t>
      </w:r>
    </w:p>
    <w:p>
      <w:r>
        <w:t>Receive Deposit Notification</w:t>
      </w:r>
    </w:p>
    <w:p>
      <w:r>
        <w:t>Participant submits deposit request</w:t>
      </w:r>
    </w:p>
    <w:p>
      <w:r>
        <w:t>Deposit details are recorded</w:t>
      </w:r>
    </w:p>
    <w:p>
      <w:r>
        <w:t>Deposit is logged</w:t>
      </w:r>
    </w:p>
    <w:p>
      <w:r>
        <w:t>Verify Deposit</w:t>
      </w:r>
    </w:p>
    <w:p>
      <w:r>
        <w:t>Verify participant identity</w:t>
      </w:r>
    </w:p>
    <w:p>
      <w:r>
        <w:t>Confirm deposit amount</w:t>
      </w:r>
    </w:p>
    <w:p>
      <w:r>
        <w:t>Verify deposit source</w:t>
      </w:r>
    </w:p>
    <w:p>
      <w:r>
        <w:t>Process Deposit</w:t>
      </w:r>
    </w:p>
    <w:p>
      <w:r>
        <w:t>Transfer stablecoins to custody</w:t>
      </w:r>
    </w:p>
    <w:p>
      <w:r>
        <w:t>Record deposit in reserve registry</w:t>
      </w:r>
    </w:p>
    <w:p>
      <w:r>
        <w:t>Update reserve balances</w:t>
      </w:r>
    </w:p>
    <w:p>
      <w:r>
        <w:t>Confirm Deposit</w:t>
      </w:r>
    </w:p>
    <w:p>
      <w:r>
        <w:t>Confirm receipt of stablecoins</w:t>
      </w:r>
    </w:p>
    <w:p>
      <w:r>
        <w:t>Update participant account</w:t>
      </w:r>
    </w:p>
    <w:p>
      <w:r>
        <w:t>Send confirmation</w:t>
      </w:r>
    </w:p>
    <w:p>
      <w:r>
        <w:t>Update Reserve Records</w:t>
      </w:r>
    </w:p>
    <w:p>
      <w:r>
        <w:t>Update reserve registry</w:t>
      </w:r>
    </w:p>
    <w:p>
      <w:r>
        <w:t>Update reserve ratio</w:t>
      </w:r>
    </w:p>
    <w:p>
      <w:r>
        <w:t>Publish updated reserve data</w:t>
      </w:r>
    </w:p>
    <w:p>
      <w:r>
        <w:t>Gold Deposit Procedure</w:t>
      </w:r>
    </w:p>
    <w:p>
      <w:r>
        <w:t>Purpose: Process physical gold deposits for reserve backing</w:t>
      </w:r>
    </w:p>
    <w:p>
      <w:r>
        <w:t>Procedure:</w:t>
      </w:r>
    </w:p>
    <w:p>
      <w:r>
        <w:t>Receive Deposit Notification</w:t>
      </w:r>
    </w:p>
    <w:p>
      <w:r>
        <w:t>Gold dealer submits deposit request</w:t>
      </w:r>
    </w:p>
    <w:p>
      <w:r>
        <w:t>Gold specifications are recorded</w:t>
      </w:r>
    </w:p>
    <w:p>
      <w:r>
        <w:t>Deposit is logged</w:t>
      </w:r>
    </w:p>
    <w:p>
      <w:r>
        <w:t>Verify Gold</w:t>
      </w:r>
    </w:p>
    <w:p>
      <w:r>
        <w:t>Verify gold purity (≥99.5%)</w:t>
      </w:r>
    </w:p>
    <w:p>
      <w:r>
        <w:t>Verify gold weight</w:t>
      </w:r>
    </w:p>
    <w:p>
      <w:r>
        <w:t>Verify serial numbers</w:t>
      </w:r>
    </w:p>
    <w:p>
      <w:r>
        <w:t>Confirm LBMA Good Delivery standard</w:t>
      </w:r>
    </w:p>
    <w:p>
      <w:r>
        <w:t>Process Deposit</w:t>
      </w:r>
    </w:p>
    <w:p>
      <w:r>
        <w:t>Transfer gold to vault</w:t>
      </w:r>
    </w:p>
    <w:p>
      <w:r>
        <w:t>Record gold in reserve registry</w:t>
      </w:r>
    </w:p>
    <w:p>
      <w:r>
        <w:t>Update reserve balances</w:t>
      </w:r>
    </w:p>
    <w:p>
      <w:r>
        <w:t>Confirm Deposit</w:t>
      </w:r>
    </w:p>
    <w:p>
      <w:r>
        <w:t>Confirm receipt of gold</w:t>
      </w:r>
    </w:p>
    <w:p>
      <w:r>
        <w:t>Update participant account</w:t>
      </w:r>
    </w:p>
    <w:p>
      <w:r>
        <w:t>Send confirmation</w:t>
      </w:r>
    </w:p>
    <w:p>
      <w:r>
        <w:t>Update Reserve Records</w:t>
      </w:r>
    </w:p>
    <w:p>
      <w:r>
        <w:t>Update reserve registry</w:t>
      </w:r>
    </w:p>
    <w:p>
      <w:r>
        <w:t>Update reserve ratio</w:t>
      </w:r>
    </w:p>
    <w:p>
      <w:r>
        <w:t>Publish updated reserve data</w:t>
      </w:r>
    </w:p>
    <w:p>
      <w:r>
        <w:t>Stablecoin Withdrawal Procedure</w:t>
      </w:r>
    </w:p>
    <w:p>
      <w:r>
        <w:t>Purpose: Process stablecoin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MTQ burn</w:t>
      </w:r>
    </w:p>
    <w:p>
      <w:r>
        <w:t>Process Withdrawal</w:t>
      </w:r>
    </w:p>
    <w:p>
      <w:r>
        <w:t>Verify MTQ is burned</w:t>
      </w:r>
    </w:p>
    <w:p>
      <w:r>
        <w:t>Calculate proportional claim</w:t>
      </w:r>
    </w:p>
    <w:p>
      <w:r>
        <w:t>Transfer stablecoins to participant</w:t>
      </w:r>
    </w:p>
    <w:p>
      <w:r>
        <w:t>Confirm Withdrawal</w:t>
      </w:r>
    </w:p>
    <w:p>
      <w:r>
        <w:t>Confirm transfer of stablecoins</w:t>
      </w:r>
    </w:p>
    <w:p>
      <w:r>
        <w:t>Update participant account</w:t>
      </w:r>
    </w:p>
    <w:p>
      <w:r>
        <w:t>Send confirmation</w:t>
      </w:r>
    </w:p>
    <w:p>
      <w:r>
        <w:t>Update Reserve Records</w:t>
      </w:r>
    </w:p>
    <w:p>
      <w:r>
        <w:t>Update reserve registry</w:t>
      </w:r>
    </w:p>
    <w:p>
      <w:r>
        <w:t>Update reserve ratio</w:t>
      </w:r>
    </w:p>
    <w:p>
      <w:r>
        <w:t>Publish updated reserve data</w:t>
      </w:r>
    </w:p>
    <w:p>
      <w:r>
        <w:t>Gold Withdrawal Procedure</w:t>
      </w:r>
    </w:p>
    <w:p>
      <w:r>
        <w:t>Purpose: Process physical gold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minimum withdrawal amount</w:t>
      </w:r>
    </w:p>
    <w:p>
      <w:r>
        <w:t>Confirm delivery details</w:t>
      </w:r>
    </w:p>
    <w:p>
      <w:r>
        <w:t>Process Withdrawal</w:t>
      </w:r>
    </w:p>
    <w:p>
      <w:r>
        <w:t>Verify MTQ is burned</w:t>
      </w:r>
    </w:p>
    <w:p>
      <w:r>
        <w:t>Calculate proportional claim</w:t>
      </w:r>
    </w:p>
    <w:p>
      <w:r>
        <w:t>Allocate gold for withdrawal</w:t>
      </w:r>
    </w:p>
    <w:p>
      <w:r>
        <w:t>Prepare for delivery</w:t>
      </w:r>
    </w:p>
    <w:p>
      <w:r>
        <w:t>Confirm Withdrawal</w:t>
      </w:r>
    </w:p>
    <w:p>
      <w:r>
        <w:t>Confirm gold allocation</w:t>
      </w:r>
    </w:p>
    <w:p>
      <w:r>
        <w:t>Notify participant</w:t>
      </w:r>
    </w:p>
    <w:p>
      <w:r>
        <w:t>Send confirmation</w:t>
      </w:r>
    </w:p>
    <w:p>
      <w:r>
        <w:t>Update Reserve Records</w:t>
      </w:r>
    </w:p>
    <w:p>
      <w:r>
        <w:t>Update reserve registry</w:t>
      </w:r>
    </w:p>
    <w:p>
      <w:r>
        <w:t>Update reserve ratio</w:t>
      </w:r>
    </w:p>
    <w:p>
      <w:r>
        <w:t>Publish updated reserve data</w:t>
      </w:r>
    </w:p>
    <w:p>
      <w:r>
        <w:t>Reserve Risk Management</w:t>
      </w:r>
    </w:p>
    <w:p>
      <w:r>
        <w:t>Reserve Risk Monitoring</w:t>
      </w:r>
    </w:p>
    <w:p>
      <w:r>
        <w:t>What This Means in Practice:</w:t>
      </w:r>
    </w:p>
    <w:p>
      <w:r>
        <w:t>Reserve risks are monitored continuously</w:t>
      </w:r>
    </w:p>
    <w:p>
      <w:r>
        <w:t>Thresholds trigger escalation</w:t>
      </w:r>
    </w:p>
    <w:p>
      <w:r>
        <w:t>Concentration is controlled</w:t>
      </w:r>
    </w:p>
    <w:p>
      <w:r>
        <w:t>Issuer risk is managed</w:t>
      </w:r>
    </w:p>
    <w:p>
      <w:r>
        <w:t>Example:</w:t>
      </w:r>
    </w:p>
    <w:p>
      <w:r>
        <w:t>The Operations team monitors the reserve ratio in real-time. If the ratio falls below 102%, enhanced monitoring begins. If it falls below 100%, emergency protocols are activated. Concentration is monitored weekly to ensure compliance with policy limits.</w:t>
      </w:r>
    </w:p>
    <w:p>
      <w:r>
        <w:t>Why This Matters:</w:t>
      </w:r>
    </w:p>
    <w:p>
      <w:r>
        <w:t>Monitoring detects risks early</w:t>
      </w:r>
    </w:p>
    <w:p>
      <w:r>
        <w:t>Thresholds enable timely response</w:t>
      </w:r>
    </w:p>
    <w:p>
      <w:r>
        <w:t>Concentration control prevents overexposure</w:t>
      </w:r>
    </w:p>
    <w:p>
      <w:r>
        <w:t>Risk management maintains institutional integrity</w:t>
      </w:r>
    </w:p>
    <w:p>
      <w:r>
        <w:t>Reserve Emergency Procedures</w:t>
      </w:r>
    </w:p>
    <w:p>
      <w:r>
        <w:t>Trigger: Reserve ratio falls below 100%</w:t>
      </w:r>
    </w:p>
    <w:p>
      <w:r>
        <w:t>Procedure:</w:t>
      </w:r>
    </w:p>
    <w:p>
      <w:r>
        <w:t>Immediate Actions</w:t>
      </w:r>
    </w:p>
    <w:p>
      <w:r>
        <w:t>Halt minting</w:t>
      </w:r>
    </w:p>
    <w:p>
      <w:r>
        <w:t>Assess situation</w:t>
      </w:r>
    </w:p>
    <w:p>
      <w:r>
        <w:t>Notify Council</w:t>
      </w:r>
    </w:p>
    <w:p>
      <w:r>
        <w:t>Root Cause Investigation</w:t>
      </w:r>
    </w:p>
    <w:p>
      <w:r>
        <w:t>Identify cause of ratio drop</w:t>
      </w:r>
    </w:p>
    <w:p>
      <w:r>
        <w:t>Assess magnitude</w:t>
      </w:r>
    </w:p>
    <w:p>
      <w:r>
        <w:t>Determine recovery options</w:t>
      </w:r>
    </w:p>
    <w:p>
      <w:r>
        <w:t>Recovery Actions</w:t>
      </w:r>
    </w:p>
    <w:p>
      <w:r>
        <w:t>Activate Takaful fund</w:t>
      </w:r>
    </w:p>
    <w:p>
      <w:r>
        <w:t>Deploy emergency liquidity</w:t>
      </w:r>
    </w:p>
    <w:p>
      <w:r>
        <w:t>Rebalance reserves</w:t>
      </w:r>
    </w:p>
    <w:p>
      <w:r>
        <w:t>Seek additional reserves</w:t>
      </w:r>
    </w:p>
    <w:p>
      <w:r>
        <w:t>Verification</w:t>
      </w:r>
    </w:p>
    <w:p>
      <w:r>
        <w:t>Verify reserve ratio recovery</w:t>
      </w:r>
    </w:p>
    <w:p>
      <w:r>
        <w:t>Confirm solvency</w:t>
      </w:r>
    </w:p>
    <w:p>
      <w:r>
        <w:t>Resume minting (if appropriate)</w:t>
      </w:r>
    </w:p>
    <w:p>
      <w:r>
        <w:t>Post-Mortem</w:t>
      </w:r>
    </w:p>
    <w:p>
      <w:r>
        <w:t>Conduct root cause analysis</w:t>
      </w:r>
    </w:p>
    <w:p>
      <w:r>
        <w:t>Identify improvements</w:t>
      </w:r>
    </w:p>
    <w:p>
      <w:r>
        <w:t>Update procedures</w:t>
      </w:r>
    </w:p>
    <w:p>
      <w:r>
        <w:t>Test improvements</w:t>
      </w:r>
    </w:p>
    <w:p>
      <w:r>
        <w:t>Reserve Operations Security</w:t>
      </w:r>
    </w:p>
    <w:p>
      <w:r>
        <w:t>Access Controls</w:t>
      </w:r>
    </w:p>
    <w:p>
      <w:r>
        <w:t>What This Means in Practice:</w:t>
      </w:r>
    </w:p>
    <w:p>
      <w:r>
        <w:t>Access is restricted to authorized personnel</w:t>
      </w:r>
    </w:p>
    <w:p>
      <w:r>
        <w:t>MFA is required for all access</w:t>
      </w:r>
    </w:p>
    <w:p>
      <w:r>
        <w:t>Segregation of duties prevents single-person control</w:t>
      </w:r>
    </w:p>
    <w:p>
      <w:r>
        <w:t>Audit trails enable verification</w:t>
      </w:r>
    </w:p>
    <w:p>
      <w:r>
        <w:t>Privileged access is tightly controlled</w:t>
      </w:r>
    </w:p>
    <w:p>
      <w:r>
        <w:t>Example:</w:t>
      </w:r>
    </w:p>
    <w:p>
      <w:r>
        <w:t>The Operations team has role-based access to reserve systems. MFA is required. No single person can approve a withdrawal without others. All actions are logged. Privileged access requires a formal request and approval.</w:t>
      </w:r>
    </w:p>
    <w:p>
      <w:r>
        <w:t>Why This Matters:</w:t>
      </w:r>
    </w:p>
    <w:p>
      <w:r>
        <w:t>Access controls prevent unauthorized actions</w:t>
      </w:r>
    </w:p>
    <w:p>
      <w:r>
        <w:t>MFA prevents credential theft</w:t>
      </w:r>
    </w:p>
    <w:p>
      <w:r>
        <w:t>Segregation prevents single-person control</w:t>
      </w:r>
    </w:p>
    <w:p>
      <w:r>
        <w:t>Audit trails enable investigation</w:t>
      </w:r>
    </w:p>
    <w:p>
      <w:r>
        <w:t>Privileged access control prevents abuse</w:t>
      </w:r>
    </w:p>
    <w:p>
      <w:r>
        <w:t>Physical Security</w:t>
      </w:r>
    </w:p>
    <w:p>
      <w:r>
        <w:t>What This Means in Practice:</w:t>
      </w:r>
    </w:p>
    <w:p>
      <w:r>
        <w:t>Gold vaults are physically secure</w:t>
      </w:r>
    </w:p>
    <w:p>
      <w:r>
        <w:t>Access is tightly controlled</w:t>
      </w:r>
    </w:p>
    <w:p>
      <w:r>
        <w:t>Transport is secure</w:t>
      </w:r>
    </w:p>
    <w:p>
      <w:r>
        <w:t>Insurance covers loss</w:t>
      </w:r>
    </w:p>
    <w:p>
      <w:r>
        <w:t>Audits verify holdings</w:t>
      </w:r>
    </w:p>
    <w:p>
      <w:r>
        <w:t>Example:</w:t>
      </w:r>
    </w:p>
    <w:p>
      <w:r>
        <w:t>Gold vaults have 24/7 surveillance and armed guards. Access requires biometric, PIN, and smart card. Gold transport uses armored vehicles. Lloyd's insurance covers 150% of gold value. Quarterly physical counts verify holdings.</w:t>
      </w:r>
    </w:p>
    <w:p>
      <w:r>
        <w:t>Why This Matters:</w:t>
      </w:r>
    </w:p>
    <w:p>
      <w:r>
        <w:t>Physical security prevents theft</w:t>
      </w:r>
    </w:p>
    <w:p>
      <w:r>
        <w:t>Access controls prevent unauthorized entry</w:t>
      </w:r>
    </w:p>
    <w:p>
      <w:r>
        <w:t>Secure transport prevents en-route theft</w:t>
      </w:r>
    </w:p>
    <w:p>
      <w:r>
        <w:t>Insurance transfers risk</w:t>
      </w:r>
    </w:p>
    <w:p>
      <w:r>
        <w:t>Audits verify integrity</w:t>
      </w:r>
    </w:p>
    <w:p>
      <w:r>
        <w:t>Summary Table</w:t>
      </w:r>
    </w:p>
    <w:p>
      <w:r>
        <w:t>Constitutional Interpretation</w:t>
      </w:r>
    </w:p>
    <w:p>
      <w:r>
        <w:t>Reserve Management Operations establishes the practical execution of reserve management:</w:t>
      </w:r>
    </w:p>
    <w:p>
      <w:r>
        <w:t>Reserves are held securely with qualified custodians</w:t>
      </w:r>
    </w:p>
    <w:p>
      <w:r>
        <w:t>Reserves are reconciled daily to ensure accuracy</w:t>
      </w:r>
    </w:p>
    <w:p>
      <w:r>
        <w:t>Physical gold is managed with serialization and verification</w:t>
      </w:r>
    </w:p>
    <w:p>
      <w:r>
        <w:t>Reserve risks are monitored continuously</w:t>
      </w:r>
    </w:p>
    <w:p>
      <w:r>
        <w:t>Emergency procedures are defined and tested</w:t>
      </w:r>
    </w:p>
    <w:p>
      <w:r>
        <w:t>Access controls prevent unauthorized actions</w:t>
      </w:r>
    </w:p>
    <w:p>
      <w:r>
        <w:t>Transparency through regular reporting</w:t>
      </w:r>
    </w:p>
    <w:p>
      <w:r>
        <w:t>Reserve management is the operational foundation of constitutional solvency. It ensures reserves are held, accounted for, and verified. Without reserve management operations, constitutional reserve principles remain abstract.</w:t>
      </w:r>
    </w:p>
    <w:p>
      <w:r>
        <w:t>[END OF PART 5, ARTICLE I — RESERVE MANAGEMENT OPERATIONS]</w:t>
      </w:r>
    </w:p>
    <w:p>
      <w:r>
        <w:t>Article II: Transaction Processing Operations</w:t>
      </w:r>
    </w:p>
    <w:p>
      <w:r>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r>
        <w:t>What This Means in Practice:</w:t>
      </w:r>
    </w:p>
    <w:p>
      <w:r>
        <w:t>Minting operations process the creation of new MTQ units upon verified deposit</w:t>
      </w:r>
    </w:p>
    <w:p>
      <w:r>
        <w:t>Redemption operations process the destruction of MTQ units upon verified withdrawal</w:t>
      </w:r>
    </w:p>
    <w:p>
      <w:r>
        <w:t>Settlement operations process the transfer of MTQ units between participants</w:t>
      </w:r>
    </w:p>
    <w:p>
      <w:r>
        <w:t>Transfer operations process the movement of MTQ units between wallets</w:t>
      </w:r>
    </w:p>
    <w:p>
      <w:r>
        <w:t>All transactions are processed with accuracy, security, and finality</w:t>
      </w:r>
    </w:p>
    <w:p>
      <w:r>
        <w:t>Example:</w:t>
      </w:r>
    </w:p>
    <w:p>
      <w:r>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r>
        <w:t>Why This Matters:</w:t>
      </w:r>
    </w:p>
    <w:p>
      <w:r>
        <w:t>Without transaction processing, the Institution cannot serve participants</w:t>
      </w:r>
    </w:p>
    <w:p>
      <w:r>
        <w:t>Without accurate processing, participant balances are incorrect</w:t>
      </w:r>
    </w:p>
    <w:p>
      <w:r>
        <w:t>Without secure processing, transactions are vulnerable to fraud</w:t>
      </w:r>
    </w:p>
    <w:p>
      <w:r>
        <w:t>Without efficient processing, participants experience delays</w:t>
      </w:r>
    </w:p>
    <w:p>
      <w:r>
        <w:t>Transaction processing is the operational core of the Institution</w:t>
      </w:r>
    </w:p>
    <w:p>
      <w:r>
        <w:t>Core Principles of Transaction Processing</w:t>
      </w:r>
    </w:p>
    <w:p>
      <w:pPr>
        <w:pStyle w:val="ListNumber"/>
        <w:ind w:left="425"/>
      </w:pPr>
      <w:r>
        <w:t>Accuracy</w:t>
      </w:r>
    </w:p>
    <w:p>
      <w:r>
        <w:t>All transactions must be processed accurately.</w:t>
      </w:r>
    </w:p>
    <w:p>
      <w:r>
        <w:t>What This Means in Practice:</w:t>
      </w:r>
    </w:p>
    <w:p>
      <w:r>
        <w:t>Amounts are calculated precisely</w:t>
      </w:r>
    </w:p>
    <w:p>
      <w:r>
        <w:t>Fees are applied correctly</w:t>
      </w:r>
    </w:p>
    <w:p>
      <w:r>
        <w:t>Participant balances are updated accurately</w:t>
      </w:r>
    </w:p>
    <w:p>
      <w:r>
        <w:t>Records are maintained completely</w:t>
      </w:r>
    </w:p>
    <w:p>
      <w:r>
        <w:t>Example:</w:t>
      </w:r>
    </w:p>
    <w:p>
      <w:r>
        <w:t>A redemption request for 1,000,000 MTQ is processed. The NAV is calculated accurately. The proportional claim is calculated precisely. The fee is applied correctly. The participant receives the correct amount. Records are updated accurately.</w:t>
      </w:r>
    </w:p>
    <w:p>
      <w:r>
        <w:t>Why This Matters:</w:t>
      </w:r>
    </w:p>
    <w:p>
      <w:r>
        <w:t>Accurate processing maintains trust</w:t>
      </w:r>
    </w:p>
    <w:p>
      <w:r>
        <w:t>Errors create disputes</w:t>
      </w:r>
    </w:p>
    <w:p>
      <w:r>
        <w:t>Precision is essential for financial transactions</w:t>
      </w:r>
    </w:p>
    <w:p>
      <w:r>
        <w:t>Accuracy is non-negotiable</w:t>
      </w:r>
    </w:p>
    <w:p>
      <w:pPr>
        <w:pStyle w:val="ListNumber"/>
        <w:ind w:left="425"/>
      </w:pPr>
      <w:r>
        <w:t>Security</w:t>
      </w:r>
    </w:p>
    <w:p>
      <w:r>
        <w:t>All transactions must be processed securely.</w:t>
      </w:r>
    </w:p>
    <w:p>
      <w:r>
        <w:t>What This Means in Practice:</w:t>
      </w:r>
    </w:p>
    <w:p>
      <w:r>
        <w:t>Participant identity is verified</w:t>
      </w:r>
    </w:p>
    <w:p>
      <w:r>
        <w:t>Authorization is confirmed</w:t>
      </w:r>
    </w:p>
    <w:p>
      <w:r>
        <w:t>Transactions are cryptographically verified</w:t>
      </w:r>
    </w:p>
    <w:p>
      <w:r>
        <w:t>Audit trails are maintained</w:t>
      </w:r>
    </w:p>
    <w:p>
      <w:r>
        <w:t>Example:</w:t>
      </w:r>
    </w:p>
    <w:p>
      <w:r>
        <w:t>A participant submits a transfer request. The participant's identity is verified. The request is authorized. The transaction is cryptographically signed. The transaction is recorded on-chain. The audit trail is complete.</w:t>
      </w:r>
    </w:p>
    <w:p>
      <w:r>
        <w:t>Why This Matters:</w:t>
      </w:r>
    </w:p>
    <w:p>
      <w:r>
        <w:t>Security prevents unauthorized transactions</w:t>
      </w:r>
    </w:p>
    <w:p>
      <w:r>
        <w:t>Identity verification prevents impersonation</w:t>
      </w:r>
    </w:p>
    <w:p>
      <w:r>
        <w:t>Cryptographic verification ensures integrity</w:t>
      </w:r>
    </w:p>
    <w:p>
      <w:r>
        <w:t>Audit trails enable investigation</w:t>
      </w:r>
    </w:p>
    <w:p>
      <w:pPr>
        <w:pStyle w:val="ListNumber"/>
        <w:ind w:left="425"/>
      </w:pPr>
      <w:r>
        <w:t>Efficiency</w:t>
      </w:r>
    </w:p>
    <w:p>
      <w:r>
        <w:t>Transactions must be processed efficiently.</w:t>
      </w:r>
    </w:p>
    <w:p>
      <w:r>
        <w:t>What This Means in Practice:</w:t>
      </w:r>
    </w:p>
    <w:p>
      <w:r>
        <w:t>Processing times are minimized</w:t>
      </w:r>
    </w:p>
    <w:p>
      <w:r>
        <w:t>Batches are processed optimally</w:t>
      </w:r>
    </w:p>
    <w:p>
      <w:r>
        <w:t>Automation is used where possible</w:t>
      </w:r>
    </w:p>
    <w:p>
      <w:r>
        <w:t>Bottlenecks are identified and addressed</w:t>
      </w:r>
    </w:p>
    <w:p>
      <w:r>
        <w:t>Example:</w:t>
      </w:r>
    </w:p>
    <w:p>
      <w:r>
        <w:t>The Institution processes redemption requests within 30 minutes for standard requests. Batching optimizes processing for large volumes. Automation handles routine transactions. Bottlenecks are identified and addressed.</w:t>
      </w:r>
    </w:p>
    <w:p>
      <w:r>
        <w:t>Why This Matters:</w:t>
      </w:r>
    </w:p>
    <w:p>
      <w:r>
        <w:t>Efficiency reduces participant wait times</w:t>
      </w:r>
    </w:p>
    <w:p>
      <w:r>
        <w:t>Efficiency reduces operational costs</w:t>
      </w:r>
    </w:p>
    <w:p>
      <w:r>
        <w:t>Efficiency enables scalability</w:t>
      </w:r>
    </w:p>
    <w:p>
      <w:r>
        <w:t>Efficiency improves participant satisfaction</w:t>
      </w:r>
    </w:p>
    <w:p>
      <w:pPr>
        <w:pStyle w:val="ListNumber"/>
        <w:ind w:left="425"/>
      </w:pPr>
      <w:r>
        <w:t>Transparency</w:t>
      </w:r>
    </w:p>
    <w:p>
      <w:r>
        <w:t>Transactions must be transparent and auditable.</w:t>
      </w:r>
    </w:p>
    <w:p>
      <w:r>
        <w:t>What This Means in Practice:</w:t>
      </w:r>
    </w:p>
    <w:p>
      <w:r>
        <w:t>Transaction records are maintained</w:t>
      </w:r>
    </w:p>
    <w:p>
      <w:r>
        <w:t>Transaction status is visible</w:t>
      </w:r>
    </w:p>
    <w:p>
      <w:r>
        <w:t>Transaction history is available</w:t>
      </w:r>
    </w:p>
    <w:p>
      <w:r>
        <w:t>Audit trails are complete</w:t>
      </w:r>
    </w:p>
    <w:p>
      <w:r>
        <w:t>Example:</w:t>
      </w:r>
    </w:p>
    <w:p>
      <w:r>
        <w:t>A participant can view their transaction history. Transaction status is visible. All transactions are recorded on-chain. Audit trails are complete. Transparency is maintained.</w:t>
      </w:r>
    </w:p>
    <w:p>
      <w:r>
        <w:t>Why This Matters:</w:t>
      </w:r>
    </w:p>
    <w:p>
      <w:r>
        <w:t>Transparency builds trust</w:t>
      </w:r>
    </w:p>
    <w:p>
      <w:r>
        <w:t>Transaction visibility enables reconciliation</w:t>
      </w:r>
    </w:p>
    <w:p>
      <w:r>
        <w:t>History supports audit</w:t>
      </w:r>
    </w:p>
    <w:p>
      <w:r>
        <w:t>Audit trails enable investigation</w:t>
      </w:r>
    </w:p>
    <w:p>
      <w:pPr>
        <w:pStyle w:val="ListNumber"/>
        <w:ind w:left="425"/>
      </w:pPr>
      <w:r>
        <w:t>Finality</w:t>
      </w:r>
    </w:p>
    <w:p>
      <w:r>
        <w:t>Transactions must achieve finality.</w:t>
      </w:r>
    </w:p>
    <w:p>
      <w:r>
        <w:t>What This Means in Practice:</w:t>
      </w:r>
    </w:p>
    <w:p>
      <w:r>
        <w:t>On-chain transactions are irreversible</w:t>
      </w:r>
    </w:p>
    <w:p>
      <w:r>
        <w:t>Settlement is final after confirmation</w:t>
      </w:r>
    </w:p>
    <w:p>
      <w:r>
        <w:t>Confirmations are provided</w:t>
      </w:r>
    </w:p>
    <w:p>
      <w:r>
        <w:t>Irrevocability is assured</w:t>
      </w:r>
    </w:p>
    <w:p>
      <w:r>
        <w:t>Example:</w:t>
      </w:r>
    </w:p>
    <w:p>
      <w:r>
        <w:t>A settlement transaction is confirmed on-chain. The transaction is final. Neither party can reverse the transaction. The settlement is irrevocable. The participant has certainty.</w:t>
      </w:r>
    </w:p>
    <w:p>
      <w:r>
        <w:t>Why This Matters:</w:t>
      </w:r>
    </w:p>
    <w:p>
      <w:r>
        <w:t>Finality provides certainty</w:t>
      </w:r>
    </w:p>
    <w:p>
      <w:r>
        <w:t>Irrevocability prevents disputes</w:t>
      </w:r>
    </w:p>
    <w:p>
      <w:r>
        <w:t>Settlements are reliable</w:t>
      </w:r>
    </w:p>
    <w:p>
      <w:r>
        <w:t>Participants can rely on the Institution</w:t>
      </w:r>
    </w:p>
    <w:p>
      <w:r>
        <w:t>Minting Operations</w:t>
      </w:r>
    </w:p>
    <w:p>
      <w:r>
        <w:t>Minting Process Overview</w:t>
      </w:r>
    </w:p>
    <w:p>
      <w:r>
        <w:t>text</w:t>
      </w:r>
    </w:p>
    <w:p>
      <w:r>
        <w:t>┌─────────────────────────────────────────────────────────────────────┐</w:t>
      </w:r>
    </w:p>
    <w:p>
      <w:r>
        <w:t>│                       MINTING PROCESS                              │</w:t>
      </w:r>
    </w:p>
    <w:p>
      <w:r>
        <w:t>│                                                                     │</w:t>
      </w:r>
    </w:p>
    <w:p>
      <w:r>
        <w:t>│  ┌─────────────────────────────────────────────────────────────┐   │</w:t>
      </w:r>
    </w:p>
    <w:p>
      <w:r>
        <w:t>│  │                    PARTICIPANT DEPOSITS                     │   │</w:t>
      </w:r>
    </w:p>
    <w:p>
      <w:r>
        <w:t>│  │  ┌─────────────────────────────────────────────────────────┐│   │</w:t>
      </w:r>
    </w:p>
    <w:p>
      <w:r>
        <w:t>│  │  │ Eligible stablecoins or bullion deposited to custody   ││   │</w:t>
      </w:r>
    </w:p>
    <w:p>
      <w:r>
        <w:t>│  │  └─────────────────────────────────────────────────────────┘│   │</w:t>
      </w:r>
    </w:p>
    <w:p>
      <w:r>
        <w:t>│  └─────────────────────────────────────────────────────────────┘   │</w:t>
      </w:r>
    </w:p>
    <w:p>
      <w:r>
        <w:t>│                              │                                      │</w:t>
      </w:r>
    </w:p>
    <w:p>
      <w:r>
        <w:t>│                              ▼                                      │</w:t>
      </w:r>
    </w:p>
    <w:p>
      <w:r>
        <w:t>│  ┌─────────────────────────────────────────────────────────────┐   │</w:t>
      </w:r>
    </w:p>
    <w:p>
      <w:r>
        <w:t>│  │                    DEPOSIT VERIFICATION                     │   │</w:t>
      </w:r>
    </w:p>
    <w:p>
      <w:r>
        <w:t>│  │  ┌─────────────────────────────────────────────────────────┐│   │</w:t>
      </w:r>
    </w:p>
    <w:p>
      <w:r>
        <w:t>│  │  │ • Verify participant identity                          ││   │</w:t>
      </w:r>
    </w:p>
    <w:p>
      <w:r>
        <w:t>│  │  │ • Verify deposit amount                                 ││   │</w:t>
      </w:r>
    </w:p>
    <w:p>
      <w:r>
        <w:t>│  │  │ • Verify asset eligibility                              ││   │</w:t>
      </w:r>
    </w:p>
    <w:p>
      <w:r>
        <w:t>│  │  │ • Verify custodian confirmation                         ││   │</w:t>
      </w:r>
    </w:p>
    <w:p>
      <w:r>
        <w:t>│  │  └─────────────────────────────────────────────────────────┘│   │</w:t>
      </w:r>
    </w:p>
    <w:p>
      <w:r>
        <w:t>│  └─────────────────────────────────────────────────────────────┘   │</w:t>
      </w:r>
    </w:p>
    <w:p>
      <w:r>
        <w:t>│                              │                                      │</w:t>
      </w:r>
    </w:p>
    <w:p>
      <w:r>
        <w:t>│                              ▼                                      │</w:t>
      </w:r>
    </w:p>
    <w:p>
      <w:r>
        <w:t>│  ┌─────────────────────────────────────────────────────────────┐   │</w:t>
      </w:r>
    </w:p>
    <w:p>
      <w:r>
        <w:t>│  │                    MINTING EXECUTION                        │   │</w:t>
      </w:r>
    </w:p>
    <w:p>
      <w:r>
        <w:t>│  │  ┌─────────────────────────────────────────────────────────┐│   │</w:t>
      </w:r>
    </w:p>
    <w:p>
      <w:r>
        <w:t>│  │  │ • Calculate NAV                                         ││   │</w:t>
      </w:r>
    </w:p>
    <w:p>
      <w:r>
        <w:t>│  │  │ • Calculate minting fee                                  ││   │</w:t>
      </w:r>
    </w:p>
    <w:p>
      <w:r>
        <w:t>│  │  │ • Calculate mint amount                                  ││   │</w:t>
      </w:r>
    </w:p>
    <w:p>
      <w:r>
        <w:t>│  │  │ • Execute mint transaction                               ││   │</w:t>
      </w:r>
    </w:p>
    <w:p>
      <w:r>
        <w:t>│  │  │ • Update reserve records                                 ││   │</w:t>
      </w:r>
    </w:p>
    <w:p>
      <w:r>
        <w:t>│  │  └─────────────────────────────────────────────────────────┘│   │</w:t>
      </w:r>
    </w:p>
    <w:p>
      <w:r>
        <w:t>│  └─────────────────────────────────────────────────────────────┘   │</w:t>
      </w:r>
    </w:p>
    <w:p>
      <w:r>
        <w:t>│                              │                                      │</w:t>
      </w:r>
    </w:p>
    <w:p>
      <w:r>
        <w:t>│                              ▼                                      │</w:t>
      </w:r>
    </w:p>
    <w:p>
      <w:r>
        <w:t>│  ┌─────────────────────────────────────────────────────────────┐   │</w:t>
      </w:r>
    </w:p>
    <w:p>
      <w:r>
        <w:t>│  │                    CONFIRMATION                             │   │</w:t>
      </w:r>
    </w:p>
    <w:p>
      <w:r>
        <w:t>│  │  ┌─────────────────────────────────────────────────────────┐│   │</w:t>
      </w:r>
    </w:p>
    <w:p>
      <w:r>
        <w:t>│  │  │ • Confirm transaction on-chain                         ││   │</w:t>
      </w:r>
    </w:p>
    <w:p>
      <w:r>
        <w:t>│  │  │ • Notify participant                                   ││   │</w:t>
      </w:r>
    </w:p>
    <w:p>
      <w:r>
        <w:t>│  │  │ • Update participant balance                           ││   │</w:t>
      </w:r>
    </w:p>
    <w:p>
      <w:r>
        <w:t>│  │  │ • Publish reserve update                                ││   │</w:t>
      </w:r>
    </w:p>
    <w:p>
      <w:r>
        <w:t>│  │  └─────────────────────────────────────────────────────────┘│   │</w:t>
      </w:r>
    </w:p>
    <w:p>
      <w:r>
        <w:t>│  └─────────────────────────────────────────────────────────────┘   │</w:t>
      </w:r>
    </w:p>
    <w:p>
      <w:r>
        <w:t>└─────────────────────────────────────────────────────────────────────┘</w:t>
      </w:r>
    </w:p>
    <w:p>
      <w:r>
        <w:t>Stablecoin Minting Procedure</w:t>
      </w:r>
    </w:p>
    <w:p>
      <w:r>
        <w:t>Purpose: Process stablecoin deposits and mint MTQ</w:t>
      </w:r>
    </w:p>
    <w:p>
      <w:r>
        <w:t>Step 1: Deposit Receipt</w:t>
      </w:r>
    </w:p>
    <w:p>
      <w:r>
        <w:t>Participant submits a minting request</w:t>
      </w:r>
    </w:p>
    <w:p>
      <w:r>
        <w:t>Participant transfers stablecoins to custody</w:t>
      </w:r>
    </w:p>
    <w:p>
      <w:r>
        <w:t>Deposit is logged in the queue</w:t>
      </w:r>
    </w:p>
    <w:p>
      <w:r>
        <w:t>Step 2: Deposit Verification</w:t>
      </w:r>
    </w:p>
    <w:p>
      <w:r>
        <w:t>Verify participant identity (KYC/KYB)</w:t>
      </w:r>
    </w:p>
    <w:p>
      <w:r>
        <w:t>Verify deposit amount matches request</w:t>
      </w:r>
    </w:p>
    <w:p>
      <w:r>
        <w:t>Verify stablecoin eligibility (whitelist)</w:t>
      </w:r>
    </w:p>
    <w:p>
      <w:r>
        <w:t>Verify custodian confirmation</w:t>
      </w:r>
    </w:p>
    <w:p>
      <w:r>
        <w:t>Step 3: Minting Calculation</w:t>
      </w:r>
    </w:p>
    <w:p>
      <w:r>
        <w:t>Calculate NAV at time of processing</w:t>
      </w:r>
    </w:p>
    <w:p>
      <w:r>
        <w:t>Calculate minting fee (0.05% of amount)</w:t>
      </w:r>
    </w:p>
    <w:p>
      <w:r>
        <w:t>Calculate mint amount = deposit amount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daily reconciliation</w:t>
      </w:r>
    </w:p>
    <w:p>
      <w:r>
        <w:t>Bullion Minting Procedure</w:t>
      </w:r>
    </w:p>
    <w:p>
      <w:r>
        <w:t>Purpose: Process physical gold deposits and mint MTQ</w:t>
      </w:r>
    </w:p>
    <w:p>
      <w:r>
        <w:t>Step 1: Deposit Receipt</w:t>
      </w:r>
    </w:p>
    <w:p>
      <w:r>
        <w:t>Participant submits a minting request</w:t>
      </w:r>
    </w:p>
    <w:p>
      <w:r>
        <w:t>Participant delivers physical gold to vault</w:t>
      </w:r>
    </w:p>
    <w:p>
      <w:r>
        <w:t>Gold specifications are recorded</w:t>
      </w:r>
    </w:p>
    <w:p>
      <w:r>
        <w:t>Step 2: Gold Verification</w:t>
      </w:r>
    </w:p>
    <w:p>
      <w:r>
        <w:t>Verify gold purity (≥99.5%)</w:t>
      </w:r>
    </w:p>
    <w:p>
      <w:r>
        <w:t>Verify gold weight</w:t>
      </w:r>
    </w:p>
    <w:p>
      <w:r>
        <w:t>Verify serial numbers</w:t>
      </w:r>
    </w:p>
    <w:p>
      <w:r>
        <w:t>Confirm LBMA Good Delivery standard</w:t>
      </w:r>
    </w:p>
    <w:p>
      <w:r>
        <w:t>Verify participant identity</w:t>
      </w:r>
    </w:p>
    <w:p>
      <w:r>
        <w:t>Step 3: Minting Calculation</w:t>
      </w:r>
    </w:p>
    <w:p>
      <w:r>
        <w:t>Calculate NAV at time of processing</w:t>
      </w:r>
    </w:p>
    <w:p>
      <w:r>
        <w:t>Calculate minting fee (0.05% of value)</w:t>
      </w:r>
    </w:p>
    <w:p>
      <w:r>
        <w:t>Calculate mint amount = gold value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gold registry</w:t>
      </w:r>
    </w:p>
    <w:p>
      <w:r>
        <w:t>Minting Process Flow</w:t>
      </w:r>
    </w:p>
    <w:p>
      <w:r>
        <w:t>Expected Total Processing Time: &lt;3 hours</w:t>
      </w:r>
    </w:p>
    <w:p>
      <w:r>
        <w:t>Minting Requirements</w:t>
      </w:r>
    </w:p>
    <w:p>
      <w:r>
        <w:t>Redemption Operations</w:t>
      </w:r>
    </w:p>
    <w:p>
      <w:r>
        <w:t>Redemption Process Overview</w:t>
      </w:r>
    </w:p>
    <w:p>
      <w:r>
        <w:t>text</w:t>
      </w:r>
    </w:p>
    <w:p>
      <w:r>
        <w:t>┌─────────────────────────────────────────────────────────────────────┐</w:t>
      </w:r>
    </w:p>
    <w:p>
      <w:r>
        <w:t>│                     REDEMPTION PROCESS                             │</w:t>
      </w:r>
    </w:p>
    <w:p>
      <w:r>
        <w:t>│                                                                     │</w:t>
      </w:r>
    </w:p>
    <w:p>
      <w:r>
        <w:t>│  ┌─────────────────────────────────────────────────────────────┐   │</w:t>
      </w:r>
    </w:p>
    <w:p>
      <w:r>
        <w:t>│  │                    PARTICIPANT REQUESTS                     │   │</w:t>
      </w:r>
    </w:p>
    <w:p>
      <w:r>
        <w:t>│  │  ┌─────────────────────────────────────────────────────────┐│   │</w:t>
      </w:r>
    </w:p>
    <w:p>
      <w:r>
        <w:t>│  │  │ Participant submits redemption request                 ││   │</w:t>
      </w:r>
    </w:p>
    <w:p>
      <w:r>
        <w:t>│  │  │ MTQ tokens are burned on-chain                         ││   │</w:t>
      </w:r>
    </w:p>
    <w:p>
      <w:r>
        <w:t>│  │  └─────────────────────────────────────────────────────────┘│   │</w:t>
      </w:r>
    </w:p>
    <w:p>
      <w:r>
        <w:t>│  └─────────────────────────────────────────────────────────────┘   │</w:t>
      </w:r>
    </w:p>
    <w:p>
      <w:r>
        <w:t>│                              │                                      │</w:t>
      </w:r>
    </w:p>
    <w:p>
      <w:r>
        <w:t>│                              ▼                                      │</w:t>
      </w:r>
    </w:p>
    <w:p>
      <w:r>
        <w:t>│  ┌─────────────────────────────────────────────────────────────┐   │</w:t>
      </w:r>
    </w:p>
    <w:p>
      <w:r>
        <w:t>│  │                    REQUEST VERIFICATION                     │   │</w:t>
      </w:r>
    </w:p>
    <w:p>
      <w:r>
        <w:t>│  │  ┌─────────────────────────────────────────────────────────┐│   │</w:t>
      </w:r>
    </w:p>
    <w:p>
      <w:r>
        <w:t>│  │  │ • Verify participant identity                          ││   │</w:t>
      </w:r>
    </w:p>
    <w:p>
      <w:r>
        <w:t>│  │  │ • Verify token burn                                    ││   │</w:t>
      </w:r>
    </w:p>
    <w:p>
      <w:r>
        <w:t>│  │  │ • Verify sufficient balance                            ││   │</w:t>
      </w:r>
    </w:p>
    <w:p>
      <w:r>
        <w:t>│  │  │ • Verify redemption eligibility                        ││   │</w:t>
      </w:r>
    </w:p>
    <w:p>
      <w:r>
        <w:t>│  │  └─────────────────────────────────────────────────────────┘│   │</w:t>
      </w:r>
    </w:p>
    <w:p>
      <w:r>
        <w:t>│  └─────────────────────────────────────────────────────────────┘   │</w:t>
      </w:r>
    </w:p>
    <w:p>
      <w:r>
        <w:t>│                              │                                      │</w:t>
      </w:r>
    </w:p>
    <w:p>
      <w:r>
        <w:t>│                              ▼                                      │</w:t>
      </w:r>
    </w:p>
    <w:p>
      <w:r>
        <w:t>│  ┌─────────────────────────────────────────────────────────────┐   │</w:t>
      </w:r>
    </w:p>
    <w:p>
      <w:r>
        <w:t>│  │                    REDEMPTION EXECUTION                     │   │</w:t>
      </w:r>
    </w:p>
    <w:p>
      <w:r>
        <w:t>│  │  ┌─────────────────────────────────────────────────────────┐│   │</w:t>
      </w:r>
    </w:p>
    <w:p>
      <w:r>
        <w:t>│  │  │ • Calculate NAV                                         ││   │</w:t>
      </w:r>
    </w:p>
    <w:p>
      <w:r>
        <w:t>│  │  │ • Calculate redemption fee                              ││   │</w:t>
      </w:r>
    </w:p>
    <w:p>
      <w:r>
        <w:t>│  │  │ • Calculate claim value                                 ││   │</w:t>
      </w:r>
    </w:p>
    <w:p>
      <w:r>
        <w:t>│  │  │ • Calculate redemption composition                      ││   │</w:t>
      </w:r>
    </w:p>
    <w:p>
      <w:r>
        <w:t>│  │  │ • Execute redemption transaction                        ││   │</w:t>
      </w:r>
    </w:p>
    <w:p>
      <w:r>
        <w:t>│  │  │ • Update reserve records                                ││   │</w:t>
      </w:r>
    </w:p>
    <w:p>
      <w:r>
        <w:t>│  │  └─────────────────────────────────────────────────────────┘│   │</w:t>
      </w:r>
    </w:p>
    <w:p>
      <w:r>
        <w:t>│  └─────────────────────────────────────────────────────────────┘   │</w:t>
      </w:r>
    </w:p>
    <w:p>
      <w:r>
        <w:t>│                              │                                      │</w:t>
      </w:r>
    </w:p>
    <w:p>
      <w:r>
        <w:t>│                              ▼                                      │</w:t>
      </w:r>
    </w:p>
    <w:p>
      <w:r>
        <w:t>│  ┌─────────────────────────────────────────────────────────────┐   │</w:t>
      </w:r>
    </w:p>
    <w:p>
      <w:r>
        <w:t>│  │                    SETTLEMENT                               │   │</w:t>
      </w:r>
    </w:p>
    <w:p>
      <w:r>
        <w:t>│  │  ┌─────────────────────────────────────────────────────────┐│   │</w:t>
      </w:r>
    </w:p>
    <w:p>
      <w:r>
        <w:t>│  │  │ • Transfer stablecoins to participant                  ││   │</w:t>
      </w:r>
    </w:p>
    <w:p>
      <w:r>
        <w:t>│  │  │ • Transfer physical gold for bullion redemption        ││   │</w:t>
      </w:r>
    </w:p>
    <w:p>
      <w:r>
        <w:t>│  │  │ • Confirm settlement                                   ││   │</w:t>
      </w:r>
    </w:p>
    <w:p>
      <w:r>
        <w:t>│  │  └─────────────────────────────────────────────────────────┘│   │</w:t>
      </w:r>
    </w:p>
    <w:p>
      <w:r>
        <w:t>│  └─────────────────────────────────────────────────────────────┘   │</w:t>
      </w:r>
    </w:p>
    <w:p>
      <w:r>
        <w:t>│                              │                                      │</w:t>
      </w:r>
    </w:p>
    <w:p>
      <w:r>
        <w:t>│                              ▼                                      │</w:t>
      </w:r>
    </w:p>
    <w:p>
      <w:r>
        <w:t>│  ┌─────────────────────────────────────────────────────────────┐   │</w:t>
      </w:r>
    </w:p>
    <w:p>
      <w:r>
        <w:t>│  │                    CONFIRMATION                             │   │</w:t>
      </w:r>
    </w:p>
    <w:p>
      <w:r>
        <w:t>│  │  ┌─────────────────────────────────────────────────────────┐│   │</w:t>
      </w:r>
    </w:p>
    <w:p>
      <w:r>
        <w:t>│  │  │ • Confirm settlement                                   ││   │</w:t>
      </w:r>
    </w:p>
    <w:p>
      <w:r>
        <w:t>│  │  │ • Notify participant                                   ││   │</w:t>
      </w:r>
    </w:p>
    <w:p>
      <w:r>
        <w:t>│  │  │ • Update participant balance                           ││   │</w:t>
      </w:r>
    </w:p>
    <w:p>
      <w:r>
        <w:t>│  │  │ • Publish reserve update                               ││   │</w:t>
      </w:r>
    </w:p>
    <w:p>
      <w:r>
        <w:t>│  │  └─────────────────────────────────────────────────────────┘│   │</w:t>
      </w:r>
    </w:p>
    <w:p>
      <w:r>
        <w:t>│  └─────────────────────────────────────────────────────────────┘   │</w:t>
      </w:r>
    </w:p>
    <w:p>
      <w:r>
        <w:t>└─────────────────────────────────────────────────────────────────────┘</w:t>
      </w:r>
    </w:p>
    <w:p>
      <w:r>
        <w:t>Standard Redemption Procedure</w:t>
      </w:r>
    </w:p>
    <w:p>
      <w:r>
        <w:t>Purpose: Process MTQ redemption for proportional reserves</w:t>
      </w:r>
    </w:p>
    <w:p>
      <w:r>
        <w:t>Step 1: Request Receipt</w:t>
      </w:r>
    </w:p>
    <w:p>
      <w:r>
        <w:t>Participant submits redemption request</w:t>
      </w:r>
    </w:p>
    <w:p>
      <w:r>
        <w:t>Participant burns MTQ tokens on-chain</w:t>
      </w:r>
    </w:p>
    <w:p>
      <w:r>
        <w:t>Request is logged in the queue</w:t>
      </w:r>
    </w:p>
    <w:p>
      <w:r>
        <w:t>Step 2: Request Verification</w:t>
      </w:r>
    </w:p>
    <w:p>
      <w:r>
        <w:t>Verify participant identity</w:t>
      </w:r>
    </w:p>
    <w:p>
      <w:r>
        <w:t>Verify token burn transaction</w:t>
      </w:r>
    </w:p>
    <w:p>
      <w:r>
        <w:t>Confirm sufficient balance</w:t>
      </w:r>
    </w:p>
    <w:p>
      <w:r>
        <w:t>Verify redemption eligibility</w:t>
      </w:r>
    </w:p>
    <w:p>
      <w:r>
        <w:t>Step 3: Redemption Calculation</w:t>
      </w:r>
    </w:p>
    <w:p>
      <w:r>
        <w:t>Calculate NAV at time of burn</w:t>
      </w:r>
    </w:p>
    <w:p>
      <w:r>
        <w:t>Calculate redemption fee (0.05% of claim)</w:t>
      </w:r>
    </w:p>
    <w:p>
      <w:r>
        <w:t>Calculate proportional claim = (burned tokens / total supply) × reserve value</w:t>
      </w:r>
    </w:p>
    <w:p>
      <w:r>
        <w:t>Calculate net claim = claim - fee</w:t>
      </w:r>
    </w:p>
    <w:p>
      <w:r>
        <w:t>Verify reserve ratio remains ≥100%</w:t>
      </w:r>
    </w:p>
    <w:p>
      <w:r>
        <w:t>Step 4: Redemption Execution</w:t>
      </w:r>
    </w:p>
    <w:p>
      <w:r>
        <w:t>Calculate redemption composition (Tier 1, Tier 2, Tier 3, Tier 4 assets)</w:t>
      </w:r>
    </w:p>
    <w:p>
      <w:r>
        <w:t>Execute redemption transaction</w:t>
      </w:r>
    </w:p>
    <w:p>
      <w:r>
        <w:t>Release proportional reserves</w:t>
      </w:r>
    </w:p>
    <w:p>
      <w:r>
        <w:t>Update reserve records</w:t>
      </w:r>
    </w:p>
    <w:p>
      <w:r>
        <w:t>Step 5: Settlement</w:t>
      </w:r>
    </w:p>
    <w:p>
      <w:r>
        <w:t>Transfer stablecoins to participant</w:t>
      </w:r>
    </w:p>
    <w:p>
      <w:r>
        <w:t>If physical redemption, allocate physical gold</w:t>
      </w:r>
    </w:p>
    <w:p>
      <w:r>
        <w:t>Confirm settlement</w:t>
      </w:r>
    </w:p>
    <w:p>
      <w:r>
        <w:t>Step 6: Confirmation</w:t>
      </w:r>
    </w:p>
    <w:p>
      <w:r>
        <w:t>Confirm settlement</w:t>
      </w:r>
    </w:p>
    <w:p>
      <w:r>
        <w:t>Notify participant of completion</w:t>
      </w:r>
    </w:p>
    <w:p>
      <w:r>
        <w:t>Provide settlement confirmation</w:t>
      </w:r>
    </w:p>
    <w:p>
      <w:r>
        <w:t>Update participant balance</w:t>
      </w:r>
    </w:p>
    <w:p>
      <w:r>
        <w:t>Step 7: Record Keeping</w:t>
      </w:r>
    </w:p>
    <w:p>
      <w:r>
        <w:t>Record transaction in database</w:t>
      </w:r>
    </w:p>
    <w:p>
      <w:r>
        <w:t>Archive transaction records</w:t>
      </w:r>
    </w:p>
    <w:p>
      <w:r>
        <w:t>Update daily reconciliation</w:t>
      </w:r>
    </w:p>
    <w:p>
      <w:r>
        <w:t>Physical Redemption Procedure</w:t>
      </w:r>
    </w:p>
    <w:p>
      <w:r>
        <w:t>Purpose: Process MTQ redemption for physical bullion</w:t>
      </w:r>
    </w:p>
    <w:p>
      <w:r>
        <w:t>Step 1: Request Receipt</w:t>
      </w:r>
    </w:p>
    <w:p>
      <w:r>
        <w:t>Participant submits physical redemption request</w:t>
      </w:r>
    </w:p>
    <w:p>
      <w:r>
        <w:t>Participant burns MTQ tokens on-chain</w:t>
      </w:r>
    </w:p>
    <w:p>
      <w:r>
        <w:t>Delivery details are provided</w:t>
      </w:r>
    </w:p>
    <w:p>
      <w:r>
        <w:t>Request is logged</w:t>
      </w:r>
    </w:p>
    <w:p>
      <w:r>
        <w:t>Step 2: Request Verification</w:t>
      </w:r>
    </w:p>
    <w:p>
      <w:r>
        <w:t>Verify participant identity</w:t>
      </w:r>
    </w:p>
    <w:p>
      <w:r>
        <w:t>Verify token burn transaction</w:t>
      </w:r>
    </w:p>
    <w:p>
      <w:r>
        <w:t>Confirm sufficient balance</w:t>
      </w:r>
    </w:p>
    <w:p>
      <w:r>
        <w:t>Verify minimum redemption amount (1 kg gold)</w:t>
      </w:r>
    </w:p>
    <w:p>
      <w:r>
        <w:t>Verify delivery details</w:t>
      </w:r>
    </w:p>
    <w:p>
      <w:r>
        <w:t>Step 3: Redemption Calculation</w:t>
      </w:r>
    </w:p>
    <w:p>
      <w:r>
        <w:t>Calculate NAV at time of burn</w:t>
      </w:r>
    </w:p>
    <w:p>
      <w:r>
        <w:t>Calculate redemption fee (0.05% of claim)</w:t>
      </w:r>
    </w:p>
    <w:p>
      <w:r>
        <w:t>Calculate processing premium (1-2% of NAV)</w:t>
      </w:r>
    </w:p>
    <w:p>
      <w:r>
        <w:t>Calculate delivery premium (1-3% of NAV)</w:t>
      </w:r>
    </w:p>
    <w:p>
      <w:r>
        <w:t>Calculate net bullion value</w:t>
      </w:r>
    </w:p>
    <w:p>
      <w:r>
        <w:t>Verify reserve ratio remains ≥100%</w:t>
      </w:r>
    </w:p>
    <w:p>
      <w:r>
        <w:t>Step 4: Gold Allocation</w:t>
      </w:r>
    </w:p>
    <w:p>
      <w:r>
        <w:t>Allocate physical gold from reserves</w:t>
      </w:r>
    </w:p>
    <w:p>
      <w:r>
        <w:t>Verify gold purity and weight</w:t>
      </w:r>
    </w:p>
    <w:p>
      <w:r>
        <w:t>Prepare for delivery</w:t>
      </w:r>
    </w:p>
    <w:p>
      <w:r>
        <w:t>Step 5: Delivery</w:t>
      </w:r>
    </w:p>
    <w:p>
      <w:r>
        <w:t>Coordinate delivery with custodian</w:t>
      </w:r>
    </w:p>
    <w:p>
      <w:r>
        <w:t>Confirm delivery details with participant</w:t>
      </w:r>
    </w:p>
    <w:p>
      <w:r>
        <w:t>Execute delivery</w:t>
      </w:r>
    </w:p>
    <w:p>
      <w:r>
        <w:t>Confirm delivery receipt</w:t>
      </w:r>
    </w:p>
    <w:p>
      <w:r>
        <w:t>Step 6: Confirmation</w:t>
      </w:r>
    </w:p>
    <w:p>
      <w:r>
        <w:t>Confirm delivery completion</w:t>
      </w:r>
    </w:p>
    <w:p>
      <w:r>
        <w:t>Notify participant</w:t>
      </w:r>
    </w:p>
    <w:p>
      <w:r>
        <w:t>Update participant balance</w:t>
      </w:r>
    </w:p>
    <w:p>
      <w:r>
        <w:t>Step 7: Record Keeping</w:t>
      </w:r>
    </w:p>
    <w:p>
      <w:r>
        <w:t>Record transaction in database</w:t>
      </w:r>
    </w:p>
    <w:p>
      <w:r>
        <w:t>Archive transaction records</w:t>
      </w:r>
    </w:p>
    <w:p>
      <w:r>
        <w:t>Update gold registry</w:t>
      </w:r>
    </w:p>
    <w:p>
      <w:r>
        <w:t>Redemption Process Flow</w:t>
      </w:r>
    </w:p>
    <w:p>
      <w:r>
        <w:t>Redemption Options</w:t>
      </w:r>
    </w:p>
    <w:p>
      <w:r>
        <w:t>Redemption Requirements</w:t>
      </w:r>
    </w:p>
    <w:p>
      <w:r>
        <w:t>Settlement Operations</w:t>
      </w:r>
    </w:p>
    <w:p>
      <w:r>
        <w:t>Settlement Process Overview</w:t>
      </w:r>
    </w:p>
    <w:p>
      <w:r>
        <w:t>text</w:t>
      </w:r>
    </w:p>
    <w:p>
      <w:r>
        <w:t>┌─────────────────────────────────────────────────────────────────────┐</w:t>
      </w:r>
    </w:p>
    <w:p>
      <w:r>
        <w:t>│                     SETTLEMENT PROCESS                             │</w:t>
      </w:r>
    </w:p>
    <w:p>
      <w:r>
        <w:t>│                                                                     │</w:t>
      </w:r>
    </w:p>
    <w:p>
      <w:r>
        <w:t>│  ┌─────────────────────────────────────────────────────────────┐   │</w:t>
      </w:r>
    </w:p>
    <w:p>
      <w:r>
        <w:t>│  │                    PARTICIPANT SUBMITS                      │   │</w:t>
      </w:r>
    </w:p>
    <w:p>
      <w:r>
        <w:t>│  │  ┌─────────────────────────────────────────────────────────┐│   │</w:t>
      </w:r>
    </w:p>
    <w:p>
      <w:r>
        <w:t>│  │  │ Settlement instruction submitted via API or ISO 20022  ││   │</w:t>
      </w:r>
    </w:p>
    <w:p>
      <w:r>
        <w:t>│  │  └─────────────────────────────────────────────────────────┘│   │</w:t>
      </w:r>
    </w:p>
    <w:p>
      <w:r>
        <w:t>│  └─────────────────────────────────────────────────────────────┘   │</w:t>
      </w:r>
    </w:p>
    <w:p>
      <w:r>
        <w:t>│                              │                                      │</w:t>
      </w:r>
    </w:p>
    <w:p>
      <w:r>
        <w:t>│                              ▼                                      │</w:t>
      </w:r>
    </w:p>
    <w:p>
      <w:r>
        <w:t>│  ┌─────────────────────────────────────────────────────────────┐   │</w:t>
      </w:r>
    </w:p>
    <w:p>
      <w:r>
        <w:t>│  │                    INSTRUCTION VERIFICATION                 │   │</w:t>
      </w:r>
    </w:p>
    <w:p>
      <w:r>
        <w:t>│  │  ┌─────────────────────────────────────────────────────────┐│   │</w:t>
      </w:r>
    </w:p>
    <w:p>
      <w:r>
        <w:t>│  │  │ • Verify participant identity                          ││   │</w:t>
      </w:r>
    </w:p>
    <w:p>
      <w:r>
        <w:t>│  │  │ • Verify sender authorization                          ││   │</w:t>
      </w:r>
    </w:p>
    <w:p>
      <w:r>
        <w:t>│  │  │ • Verify sufficient balance                            ││   │</w:t>
      </w:r>
    </w:p>
    <w:p>
      <w:r>
        <w:t>│  │  │ • Verify recipient validity                            ││   │</w:t>
      </w:r>
    </w:p>
    <w:p>
      <w:r>
        <w:t>│  │  │ • Verify compliance (sanctions, AML)                   ││   │</w:t>
      </w:r>
    </w:p>
    <w:p>
      <w:r>
        <w:t>│  │  └─────────────────────────────────────────────────────────┘│   │</w:t>
      </w:r>
    </w:p>
    <w:p>
      <w:r>
        <w:t>│  └─────────────────────────────────────────────────────────────┘   │</w:t>
      </w:r>
    </w:p>
    <w:p>
      <w:r>
        <w:t>│                              │                                      │</w:t>
      </w:r>
    </w:p>
    <w:p>
      <w:r>
        <w:t>│                              ▼                                      │</w:t>
      </w:r>
    </w:p>
    <w:p>
      <w:r>
        <w:t>│  ┌─────────────────────────────────────────────────────────────┐   │</w:t>
      </w:r>
    </w:p>
    <w:p>
      <w:r>
        <w:t>│  │                    SETTLEMENT EXECUTION                     │   │</w:t>
      </w:r>
    </w:p>
    <w:p>
      <w:r>
        <w:t>│  │  ┌─────────────────────────────────────────────────────────┐│   │</w:t>
      </w:r>
    </w:p>
    <w:p>
      <w:r>
        <w:t>│  │  │ • Execute on-chain transfer                            ││   │</w:t>
      </w:r>
    </w:p>
    <w:p>
      <w:r>
        <w:t>│  │  │ • Confirm transaction                                  ││   │</w:t>
      </w:r>
    </w:p>
    <w:p>
      <w:r>
        <w:t>│  │  │ • Update balances                                      ││   │</w:t>
      </w:r>
    </w:p>
    <w:p>
      <w:r>
        <w:t>│  │  └─────────────────────────────────────────────────────────┘│   │</w:t>
      </w:r>
    </w:p>
    <w:p>
      <w:r>
        <w:t>│  └─────────────────────────────────────────────────────────────┘   │</w:t>
      </w:r>
    </w:p>
    <w:p>
      <w:r>
        <w:t>│                              │                                      │</w:t>
      </w:r>
    </w:p>
    <w:p>
      <w:r>
        <w:t>│                              ▼                                      │</w:t>
      </w:r>
    </w:p>
    <w:p>
      <w:r>
        <w:t>│  ┌─────────────────────────────────────────────────────────────┐   │</w:t>
      </w:r>
    </w:p>
    <w:p>
      <w:r>
        <w:t>│  │                    FINALITY                                │   │</w:t>
      </w:r>
    </w:p>
    <w:p>
      <w:r>
        <w:t>│  │  ┌─────────────────────────────────────────────────────────┐│   │</w:t>
      </w:r>
    </w:p>
    <w:p>
      <w:r>
        <w:t>│  │  │ • Soft finality: 10 minutes                           ││   │</w:t>
      </w:r>
    </w:p>
    <w:p>
      <w:r>
        <w:t>│  │  │ • Hard finality: 7 days                               ││   │</w:t>
      </w:r>
    </w:p>
    <w:p>
      <w:r>
        <w:t>│  │  │ • Confirm finality                                    ││   │</w:t>
      </w:r>
    </w:p>
    <w:p>
      <w:r>
        <w:t>│  │  └─────────────────────────────────────────────────────────┘│   │</w:t>
      </w:r>
    </w:p>
    <w:p>
      <w:r>
        <w:t>│  └─────────────────────────────────────────────────────────────┘   │</w:t>
      </w:r>
    </w:p>
    <w:p>
      <w:r>
        <w:t>│                              │                                      │</w:t>
      </w:r>
    </w:p>
    <w:p>
      <w:r>
        <w:t>│                              ▼                                      │</w:t>
      </w:r>
    </w:p>
    <w:p>
      <w:r>
        <w:t>│  ┌─────────────────────────────────────────────────────────────┐   │</w:t>
      </w:r>
    </w:p>
    <w:p>
      <w:r>
        <w:t>│  │                    CONFIRMATION                             │   │</w:t>
      </w:r>
    </w:p>
    <w:p>
      <w:r>
        <w:t>│  │  └─────────────────────────────────────────────────────────┘│   │</w:t>
      </w:r>
    </w:p>
    <w:p>
      <w:r>
        <w:t>│  └─────────────────────────────────────────────────────────────┘   │</w:t>
      </w:r>
    </w:p>
    <w:p>
      <w:r>
        <w:t>└─────────────────────────────────────────────────────────────────────┘</w:t>
      </w:r>
    </w:p>
    <w:p>
      <w:r>
        <w:t>Settlement Procedure</w:t>
      </w:r>
    </w:p>
    <w:p>
      <w:r>
        <w:t>Purpose: Process MTQ transfers between participants</w:t>
      </w:r>
    </w:p>
    <w:p>
      <w:r>
        <w:t>Step 1: Instruction Receipt</w:t>
      </w:r>
    </w:p>
    <w:p>
      <w:r>
        <w:t>Participant submits settlement instruction</w:t>
      </w:r>
    </w:p>
    <w:p>
      <w:r>
        <w:t>Instruction includes sender, recipient, amount, reference</w:t>
      </w:r>
    </w:p>
    <w:p>
      <w:r>
        <w:t>Instruction is logged in the queue</w:t>
      </w:r>
    </w:p>
    <w:p>
      <w:r>
        <w:t>Step 2: Instruction Verification</w:t>
      </w:r>
    </w:p>
    <w:p>
      <w:r>
        <w:t>Verify participant identity</w:t>
      </w:r>
    </w:p>
    <w:p>
      <w:r>
        <w:t>Verify sender authorization</w:t>
      </w:r>
    </w:p>
    <w:p>
      <w:r>
        <w:t>Confirm sufficient balance</w:t>
      </w:r>
    </w:p>
    <w:p>
      <w:r>
        <w:t>Verify recipient validity</w:t>
      </w:r>
    </w:p>
    <w:p>
      <w:r>
        <w:t>Verify compliance (sanctions, AML)</w:t>
      </w:r>
    </w:p>
    <w:p>
      <w:r>
        <w:t>Step 3: Settlement Execution</w:t>
      </w:r>
    </w:p>
    <w:p>
      <w:r>
        <w:t>Execute on-chain transfer</w:t>
      </w:r>
    </w:p>
    <w:p>
      <w:r>
        <w:t>Confirm transaction receipt</w:t>
      </w:r>
    </w:p>
    <w:p>
      <w:r>
        <w:t>Update participant balances</w:t>
      </w:r>
    </w:p>
    <w:p>
      <w:r>
        <w:t>Record transaction reference</w:t>
      </w:r>
    </w:p>
    <w:p>
      <w:r>
        <w:t>Step 4: Finality Confirmation</w:t>
      </w:r>
    </w:p>
    <w:p>
      <w:r>
        <w:t>Confirm soft finality (10 minutes)</w:t>
      </w:r>
    </w:p>
    <w:p>
      <w:r>
        <w:t>Monitor hard finality (7 days)</w:t>
      </w:r>
    </w:p>
    <w:p>
      <w:r>
        <w:t>Confirm finality with participant</w:t>
      </w:r>
    </w:p>
    <w:p>
      <w:r>
        <w:t>Step 5: Confirmation</w:t>
      </w:r>
    </w:p>
    <w:p>
      <w:r>
        <w:t>Confirm settlement completion</w:t>
      </w:r>
    </w:p>
    <w:p>
      <w:r>
        <w:t>Notify participants</w:t>
      </w:r>
    </w:p>
    <w:p>
      <w:r>
        <w:t>Provide transaction confirmation</w:t>
      </w:r>
    </w:p>
    <w:p>
      <w:r>
        <w:t>Update transaction records</w:t>
      </w:r>
    </w:p>
    <w:p>
      <w:r>
        <w:t>Settlement Channels</w:t>
      </w:r>
    </w:p>
    <w:p>
      <w:r>
        <w:t>Settlement Requirements</w:t>
      </w:r>
    </w:p>
    <w:p>
      <w:r>
        <w:t>Transfer Operations</w:t>
      </w:r>
    </w:p>
    <w:p>
      <w:r>
        <w:t>Transfer Process Overview</w:t>
      </w:r>
    </w:p>
    <w:p>
      <w:r>
        <w:t>Purpose: Process MTQ transfers between wallets</w:t>
      </w:r>
    </w:p>
    <w:p>
      <w:r>
        <w:t>Step 1: Transfer Initiation</w:t>
      </w:r>
    </w:p>
    <w:p>
      <w:r>
        <w:t>Participant initiates transfer</w:t>
      </w:r>
    </w:p>
    <w:p>
      <w:r>
        <w:t>Transfer details recorded</w:t>
      </w:r>
    </w:p>
    <w:p>
      <w:r>
        <w:t>Request logged</w:t>
      </w:r>
    </w:p>
    <w:p>
      <w:r>
        <w:t>Step 2: Authorization</w:t>
      </w:r>
    </w:p>
    <w:p>
      <w:r>
        <w:t>Verify participant identity</w:t>
      </w:r>
    </w:p>
    <w:p>
      <w:r>
        <w:t>Verify authorization (signature)</w:t>
      </w:r>
    </w:p>
    <w:p>
      <w:r>
        <w:t>Confirm sufficient balance</w:t>
      </w:r>
    </w:p>
    <w:p>
      <w:r>
        <w:t>Step 3: Transfer Execution</w:t>
      </w:r>
    </w:p>
    <w:p>
      <w:r>
        <w:t>Execute on-chain transfer</w:t>
      </w:r>
    </w:p>
    <w:p>
      <w:r>
        <w:t>Confirm transaction receipt</w:t>
      </w:r>
    </w:p>
    <w:p>
      <w:r>
        <w:t>Update balances</w:t>
      </w:r>
    </w:p>
    <w:p>
      <w:r>
        <w:t>Step 4: Confirmation</w:t>
      </w:r>
    </w:p>
    <w:p>
      <w:r>
        <w:t>Confirm transfer completion</w:t>
      </w:r>
    </w:p>
    <w:p>
      <w:r>
        <w:t>Notify participant</w:t>
      </w:r>
    </w:p>
    <w:p>
      <w:r>
        <w:t>Update transaction records</w:t>
      </w:r>
    </w:p>
    <w:p>
      <w:r>
        <w:t>Transfer Requirements</w:t>
      </w:r>
    </w:p>
    <w:p>
      <w:r>
        <w:t>Transaction Reconciliation</w:t>
      </w:r>
    </w:p>
    <w:p>
      <w:r>
        <w:t>Reconciliation Process</w:t>
      </w:r>
    </w:p>
    <w:p>
      <w:r>
        <w:t>Step 1: Data Collection</w:t>
      </w:r>
    </w:p>
    <w:p>
      <w:r>
        <w:t>Collect on-chain transaction data</w:t>
      </w:r>
    </w:p>
    <w:p>
      <w:r>
        <w:t>Collect internal transaction records</w:t>
      </w:r>
    </w:p>
    <w:p>
      <w:r>
        <w:t>Collect participant transaction reports</w:t>
      </w:r>
    </w:p>
    <w:p>
      <w:r>
        <w:t>Step 2: Transaction Matching</w:t>
      </w:r>
    </w:p>
    <w:p>
      <w:r>
        <w:t>Match on-chain transactions with internal records</w:t>
      </w:r>
    </w:p>
    <w:p>
      <w:r>
        <w:t>Match internal records with participant reports</w:t>
      </w:r>
    </w:p>
    <w:p>
      <w:r>
        <w:t>Identify unmatched transactions</w:t>
      </w:r>
    </w:p>
    <w:p>
      <w:r>
        <w:t>Step 3: Discrepancy Investigation</w:t>
      </w:r>
    </w:p>
    <w:p>
      <w:r>
        <w:t>Investigate unmatched transactions</w:t>
      </w:r>
    </w:p>
    <w:p>
      <w:r>
        <w:t>Identify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unresolved issues</w:t>
      </w:r>
    </w:p>
    <w:p>
      <w:r>
        <w:t>Archive records</w:t>
      </w:r>
    </w:p>
    <w:p>
      <w:r>
        <w:t>Reconciliation Frequency</w:t>
      </w:r>
    </w:p>
    <w:p>
      <w:r>
        <w:t>Transaction Security</w:t>
      </w:r>
    </w:p>
    <w:p>
      <w:r>
        <w:t>Security Controls</w:t>
      </w:r>
    </w:p>
    <w:p>
      <w:r>
        <w:t>Fraud Prevention</w:t>
      </w:r>
    </w:p>
    <w:p>
      <w:r>
        <w:t>Transaction Reporting</w:t>
      </w:r>
    </w:p>
    <w:p>
      <w:r>
        <w:t>Reports</w:t>
      </w:r>
    </w:p>
    <w:p>
      <w:r>
        <w:t>Record Retention</w:t>
      </w:r>
    </w:p>
    <w:p>
      <w:r>
        <w:t>Summary Table</w:t>
      </w:r>
    </w:p>
    <w:p>
      <w:r>
        <w:t>Constitutional Interpretation</w:t>
      </w:r>
    </w:p>
    <w:p>
      <w:r>
        <w:t>Transaction Processing Operations establishes the practical execution of transactions:</w:t>
      </w:r>
    </w:p>
    <w:p>
      <w:r>
        <w:t>Minting operations process deposit and token creation</w:t>
      </w:r>
    </w:p>
    <w:p>
      <w:r>
        <w:t>Redemption operations process token burn and reserve release</w:t>
      </w:r>
    </w:p>
    <w:p>
      <w:r>
        <w:t>Settlement operations process participant transfers</w:t>
      </w:r>
    </w:p>
    <w:p>
      <w:r>
        <w:t>Transfer operations process wallet movements</w:t>
      </w:r>
    </w:p>
    <w:p>
      <w:r>
        <w:t>All transactions are processed with accuracy, security, and finality</w:t>
      </w:r>
    </w:p>
    <w:p>
      <w:r>
        <w:t>Transactions are reconciled daily to ensure integrity</w:t>
      </w:r>
    </w:p>
    <w:p>
      <w:r>
        <w:t>Transactions are reported transparently</w:t>
      </w:r>
    </w:p>
    <w:p>
      <w:r>
        <w:t>Transaction processing is the operational core of the Institution. It enables participants to mint, redeem, settle, and transfer value. Without transaction processing operations, the Institution cannot serve participants.</w:t>
      </w:r>
    </w:p>
    <w:p>
      <w:r>
        <w:t>[END OF PART 5, ARTICLE II — TRANSACTION PROCESSING OPERATIONS]</w:t>
      </w:r>
    </w:p>
    <w:p>
      <w:r>
        <w:t>Article III: Participant Services</w:t>
      </w:r>
    </w:p>
    <w:p>
      <w:r>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r>
        <w:t>What This Means in Practice:</w:t>
      </w:r>
    </w:p>
    <w:p>
      <w:r>
        <w:t>Participants are onboarded efficiently and compliantly</w:t>
      </w:r>
    </w:p>
    <w:p>
      <w:r>
        <w:t>Participants receive responsive, helpful support</w:t>
      </w:r>
    </w:p>
    <w:p>
      <w:r>
        <w:t>Participants are kept informed of relevant updates</w:t>
      </w:r>
    </w:p>
    <w:p>
      <w:r>
        <w:t>Participant issues are resolved promptly</w:t>
      </w:r>
    </w:p>
    <w:p>
      <w:r>
        <w:t>Participant feedback is collected and acted upon</w:t>
      </w:r>
    </w:p>
    <w:p>
      <w:r>
        <w:t>Example:</w:t>
      </w:r>
    </w:p>
    <w:p>
      <w:r>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r>
        <w:t>Why This Matters:</w:t>
      </w:r>
    </w:p>
    <w:p>
      <w:r>
        <w:t>Without participant services, participants cannot use the Institution effectively</w:t>
      </w:r>
    </w:p>
    <w:p>
      <w:r>
        <w:t>Without support, participants' issues remain unresolved</w:t>
      </w:r>
    </w:p>
    <w:p>
      <w:r>
        <w:t>Without communication, participants are uninformed</w:t>
      </w:r>
    </w:p>
    <w:p>
      <w:r>
        <w:t>Without feedback, the Institution cannot improve</w:t>
      </w:r>
    </w:p>
    <w:p>
      <w:r>
        <w:t>Participant services are essential to participant satisfaction and retention</w:t>
      </w:r>
    </w:p>
    <w:p>
      <w:r>
        <w:t>Core Principles of Participant Services</w:t>
      </w:r>
    </w:p>
    <w:p>
      <w:pPr>
        <w:pStyle w:val="ListNumber"/>
        <w:ind w:left="425"/>
      </w:pPr>
      <w:r>
        <w:t>Responsiveness</w:t>
      </w:r>
    </w:p>
    <w:p>
      <w:r>
        <w:t>Participant inquiries and issues are addressed promptly.</w:t>
      </w:r>
    </w:p>
    <w:p>
      <w:r>
        <w:t>What This Means in Practice:</w:t>
      </w:r>
    </w:p>
    <w:p>
      <w:r>
        <w:t>Support requests are acknowledged immediately</w:t>
      </w:r>
    </w:p>
    <w:p>
      <w:r>
        <w:t>Response times are defined and measured</w:t>
      </w:r>
    </w:p>
    <w:p>
      <w:r>
        <w:t>Issues are resolved within defined timeframes</w:t>
      </w:r>
    </w:p>
    <w:p>
      <w:r>
        <w:t>Participants are kept informed of progress</w:t>
      </w:r>
    </w:p>
    <w:p>
      <w:r>
        <w:t>Example:</w:t>
      </w:r>
    </w:p>
    <w:p>
      <w:r>
        <w:t>A participant submits a support ticket. The ticket is acknowledged within 15 minutes. A response is provided within 4 hours. The issue is resolved within 24 hours. The participant is informed of progress throughout.</w:t>
      </w:r>
    </w:p>
    <w:p>
      <w:r>
        <w:t>Why This Matters:</w:t>
      </w:r>
    </w:p>
    <w:p>
      <w:r>
        <w:t>Responsiveness builds trust</w:t>
      </w:r>
    </w:p>
    <w:p>
      <w:r>
        <w:t>Prompt responses prevent frustration</w:t>
      </w:r>
    </w:p>
    <w:p>
      <w:r>
        <w:t>Timely resolution maintains operations</w:t>
      </w:r>
    </w:p>
    <w:p>
      <w:r>
        <w:t>Communication keeps participants informed</w:t>
      </w:r>
    </w:p>
    <w:p>
      <w:pPr>
        <w:pStyle w:val="ListNumber"/>
        <w:ind w:left="425"/>
      </w:pPr>
      <w:r>
        <w:t>Expertise</w:t>
      </w:r>
    </w:p>
    <w:p>
      <w:r>
        <w:t>Support staff are knowledgeable and competent.</w:t>
      </w:r>
    </w:p>
    <w:p>
      <w:r>
        <w:t>What This Means in Practice:</w:t>
      </w:r>
    </w:p>
    <w:p>
      <w:r>
        <w:t>Staff are trained on all Institution services</w:t>
      </w:r>
    </w:p>
    <w:p>
      <w:r>
        <w:t>Staff understand constitutional principles</w:t>
      </w:r>
    </w:p>
    <w:p>
      <w:r>
        <w:t>Staff can resolve most issues</w:t>
      </w:r>
    </w:p>
    <w:p>
      <w:r>
        <w:t>Staff escalate complex issues appropriately</w:t>
      </w:r>
    </w:p>
    <w:p>
      <w:r>
        <w:t>Example:</w:t>
      </w:r>
    </w:p>
    <w:p>
      <w:r>
        <w:t>A participant asks a complex technical question. The support agent provides a clear, accurate answer. The agent understands the technical architecture and explains it clearly. The participant is satisfied.</w:t>
      </w:r>
    </w:p>
    <w:p>
      <w:r>
        <w:t>Why This Matters:</w:t>
      </w:r>
    </w:p>
    <w:p>
      <w:r>
        <w:t>Expertise enables accurate responses</w:t>
      </w:r>
    </w:p>
    <w:p>
      <w:r>
        <w:t>Competence builds confidence</w:t>
      </w:r>
    </w:p>
    <w:p>
      <w:r>
        <w:t>Training ensures consistency</w:t>
      </w:r>
    </w:p>
    <w:p>
      <w:r>
        <w:t>Escalation ensures complex issues are resolved</w:t>
      </w:r>
    </w:p>
    <w:p>
      <w:pPr>
        <w:pStyle w:val="ListNumber"/>
        <w:ind w:left="425"/>
      </w:pPr>
      <w:r>
        <w:t>Transparency</w:t>
      </w:r>
    </w:p>
    <w:p>
      <w:r>
        <w:t>Communications are transparent and honest.</w:t>
      </w:r>
    </w:p>
    <w:p>
      <w:r>
        <w:t>What This Means in Practice:</w:t>
      </w:r>
    </w:p>
    <w:p>
      <w:r>
        <w:t>Communications are clear and accurate</w:t>
      </w:r>
    </w:p>
    <w:p>
      <w:r>
        <w:t>Issues are acknowledged honestly</w:t>
      </w:r>
    </w:p>
    <w:p>
      <w:r>
        <w:t>Status updates are provided</w:t>
      </w:r>
    </w:p>
    <w:p>
      <w:r>
        <w:t>Expectations are managed</w:t>
      </w:r>
    </w:p>
    <w:p>
      <w:r>
        <w:t>Example:</w:t>
      </w:r>
    </w:p>
    <w:p>
      <w:r>
        <w:t>A participant reports a technical issue. The support team acknowledges the issue honestly. They provide regular status updates. They set realistic expectations for resolution. The participant appreciates the transparency.</w:t>
      </w:r>
    </w:p>
    <w:p>
      <w:r>
        <w:t>Why This Matters:</w:t>
      </w:r>
    </w:p>
    <w:p>
      <w:r>
        <w:t>Transparency builds trust</w:t>
      </w:r>
    </w:p>
    <w:p>
      <w:r>
        <w:t>Honesty maintains credibility</w:t>
      </w:r>
    </w:p>
    <w:p>
      <w:r>
        <w:t>Status updates reduce anxiety</w:t>
      </w:r>
    </w:p>
    <w:p>
      <w:r>
        <w:t>Expectation management prevents frustration</w:t>
      </w:r>
    </w:p>
    <w:p>
      <w:pPr>
        <w:pStyle w:val="ListNumber"/>
        <w:ind w:left="425"/>
      </w:pPr>
      <w:r>
        <w:t>Consistency</w:t>
      </w:r>
    </w:p>
    <w:p>
      <w:r>
        <w:t>All participants receive consistent service.</w:t>
      </w:r>
    </w:p>
    <w:p>
      <w:r>
        <w:t>What This Means in Practice:</w:t>
      </w:r>
    </w:p>
    <w:p>
      <w:r>
        <w:t>Service standards are defined</w:t>
      </w:r>
    </w:p>
    <w:p>
      <w:r>
        <w:t>Service standards are applied uniformly</w:t>
      </w:r>
    </w:p>
    <w:p>
      <w:r>
        <w:t>No preferential treatment</w:t>
      </w:r>
    </w:p>
    <w:p>
      <w:r>
        <w:t>All participants are treated equally</w:t>
      </w:r>
    </w:p>
    <w:p>
      <w:r>
        <w:t>Example:</w:t>
      </w:r>
    </w:p>
    <w:p>
      <w:r>
        <w:t>A small participant and a large institution both receive the same level of service. Both receive the same response times. Both receive the same quality of support. Service is consistent.</w:t>
      </w:r>
    </w:p>
    <w:p>
      <w:r>
        <w:t>Why This Matters:</w:t>
      </w:r>
    </w:p>
    <w:p>
      <w:r>
        <w:t>Consistency ensures fairness</w:t>
      </w:r>
    </w:p>
    <w:p>
      <w:r>
        <w:t>Equal treatment prevents discrimination</w:t>
      </w:r>
    </w:p>
    <w:p>
      <w:r>
        <w:t>Uniform standards maintain quality</w:t>
      </w:r>
    </w:p>
    <w:p>
      <w:r>
        <w:t>Consistency builds institutional neutrality</w:t>
      </w:r>
    </w:p>
    <w:p>
      <w:pPr>
        <w:pStyle w:val="ListNumber"/>
        <w:ind w:left="425"/>
      </w:pPr>
      <w:r>
        <w:t>Continuous Improvement</w:t>
      </w:r>
    </w:p>
    <w:p>
      <w:r>
        <w:t>Participant services are continuously improved.</w:t>
      </w:r>
    </w:p>
    <w:p>
      <w:r>
        <w:t>What This Means in Practice:</w:t>
      </w:r>
    </w:p>
    <w:p>
      <w:r>
        <w:t>Feedback is collected</w:t>
      </w:r>
    </w:p>
    <w:p>
      <w:r>
        <w:t>Issues are analyzed</w:t>
      </w:r>
    </w:p>
    <w:p>
      <w:r>
        <w:t>Improvements are implemented</w:t>
      </w:r>
    </w:p>
    <w:p>
      <w:r>
        <w:t>Service evolves</w:t>
      </w:r>
    </w:p>
    <w:p>
      <w:r>
        <w:t>Example:</w:t>
      </w:r>
    </w:p>
    <w:p>
      <w:r>
        <w:t>The Participant Services team reviews support tickets monthly. They identify common issues. They develop training to address them. They update documentation. Service improves.</w:t>
      </w:r>
    </w:p>
    <w:p>
      <w:r>
        <w:t>Why This Matters:</w:t>
      </w:r>
    </w:p>
    <w:p>
      <w:r>
        <w:t>Continuous improvement maintains quality</w:t>
      </w:r>
    </w:p>
    <w:p>
      <w:r>
        <w:t>Feedback enables improvement</w:t>
      </w:r>
    </w:p>
    <w:p>
      <w:r>
        <w:t>Analysis identifies patterns</w:t>
      </w:r>
    </w:p>
    <w:p>
      <w:r>
        <w:t>Evolution addresses changing needs</w:t>
      </w:r>
    </w:p>
    <w:p>
      <w:r>
        <w:t>Participant Onboarding</w:t>
      </w:r>
    </w:p>
    <w:p>
      <w:r>
        <w:t>Onboarding Process Overview</w:t>
      </w:r>
    </w:p>
    <w:p>
      <w:r>
        <w:t>text</w:t>
      </w:r>
    </w:p>
    <w:p>
      <w:r>
        <w:t>┌─────────────────────────────────────────────────────────────────────┐</w:t>
      </w:r>
    </w:p>
    <w:p>
      <w:r>
        <w:t>│                     ONBOARDING PROCESS                              │</w:t>
      </w:r>
    </w:p>
    <w:p>
      <w:r>
        <w:t>│                                                                     │</w:t>
      </w:r>
    </w:p>
    <w:p>
      <w:r>
        <w:t>│  ┌─────────────────────────────────────────────────────────────┐   │</w:t>
      </w:r>
    </w:p>
    <w:p>
      <w:r>
        <w:t>│  │                    PARTICIPANT EXPRESSION                   │   │</w:t>
      </w:r>
    </w:p>
    <w:p>
      <w:r>
        <w:t>│  │  ┌─────────────────────────────────────────────────────────┐│   │</w:t>
      </w:r>
    </w:p>
    <w:p>
      <w:r>
        <w:t>│  │  │ Participant expresses interest in joining              ││   │</w:t>
      </w:r>
    </w:p>
    <w:p>
      <w:r>
        <w:t>│  │  └─────────────────────────────────────────────────────────┘│   │</w:t>
      </w:r>
    </w:p>
    <w:p>
      <w:r>
        <w:t>│  └─────────────────────────────────────────────────────────────┘   │</w:t>
      </w:r>
    </w:p>
    <w:p>
      <w:r>
        <w:t>│                              │                                      │</w:t>
      </w:r>
    </w:p>
    <w:p>
      <w:r>
        <w:t>│                              ▼                                      │</w:t>
      </w:r>
    </w:p>
    <w:p>
      <w:r>
        <w:t>│  ┌─────────────────────────────────────────────────────────────┐   │</w:t>
      </w:r>
    </w:p>
    <w:p>
      <w:r>
        <w:t>│  │                    APPLICATION                              │   │</w:t>
      </w:r>
    </w:p>
    <w:p>
      <w:r>
        <w:t>│  │  ┌─────────────────────────────────────────────────────────┐│   │</w:t>
      </w:r>
    </w:p>
    <w:p>
      <w:r>
        <w:t>│  │  │ • Complete application form                           ││   │</w:t>
      </w:r>
    </w:p>
    <w:p>
      <w:r>
        <w:t>│  │  │ • Provide required documentation                      ││   │</w:t>
      </w:r>
    </w:p>
    <w:p>
      <w:r>
        <w:t>│  │  │ • Pay application fee (if applicable)                  ││   │</w:t>
      </w:r>
    </w:p>
    <w:p>
      <w:r>
        <w:t>│  │  └─────────────────────────────────────────────────────────┘│   │</w:t>
      </w:r>
    </w:p>
    <w:p>
      <w:r>
        <w:t>│  └─────────────────────────────────────────────────────────────┘   │</w:t>
      </w:r>
    </w:p>
    <w:p>
      <w:r>
        <w:t>│                              │                                      │</w:t>
      </w:r>
    </w:p>
    <w:p>
      <w:r>
        <w:t>│                              ▼                                      │</w:t>
      </w:r>
    </w:p>
    <w:p>
      <w:r>
        <w:t>│  ┌─────────────────────────────────────────────────────────────┐   │</w:t>
      </w:r>
    </w:p>
    <w:p>
      <w:r>
        <w:t>│  │                    DUE DILIGENCE                            │   │</w:t>
      </w:r>
    </w:p>
    <w:p>
      <w:r>
        <w:t>│  │  ┌─────────────────────────────────────────────────────────┐│   │</w:t>
      </w:r>
    </w:p>
    <w:p>
      <w:r>
        <w:t>│  │  │ • KYC/KYB verification                                 ││   │</w:t>
      </w:r>
    </w:p>
    <w:p>
      <w:r>
        <w:t>│  │  │ • Sanctions screening                                  ││   │</w:t>
      </w:r>
    </w:p>
    <w:p>
      <w:r>
        <w:t>│  │  │ • Financial assessment                                 ││   │</w:t>
      </w:r>
    </w:p>
    <w:p>
      <w:r>
        <w:t>│  │  │ • Reference checks                                     ││   │</w:t>
      </w:r>
    </w:p>
    <w:p>
      <w:r>
        <w:t>│  │  └─────────────────────────────────────────────────────────┘│   │</w:t>
      </w:r>
    </w:p>
    <w:p>
      <w:r>
        <w:t>│  └─────────────────────────────────────────────────────────────┘   │</w:t>
      </w:r>
    </w:p>
    <w:p>
      <w:r>
        <w:t>│                              │                                      │</w:t>
      </w:r>
    </w:p>
    <w:p>
      <w:r>
        <w:t>│                              ▼                                      │</w:t>
      </w:r>
    </w:p>
    <w:p>
      <w:r>
        <w:t>│  ┌─────────────────────────────────────────────────────────────┐   │</w:t>
      </w:r>
    </w:p>
    <w:p>
      <w:r>
        <w:t>│  │                    AGREEMENT                                │   │</w:t>
      </w:r>
    </w:p>
    <w:p>
      <w:r>
        <w:t>│  │  ┌─────────────────────────────────────────────────────────┐│   │</w:t>
      </w:r>
    </w:p>
    <w:p>
      <w:r>
        <w:t>│  │  │ • Review and sign participant agreement                ││   │</w:t>
      </w:r>
    </w:p>
    <w:p>
      <w:r>
        <w:t>│  │  │ • Accept terms and conditions                          ││   │</w:t>
      </w:r>
    </w:p>
    <w:p>
      <w:r>
        <w:t>│  │  └─────────────────────────────────────────────────────────┘│   │</w:t>
      </w:r>
    </w:p>
    <w:p>
      <w:r>
        <w:t>│  └─────────────────────────────────────────────────────────────┘   │</w:t>
      </w:r>
    </w:p>
    <w:p>
      <w:r>
        <w:t>│                              │                                      │</w:t>
      </w:r>
    </w:p>
    <w:p>
      <w:r>
        <w:t>│                              ▼                                      │</w:t>
      </w:r>
    </w:p>
    <w:p>
      <w:r>
        <w:t>│  ┌─────────────────────────────────────────────────────────────┐   │</w:t>
      </w:r>
    </w:p>
    <w:p>
      <w:r>
        <w:t>│  │                    TECHNICAL INTEGRATION                    │   │</w:t>
      </w:r>
    </w:p>
    <w:p>
      <w:r>
        <w:t>│  │  ┌─────────────────────────────────────────────────────────┐│   │</w:t>
      </w:r>
    </w:p>
    <w:p>
      <w:r>
        <w:t>│  │  │ • MTQ-T testnet integration                            ││   │</w:t>
      </w:r>
    </w:p>
    <w:p>
      <w:r>
        <w:t>│  │  │ • API key generation                                   ││   │</w:t>
      </w:r>
    </w:p>
    <w:p>
      <w:r>
        <w:t>│  │  │ • Wallet setup                                         ││   │</w:t>
      </w:r>
    </w:p>
    <w:p>
      <w:r>
        <w:t>│  │  │ • Integration testing                                  ││   │</w:t>
      </w:r>
    </w:p>
    <w:p>
      <w:r>
        <w:t>│  │  └─────────────────────────────────────────────────────────┘│   │</w:t>
      </w:r>
    </w:p>
    <w:p>
      <w:r>
        <w:t>│  └─────────────────────────────────────────────────────────────┘   │</w:t>
      </w:r>
    </w:p>
    <w:p>
      <w:r>
        <w:t>│                              │                                      │</w:t>
      </w:r>
    </w:p>
    <w:p>
      <w:r>
        <w:t>│                              ▼                                      │</w:t>
      </w:r>
    </w:p>
    <w:p>
      <w:r>
        <w:t>│  ┌─────────────────────────────────────────────────────────────┐   │</w:t>
      </w:r>
    </w:p>
    <w:p>
      <w:r>
        <w:t>│  │                    GO-LIVE                                 │   │</w:t>
      </w:r>
    </w:p>
    <w:p>
      <w:r>
        <w:t>│  │  ┌─────────────────────────────────────────────────────────┐│   │</w:t>
      </w:r>
    </w:p>
    <w:p>
      <w:r>
        <w:t>│  │  │ • Mainnet activation                                  ││   │</w:t>
      </w:r>
    </w:p>
    <w:p>
      <w:r>
        <w:t>│  │  │ • Confirm operational readiness                       ││   │</w:t>
      </w:r>
    </w:p>
    <w:p>
      <w:r>
        <w:t>│  │  │ • Begin production use                                ││   │</w:t>
      </w:r>
    </w:p>
    <w:p>
      <w:r>
        <w:t>│  │  └─────────────────────────────────────────────────────────┘│   │</w:t>
      </w:r>
    </w:p>
    <w:p>
      <w:r>
        <w:t>│  └─────────────────────────────────────────────────────────────┘   │</w:t>
      </w:r>
    </w:p>
    <w:p>
      <w:r>
        <w:t>│                              │                                      │</w:t>
      </w:r>
    </w:p>
    <w:p>
      <w:r>
        <w:t>│                              ▼                                      │</w:t>
      </w:r>
    </w:p>
    <w:p>
      <w:r>
        <w:t>│  ┌─────────────────────────────────────────────────────────────┐   │</w:t>
      </w:r>
    </w:p>
    <w:p>
      <w:r>
        <w:t>│  │                    ONGOING SUPPORT                          │   │</w:t>
      </w:r>
    </w:p>
    <w:p>
      <w:r>
        <w:t>│  │  ┌─────────────────────────────────────────────────────────┐│   │</w:t>
      </w:r>
    </w:p>
    <w:p>
      <w:r>
        <w:t>│  │  │ • Technical support                                    ││   │</w:t>
      </w:r>
    </w:p>
    <w:p>
      <w:r>
        <w:t>│  │  │ • Operational support                                  ││   │</w:t>
      </w:r>
    </w:p>
    <w:p>
      <w:r>
        <w:t>│  │  │ • Compliance support                                   ││   │</w:t>
      </w:r>
    </w:p>
    <w:p>
      <w:r>
        <w:t>│  │  │ • Relationship management                              ││   │</w:t>
      </w:r>
    </w:p>
    <w:p>
      <w:r>
        <w:t>│  │  └─────────────────────────────────────────────────────────┘│   │</w:t>
      </w:r>
    </w:p>
    <w:p>
      <w:r>
        <w:t>│  └─────────────────────────────────────────────────────────────┘   │</w:t>
      </w:r>
    </w:p>
    <w:p>
      <w:r>
        <w:t>└─────────────────────────────────────────────────────────────────────┘</w:t>
      </w:r>
    </w:p>
    <w:p>
      <w:r>
        <w:t>Onboarding Steps</w:t>
      </w:r>
    </w:p>
    <w:p>
      <w:r>
        <w:t>Expected Total Onboarding Time: 20-45 days</w:t>
      </w:r>
    </w:p>
    <w:p>
      <w:r>
        <w:t>Onboarding Requirements</w:t>
      </w:r>
    </w:p>
    <w:p>
      <w:r>
        <w:t>Participant Categories</w:t>
      </w:r>
    </w:p>
    <w:p>
      <w:r>
        <w:t>Participant Support</w:t>
      </w:r>
    </w:p>
    <w:p>
      <w:r>
        <w:t>Support Structure</w:t>
      </w:r>
    </w:p>
    <w:p>
      <w:r>
        <w:t>text</w:t>
      </w:r>
    </w:p>
    <w:p>
      <w:r>
        <w:t>┌─────────────────────────────────────────────────────────────────────┐</w:t>
      </w:r>
    </w:p>
    <w:p>
      <w:r>
        <w:t>│                      SUPPORT STRUCTURE                             │</w:t>
      </w:r>
    </w:p>
    <w:p>
      <w:r>
        <w:t>│                                                                     │</w:t>
      </w:r>
    </w:p>
    <w:p>
      <w:r>
        <w:t>│  ┌─────────────────────────────────────────────────────────────┐   │</w:t>
      </w:r>
    </w:p>
    <w:p>
      <w:r>
        <w:t>│  │                    TIER 1: BASIC SUPPORT                   │   │</w:t>
      </w:r>
    </w:p>
    <w:p>
      <w:r>
        <w:t>│  │  ┌─────────────────────────────────────────────────────────┐│   │</w:t>
      </w:r>
    </w:p>
    <w:p>
      <w:r>
        <w:t>│  │  │ • General inquiries                                    ││   │</w:t>
      </w:r>
    </w:p>
    <w:p>
      <w:r>
        <w:t>│  │  │ • Account management                                   ││   │</w:t>
      </w:r>
    </w:p>
    <w:p>
      <w:r>
        <w:t>│  │  │ • Basic troubleshooting                                ││   │</w:t>
      </w:r>
    </w:p>
    <w:p>
      <w:r>
        <w:t>│  │  │ • Response time: 24 hours                              ││   │</w:t>
      </w:r>
    </w:p>
    <w:p>
      <w:r>
        <w:t>│  │  └─────────────────────────────────────────────────────────┘│   │</w:t>
      </w:r>
    </w:p>
    <w:p>
      <w:r>
        <w:t>│  └─────────────────────────────────────────────────────────────┘   │</w:t>
      </w:r>
    </w:p>
    <w:p>
      <w:r>
        <w:t>│                              │                                      │</w:t>
      </w:r>
    </w:p>
    <w:p>
      <w:r>
        <w:t>│                              ▼                                      │</w:t>
      </w:r>
    </w:p>
    <w:p>
      <w:r>
        <w:t>│  ┌─────────────────────────────────────────────────────────────┐   │</w:t>
      </w:r>
    </w:p>
    <w:p>
      <w:r>
        <w:t>│  │                    TIER 2: TECHNICAL SUPPORT               │   │</w:t>
      </w:r>
    </w:p>
    <w:p>
      <w:r>
        <w:t>│  │  ┌─────────────────────────────────────────────────────────┐│   │</w:t>
      </w:r>
    </w:p>
    <w:p>
      <w:r>
        <w:t>│  │  │ • Technical issues                                     ││   │</w:t>
      </w:r>
    </w:p>
    <w:p>
      <w:r>
        <w:t>│  │  │ • Integration issues                                   ││   │</w:t>
      </w:r>
    </w:p>
    <w:p>
      <w:r>
        <w:t>│  │  │ • API issues                                           ││   │</w:t>
      </w:r>
    </w:p>
    <w:p>
      <w:r>
        <w:t>│  │  │ • Response time: 12 hours                              ││   │</w:t>
      </w:r>
    </w:p>
    <w:p>
      <w:r>
        <w:t>│  │  └─────────────────────────────────────────────────────────┘│   │</w:t>
      </w:r>
    </w:p>
    <w:p>
      <w:r>
        <w:t>│  └─────────────────────────────────────────────────────────────┘   │</w:t>
      </w:r>
    </w:p>
    <w:p>
      <w:r>
        <w:t>│                              │                                      │</w:t>
      </w:r>
    </w:p>
    <w:p>
      <w:r>
        <w:t>│                              ▼                                      │</w:t>
      </w:r>
    </w:p>
    <w:p>
      <w:r>
        <w:t>│  ┌─────────────────────────────────────────────────────────────┐   │</w:t>
      </w:r>
    </w:p>
    <w:p>
      <w:r>
        <w:t>│  │                    TIER 3: SPECIALIST SUPPORT              │   │</w:t>
      </w:r>
    </w:p>
    <w:p>
      <w:r>
        <w:t>│  │  ┌─────────────────────────────────────────────────────────┐│   │</w:t>
      </w:r>
    </w:p>
    <w:p>
      <w:r>
        <w:t>│  │  │ • Complex technical issues                             ││   │</w:t>
      </w:r>
    </w:p>
    <w:p>
      <w:r>
        <w:t>│  │  │ • Performance issues                                   ││   │</w:t>
      </w:r>
    </w:p>
    <w:p>
      <w:r>
        <w:t>│  │  │ • Security issues                                      ││   │</w:t>
      </w:r>
    </w:p>
    <w:p>
      <w:r>
        <w:t>│  │  │ • Response time: 4 hours                               ││   │</w:t>
      </w:r>
    </w:p>
    <w:p>
      <w:r>
        <w:t>│  │  └─────────────────────────────────────────────────────────┘│   │</w:t>
      </w:r>
    </w:p>
    <w:p>
      <w:r>
        <w:t>│  └─────────────────────────────────────────────────────────────┘   │</w:t>
      </w:r>
    </w:p>
    <w:p>
      <w:r>
        <w:t>│                              │                                      │</w:t>
      </w:r>
    </w:p>
    <w:p>
      <w:r>
        <w:t>│                              ▼                                      │</w:t>
      </w:r>
    </w:p>
    <w:p>
      <w:r>
        <w:t>│  ┌─────────────────────────────────────────────────────────────┐   │</w:t>
      </w:r>
    </w:p>
    <w:p>
      <w:r>
        <w:t>│  │                    TIER 4: EMERGENCY SUPPORT               │   │</w:t>
      </w:r>
    </w:p>
    <w:p>
      <w:r>
        <w:t>│  │  ┌─────────────────────────────────────────────────────────┐│   │</w:t>
      </w:r>
    </w:p>
    <w:p>
      <w:r>
        <w:t>│  │  │ • Critical issues                                      ││   │</w:t>
      </w:r>
    </w:p>
    <w:p>
      <w:r>
        <w:t>│  │  │ • System outages                                       ││   │</w:t>
      </w:r>
    </w:p>
    <w:p>
      <w:r>
        <w:t>│  │  │ • Security incidents                                   ││   │</w:t>
      </w:r>
    </w:p>
    <w:p>
      <w:r>
        <w:t>│  │  │ • Response time: 1 hour                                ││   │</w:t>
      </w:r>
    </w:p>
    <w:p>
      <w:r>
        <w:t>│  │  └─────────────────────────────────────────────────────────┘│   │</w:t>
      </w:r>
    </w:p>
    <w:p>
      <w:r>
        <w:t>│  └─────────────────────────────────────────────────────────────┘   │</w:t>
      </w:r>
    </w:p>
    <w:p>
      <w:r>
        <w:t>└─────────────────────────────────────────────────────────────────────┘</w:t>
      </w:r>
    </w:p>
    <w:p>
      <w:r>
        <w:t>Support Channels</w:t>
      </w:r>
    </w:p>
    <w:p>
      <w:r>
        <w:t>Support Service Level Agreements</w:t>
      </w:r>
    </w:p>
    <w:p>
      <w:r>
        <w:t>Support Procedures</w:t>
      </w:r>
    </w:p>
    <w:p>
      <w:r>
        <w:t>Procedure: Handling Participant Inquiries</w:t>
      </w:r>
    </w:p>
    <w:p>
      <w:r>
        <w:t>Step 1: Receive Inquiry</w:t>
      </w:r>
    </w:p>
    <w:p>
      <w:r>
        <w:t>Participant submits inquiry via channel</w:t>
      </w:r>
    </w:p>
    <w:p>
      <w:r>
        <w:t>Inquiry is logged in ticketing system</w:t>
      </w:r>
    </w:p>
    <w:p>
      <w:r>
        <w:t>Priority is assigned</w:t>
      </w:r>
    </w:p>
    <w:p>
      <w:r>
        <w:t>Step 2: Acknowledge</w:t>
      </w:r>
    </w:p>
    <w:p>
      <w:r>
        <w:t>Inquiry is acknowledged</w:t>
      </w:r>
    </w:p>
    <w:p>
      <w:r>
        <w:t>Expected response time is communicated</w:t>
      </w:r>
    </w:p>
    <w:p>
      <w:r>
        <w:t>Participant is informed</w:t>
      </w:r>
    </w:p>
    <w:p>
      <w:r>
        <w:t>Step 3: Investigate</w:t>
      </w:r>
    </w:p>
    <w:p>
      <w:r>
        <w:t>Inquiry is investigated</w:t>
      </w:r>
    </w:p>
    <w:p>
      <w:r>
        <w:t>Information is gathered</w:t>
      </w:r>
    </w:p>
    <w:p>
      <w:r>
        <w:t>Root cause is identified</w:t>
      </w:r>
    </w:p>
    <w:p>
      <w:r>
        <w:t>Step 4: Resolve</w:t>
      </w:r>
    </w:p>
    <w:p>
      <w:r>
        <w:t>Resolution is developed</w:t>
      </w:r>
    </w:p>
    <w:p>
      <w:r>
        <w:t>Participant is notified</w:t>
      </w:r>
    </w:p>
    <w:p>
      <w:r>
        <w:t>Resolution is confirmed</w:t>
      </w:r>
    </w:p>
    <w:p>
      <w:r>
        <w:t>Step 5: Document</w:t>
      </w:r>
    </w:p>
    <w:p>
      <w:r>
        <w:t>Inquiry is documented</w:t>
      </w:r>
    </w:p>
    <w:p>
      <w:r>
        <w:t>Resolution is recorded</w:t>
      </w:r>
    </w:p>
    <w:p>
      <w:r>
        <w:t>Knowledge base is updated (if applicable)</w:t>
      </w:r>
    </w:p>
    <w:p>
      <w:r>
        <w:t>Support Escalation</w:t>
      </w:r>
    </w:p>
    <w:p>
      <w:r>
        <w:t>Participant Communication</w:t>
      </w:r>
    </w:p>
    <w:p>
      <w:r>
        <w:t>Communication Channels</w:t>
      </w:r>
    </w:p>
    <w:p>
      <w:r>
        <w:t>Communication Content</w:t>
      </w:r>
    </w:p>
    <w:p>
      <w:r>
        <w:t>Communication Procedures</w:t>
      </w:r>
    </w:p>
    <w:p>
      <w:r>
        <w:t>Procedure: Sending Participant Notifications</w:t>
      </w:r>
    </w:p>
    <w:p>
      <w:r>
        <w:t>Step 1: Identify Notification Need</w:t>
      </w:r>
    </w:p>
    <w:p>
      <w:r>
        <w:t>Determine notification trigger</w:t>
      </w:r>
    </w:p>
    <w:p>
      <w:r>
        <w:t>Assess urgency and importance</w:t>
      </w:r>
    </w:p>
    <w:p>
      <w:r>
        <w:t>Identify affected participants</w:t>
      </w:r>
    </w:p>
    <w:p>
      <w:r>
        <w:t>Step 2: Prepare Notification</w:t>
      </w:r>
    </w:p>
    <w:p>
      <w:r>
        <w:t>Draft notification content</w:t>
      </w:r>
    </w:p>
    <w:p>
      <w:r>
        <w:t>Review for accuracy</w:t>
      </w:r>
    </w:p>
    <w:p>
      <w:r>
        <w:t>Approve content</w:t>
      </w:r>
    </w:p>
    <w:p>
      <w:r>
        <w:t>Step 3: Send Notification</w:t>
      </w:r>
    </w:p>
    <w:p>
      <w:r>
        <w:t>Send via appropriate channels</w:t>
      </w:r>
    </w:p>
    <w:p>
      <w:r>
        <w:t>Confirm delivery</w:t>
      </w:r>
    </w:p>
    <w:p>
      <w:r>
        <w:t>Track responses</w:t>
      </w:r>
    </w:p>
    <w:p>
      <w:r>
        <w:t>Step 4: Follow Up</w:t>
      </w:r>
    </w:p>
    <w:p>
      <w:r>
        <w:t>Respond to participant inquiries</w:t>
      </w:r>
    </w:p>
    <w:p>
      <w:r>
        <w:t>Confirm understanding</w:t>
      </w:r>
    </w:p>
    <w:p>
      <w:r>
        <w:t>Address any issues</w:t>
      </w:r>
    </w:p>
    <w:p>
      <w:r>
        <w:t>Participant Account Management</w:t>
      </w:r>
    </w:p>
    <w:p>
      <w:r>
        <w:t>Account Management Process</w:t>
      </w:r>
    </w:p>
    <w:p>
      <w:r>
        <w:t>Step 1: Account Setup</w:t>
      </w:r>
    </w:p>
    <w:p>
      <w:r>
        <w:t>Create participant account</w:t>
      </w:r>
    </w:p>
    <w:p>
      <w:r>
        <w:t>Configure permissions</w:t>
      </w:r>
    </w:p>
    <w:p>
      <w:r>
        <w:t>Set up authentication</w:t>
      </w:r>
    </w:p>
    <w:p>
      <w:r>
        <w:t>Step 2: Account Maintenance</w:t>
      </w:r>
    </w:p>
    <w:p>
      <w:r>
        <w:t>Update participant information</w:t>
      </w:r>
    </w:p>
    <w:p>
      <w:r>
        <w:t>Manage permissions</w:t>
      </w:r>
    </w:p>
    <w:p>
      <w:r>
        <w:t>Handle account changes</w:t>
      </w:r>
    </w:p>
    <w:p>
      <w:r>
        <w:t>Step 3: Account Monitoring</w:t>
      </w:r>
    </w:p>
    <w:p>
      <w:r>
        <w:t>Monitor account activity</w:t>
      </w:r>
    </w:p>
    <w:p>
      <w:r>
        <w:t>Identify anomalies</w:t>
      </w:r>
    </w:p>
    <w:p>
      <w:r>
        <w:t>Investigate suspicious activity</w:t>
      </w:r>
    </w:p>
    <w:p>
      <w:r>
        <w:t>Step 4: Account Updates</w:t>
      </w:r>
    </w:p>
    <w:p>
      <w:r>
        <w:t>Process participant updates</w:t>
      </w:r>
    </w:p>
    <w:p>
      <w:r>
        <w:t>Update records</w:t>
      </w:r>
    </w:p>
    <w:p>
      <w:r>
        <w:t>Confirm changes</w:t>
      </w:r>
    </w:p>
    <w:p>
      <w:r>
        <w:t>Step 5: Account Closure</w:t>
      </w:r>
    </w:p>
    <w:p>
      <w:r>
        <w:t>Process closure request</w:t>
      </w:r>
    </w:p>
    <w:p>
      <w:r>
        <w:t>Verify closure eligibility</w:t>
      </w:r>
    </w:p>
    <w:p>
      <w:r>
        <w:t>Close account</w:t>
      </w:r>
    </w:p>
    <w:p>
      <w:r>
        <w:t>Account Management Responsibilities</w:t>
      </w:r>
    </w:p>
    <w:p>
      <w:r>
        <w:t>Participant Feedback</w:t>
      </w:r>
    </w:p>
    <w:p>
      <w:r>
        <w:t>Feedback Collection</w:t>
      </w:r>
    </w:p>
    <w:p>
      <w:r>
        <w:t>Feedback Analysis</w:t>
      </w:r>
    </w:p>
    <w:p>
      <w:r>
        <w:t>Step 1: Collection</w:t>
      </w:r>
    </w:p>
    <w:p>
      <w:r>
        <w:t>Collect feedback from all channels</w:t>
      </w:r>
    </w:p>
    <w:p>
      <w:r>
        <w:t>Aggregate feedback</w:t>
      </w:r>
    </w:p>
    <w:p>
      <w:r>
        <w:t>Organize by category</w:t>
      </w:r>
    </w:p>
    <w:p>
      <w:r>
        <w:t>Step 2: Analysis</w:t>
      </w:r>
    </w:p>
    <w:p>
      <w:r>
        <w:t>Analyze feedback for patterns</w:t>
      </w:r>
    </w:p>
    <w:p>
      <w:r>
        <w:t>Identify common issues</w:t>
      </w:r>
    </w:p>
    <w:p>
      <w:r>
        <w:t>Assess satisfaction levels</w:t>
      </w:r>
    </w:p>
    <w:p>
      <w:r>
        <w:t>Step 3: Action</w:t>
      </w:r>
    </w:p>
    <w:p>
      <w:r>
        <w:t>Develop improvement actions</w:t>
      </w:r>
    </w:p>
    <w:p>
      <w:r>
        <w:t>Implement improvements</w:t>
      </w:r>
    </w:p>
    <w:p>
      <w:r>
        <w:t>Track progress</w:t>
      </w:r>
    </w:p>
    <w:p>
      <w:r>
        <w:t>Step 4: Communication</w:t>
      </w:r>
    </w:p>
    <w:p>
      <w:r>
        <w:t>Communicate actions to participants</w:t>
      </w:r>
    </w:p>
    <w:p>
      <w:r>
        <w:t>Close the feedback loop</w:t>
      </w:r>
    </w:p>
    <w:p>
      <w:r>
        <w:t>Measure impact</w:t>
      </w:r>
    </w:p>
    <w:p>
      <w:r>
        <w:t>Feedback Metrics</w:t>
      </w:r>
    </w:p>
    <w:p>
      <w:r>
        <w:t>Service Level Agreements (SLAs)</w:t>
      </w:r>
    </w:p>
    <w:p>
      <w:r>
        <w:t>SLA Standards</w:t>
      </w:r>
    </w:p>
    <w:p>
      <w:r>
        <w:t>SLA Monitoring</w:t>
      </w:r>
    </w:p>
    <w:p>
      <w:r>
        <w:t>Knowledge Management</w:t>
      </w:r>
    </w:p>
    <w:p>
      <w:r>
        <w:t>Knowledge Base</w:t>
      </w:r>
    </w:p>
    <w:p>
      <w:r>
        <w:t>Knowledge Management Process</w:t>
      </w:r>
    </w:p>
    <w:p>
      <w:r>
        <w:t>Step 1: Identification</w:t>
      </w:r>
    </w:p>
    <w:p>
      <w:r>
        <w:t>Identify knowledge needs</w:t>
      </w:r>
    </w:p>
    <w:p>
      <w:r>
        <w:t>Identify content gaps</w:t>
      </w:r>
    </w:p>
    <w:p>
      <w:r>
        <w:t>Prioritize content</w:t>
      </w:r>
    </w:p>
    <w:p>
      <w:r>
        <w:t>Step 2: Creation</w:t>
      </w:r>
    </w:p>
    <w:p>
      <w:r>
        <w:t>Create knowledge content</w:t>
      </w:r>
    </w:p>
    <w:p>
      <w:r>
        <w:t>Review for accuracy</w:t>
      </w:r>
    </w:p>
    <w:p>
      <w:r>
        <w:t>Approve content</w:t>
      </w:r>
    </w:p>
    <w:p>
      <w:r>
        <w:t>Step 3: Publication</w:t>
      </w:r>
    </w:p>
    <w:p>
      <w:r>
        <w:t>Publish to knowledge base</w:t>
      </w:r>
    </w:p>
    <w:p>
      <w:r>
        <w:t>Ensure accessibility</w:t>
      </w:r>
    </w:p>
    <w:p>
      <w:r>
        <w:t>Notify participants</w:t>
      </w:r>
    </w:p>
    <w:p>
      <w:r>
        <w:t>Step 4: Maintenance</w:t>
      </w:r>
    </w:p>
    <w:p>
      <w:r>
        <w:t>Review content regularly</w:t>
      </w:r>
    </w:p>
    <w:p>
      <w:r>
        <w:t>Update as needed</w:t>
      </w:r>
    </w:p>
    <w:p>
      <w:r>
        <w:t>Archive outdated content</w:t>
      </w:r>
    </w:p>
    <w:p>
      <w:r>
        <w:t>Summary Table</w:t>
      </w:r>
    </w:p>
    <w:p>
      <w:r>
        <w:t>Constitutional Interpretation</w:t>
      </w:r>
    </w:p>
    <w:p>
      <w:r>
        <w:t>Participant Services establishes the operational framework for serving participants:</w:t>
      </w:r>
    </w:p>
    <w:p>
      <w:r>
        <w:t>Onboarding processes ensure participants are properly registered and integrated</w:t>
      </w:r>
    </w:p>
    <w:p>
      <w:r>
        <w:t>Support structure provides responsive, expert assistance</w:t>
      </w:r>
    </w:p>
    <w:p>
      <w:r>
        <w:t>Communication keeps participants informed</w:t>
      </w:r>
    </w:p>
    <w:p>
      <w:r>
        <w:t>Account management maintains participant records</w:t>
      </w:r>
    </w:p>
    <w:p>
      <w:r>
        <w:t>Feedback collection enables continuous improvement</w:t>
      </w:r>
    </w:p>
    <w:p>
      <w:r>
        <w:t>Service level agreements define quality standards</w:t>
      </w:r>
    </w:p>
    <w:p>
      <w:r>
        <w:t>Knowledge management supports self-service and training</w:t>
      </w:r>
    </w:p>
    <w:p>
      <w:r>
        <w:t>Participant services are essential to participant satisfaction and retention. They ensure that participants can effectively use the Institution's services and that their experience is positive.</w:t>
      </w:r>
    </w:p>
    <w:p>
      <w:r>
        <w:t>[END OF PART 5, ARTICLE III — PARTICIPANT SERVICES]</w:t>
      </w:r>
    </w:p>
    <w:p>
      <w:r>
        <w:t>Article IV: Compliance Execution</w:t>
      </w:r>
    </w:p>
    <w:p>
      <w:r>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r>
        <w:t>What This Means in Practice:</w:t>
      </w:r>
    </w:p>
    <w:p>
      <w:r>
        <w:t>Participants are verified through KYC/KYB procedures</w:t>
      </w:r>
    </w:p>
    <w:p>
      <w:r>
        <w:t>All participants and transactions are screened against sanctions lists</w:t>
      </w:r>
    </w:p>
    <w:p>
      <w:r>
        <w:t>Transactions are monitored for suspicious activity</w:t>
      </w:r>
    </w:p>
    <w:p>
      <w:r>
        <w:t>Regulatory reports are filed accurately and on time</w:t>
      </w:r>
    </w:p>
    <w:p>
      <w:r>
        <w:t>Data protection requirements are met</w:t>
      </w:r>
    </w:p>
    <w:p>
      <w:r>
        <w:t>Compliance is documented and auditable</w:t>
      </w:r>
    </w:p>
    <w:p>
      <w:r>
        <w:t>Example:</w:t>
      </w:r>
    </w:p>
    <w:p>
      <w:r>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r>
        <w:t>Why This Matters:</w:t>
      </w:r>
    </w:p>
    <w:p>
      <w:r>
        <w:t>Without compliance execution, the Institution operates lawlessly</w:t>
      </w:r>
    </w:p>
    <w:p>
      <w:r>
        <w:t>Without compliance, participants are exposed to legal risk</w:t>
      </w:r>
    </w:p>
    <w:p>
      <w:r>
        <w:t>Without compliance, the Institution cannot operate globally</w:t>
      </w:r>
    </w:p>
    <w:p>
      <w:r>
        <w:t>Without compliance, institutional credibility is destroyed</w:t>
      </w:r>
    </w:p>
    <w:p>
      <w:r>
        <w:t>Compliance execution is essential to institutional legitimacy</w:t>
      </w:r>
    </w:p>
    <w:p>
      <w:r>
        <w:t>Core Principles of Compliance Execution</w:t>
      </w:r>
    </w:p>
    <w:p>
      <w:pPr>
        <w:pStyle w:val="ListNumber"/>
        <w:ind w:left="425"/>
      </w:pPr>
      <w:r>
        <w:t>Legal Compliance</w:t>
      </w:r>
    </w:p>
    <w:p>
      <w:r>
        <w:t>All operations comply with applicable laws and regulations.</w:t>
      </w:r>
    </w:p>
    <w:p>
      <w:r>
        <w:t>What This Means in Practice:</w:t>
      </w:r>
    </w:p>
    <w:p>
      <w:r>
        <w:t>AML/CFT requirements are met</w:t>
      </w:r>
    </w:p>
    <w:p>
      <w:r>
        <w:t>Sanctions regulations are followed</w:t>
      </w:r>
    </w:p>
    <w:p>
      <w:r>
        <w:t>Data protection laws are respected</w:t>
      </w:r>
    </w:p>
    <w:p>
      <w:r>
        <w:t>Reporting obligations are fulfilled</w:t>
      </w:r>
    </w:p>
    <w:p>
      <w:r>
        <w:t>Regulatory requirements are addressed</w:t>
      </w:r>
    </w:p>
    <w:p>
      <w:r>
        <w:t>Example:</w:t>
      </w:r>
    </w:p>
    <w:p>
      <w:r>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r>
        <w:t>Why This Matters:</w:t>
      </w:r>
    </w:p>
    <w:p>
      <w:r>
        <w:t>Legal compliance is mandatory</w:t>
      </w:r>
    </w:p>
    <w:p>
      <w:r>
        <w:t>Non-compliance results in enforcement action</w:t>
      </w:r>
    </w:p>
    <w:p>
      <w:r>
        <w:t>Compliance maintains institutional legitimacy</w:t>
      </w:r>
    </w:p>
    <w:p>
      <w:r>
        <w:t>Compliance protects participants</w:t>
      </w:r>
    </w:p>
    <w:p>
      <w:pPr>
        <w:pStyle w:val="ListNumber"/>
        <w:ind w:left="425"/>
      </w:pPr>
      <w:r>
        <w:t>Operational Effectiveness</w:t>
      </w:r>
    </w:p>
    <w:p>
      <w:r>
        <w:t>Compliance operations are effective and efficient.</w:t>
      </w:r>
    </w:p>
    <w:p>
      <w:r>
        <w:t>What This Means in Practice:</w:t>
      </w:r>
    </w:p>
    <w:p>
      <w:r>
        <w:t>Procedures are documented and followed</w:t>
      </w:r>
    </w:p>
    <w:p>
      <w:r>
        <w:t>Tools are effective and reliable</w:t>
      </w:r>
    </w:p>
    <w:p>
      <w:r>
        <w:t>Staff are trained and competent</w:t>
      </w:r>
    </w:p>
    <w:p>
      <w:r>
        <w:t>Processes are efficient and scalable</w:t>
      </w:r>
    </w:p>
    <w:p>
      <w:r>
        <w:t>Example:</w:t>
      </w:r>
    </w:p>
    <w:p>
      <w:r>
        <w:t>The Compliance team uses automated screening tools that are effective and reliable. Staff are trained on all procedures. Processes are efficient and scalable to handle growing transaction volumes.</w:t>
      </w:r>
    </w:p>
    <w:p>
      <w:r>
        <w:t>Why This Matters:</w:t>
      </w:r>
    </w:p>
    <w:p>
      <w:r>
        <w:t>Effectiveness prevents compliance failures</w:t>
      </w:r>
    </w:p>
    <w:p>
      <w:r>
        <w:t>Efficiency reduces operational costs</w:t>
      </w:r>
    </w:p>
    <w:p>
      <w:r>
        <w:t>Training ensures competence</w:t>
      </w:r>
    </w:p>
    <w:p>
      <w:r>
        <w:t>Scalability supports growth</w:t>
      </w:r>
    </w:p>
    <w:p>
      <w:pPr>
        <w:pStyle w:val="ListNumber"/>
        <w:ind w:left="425"/>
      </w:pPr>
      <w:r>
        <w:t>Transparency</w:t>
      </w:r>
    </w:p>
    <w:p>
      <w:r>
        <w:t>Compliance operations are transparent and auditable.</w:t>
      </w:r>
    </w:p>
    <w:p>
      <w:r>
        <w:t>What This Means in Practice:</w:t>
      </w:r>
    </w:p>
    <w:p>
      <w:r>
        <w:t>Compliance procedures are documented</w:t>
      </w:r>
    </w:p>
    <w:p>
      <w:r>
        <w:t>Compliance actions are logged</w:t>
      </w:r>
    </w:p>
    <w:p>
      <w:r>
        <w:t>Compliance decisions are recorded</w:t>
      </w:r>
    </w:p>
    <w:p>
      <w:r>
        <w:t>Compliance audits are conducted</w:t>
      </w:r>
    </w:p>
    <w:p>
      <w:r>
        <w:t>Example:</w:t>
      </w:r>
    </w:p>
    <w:p>
      <w:r>
        <w:t>The Institution documents all compliance procedures. All compliance actions are logged. Compliance decisions are recorded with rationale. Independent audits verify compliance operations.</w:t>
      </w:r>
    </w:p>
    <w:p>
      <w:r>
        <w:t>Why This Matters:</w:t>
      </w:r>
    </w:p>
    <w:p>
      <w:r>
        <w:t>Transparency builds trust</w:t>
      </w:r>
    </w:p>
    <w:p>
      <w:r>
        <w:t>Auditability enables verification</w:t>
      </w:r>
    </w:p>
    <w:p>
      <w:r>
        <w:t>Documentation supports consistency</w:t>
      </w:r>
    </w:p>
    <w:p>
      <w:r>
        <w:t>Records support investigations</w:t>
      </w:r>
    </w:p>
    <w:p>
      <w:pPr>
        <w:pStyle w:val="ListNumber"/>
        <w:ind w:left="425"/>
      </w:pPr>
      <w:r>
        <w:t>Neutrality</w:t>
      </w:r>
    </w:p>
    <w:p>
      <w:r>
        <w:t>Compliance operations are applied consistently and neutrally.</w:t>
      </w:r>
    </w:p>
    <w:p>
      <w:r>
        <w:t>What This Means in Practice:</w:t>
      </w:r>
    </w:p>
    <w:p>
      <w:r>
        <w:t>All participants are treated equally</w:t>
      </w:r>
    </w:p>
    <w:p>
      <w:r>
        <w:t>No preferential treatment</w:t>
      </w:r>
    </w:p>
    <w:p>
      <w:r>
        <w:t>Compliance is not political</w:t>
      </w:r>
    </w:p>
    <w:p>
      <w:r>
        <w:t>Rules apply uniformly</w:t>
      </w:r>
    </w:p>
    <w:p>
      <w:r>
        <w:t>Example:</w:t>
      </w:r>
    </w:p>
    <w:p>
      <w:r>
        <w:t>All participants are subject to the same compliance procedures. No participant receives preferential treatment. Compliance is based on law, not politics. Rules apply uniformly.</w:t>
      </w:r>
    </w:p>
    <w:p>
      <w:r>
        <w:t>Why This Matters:</w:t>
      </w:r>
    </w:p>
    <w:p>
      <w:r>
        <w:t>Neutrality prevents discrimination</w:t>
      </w:r>
    </w:p>
    <w:p>
      <w:r>
        <w:t>Equal treatment maintains fairness</w:t>
      </w:r>
    </w:p>
    <w:p>
      <w:r>
        <w:t>Law-based compliance ensures consistency</w:t>
      </w:r>
    </w:p>
    <w:p>
      <w:r>
        <w:t>Uniform rules prevent arbitrariness</w:t>
      </w:r>
    </w:p>
    <w:p>
      <w:pPr>
        <w:pStyle w:val="ListNumber"/>
        <w:ind w:left="425"/>
      </w:pPr>
      <w:r>
        <w:t>Continuous Improvement</w:t>
      </w:r>
    </w:p>
    <w:p>
      <w:r>
        <w:t>Compliance operations are continuously improved.</w:t>
      </w:r>
    </w:p>
    <w:p>
      <w:r>
        <w:t>What This Means in Practice:</w:t>
      </w:r>
    </w:p>
    <w:p>
      <w:r>
        <w:t>Procedures are reviewed</w:t>
      </w:r>
    </w:p>
    <w:p>
      <w:r>
        <w:t>Tools are upgraded</w:t>
      </w:r>
    </w:p>
    <w:p>
      <w:r>
        <w:t>Training is ongoing</w:t>
      </w:r>
    </w:p>
    <w:p>
      <w:r>
        <w:t>Lessons are learned</w:t>
      </w:r>
    </w:p>
    <w:p>
      <w:r>
        <w:t>Example:</w:t>
      </w:r>
    </w:p>
    <w:p>
      <w:r>
        <w:t>The Compliance team reviews procedures annually. Tools are upgraded as needed. Staff receive ongoing training. Lessons from incidents are incorporated.</w:t>
      </w:r>
    </w:p>
    <w:p>
      <w:r>
        <w:t>Why This Matters:</w:t>
      </w:r>
    </w:p>
    <w:p>
      <w:r>
        <w:t>Continuous improvement maintains effectiveness</w:t>
      </w:r>
    </w:p>
    <w:p>
      <w:r>
        <w:t>Review identifies gaps</w:t>
      </w:r>
    </w:p>
    <w:p>
      <w:r>
        <w:t>Upgrades address evolving threats</w:t>
      </w:r>
    </w:p>
    <w:p>
      <w:r>
        <w:t>Training ensures competence</w:t>
      </w:r>
    </w:p>
    <w:p>
      <w:r>
        <w:t>KYC/KYB Operations</w:t>
      </w:r>
    </w:p>
    <w:p>
      <w:r>
        <w:t>KYC/KYB Process Overview</w:t>
      </w:r>
    </w:p>
    <w:p>
      <w:r>
        <w:t>text</w:t>
      </w:r>
    </w:p>
    <w:p>
      <w:r>
        <w:t>┌─────────────────────────────────────────────────────────────────────┐</w:t>
      </w:r>
    </w:p>
    <w:p>
      <w:r>
        <w:t>│                    KYC/KYB PROCESS                                 │</w:t>
      </w:r>
    </w:p>
    <w:p>
      <w:r>
        <w:t>│                                                                     │</w:t>
      </w:r>
    </w:p>
    <w:p>
      <w:r>
        <w:t>│  ┌─────────────────────────────────────────────────────────────┐   │</w:t>
      </w:r>
    </w:p>
    <w:p>
      <w:r>
        <w:t>│  │                    PARTICIPANT APPLICATION                  │   │</w:t>
      </w:r>
    </w:p>
    <w:p>
      <w:r>
        <w:t>│  │  ┌─────────────────────────────────────────────────────────┐│   │</w:t>
      </w:r>
    </w:p>
    <w:p>
      <w:r>
        <w:t>│  │  │ • Participant submits application                       ││   │</w:t>
      </w:r>
    </w:p>
    <w:p>
      <w:r>
        <w:t>│  │  │ • Provides required documentation                       ││   │</w:t>
      </w:r>
    </w:p>
    <w:p>
      <w:r>
        <w:t>│  │  └─────────────────────────────────────────────────────────┘│   │</w:t>
      </w:r>
    </w:p>
    <w:p>
      <w:r>
        <w:t>│  └─────────────────────────────────────────────────────────────┘   │</w:t>
      </w:r>
    </w:p>
    <w:p>
      <w:r>
        <w:t>│                              │                                      │</w:t>
      </w:r>
    </w:p>
    <w:p>
      <w:r>
        <w:t>│                              ▼                                      │</w:t>
      </w:r>
    </w:p>
    <w:p>
      <w:r>
        <w:t>│  ┌─────────────────────────────────────────────────────────────┐   │</w:t>
      </w:r>
    </w:p>
    <w:p>
      <w:r>
        <w:t>│  │                    DOCUMENT VERIFICATION                    │   │</w:t>
      </w:r>
    </w:p>
    <w:p>
      <w:r>
        <w:t>│  │  ┌─────────────────────────────────────────────────────────┐│   │</w:t>
      </w:r>
    </w:p>
    <w:p>
      <w:r>
        <w:t>│  │  │ • Verify identity documents                            ││   │</w:t>
      </w:r>
    </w:p>
    <w:p>
      <w:r>
        <w:t>│  │  │ • Verify entity documents                              ││   │</w:t>
      </w:r>
    </w:p>
    <w:p>
      <w:r>
        <w:t>│  │  │ • Verify beneficial ownership                          ││   │</w:t>
      </w:r>
    </w:p>
    <w:p>
      <w:r>
        <w:t>│  │  └─────────────────────────────────────────────────────────┘│   │</w:t>
      </w:r>
    </w:p>
    <w:p>
      <w:r>
        <w:t>│  └─────────────────────────────────────────────────────────────┘   │</w:t>
      </w:r>
    </w:p>
    <w:p>
      <w:r>
        <w:t>│                              │                                      │</w:t>
      </w:r>
    </w:p>
    <w:p>
      <w:r>
        <w:t>│                              ▼                                      │</w:t>
      </w:r>
    </w:p>
    <w:p>
      <w:r>
        <w:t>│  ┌─────────────────────────────────────────────────────────────┐   │</w:t>
      </w:r>
    </w:p>
    <w:p>
      <w:r>
        <w:t>│  │                    SCREENING                                │   │</w:t>
      </w:r>
    </w:p>
    <w:p>
      <w:r>
        <w:t>│  │  ┌─────────────────────────────────────────────────────────┐│   │</w:t>
      </w:r>
    </w:p>
    <w:p>
      <w:r>
        <w:t>│  │  │ • Sanctions screening                                  ││   │</w:t>
      </w:r>
    </w:p>
    <w:p>
      <w:r>
        <w:t>│  │  │ • PEP screening                                         ││   │</w:t>
      </w:r>
    </w:p>
    <w:p>
      <w:r>
        <w:t>│  │  │ • Adverse media screening                               ││   │</w:t>
      </w:r>
    </w:p>
    <w:p>
      <w:r>
        <w:t>│  │  └─────────────────────────────────────────────────────────┘│   │</w:t>
      </w:r>
    </w:p>
    <w:p>
      <w:r>
        <w:t>│  └─────────────────────────────────────────────────────────────┘   │</w:t>
      </w:r>
    </w:p>
    <w:p>
      <w:r>
        <w:t>│                              │                                      │</w:t>
      </w:r>
    </w:p>
    <w:p>
      <w:r>
        <w:t>│                              ▼                                      │</w:t>
      </w:r>
    </w:p>
    <w:p>
      <w:r>
        <w:t>│  ┌─────────────────────────────────────────────────────────────┐   │</w:t>
      </w:r>
    </w:p>
    <w:p>
      <w:r>
        <w:t>│  │                    RISK ASSESSMENT                         │   │</w:t>
      </w:r>
    </w:p>
    <w:p>
      <w:r>
        <w:t>│  │  ┌─────────────────────────────────────────────────────────┐│   │</w:t>
      </w:r>
    </w:p>
    <w:p>
      <w:r>
        <w:t>│  │  │ • Assess risk profile                                  ││   │</w:t>
      </w:r>
    </w:p>
    <w:p>
      <w:r>
        <w:t>│  │  │ • Assign risk rating                                   ││   │</w:t>
      </w:r>
    </w:p>
    <w:p>
      <w:r>
        <w:t>│  │  │ • Determine due diligence level                        ││   │</w:t>
      </w:r>
    </w:p>
    <w:p>
      <w:r>
        <w:t>│  │  └─────────────────────────────────────────────────────────┘│   │</w:t>
      </w:r>
    </w:p>
    <w:p>
      <w:r>
        <w:t>│  └─────────────────────────────────────────────────────────────┘   │</w:t>
      </w:r>
    </w:p>
    <w:p>
      <w:r>
        <w:t>│                              │                                      │</w:t>
      </w:r>
    </w:p>
    <w:p>
      <w:r>
        <w:t>│                              ▼                                      │</w:t>
      </w:r>
    </w:p>
    <w:p>
      <w:r>
        <w:t>│  ┌─────────────────────────────────────────────────────────────┐   │</w:t>
      </w:r>
    </w:p>
    <w:p>
      <w:r>
        <w:t>│  │                    APPROVAL / REJECTION                     │   │</w:t>
      </w:r>
    </w:p>
    <w:p>
      <w:r>
        <w:t>│  │  ┌─────────────────────────────────────────────────────────┐│   │</w:t>
      </w:r>
    </w:p>
    <w:p>
      <w:r>
        <w:t>│  │  │ • Approve participant                                  ││   │</w:t>
      </w:r>
    </w:p>
    <w:p>
      <w:r>
        <w:t>│  │  │ • Reject participant                                   ││   │</w:t>
      </w:r>
    </w:p>
    <w:p>
      <w:r>
        <w:t>│  │  │ • Conditionally approve participant                    ││   │</w:t>
      </w:r>
    </w:p>
    <w:p>
      <w:r>
        <w:t>│  │  └─────────────────────────────────────────────────────────┘│   │</w:t>
      </w:r>
    </w:p>
    <w:p>
      <w:r>
        <w:t>│  └─────────────────────────────────────────────────────────────┘   │</w:t>
      </w:r>
    </w:p>
    <w:p>
      <w:r>
        <w:t>└─────────────────────────────────────────────────────────────────────┘</w:t>
      </w:r>
    </w:p>
    <w:p>
      <w:r>
        <w:t>Individual KYC Procedure</w:t>
      </w:r>
    </w:p>
    <w:p>
      <w:r>
        <w:t>Purpose: Verify the identity of individual participants</w:t>
      </w:r>
    </w:p>
    <w:p>
      <w:r>
        <w:t>Step 1: Document Collection</w:t>
      </w:r>
    </w:p>
    <w:p>
      <w:r>
        <w:t>Collect government-issued ID (passport, national ID)</w:t>
      </w:r>
    </w:p>
    <w:p>
      <w:r>
        <w:t>Collect proof of address (utility bill, bank statement)</w:t>
      </w:r>
    </w:p>
    <w:p>
      <w:r>
        <w:t>Collect additional documentation as needed</w:t>
      </w:r>
    </w:p>
    <w:p>
      <w:r>
        <w:t>Step 2: Identity Verification</w:t>
      </w:r>
    </w:p>
    <w:p>
      <w:r>
        <w:t>Verify ID authenticity (security features, holograms)</w:t>
      </w:r>
    </w:p>
    <w:p>
      <w:r>
        <w:t>Verify photo matches applicant</w:t>
      </w:r>
    </w:p>
    <w:p>
      <w:r>
        <w:t>Verify ID is valid and not expired</w:t>
      </w:r>
    </w:p>
    <w:p>
      <w:r>
        <w:t>Verify address matches proof</w:t>
      </w:r>
    </w:p>
    <w:p>
      <w:r>
        <w:t>Step 3: Biometric Verification</w:t>
      </w:r>
    </w:p>
    <w:p>
      <w:r>
        <w:t>Collect biometric data (photo)</w:t>
      </w:r>
    </w:p>
    <w:p>
      <w:r>
        <w:t>Verify against ID photo</w:t>
      </w:r>
    </w:p>
    <w:p>
      <w:r>
        <w:t>Confirm identity match</w:t>
      </w:r>
    </w:p>
    <w:p>
      <w:r>
        <w:t>Step 4: Screening</w:t>
      </w:r>
    </w:p>
    <w:p>
      <w:r>
        <w:t>Screen against sanctions lists (OFAC, UNSC, EU, national)</w:t>
      </w:r>
    </w:p>
    <w:p>
      <w:r>
        <w:t>Screen against PEP lists</w:t>
      </w:r>
    </w:p>
    <w:p>
      <w:r>
        <w:t>Screen against adverse media</w:t>
      </w:r>
    </w:p>
    <w:p>
      <w:r>
        <w:t>Step 5: Risk Assessment</w:t>
      </w:r>
    </w:p>
    <w:p>
      <w:r>
        <w:t>Assess risk profile based on jurisdiction, activity, relationship</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Corporate KYB Procedure</w:t>
      </w:r>
    </w:p>
    <w:p>
      <w:r>
        <w:t>Purpose: Verify the identity of corporate participants</w:t>
      </w:r>
    </w:p>
    <w:p>
      <w:r>
        <w:t>Step 1: Document Collection</w:t>
      </w:r>
    </w:p>
    <w:p>
      <w:r>
        <w:t>Collect corporate registration documents</w:t>
      </w:r>
    </w:p>
    <w:p>
      <w:r>
        <w:t>Collect articles of incorporation</w:t>
      </w:r>
    </w:p>
    <w:p>
      <w:r>
        <w:t>Collect shareholder register</w:t>
      </w:r>
    </w:p>
    <w:p>
      <w:r>
        <w:t>Collect director information</w:t>
      </w:r>
    </w:p>
    <w:p>
      <w:r>
        <w:t>Collect financial statements</w:t>
      </w:r>
    </w:p>
    <w:p>
      <w:r>
        <w:t>Step 2: Entity Verification</w:t>
      </w:r>
    </w:p>
    <w:p>
      <w:r>
        <w:t>Verify entity registration with government register</w:t>
      </w:r>
    </w:p>
    <w:p>
      <w:r>
        <w:t>Verify entity is in good standing</w:t>
      </w:r>
    </w:p>
    <w:p>
      <w:r>
        <w:t>Verify entity address</w:t>
      </w:r>
    </w:p>
    <w:p>
      <w:r>
        <w:t>Verify entity ownership structure</w:t>
      </w:r>
    </w:p>
    <w:p>
      <w:r>
        <w:t>Step 3: UBO Identification</w:t>
      </w:r>
    </w:p>
    <w:p>
      <w:r>
        <w:t>Identify Ultimate Beneficial Owners (25%+ ownership)</w:t>
      </w:r>
    </w:p>
    <w:p>
      <w:r>
        <w:t>Verify UBO identity (KYC)</w:t>
      </w:r>
    </w:p>
    <w:p>
      <w:r>
        <w:t>Verify UBO control</w:t>
      </w:r>
    </w:p>
    <w:p>
      <w:r>
        <w:t>Document UBO chain</w:t>
      </w:r>
    </w:p>
    <w:p>
      <w:r>
        <w:t>Step 4: Screening</w:t>
      </w:r>
    </w:p>
    <w:p>
      <w:r>
        <w:t>Screen entity against sanctions lists</w:t>
      </w:r>
    </w:p>
    <w:p>
      <w:r>
        <w:t>Screen UBOs against sanctions lists</w:t>
      </w:r>
    </w:p>
    <w:p>
      <w:r>
        <w:t>Screen directors against sanctions lists</w:t>
      </w:r>
    </w:p>
    <w:p>
      <w:r>
        <w:t>Screen against adverse media</w:t>
      </w:r>
    </w:p>
    <w:p>
      <w:r>
        <w:t>Step 5: Risk Assessment</w:t>
      </w:r>
    </w:p>
    <w:p>
      <w:r>
        <w:t>Assess risk profile based on jurisdiction, industry, structure</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KYC/KYB Requirements</w:t>
      </w:r>
    </w:p>
    <w:p>
      <w:r>
        <w:t>KYC/KYB Documentation</w:t>
      </w:r>
    </w:p>
    <w:p>
      <w:r>
        <w:t>Sanctions Screening Operations</w:t>
      </w:r>
    </w:p>
    <w:p>
      <w:r>
        <w:t>Sanctions Screening Process</w:t>
      </w:r>
    </w:p>
    <w:p>
      <w:r>
        <w:t>text</w:t>
      </w:r>
    </w:p>
    <w:p>
      <w:r>
        <w:t>┌─────────────────────────────────────────────────────────────────────┐</w:t>
      </w:r>
    </w:p>
    <w:p>
      <w:r>
        <w:t>│                    SANCTIONS SCREENING PROCESS                     │</w:t>
      </w:r>
    </w:p>
    <w:p>
      <w:r>
        <w:t>│                                                                     │</w:t>
      </w:r>
    </w:p>
    <w:p>
      <w:r>
        <w:t>│  ┌─────────────────────────────────────────────────────────────┐   │</w:t>
      </w:r>
    </w:p>
    <w:p>
      <w:r>
        <w:t>│  │                    PARTICIPANT / TRANSACTION                │   │</w:t>
      </w:r>
    </w:p>
    <w:p>
      <w:r>
        <w:t>│  │  ┌─────────────────────────────────────────────────────────┐│   │</w:t>
      </w:r>
    </w:p>
    <w:p>
      <w:r>
        <w:t>│  │  │ • Participant onboarding                               ││   │</w:t>
      </w:r>
    </w:p>
    <w:p>
      <w:r>
        <w:t>│  │  │ • Transaction submission                               ││   │</w:t>
      </w:r>
    </w:p>
    <w:p>
      <w:r>
        <w:t>│  │  │ • Periodic monitoring                                  ││   │</w:t>
      </w:r>
    </w:p>
    <w:p>
      <w:r>
        <w:t>│  │  └─────────────────────────────────────────────────────────┘│   │</w:t>
      </w:r>
    </w:p>
    <w:p>
      <w:r>
        <w:t>│  └─────────────────────────────────────────────────────────────┘   │</w:t>
      </w:r>
    </w:p>
    <w:p>
      <w:r>
        <w:t>│                              │                                      │</w:t>
      </w:r>
    </w:p>
    <w:p>
      <w:r>
        <w:t>│                              ▼                                      │</w:t>
      </w:r>
    </w:p>
    <w:p>
      <w:r>
        <w:t>│  ┌─────────────────────────────────────────────────────────────┐   │</w:t>
      </w:r>
    </w:p>
    <w:p>
      <w:r>
        <w:t>│  │                    SANCTIONS LIST                           │   │</w:t>
      </w:r>
    </w:p>
    <w:p>
      <w:r>
        <w:t>│  │  ┌─────────────────────────────────────────────────────────┐│   │</w:t>
      </w:r>
    </w:p>
    <w:p>
      <w:r>
        <w:t>│  │  │ • OFAC SDN List                                        ││   │</w:t>
      </w:r>
    </w:p>
    <w:p>
      <w:r>
        <w:t>│  │  │ • UNSC Sanctions List                                  ││   │</w:t>
      </w:r>
    </w:p>
    <w:p>
      <w:r>
        <w:t>│  │  │ • EU Sanctions List                                    ││   │</w:t>
      </w:r>
    </w:p>
    <w:p>
      <w:r>
        <w:t>│  │  │ • National Lists                                       ││   │</w:t>
      </w:r>
    </w:p>
    <w:p>
      <w:r>
        <w:t>│  │  └─────────────────────────────────────────────────────────┘│   │</w:t>
      </w:r>
    </w:p>
    <w:p>
      <w:r>
        <w:t>│  └─────────────────────────────────────────────────────────────┘   │</w:t>
      </w:r>
    </w:p>
    <w:p>
      <w:r>
        <w:t>│                              │                                      │</w:t>
      </w:r>
    </w:p>
    <w:p>
      <w:r>
        <w:t>│                              ▼                                      │</w:t>
      </w:r>
    </w:p>
    <w:p>
      <w:r>
        <w:t>│  ┌─────────────────────────────────────────────────────────────┐   │</w:t>
      </w:r>
    </w:p>
    <w:p>
      <w:r>
        <w:t>│  │                    SCREENING                               │   │</w:t>
      </w:r>
    </w:p>
    <w:p>
      <w:r>
        <w:t>│  │  ┌─────────────────────────────────────────────────────────┐│   │</w:t>
      </w:r>
    </w:p>
    <w:p>
      <w:r>
        <w:t>│  │  │ • Automated screening                                  ││   │</w:t>
      </w:r>
    </w:p>
    <w:p>
      <w:r>
        <w:t>│  │  │ • Name matching (exact, fuzzy)                        ││   │</w:t>
      </w:r>
    </w:p>
    <w:p>
      <w:r>
        <w:t>│  │  │ • Entity matching                                      ││   │</w:t>
      </w:r>
    </w:p>
    <w:p>
      <w:r>
        <w:t>│  │  └─────────────────────────────────────────────────────────┘│   │</w:t>
      </w:r>
    </w:p>
    <w:p>
      <w:r>
        <w:t>│  └─────────────────────────────────────────────────────────────┘   │</w:t>
      </w:r>
    </w:p>
    <w:p>
      <w:r>
        <w:t>│                              │                                      │</w:t>
      </w:r>
    </w:p>
    <w:p>
      <w:r>
        <w:t>│              ┌───────────────┴───────────────┐                      │</w:t>
      </w:r>
    </w:p>
    <w:p>
      <w:r>
        <w:t>│              │                               │                      │</w:t>
      </w:r>
    </w:p>
    <w:p>
      <w:r>
        <w:t>│              ▼                               ▼                      │</w:t>
      </w:r>
    </w:p>
    <w:p>
      <w:r>
        <w:t>│  ┌─────────────────────────┐   ┌─────────────────────────┐        │</w:t>
      </w:r>
    </w:p>
    <w:p>
      <w:r>
        <w:t>│  │        NO MATCH         │   │        MATCH            │        │</w:t>
      </w:r>
    </w:p>
    <w:p>
      <w:r>
        <w:t>│  │  ┌───────────────────┐  │   │  ┌───────────────────┐  │        │</w:t>
      </w:r>
    </w:p>
    <w:p>
      <w:r>
        <w:t>│  │  │ • Clear participant│  │   │  │ • Escalate        │  │        │</w:t>
      </w:r>
    </w:p>
    <w:p>
      <w:r>
        <w:t>│  │  │ • Process          │  │   │  │ • Investigate     │  │        │</w:t>
      </w:r>
    </w:p>
    <w:p>
      <w:r>
        <w:t>│  │  │   transaction      │  │   │  │ • Freeze/block    │  │        │</w:t>
      </w:r>
    </w:p>
    <w:p>
      <w:r>
        <w:t>│  │  │ • Continue         │  │   │  │ • Report          │  │        │</w:t>
      </w:r>
    </w:p>
    <w:p>
      <w:r>
        <w:t>│  │  │   monitoring       │  │   │  │                   │  │        │</w:t>
      </w:r>
    </w:p>
    <w:p>
      <w:r>
        <w:t>│  │  └───────────────────┘  │   │  └───────────────────┘  │        │</w:t>
      </w:r>
    </w:p>
    <w:p>
      <w:r>
        <w:t>│  └─────────────────────────┘   └─────────────────────────┘        │</w:t>
      </w:r>
    </w:p>
    <w:p>
      <w:r>
        <w:t>└─────────────────────────────────────────────────────────────────────┘</w:t>
      </w:r>
    </w:p>
    <w:p>
      <w:r>
        <w:t>Sanctions Lists Screened</w:t>
      </w:r>
    </w:p>
    <w:p>
      <w:r>
        <w:t>What This Means in Practice:</w:t>
      </w:r>
    </w:p>
    <w:p>
      <w:r>
        <w:t>All applicable sanctions lists are screened</w:t>
      </w:r>
    </w:p>
    <w:p>
      <w:r>
        <w:t>Lists are updated in real-time</w:t>
      </w:r>
    </w:p>
    <w:p>
      <w:r>
        <w:t>Screening is automated</w:t>
      </w:r>
    </w:p>
    <w:p>
      <w:r>
        <w:t>Manual review is conducted for potential matches</w:t>
      </w:r>
    </w:p>
    <w:p>
      <w:r>
        <w:t>Example:</w:t>
      </w:r>
    </w:p>
    <w:p>
      <w:r>
        <w:t>The Institution screens all participants and transactions against OFAC SDN, OFAC SSI, UNSC, EU, UAE, UK, Singapore, and applicable national sanctions lists. Lists are updated daily. Screening is automated. Potential matches are manually reviewed.</w:t>
      </w:r>
    </w:p>
    <w:p>
      <w:r>
        <w:t>Why This Matters:</w:t>
      </w:r>
    </w:p>
    <w:p>
      <w:r>
        <w:t>Comprehensive screening prevents violations</w:t>
      </w:r>
    </w:p>
    <w:p>
      <w:r>
        <w:t>Real-time updates ensure accuracy</w:t>
      </w:r>
    </w:p>
    <w:p>
      <w:r>
        <w:t>Automation enables efficiency</w:t>
      </w:r>
    </w:p>
    <w:p>
      <w:r>
        <w:t>Manual review ensures fairness</w:t>
      </w:r>
    </w:p>
    <w:p>
      <w:r>
        <w:t>Sanctions Match Handling</w:t>
      </w:r>
    </w:p>
    <w:p>
      <w:r>
        <w:t>Step 1: Match Detection</w:t>
      </w:r>
    </w:p>
    <w:p>
      <w:r>
        <w:t>Automated screening detects potential match</w:t>
      </w:r>
    </w:p>
    <w:p>
      <w:r>
        <w:t>Match is flagged for review</w:t>
      </w:r>
    </w:p>
    <w:p>
      <w:r>
        <w:t>Alert is generated</w:t>
      </w:r>
    </w:p>
    <w:p>
      <w:r>
        <w:t>Step 2: Investigation</w:t>
      </w:r>
    </w:p>
    <w:p>
      <w:r>
        <w:t>Compliance team investigates match</w:t>
      </w:r>
    </w:p>
    <w:p>
      <w:r>
        <w:t>Review documentation</w:t>
      </w:r>
    </w:p>
    <w:p>
      <w:r>
        <w:t>Determine if match is positive or false positive</w:t>
      </w:r>
    </w:p>
    <w:p>
      <w:r>
        <w:t>Step 3: Decision</w:t>
      </w:r>
    </w:p>
    <w:p>
      <w:r>
        <w:t>If false positive: clear and document</w:t>
      </w:r>
    </w:p>
    <w:p>
      <w:r>
        <w:t>If true positive: escalate</w:t>
      </w:r>
    </w:p>
    <w:p>
      <w:r>
        <w:t>Step 4: Escalation</w:t>
      </w:r>
    </w:p>
    <w:p>
      <w:r>
        <w:t>Freeze accounts</w:t>
      </w:r>
    </w:p>
    <w:p>
      <w:r>
        <w:t>Block transactions</w:t>
      </w:r>
    </w:p>
    <w:p>
      <w:r>
        <w:t>Report to regulators</w:t>
      </w:r>
    </w:p>
    <w:p>
      <w:r>
        <w:t>Step 5: Documentation</w:t>
      </w:r>
    </w:p>
    <w:p>
      <w:r>
        <w:t>Document all actions</w:t>
      </w:r>
    </w:p>
    <w:p>
      <w:r>
        <w:t>Retain records</w:t>
      </w:r>
    </w:p>
    <w:p>
      <w:r>
        <w:t>Report as required</w:t>
      </w:r>
    </w:p>
    <w:p>
      <w:r>
        <w:t>Sanctions Report Template</w:t>
      </w:r>
    </w:p>
    <w:p>
      <w:r>
        <w:t>Transaction Monitoring Operations</w:t>
      </w:r>
    </w:p>
    <w:p>
      <w:r>
        <w:t>Transaction Monitoring Process</w:t>
      </w:r>
    </w:p>
    <w:p>
      <w:r>
        <w:t>text</w:t>
      </w:r>
    </w:p>
    <w:p>
      <w:r>
        <w:t>┌─────────────────────────────────────────────────────────────────────┐</w:t>
      </w:r>
    </w:p>
    <w:p>
      <w:r>
        <w:t>│                    TRANSACTION MONITORING PROCESS                  │</w:t>
      </w:r>
    </w:p>
    <w:p>
      <w:r>
        <w:t>│                                                                     │</w:t>
      </w:r>
    </w:p>
    <w:p>
      <w:r>
        <w:t>│  ┌─────────────────────────────────────────────────────────────┐   │</w:t>
      </w:r>
    </w:p>
    <w:p>
      <w:r>
        <w:t>│  │                    TRANSACTION SUBMITTED                    │   │</w:t>
      </w:r>
    </w:p>
    <w:p>
      <w:r>
        <w:t>│  │  ┌─────────────────────────────────────────────────────────┐│   │</w:t>
      </w:r>
    </w:p>
    <w:p>
      <w:r>
        <w:t>│  │  │ • Minting transaction                                  ││   │</w:t>
      </w:r>
    </w:p>
    <w:p>
      <w:r>
        <w:t>│  │  │ • Redemption transaction                               ││   │</w:t>
      </w:r>
    </w:p>
    <w:p>
      <w:r>
        <w:t>│  │  │ • Settlement transaction                               ││   │</w:t>
      </w:r>
    </w:p>
    <w:p>
      <w:r>
        <w:t>│  │  │ • Transfer transaction                                 ││   │</w:t>
      </w:r>
    </w:p>
    <w:p>
      <w:r>
        <w:t>│  │  └─────────────────────────────────────────────────────────┘│   │</w:t>
      </w:r>
    </w:p>
    <w:p>
      <w:r>
        <w:t>│  └─────────────────────────────────────────────────────────────┘   │</w:t>
      </w:r>
    </w:p>
    <w:p>
      <w:r>
        <w:t>│                              │                                      │</w:t>
      </w:r>
    </w:p>
    <w:p>
      <w:r>
        <w:t>│                              ▼                                      │</w:t>
      </w:r>
    </w:p>
    <w:p>
      <w:r>
        <w:t>│  ┌─────────────────────────────────────────────────────────────┐   │</w:t>
      </w:r>
    </w:p>
    <w:p>
      <w:r>
        <w:t>│  │                    AUTOMATED MONITORING                    │   │</w:t>
      </w:r>
    </w:p>
    <w:p>
      <w:r>
        <w:t>│  │  ┌─────────────────────────────────────────────────────────┐│   │</w:t>
      </w:r>
    </w:p>
    <w:p>
      <w:r>
        <w:t>│  │  │ • Rule-based analysis                                  ││   │</w:t>
      </w:r>
    </w:p>
    <w:p>
      <w:r>
        <w:t>│  │  │ • Anomaly detection                                    ││   │</w:t>
      </w:r>
    </w:p>
    <w:p>
      <w:r>
        <w:t>│  │  │ • Pattern recognition                                  ││   │</w:t>
      </w:r>
    </w:p>
    <w:p>
      <w:r>
        <w:t>│  │  │ • Risk-based analysis                                  ││   │</w:t>
      </w:r>
    </w:p>
    <w:p>
      <w:r>
        <w:t>│  │  └─────────────────────────────────────────────────────────┘│   │</w:t>
      </w:r>
    </w:p>
    <w:p>
      <w:r>
        <w:t>│  └─────────────────────────────────────────────────────────────┘   │</w:t>
      </w:r>
    </w:p>
    <w:p>
      <w:r>
        <w:t>│                              │                                      │</w:t>
      </w:r>
    </w:p>
    <w:p>
      <w:r>
        <w:t>│              ┌───────────────┴───────────────┐                      │</w:t>
      </w:r>
    </w:p>
    <w:p>
      <w:r>
        <w:t>│              │                               │                      │</w:t>
      </w:r>
    </w:p>
    <w:p>
      <w:r>
        <w:t>│              ▼                               ▼                      │</w:t>
      </w:r>
    </w:p>
    <w:p>
      <w:r>
        <w:t>│  ┌─────────────────────────┐   ┌─────────────────────────┐        │</w:t>
      </w:r>
    </w:p>
    <w:p>
      <w:r>
        <w:t>│  │      NO ALERT          │   │       ALERT            │        │</w:t>
      </w:r>
    </w:p>
    <w:p>
      <w:r>
        <w:t>│  │  ┌───────────────────┐  │   │  ┌───────────────────┐  │        │</w:t>
      </w:r>
    </w:p>
    <w:p>
      <w:r>
        <w:t>│  │  │ • Process          │  │   │  │ • Review          │  │        │</w:t>
      </w:r>
    </w:p>
    <w:p>
      <w:r>
        <w:t>│  │  │   transaction      │  │   │  │ • Investigate     │  │        │</w:t>
      </w:r>
    </w:p>
    <w:p>
      <w:r>
        <w:t>│  │  │ • Log activity     │  │   │  │ • Escalate        │  │        │</w:t>
      </w:r>
    </w:p>
    <w:p>
      <w:r>
        <w:t>│  │  │ • Continue         │  │   │  │ • Report          │  │        │</w:t>
      </w:r>
    </w:p>
    <w:p>
      <w:r>
        <w:t>│  │  │   monitoring       │  │   │  │                    │  │        │</w:t>
      </w:r>
    </w:p>
    <w:p>
      <w:r>
        <w:t>│  │  └───────────────────┘  │   │  └───────────────────┘  │        │</w:t>
      </w:r>
    </w:p>
    <w:p>
      <w:r>
        <w:t>│  └─────────────────────────┘   └─────────────────────────┘        │</w:t>
      </w:r>
    </w:p>
    <w:p>
      <w:r>
        <w:t>└─────────────────────────────────────────────────────────────────────┘</w:t>
      </w:r>
    </w:p>
    <w:p>
      <w:r>
        <w:t>Monitoring Rules</w:t>
      </w:r>
    </w:p>
    <w:p>
      <w:r>
        <w:t>What This Means in Practice:</w:t>
      </w:r>
    </w:p>
    <w:p>
      <w:r>
        <w:t>Transactions are monitored against defined rules</w:t>
      </w:r>
    </w:p>
    <w:p>
      <w:r>
        <w:t>Large transactions trigger review</w:t>
      </w:r>
    </w:p>
    <w:p>
      <w:r>
        <w:t>Frequent transactions trigger review</w:t>
      </w:r>
    </w:p>
    <w:p>
      <w:r>
        <w:t>Risky counterparties trigger review</w:t>
      </w:r>
    </w:p>
    <w:p>
      <w:r>
        <w:t>Unusual patterns trigger investigation</w:t>
      </w:r>
    </w:p>
    <w:p>
      <w:r>
        <w:t>Example:</w:t>
      </w:r>
    </w:p>
    <w:p>
      <w:r>
        <w:t>A participant submits five transactions of $200,000 each in one day. The transaction size rule triggers a review. The frequency rule also triggers. The Compliance team investigates. The transactions are legitimate. The participant is cleared.</w:t>
      </w:r>
    </w:p>
    <w:p>
      <w:r>
        <w:t>Why This Matters:</w:t>
      </w:r>
    </w:p>
    <w:p>
      <w:r>
        <w:t>Rules catch suspicious activity</w:t>
      </w:r>
    </w:p>
    <w:p>
      <w:r>
        <w:t>Multiple rules provide comprehensive coverage</w:t>
      </w:r>
    </w:p>
    <w:p>
      <w:r>
        <w:t>Manual review ensures fairness</w:t>
      </w:r>
    </w:p>
    <w:p>
      <w:r>
        <w:t>Investigation ensures accuracy</w:t>
      </w:r>
    </w:p>
    <w:p>
      <w:r>
        <w:t>Suspicious Activity Reporting</w:t>
      </w:r>
    </w:p>
    <w:p>
      <w:r>
        <w:t>Step 1: Detection</w:t>
      </w:r>
    </w:p>
    <w:p>
      <w:r>
        <w:t>Suspicious activity is detected</w:t>
      </w:r>
    </w:p>
    <w:p>
      <w:r>
        <w:t>Alert is generated</w:t>
      </w:r>
    </w:p>
    <w:p>
      <w:r>
        <w:t>Activity is flagged for review</w:t>
      </w:r>
    </w:p>
    <w:p>
      <w:r>
        <w:t>Step 2: Investigation</w:t>
      </w:r>
    </w:p>
    <w:p>
      <w:r>
        <w:t>Compliance team investigates</w:t>
      </w:r>
    </w:p>
    <w:p>
      <w:r>
        <w:t>Gather additional information</w:t>
      </w:r>
    </w:p>
    <w:p>
      <w:r>
        <w:t>Document findings</w:t>
      </w:r>
    </w:p>
    <w:p>
      <w:r>
        <w:t>Step 3: Decision</w:t>
      </w:r>
    </w:p>
    <w:p>
      <w:r>
        <w:t>Determine if suspicious activity is legitimate or suspicious</w:t>
      </w:r>
    </w:p>
    <w:p>
      <w:r>
        <w:t>If legitimate: clear and document</w:t>
      </w:r>
    </w:p>
    <w:p>
      <w:r>
        <w:t>If suspicious: file SAR</w:t>
      </w:r>
    </w:p>
    <w:p>
      <w:r>
        <w:t>Step 4: Filing</w:t>
      </w:r>
    </w:p>
    <w:p>
      <w:r>
        <w:t>Prepare Suspicious Activity Report (SAR)</w:t>
      </w:r>
    </w:p>
    <w:p>
      <w:r>
        <w:t>File with relevant Financial Intelligence Unit (FIU)</w:t>
      </w:r>
    </w:p>
    <w:p>
      <w:r>
        <w:t>Document filing</w:t>
      </w:r>
    </w:p>
    <w:p>
      <w:r>
        <w:t>Step 5: Follow Up</w:t>
      </w:r>
    </w:p>
    <w:p>
      <w:r>
        <w:t>Monitor for additional activity</w:t>
      </w:r>
    </w:p>
    <w:p>
      <w:r>
        <w:t>Cooperate with law enforcement if needed</w:t>
      </w:r>
    </w:p>
    <w:p>
      <w:r>
        <w:t>Maintain records</w:t>
      </w:r>
    </w:p>
    <w:p>
      <w:r>
        <w:t>STR/SAR Report Template</w:t>
      </w:r>
    </w:p>
    <w:p>
      <w:r>
        <w:t>Regulatory Reporting Operations</w:t>
      </w:r>
    </w:p>
    <w:p>
      <w:r>
        <w:t>Reporting Requirements</w:t>
      </w:r>
    </w:p>
    <w:p>
      <w:r>
        <w:t>Monthly Compliance Report</w:t>
      </w:r>
    </w:p>
    <w:p>
      <w:r>
        <w:t>Content:</w:t>
      </w:r>
    </w:p>
    <w:p>
      <w:r>
        <w:t>Executive Summary</w:t>
      </w:r>
    </w:p>
    <w:p>
      <w:r>
        <w:t>KYC/KYB Activity</w:t>
      </w:r>
    </w:p>
    <w:p>
      <w:r>
        <w:t>New participants onboarded</w:t>
      </w:r>
    </w:p>
    <w:p>
      <w:r>
        <w:t>Participants reviewed</w:t>
      </w:r>
    </w:p>
    <w:p>
      <w:r>
        <w:t>Participants rejected</w:t>
      </w:r>
    </w:p>
    <w:p>
      <w:r>
        <w:t>Sanctions Screening Activity</w:t>
      </w:r>
    </w:p>
    <w:p>
      <w:r>
        <w:t>Screening volume</w:t>
      </w:r>
    </w:p>
    <w:p>
      <w:r>
        <w:t>Matches found</w:t>
      </w:r>
    </w:p>
    <w:p>
      <w:r>
        <w:t>Matches resolved</w:t>
      </w:r>
    </w:p>
    <w:p>
      <w:r>
        <w:t>Transaction Monitoring Activity</w:t>
      </w:r>
    </w:p>
    <w:p>
      <w:r>
        <w:t>Transaction volume</w:t>
      </w:r>
    </w:p>
    <w:p>
      <w:r>
        <w:t>Alerts generated</w:t>
      </w:r>
    </w:p>
    <w:p>
      <w:r>
        <w:t>Alerts resolved</w:t>
      </w:r>
    </w:p>
    <w:p>
      <w:r>
        <w:t>Suspicious Activity Reporting</w:t>
      </w:r>
    </w:p>
    <w:p>
      <w:r>
        <w:t>SARs filed</w:t>
      </w:r>
    </w:p>
    <w:p>
      <w:r>
        <w:t>SARs under investigation</w:t>
      </w:r>
    </w:p>
    <w:p>
      <w:r>
        <w:t>Regulatory Updates</w:t>
      </w:r>
    </w:p>
    <w:p>
      <w:r>
        <w:t>New regulations</w:t>
      </w:r>
    </w:p>
    <w:p>
      <w:r>
        <w:t>Regulatory changes</w:t>
      </w:r>
    </w:p>
    <w:p>
      <w:r>
        <w:t>Compliance Issues</w:t>
      </w:r>
    </w:p>
    <w:p>
      <w:r>
        <w:t>Issues identified</w:t>
      </w:r>
    </w:p>
    <w:p>
      <w:r>
        <w:t>Issues resolved</w:t>
      </w:r>
    </w:p>
    <w:p>
      <w:r>
        <w:t>Recommendations</w:t>
      </w:r>
    </w:p>
    <w:p>
      <w:r>
        <w:t>Improvement actions</w:t>
      </w:r>
    </w:p>
    <w:p>
      <w:r>
        <w:t>Timeline</w:t>
      </w:r>
    </w:p>
    <w:p>
      <w:r>
        <w:t>Regulatory Engagement</w:t>
      </w:r>
    </w:p>
    <w:p>
      <w:r>
        <w:t>Step 1: Identify Regulatory Requirements</w:t>
      </w:r>
    </w:p>
    <w:p>
      <w:r>
        <w:t>Identify applicable regulations</w:t>
      </w:r>
    </w:p>
    <w:p>
      <w:r>
        <w:t>Determine reporting requirements</w:t>
      </w:r>
    </w:p>
    <w:p>
      <w:r>
        <w:t>Identify responsible regulator</w:t>
      </w:r>
    </w:p>
    <w:p>
      <w:r>
        <w:t>Step 2: Prepare Reports</w:t>
      </w:r>
    </w:p>
    <w:p>
      <w:r>
        <w:t>Gather required information</w:t>
      </w:r>
    </w:p>
    <w:p>
      <w:r>
        <w:t>Prepare report per regulator requirements</w:t>
      </w:r>
    </w:p>
    <w:p>
      <w:r>
        <w:t>Review for accuracy</w:t>
      </w:r>
    </w:p>
    <w:p>
      <w:r>
        <w:t>Step 3: File Reports</w:t>
      </w:r>
    </w:p>
    <w:p>
      <w:r>
        <w:t>File report with regulator</w:t>
      </w:r>
    </w:p>
    <w:p>
      <w:r>
        <w:t>Confirm receipt</w:t>
      </w:r>
    </w:p>
    <w:p>
      <w:r>
        <w:t>Retain confirmation</w:t>
      </w:r>
    </w:p>
    <w:p>
      <w:r>
        <w:t>Step 4: Respond to Inquiries</w:t>
      </w:r>
    </w:p>
    <w:p>
      <w:r>
        <w:t>Respond to regulatory inquiries promptly</w:t>
      </w:r>
    </w:p>
    <w:p>
      <w:r>
        <w:t>Provide required information</w:t>
      </w:r>
    </w:p>
    <w:p>
      <w:r>
        <w:t>Address concerns</w:t>
      </w:r>
    </w:p>
    <w:p>
      <w:r>
        <w:t>Step 5: Track Changes</w:t>
      </w:r>
    </w:p>
    <w:p>
      <w:r>
        <w:t>Monitor regulatory changes</w:t>
      </w:r>
    </w:p>
    <w:p>
      <w:r>
        <w:t>Assess impact</w:t>
      </w:r>
    </w:p>
    <w:p>
      <w:r>
        <w:t>Implement changes</w:t>
      </w:r>
    </w:p>
    <w:p>
      <w:r>
        <w:t>Data Protection Operations</w:t>
      </w:r>
    </w:p>
    <w:p>
      <w:r>
        <w:t>Data Protection Requirements</w:t>
      </w:r>
    </w:p>
    <w:p>
      <w:r>
        <w:t>Data Subject Request Procedure</w:t>
      </w:r>
    </w:p>
    <w:p>
      <w:r>
        <w:t>Step 1: Request Receipt</w:t>
      </w:r>
    </w:p>
    <w:p>
      <w:r>
        <w:t>Participant submits data subject request</w:t>
      </w:r>
    </w:p>
    <w:p>
      <w:r>
        <w:t>Request is logged</w:t>
      </w:r>
    </w:p>
    <w:p>
      <w:r>
        <w:t>Identity is verified</w:t>
      </w:r>
    </w:p>
    <w:p>
      <w:r>
        <w:t>Step 2: Request Assessment</w:t>
      </w:r>
    </w:p>
    <w:p>
      <w:r>
        <w:t>Assess request type (access, correction, deletion, portability)</w:t>
      </w:r>
    </w:p>
    <w:p>
      <w:r>
        <w:t>Determine response timeline</w:t>
      </w:r>
    </w:p>
    <w:p>
      <w:r>
        <w:t>Identify required data</w:t>
      </w:r>
    </w:p>
    <w:p>
      <w:r>
        <w:t>Step 3: Response Preparation</w:t>
      </w:r>
    </w:p>
    <w:p>
      <w:r>
        <w:t>Gather required data</w:t>
      </w:r>
    </w:p>
    <w:p>
      <w:r>
        <w:t>Prepare response</w:t>
      </w:r>
    </w:p>
    <w:p>
      <w:r>
        <w:t>Review for accuracy and compliance</w:t>
      </w:r>
    </w:p>
    <w:p>
      <w:r>
        <w:t>Step 4: Response Delivery</w:t>
      </w:r>
    </w:p>
    <w:p>
      <w:r>
        <w:t>Deliver response to participant</w:t>
      </w:r>
    </w:p>
    <w:p>
      <w:r>
        <w:t>Confirm receipt</w:t>
      </w:r>
    </w:p>
    <w:p>
      <w:r>
        <w:t>Document completion</w:t>
      </w:r>
    </w:p>
    <w:p>
      <w:r>
        <w:t>Step 5: Record Keeping</w:t>
      </w:r>
    </w:p>
    <w:p>
      <w:r>
        <w:t>Record request and response</w:t>
      </w:r>
    </w:p>
    <w:p>
      <w:r>
        <w:t>Retain records as required</w:t>
      </w:r>
    </w:p>
    <w:p>
      <w:r>
        <w:t>Archive upon completion</w:t>
      </w:r>
    </w:p>
    <w:p>
      <w:r>
        <w:t>Data Breach Notification</w:t>
      </w:r>
    </w:p>
    <w:p>
      <w:r>
        <w:t>Step 1: Detection</w:t>
      </w:r>
    </w:p>
    <w:p>
      <w:r>
        <w:t>Data breach is detected</w:t>
      </w:r>
    </w:p>
    <w:p>
      <w:r>
        <w:t>Incident is logged</w:t>
      </w:r>
    </w:p>
    <w:p>
      <w:r>
        <w:t>Security team is notified</w:t>
      </w:r>
    </w:p>
    <w:p>
      <w:r>
        <w:t>Step 2: Investigation</w:t>
      </w:r>
    </w:p>
    <w:p>
      <w:r>
        <w:t>Investigate breach</w:t>
      </w:r>
    </w:p>
    <w:p>
      <w:r>
        <w:t>Assess impact</w:t>
      </w:r>
    </w:p>
    <w:p>
      <w:r>
        <w:t>Identify affected data</w:t>
      </w:r>
    </w:p>
    <w:p>
      <w:r>
        <w:t>Step 3: Containment</w:t>
      </w:r>
    </w:p>
    <w:p>
      <w:r>
        <w:t>Contain the breach</w:t>
      </w:r>
    </w:p>
    <w:p>
      <w:r>
        <w:t>Prevent further data loss</w:t>
      </w:r>
    </w:p>
    <w:p>
      <w:r>
        <w:t>Secure systems</w:t>
      </w:r>
    </w:p>
    <w:p>
      <w:r>
        <w:t>Step 4: Notification</w:t>
      </w:r>
    </w:p>
    <w:p>
      <w:r>
        <w:t>Notify affected participants</w:t>
      </w:r>
    </w:p>
    <w:p>
      <w:r>
        <w:t>Notify regulators</w:t>
      </w:r>
    </w:p>
    <w:p>
      <w:r>
        <w:t>File required reports</w:t>
      </w:r>
    </w:p>
    <w:p>
      <w:r>
        <w:t>Step 5: Remediation</w:t>
      </w:r>
    </w:p>
    <w:p>
      <w:r>
        <w:t>Remediate the breach</w:t>
      </w:r>
    </w:p>
    <w:p>
      <w:r>
        <w:t>Implement improvements</w:t>
      </w:r>
    </w:p>
    <w:p>
      <w:r>
        <w:t>Document actions</w:t>
      </w:r>
    </w:p>
    <w:p>
      <w:r>
        <w:t>Compliance Documentation</w:t>
      </w:r>
    </w:p>
    <w:p>
      <w:r>
        <w:t>Compliance Records</w:t>
      </w:r>
    </w:p>
    <w:p>
      <w:r>
        <w:t>Compliance Audit</w:t>
      </w:r>
    </w:p>
    <w:p>
      <w:r>
        <w:t>Step 1: Audit Planning</w:t>
      </w:r>
    </w:p>
    <w:p>
      <w:r>
        <w:t>Define audit scope</w:t>
      </w:r>
    </w:p>
    <w:p>
      <w:r>
        <w:t>Identify audit period</w:t>
      </w:r>
    </w:p>
    <w:p>
      <w:r>
        <w:t>Select audit team</w:t>
      </w:r>
    </w:p>
    <w:p>
      <w:r>
        <w:t>Step 2: Audit Execution</w:t>
      </w:r>
    </w:p>
    <w:p>
      <w:r>
        <w:t>Review compliance procedures</w:t>
      </w:r>
    </w:p>
    <w:p>
      <w:r>
        <w:t>Test compliance controls</w:t>
      </w:r>
    </w:p>
    <w:p>
      <w:r>
        <w:t>Interview compliance staff</w:t>
      </w:r>
    </w:p>
    <w:p>
      <w:r>
        <w:t>Step 3: Audit Findings</w:t>
      </w:r>
    </w:p>
    <w:p>
      <w:r>
        <w:t>Identify compliance gaps</w:t>
      </w:r>
    </w:p>
    <w:p>
      <w:r>
        <w:t>Document findings</w:t>
      </w:r>
    </w:p>
    <w:p>
      <w:r>
        <w:t>Prioritize findings</w:t>
      </w:r>
    </w:p>
    <w:p>
      <w:r>
        <w:t>Step 4: Remediation</w:t>
      </w:r>
    </w:p>
    <w:p>
      <w:r>
        <w:t>Develop remediation plan</w:t>
      </w:r>
    </w:p>
    <w:p>
      <w:r>
        <w:t>Implement fixes</w:t>
      </w:r>
    </w:p>
    <w:p>
      <w:r>
        <w:t>Verify remediation</w:t>
      </w:r>
    </w:p>
    <w:p>
      <w:r>
        <w:t>Step 5: Reporting</w:t>
      </w:r>
    </w:p>
    <w:p>
      <w:r>
        <w:t>Prepare audit report</w:t>
      </w:r>
    </w:p>
    <w:p>
      <w:r>
        <w:t>Submit to Council</w:t>
      </w:r>
    </w:p>
    <w:p>
      <w:r>
        <w:t>Publish (as appropriate)</w:t>
      </w:r>
    </w:p>
    <w:p>
      <w:r>
        <w:t>Compliance Training</w:t>
      </w:r>
    </w:p>
    <w:p>
      <w:r>
        <w:t>Training Programs</w:t>
      </w:r>
    </w:p>
    <w:p>
      <w:r>
        <w:t>Training Content</w:t>
      </w:r>
    </w:p>
    <w:p>
      <w:r>
        <w:t>AML/CFT Training:</w:t>
      </w:r>
    </w:p>
    <w:p>
      <w:r>
        <w:t>Regulatory requirements</w:t>
      </w:r>
    </w:p>
    <w:p>
      <w:r>
        <w:t>AML/CFT procedures</w:t>
      </w:r>
    </w:p>
    <w:p>
      <w:r>
        <w:t>Transaction monitoring</w:t>
      </w:r>
    </w:p>
    <w:p>
      <w:r>
        <w:t>Suspicious activity detection</w:t>
      </w:r>
    </w:p>
    <w:p>
      <w:r>
        <w:t>SAR filing</w:t>
      </w:r>
    </w:p>
    <w:p>
      <w:r>
        <w:t>Case studies</w:t>
      </w:r>
    </w:p>
    <w:p>
      <w:r>
        <w:t>Sanctions Training:</w:t>
      </w:r>
    </w:p>
    <w:p>
      <w:r>
        <w:t>Sanctions regimes</w:t>
      </w:r>
    </w:p>
    <w:p>
      <w:r>
        <w:t>Screening procedures</w:t>
      </w:r>
    </w:p>
    <w:p>
      <w:r>
        <w:t>Match handling</w:t>
      </w:r>
    </w:p>
    <w:p>
      <w:r>
        <w:t>Reporting requirements</w:t>
      </w:r>
    </w:p>
    <w:p>
      <w:r>
        <w:t>Case studies</w:t>
      </w:r>
    </w:p>
    <w:p>
      <w:r>
        <w:t>Data Protection Training:</w:t>
      </w:r>
    </w:p>
    <w:p>
      <w:r>
        <w:t>Data protection principles</w:t>
      </w:r>
    </w:p>
    <w:p>
      <w:r>
        <w:t>Privacy policies</w:t>
      </w:r>
    </w:p>
    <w:p>
      <w:r>
        <w:t>Data subject rights</w:t>
      </w:r>
    </w:p>
    <w:p>
      <w:r>
        <w:t>Data breach procedures</w:t>
      </w:r>
    </w:p>
    <w:p>
      <w:r>
        <w:t>Case studies</w:t>
      </w:r>
    </w:p>
    <w:p>
      <w:r>
        <w:t>Summary Table</w:t>
      </w:r>
    </w:p>
    <w:p>
      <w:r>
        <w:t>Constitutional Interpretation</w:t>
      </w:r>
    </w:p>
    <w:p>
      <w:r>
        <w:t>Compliance Execution establishes the operational framework for regulatory compliance:</w:t>
      </w:r>
    </w:p>
    <w:p>
      <w:r>
        <w:t>KYC/KYB verification ensures participant identity and legitimacy</w:t>
      </w:r>
    </w:p>
    <w:p>
      <w:r>
        <w:t>Sanctions screening prevents prohibited transactions</w:t>
      </w:r>
    </w:p>
    <w:p>
      <w:r>
        <w:t>Transaction monitoring detects suspicious activity</w:t>
      </w:r>
    </w:p>
    <w:p>
      <w:r>
        <w:t>Suspicious activity reporting ensures regulatory notification</w:t>
      </w:r>
    </w:p>
    <w:p>
      <w:r>
        <w:t>Regulatory reporting maintains regulatory compliance</w:t>
      </w:r>
    </w:p>
    <w:p>
      <w:r>
        <w:t>Data protection protects participant privacy</w:t>
      </w:r>
    </w:p>
    <w:p>
      <w:r>
        <w:t>Compliance audits ensure ongoing effectiveness</w:t>
      </w:r>
    </w:p>
    <w:p>
      <w:r>
        <w:t>Training maintains staff competence</w:t>
      </w:r>
    </w:p>
    <w:p>
      <w:r>
        <w:t>Compliance execution is essential to institutional legitimacy. It ensures the Institution operates within the law, protects participants, and maintains regulatory approval.</w:t>
      </w:r>
    </w:p>
    <w:p>
      <w:r>
        <w:t>[END OF PART 5, ARTICLE IV — COMPLIANCE EXECUTION]</w:t>
      </w:r>
    </w:p>
    <w:p>
      <w:r>
        <w:t>Article V: Technical Operations</w:t>
      </w:r>
    </w:p>
    <w:p>
      <w:r>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r>
        <w:t>What This Means in Practice:</w:t>
      </w:r>
    </w:p>
    <w:p>
      <w:r>
        <w:t>Systems are monitored 24/7 for availability and performance</w:t>
      </w:r>
    </w:p>
    <w:p>
      <w:r>
        <w:t>Incidents are detected, triaged, and resolved promptly</w:t>
      </w:r>
    </w:p>
    <w:p>
      <w:r>
        <w:t>Maintenance is performed regularly and safely</w:t>
      </w:r>
    </w:p>
    <w:p>
      <w:r>
        <w:t>Capacity is planned and scaled appropriately</w:t>
      </w:r>
    </w:p>
    <w:p>
      <w:r>
        <w:t>Security is continuously monitored and maintained</w:t>
      </w:r>
    </w:p>
    <w:p>
      <w:r>
        <w:t>Changes are managed through defined procedures</w:t>
      </w:r>
    </w:p>
    <w:p>
      <w:r>
        <w:t>Example:</w:t>
      </w:r>
    </w:p>
    <w:p>
      <w:r>
        <w:t>The Technical Operations team monitors the API gateway. An alert indicates increased latency. The team investigates, identifies a bottleneck, and scales up the affected service. The latency returns to normal. The team documents the incident and updates the runbook.</w:t>
      </w:r>
    </w:p>
    <w:p>
      <w:r>
        <w:t>Why This Matters:</w:t>
      </w:r>
    </w:p>
    <w:p>
      <w:r>
        <w:t>Without Technical Operations, systems would fail without warning</w:t>
      </w:r>
    </w:p>
    <w:p>
      <w:r>
        <w:t>Without Technical Operations, incidents would go unresolved</w:t>
      </w:r>
    </w:p>
    <w:p>
      <w:r>
        <w:t>Without Technical Operations, maintenance would be ad hoc</w:t>
      </w:r>
    </w:p>
    <w:p>
      <w:r>
        <w:t>Without Technical Operations, capacity would be insufficient</w:t>
      </w:r>
    </w:p>
    <w:p>
      <w:r>
        <w:t>Technical Operations ensures the Institution's technical foundation remains reliable</w:t>
      </w:r>
    </w:p>
    <w:p>
      <w:r>
        <w:t>Core Principles of Technical Operations</w:t>
      </w:r>
    </w:p>
    <w:p>
      <w:pPr>
        <w:pStyle w:val="ListNumber"/>
        <w:ind w:left="425"/>
      </w:pPr>
      <w:r>
        <w:t>Reliability</w:t>
      </w:r>
    </w:p>
    <w:p>
      <w:r>
        <w:t>Technical operations ensure system reliability.</w:t>
      </w:r>
    </w:p>
    <w:p>
      <w:r>
        <w:t>What This Means in Practice:</w:t>
      </w:r>
    </w:p>
    <w:p>
      <w:r>
        <w:t>Systems are available when needed (99.99%+ uptime)</w:t>
      </w:r>
    </w:p>
    <w:p>
      <w:r>
        <w:t>Systems perform as expected</w:t>
      </w:r>
    </w:p>
    <w:p>
      <w:r>
        <w:t>Systems recover from failures</w:t>
      </w:r>
    </w:p>
    <w:p>
      <w:r>
        <w:t>Reliability is measured and improved</w:t>
      </w:r>
    </w:p>
    <w:p>
      <w:r>
        <w:t>Example:</w:t>
      </w:r>
    </w:p>
    <w:p>
      <w:r>
        <w:t>The Technical Operations team monitors system uptime continuously. Uptime is maintained at 99.995%. When a failure occurs, recovery is initiated immediately. Reliability metrics are tracked and reported.</w:t>
      </w:r>
    </w:p>
    <w:p>
      <w:r>
        <w:t>Why This Matters:</w:t>
      </w:r>
    </w:p>
    <w:p>
      <w:r>
        <w:t>Reliability builds trust</w:t>
      </w:r>
    </w:p>
    <w:p>
      <w:r>
        <w:t>Downtime undermines confidence</w:t>
      </w:r>
    </w:p>
    <w:p>
      <w:r>
        <w:t>Performance affects user experience</w:t>
      </w:r>
    </w:p>
    <w:p>
      <w:r>
        <w:t>Recovery ensures continuity</w:t>
      </w:r>
    </w:p>
    <w:p>
      <w:pPr>
        <w:pStyle w:val="ListNumber"/>
        <w:ind w:left="425"/>
      </w:pPr>
      <w:r>
        <w:t>Security</w:t>
      </w:r>
    </w:p>
    <w:p>
      <w:r>
        <w:t>Technical operations maintain security.</w:t>
      </w:r>
    </w:p>
    <w:p>
      <w:r>
        <w:t>What This Means in Practice:</w:t>
      </w:r>
    </w:p>
    <w:p>
      <w:r>
        <w:t>Systems are patched and updated</w:t>
      </w:r>
    </w:p>
    <w:p>
      <w:r>
        <w:t>Vulnerabilities are identified and addressed</w:t>
      </w:r>
    </w:p>
    <w:p>
      <w:r>
        <w:t>Security monitoring is continuous</w:t>
      </w:r>
    </w:p>
    <w:p>
      <w:r>
        <w:t>Incidents are handled promptly</w:t>
      </w:r>
    </w:p>
    <w:p>
      <w:r>
        <w:t>Example:</w:t>
      </w:r>
    </w:p>
    <w:p>
      <w:r>
        <w:t>The Technical Operations team applies security patches monthly. Vulnerability scans identify issues. Security monitoring detects threats. Incidents are handled according to defined procedures.</w:t>
      </w:r>
    </w:p>
    <w:p>
      <w:r>
        <w:t>Why This Matters:</w:t>
      </w:r>
    </w:p>
    <w:p>
      <w:r>
        <w:t>Security prevents breaches</w:t>
      </w:r>
    </w:p>
    <w:p>
      <w:r>
        <w:t>Patching addresses vulnerabilities</w:t>
      </w:r>
    </w:p>
    <w:p>
      <w:r>
        <w:t>Monitoring detects threats</w:t>
      </w:r>
    </w:p>
    <w:p>
      <w:r>
        <w:t>Incident handling contains breaches</w:t>
      </w:r>
    </w:p>
    <w:p>
      <w:pPr>
        <w:pStyle w:val="ListNumber"/>
        <w:ind w:left="425"/>
      </w:pPr>
      <w:r>
        <w:t>Scalability</w:t>
      </w:r>
    </w:p>
    <w:p>
      <w:r>
        <w:t>Technical operations ensure scalability.</w:t>
      </w:r>
    </w:p>
    <w:p>
      <w:r>
        <w:t>What This Means in Practice:</w:t>
      </w:r>
    </w:p>
    <w:p>
      <w:r>
        <w:t>Capacity is monitored</w:t>
      </w:r>
    </w:p>
    <w:p>
      <w:r>
        <w:t>Resources are scaled as needed</w:t>
      </w:r>
    </w:p>
    <w:p>
      <w:r>
        <w:t>Performance is maintained under load</w:t>
      </w:r>
    </w:p>
    <w:p>
      <w:r>
        <w:t>Scalability is tested regularly</w:t>
      </w:r>
    </w:p>
    <w:p>
      <w:r>
        <w:t>Example:</w:t>
      </w:r>
    </w:p>
    <w:p>
      <w:r>
        <w:t>The Technical Operations team monitors resource utilization. When utilization reaches 70%, additional capacity is provisioned. Performance is maintained under increasing load. Scalability tests are conducted quarterly.</w:t>
      </w:r>
    </w:p>
    <w:p>
      <w:r>
        <w:t>Why This Matters:</w:t>
      </w:r>
    </w:p>
    <w:p>
      <w:r>
        <w:t>Scalability supports growth</w:t>
      </w:r>
    </w:p>
    <w:p>
      <w:r>
        <w:t>Performance prevents degradation</w:t>
      </w:r>
    </w:p>
    <w:p>
      <w:r>
        <w:t>Capacity planning prevents shortages</w:t>
      </w:r>
    </w:p>
    <w:p>
      <w:r>
        <w:t>Testing validates scalability</w:t>
      </w:r>
    </w:p>
    <w:p>
      <w:pPr>
        <w:pStyle w:val="ListNumber"/>
        <w:ind w:left="425"/>
      </w:pPr>
      <w:r>
        <w:t>Efficiency</w:t>
      </w:r>
    </w:p>
    <w:p>
      <w:r>
        <w:t>Technical operations are efficient.</w:t>
      </w:r>
    </w:p>
    <w:p>
      <w:r>
        <w:t>What This Means in Practice:</w:t>
      </w:r>
    </w:p>
    <w:p>
      <w:r>
        <w:t>Processes are optimized</w:t>
      </w:r>
    </w:p>
    <w:p>
      <w:r>
        <w:t>Automation is used where possible</w:t>
      </w:r>
    </w:p>
    <w:p>
      <w:r>
        <w:t>Resources are utilized effectively</w:t>
      </w:r>
    </w:p>
    <w:p>
      <w:r>
        <w:t>Costs are controlled</w:t>
      </w:r>
    </w:p>
    <w:p>
      <w:r>
        <w:t>Example:</w:t>
      </w:r>
    </w:p>
    <w:p>
      <w:r>
        <w:t>The Technical Operations team automates routine maintenance tasks. Resources are utilized effectively. Costs are monitored and controlled. Processes are optimized.</w:t>
      </w:r>
    </w:p>
    <w:p>
      <w:r>
        <w:t>Why This Matters:</w:t>
      </w:r>
    </w:p>
    <w:p>
      <w:r>
        <w:t>Efficiency reduces costs</w:t>
      </w:r>
    </w:p>
    <w:p>
      <w:r>
        <w:t>Automation reduces errors</w:t>
      </w:r>
    </w:p>
    <w:p>
      <w:r>
        <w:t>Optimization improves performance</w:t>
      </w:r>
    </w:p>
    <w:p>
      <w:r>
        <w:t>Cost control ensures sustainability</w:t>
      </w:r>
    </w:p>
    <w:p>
      <w:pPr>
        <w:pStyle w:val="ListNumber"/>
        <w:ind w:left="425"/>
      </w:pPr>
      <w:r>
        <w:t>Continuous Improvement</w:t>
      </w:r>
    </w:p>
    <w:p>
      <w:r>
        <w:t>Technical operations are continuously improved.</w:t>
      </w:r>
    </w:p>
    <w:p>
      <w:r>
        <w:t>What This Means in Practice:</w:t>
      </w:r>
    </w:p>
    <w:p>
      <w:r>
        <w:t>Incidents are reviewed</w:t>
      </w:r>
    </w:p>
    <w:p>
      <w:r>
        <w:t>Lessons are learned</w:t>
      </w:r>
    </w:p>
    <w:p>
      <w:r>
        <w:t>Procedures are updated</w:t>
      </w:r>
    </w:p>
    <w:p>
      <w:r>
        <w:t>Systems are enhanced</w:t>
      </w:r>
    </w:p>
    <w:p>
      <w:r>
        <w:t>Example:</w:t>
      </w:r>
    </w:p>
    <w:p>
      <w:r>
        <w:t>After each incident, the Technical Operations team conducts a post-mortem. Lessons are documented. Procedures are updated. Systems are enhanced. Continuous improvement is maintained.</w:t>
      </w:r>
    </w:p>
    <w:p>
      <w:r>
        <w:t>Why This Matters:</w:t>
      </w:r>
    </w:p>
    <w:p>
      <w:r>
        <w:t>Improvement prevents recurrence</w:t>
      </w:r>
    </w:p>
    <w:p>
      <w:r>
        <w:t>Learning builds expertise</w:t>
      </w:r>
    </w:p>
    <w:p>
      <w:r>
        <w:t>Updates maintain relevance</w:t>
      </w:r>
    </w:p>
    <w:p>
      <w:r>
        <w:t>Enhancement improves performance</w:t>
      </w:r>
    </w:p>
    <w:p>
      <w:r>
        <w:t>System Monitoring</w:t>
      </w:r>
    </w:p>
    <w:p>
      <w:r>
        <w:t>Monitoring Scope</w:t>
      </w:r>
    </w:p>
    <w:p>
      <w:r>
        <w:t>What This Means in Practice:</w:t>
      </w:r>
    </w:p>
    <w:p>
      <w:r>
        <w:t>All critical components are monitored</w:t>
      </w:r>
    </w:p>
    <w:p>
      <w:r>
        <w:t>Metrics are collected and analyzed</w:t>
      </w:r>
    </w:p>
    <w:p>
      <w:r>
        <w:t>Alerts are triggered by threshold breaches</w:t>
      </w:r>
    </w:p>
    <w:p>
      <w:r>
        <w:t>Dashboards provide visibility</w:t>
      </w:r>
    </w:p>
    <w:p>
      <w:r>
        <w:t>Example:</w:t>
      </w:r>
    </w:p>
    <w:p>
      <w:r>
        <w:t>The Technical Operations team monitors API latency, error rates, and throughput. Databases are monitored for connections, query time, and storage. Infrastructure metrics include CPU, memory, disk, and network utilization. All components are monitored continuously.</w:t>
      </w:r>
    </w:p>
    <w:p>
      <w:r>
        <w:t>Why This Matters:</w:t>
      </w:r>
    </w:p>
    <w:p>
      <w:r>
        <w:t>Monitoring detects issues early</w:t>
      </w:r>
    </w:p>
    <w:p>
      <w:r>
        <w:t>Metrics provide visibility</w:t>
      </w:r>
    </w:p>
    <w:p>
      <w:r>
        <w:t>Alerts enable rapid response</w:t>
      </w:r>
    </w:p>
    <w:p>
      <w:r>
        <w:t>Dashboards support situational awareness</w:t>
      </w:r>
    </w:p>
    <w:p>
      <w:r>
        <w:t>Monitoring Tools</w:t>
      </w:r>
    </w:p>
    <w:p>
      <w:r>
        <w:t>What This Means in Practice:</w:t>
      </w:r>
    </w:p>
    <w:p>
      <w:r>
        <w:t>Multiple tools are used for comprehensive monitoring</w:t>
      </w:r>
    </w:p>
    <w:p>
      <w:r>
        <w:t>Metrics are collected from all systems</w:t>
      </w:r>
    </w:p>
    <w:p>
      <w:r>
        <w:t>Logs are aggregated for analysis</w:t>
      </w:r>
    </w:p>
    <w:p>
      <w:r>
        <w:t>Alerts are triggered and managed</w:t>
      </w:r>
    </w:p>
    <w:p>
      <w:r>
        <w:t>Example:</w:t>
      </w:r>
    </w:p>
    <w:p>
      <w:r>
        <w:t>Prometheus collects metrics from all systems. Grafana visualizes metrics in dashboards. ELK aggregates logs for analysis. PagerDuty manages alerts. CloudWatch monitors AWS infrastructure. All tools work together.</w:t>
      </w:r>
    </w:p>
    <w:p>
      <w:r>
        <w:t>Why This Matters:</w:t>
      </w:r>
    </w:p>
    <w:p>
      <w:r>
        <w:t>Comprehensive monitoring covers all systems</w:t>
      </w:r>
    </w:p>
    <w:p>
      <w:r>
        <w:t>Visualization provides situational awareness</w:t>
      </w:r>
    </w:p>
    <w:p>
      <w:r>
        <w:t>Log aggregation enables analysis</w:t>
      </w:r>
    </w:p>
    <w:p>
      <w:r>
        <w:t>Alerting enables rapid response</w:t>
      </w:r>
    </w:p>
    <w:p>
      <w:r>
        <w:t>Monitoring Dashboards</w:t>
      </w:r>
    </w:p>
    <w:p>
      <w:r>
        <w:t>What This Means in Practice:</w:t>
      </w:r>
    </w:p>
    <w:p>
      <w:r>
        <w:t>Dashboards provide visibility into system status</w:t>
      </w:r>
    </w:p>
    <w:p>
      <w:r>
        <w:t>Different dashboards serve different audiences</w:t>
      </w:r>
    </w:p>
    <w:p>
      <w:r>
        <w:t>Dashboards are updated in real-time</w:t>
      </w:r>
    </w:p>
    <w:p>
      <w:r>
        <w:t>Dashboards are accessible to appropriate teams</w:t>
      </w:r>
    </w:p>
    <w:p>
      <w:r>
        <w:t>Example:</w:t>
      </w:r>
    </w:p>
    <w:p>
      <w:r>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r>
        <w:t>Why This Matters:</w:t>
      </w:r>
    </w:p>
    <w:p>
      <w:r>
        <w:t>Visibility enables informed decision-making</w:t>
      </w:r>
    </w:p>
    <w:p>
      <w:r>
        <w:t>Real-time updates support rapid response</w:t>
      </w:r>
    </w:p>
    <w:p>
      <w:r>
        <w:t>Audience-specific dashboards ensure relevance</w:t>
      </w:r>
    </w:p>
    <w:p>
      <w:r>
        <w:t>Accessibility supports transparency</w:t>
      </w:r>
    </w:p>
    <w:p>
      <w:r>
        <w:t>Alerting</w:t>
      </w:r>
    </w:p>
    <w:p>
      <w:r>
        <w:t>What This Means in Practice:</w:t>
      </w:r>
    </w:p>
    <w:p>
      <w:r>
        <w:t>Alerts are triggered by defined conditions</w:t>
      </w:r>
    </w:p>
    <w:p>
      <w:r>
        <w:t>Severity determines response priority</w:t>
      </w:r>
    </w:p>
    <w:p>
      <w:r>
        <w:t>Escalation is automatic</w:t>
      </w:r>
    </w:p>
    <w:p>
      <w:r>
        <w:t>On-call engineers are notified</w:t>
      </w:r>
    </w:p>
    <w:p>
      <w:r>
        <w:t>Example:</w:t>
      </w:r>
    </w:p>
    <w:p>
      <w:r>
        <w:t>An alert indicates that API latency has exceeded 1 second. The alert is classified as High severity. The on-call engineer is notified within 5 minutes. The engineer investigates and resolves the issue. The alert is cleared.</w:t>
      </w:r>
    </w:p>
    <w:p>
      <w:r>
        <w:t>Why This Matters:</w:t>
      </w:r>
    </w:p>
    <w:p>
      <w:r>
        <w:t>Alerts enable rapid response</w:t>
      </w:r>
    </w:p>
    <w:p>
      <w:r>
        <w:t>Severity determines priority</w:t>
      </w:r>
    </w:p>
    <w:p>
      <w:r>
        <w:t>Escalation ensures attention</w:t>
      </w:r>
    </w:p>
    <w:p>
      <w:r>
        <w:t>On-call ensures coverage</w:t>
      </w:r>
    </w:p>
    <w:p>
      <w:r>
        <w:t>Incident Response</w:t>
      </w:r>
    </w:p>
    <w:p>
      <w:r>
        <w:t>Incident Classification</w:t>
      </w:r>
    </w:p>
    <w:p>
      <w:r>
        <w:t>What This Means in Practice:</w:t>
      </w:r>
    </w:p>
    <w:p>
      <w:r>
        <w:t>Incidents are classified by severity</w:t>
      </w:r>
    </w:p>
    <w:p>
      <w:r>
        <w:t>Response time is proportional to severity</w:t>
      </w:r>
    </w:p>
    <w:p>
      <w:r>
        <w:t>Resolution time is defined for each severity</w:t>
      </w:r>
    </w:p>
    <w:p>
      <w:r>
        <w:t>Classification is reviewed and updated</w:t>
      </w:r>
    </w:p>
    <w:p>
      <w:r>
        <w:t>Example:</w:t>
      </w:r>
    </w:p>
    <w:p>
      <w:r>
        <w:t>A Critical incident occurs: the API gateway is down. The response team is notified immediately. The team restores the gateway within 1 hour. The incident is resolved. A post-mortem is conducted.</w:t>
      </w:r>
    </w:p>
    <w:p>
      <w:r>
        <w:t>Why This Matters:</w:t>
      </w:r>
    </w:p>
    <w:p>
      <w:r>
        <w:t>Classification enables prioritization</w:t>
      </w:r>
    </w:p>
    <w:p>
      <w:r>
        <w:t>Defined response times ensure accountability</w:t>
      </w:r>
    </w:p>
    <w:p>
      <w:r>
        <w:t>Resolution times set expectations</w:t>
      </w:r>
    </w:p>
    <w:p>
      <w:r>
        <w:t>Post-mortems drive improvement</w:t>
      </w:r>
    </w:p>
    <w:p>
      <w:r>
        <w:t>Incident Response Procedure</w:t>
      </w:r>
    </w:p>
    <w:p>
      <w:r>
        <w:t>Step 1: Detection</w:t>
      </w:r>
    </w:p>
    <w:p>
      <w:r>
        <w:t>Alert is triggered</w:t>
      </w:r>
    </w:p>
    <w:p>
      <w:r>
        <w:t>Incident is logged</w:t>
      </w:r>
    </w:p>
    <w:p>
      <w:r>
        <w:t>Severity is assessed</w:t>
      </w:r>
    </w:p>
    <w:p>
      <w:r>
        <w:t>Step 2: Triage</w:t>
      </w:r>
    </w:p>
    <w:p>
      <w:r>
        <w:t>Incident team is notified</w:t>
      </w:r>
    </w:p>
    <w:p>
      <w:r>
        <w:t>Initial investigation begins</w:t>
      </w:r>
    </w:p>
    <w:p>
      <w:r>
        <w:t>Severity is confirmed</w:t>
      </w:r>
    </w:p>
    <w:p>
      <w:r>
        <w:t>Step 3: Response</w:t>
      </w:r>
    </w:p>
    <w:p>
      <w:r>
        <w:t>Appropriate response is executed</w:t>
      </w:r>
    </w:p>
    <w:p>
      <w:r>
        <w:t>Containment actions are taken</w:t>
      </w:r>
    </w:p>
    <w:p>
      <w:r>
        <w:t>Issue is investigated</w:t>
      </w:r>
    </w:p>
    <w:p>
      <w:r>
        <w:t>Step 4: Resolution</w:t>
      </w:r>
    </w:p>
    <w:p>
      <w:r>
        <w:t>Issue is resolved</w:t>
      </w:r>
    </w:p>
    <w:p>
      <w:r>
        <w:t>Systems are restored</w:t>
      </w:r>
    </w:p>
    <w:p>
      <w:r>
        <w:t>Verification is completed</w:t>
      </w:r>
    </w:p>
    <w:p>
      <w:r>
        <w:t>Step 5: Communication</w:t>
      </w:r>
    </w:p>
    <w:p>
      <w:r>
        <w:t>Stakeholders are notified</w:t>
      </w:r>
    </w:p>
    <w:p>
      <w:r>
        <w:t>Status updates are provided</w:t>
      </w:r>
    </w:p>
    <w:p>
      <w:r>
        <w:t>All-clear is issued</w:t>
      </w:r>
    </w:p>
    <w:p>
      <w:r>
        <w:t>Step 6: Post-Mortem</w:t>
      </w:r>
    </w:p>
    <w:p>
      <w:r>
        <w:t>Root cause is identified</w:t>
      </w:r>
    </w:p>
    <w:p>
      <w:r>
        <w:t>Lessons are documented</w:t>
      </w:r>
    </w:p>
    <w:p>
      <w:r>
        <w:t>Improvements are implemented</w:t>
      </w:r>
    </w:p>
    <w:p>
      <w:r>
        <w:t>Incident Communication</w:t>
      </w:r>
    </w:p>
    <w:p>
      <w:r>
        <w:t>What This Means in Practice:</w:t>
      </w:r>
    </w:p>
    <w:p>
      <w:r>
        <w:t>Communication is appropriate to incident severity</w:t>
      </w:r>
    </w:p>
    <w:p>
      <w:r>
        <w:t>Stakeholders are notified promptly</w:t>
      </w:r>
    </w:p>
    <w:p>
      <w:r>
        <w:t>Status updates are provided</w:t>
      </w:r>
    </w:p>
    <w:p>
      <w:r>
        <w:t>Communication is transparent</w:t>
      </w:r>
    </w:p>
    <w:p>
      <w:r>
        <w:t>Example:</w:t>
      </w:r>
    </w:p>
    <w:p>
      <w:r>
        <w:t>A Critical incident occurs. Internal team is notified immediately. The Council is notified within 1 hour. Participants are notified within 2 hours. Regulators are notified within 4 hours. A public statement is issued within 24 hours.</w:t>
      </w:r>
    </w:p>
    <w:p>
      <w:r>
        <w:t>Why This Matters:</w:t>
      </w:r>
    </w:p>
    <w:p>
      <w:r>
        <w:t>Timely communication builds trust</w:t>
      </w:r>
    </w:p>
    <w:p>
      <w:r>
        <w:t>Transparency maintains credibility</w:t>
      </w:r>
    </w:p>
    <w:p>
      <w:r>
        <w:t>Regulatory notification is mandatory</w:t>
      </w:r>
    </w:p>
    <w:p>
      <w:r>
        <w:t>Public statements manage reputation</w:t>
      </w:r>
    </w:p>
    <w:p>
      <w:r>
        <w:t>Post-Mortem Process</w:t>
      </w:r>
    </w:p>
    <w:p>
      <w:r>
        <w:t>Step 1: Data Collection</w:t>
      </w:r>
    </w:p>
    <w:p>
      <w:r>
        <w:t>Incident timeline is reconstructed</w:t>
      </w:r>
    </w:p>
    <w:p>
      <w:r>
        <w:t>Logs and metrics are reviewed</w:t>
      </w:r>
    </w:p>
    <w:p>
      <w:r>
        <w:t>Actions taken are documented</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Action Items</w:t>
      </w:r>
    </w:p>
    <w:p>
      <w:r>
        <w:t>Identify improvements</w:t>
      </w:r>
    </w:p>
    <w:p>
      <w:r>
        <w:t>Assign owners</w:t>
      </w:r>
    </w:p>
    <w:p>
      <w:r>
        <w:t>Set timelines</w:t>
      </w:r>
    </w:p>
    <w:p>
      <w:r>
        <w:t>Step 5: Implementation</w:t>
      </w:r>
    </w:p>
    <w:p>
      <w:r>
        <w:t>Implement improvements</w:t>
      </w:r>
    </w:p>
    <w:p>
      <w:r>
        <w:t>Verify effectiveness</w:t>
      </w:r>
    </w:p>
    <w:p>
      <w:r>
        <w:t>Document changes</w:t>
      </w:r>
    </w:p>
    <w:p>
      <w:r>
        <w:t>Step 6: Review</w:t>
      </w:r>
    </w:p>
    <w:p>
      <w:r>
        <w:t>Confirm resolution</w:t>
      </w:r>
    </w:p>
    <w:p>
      <w:r>
        <w:t>Validate improvements</w:t>
      </w:r>
    </w:p>
    <w:p>
      <w:r>
        <w:t>Archive incident</w:t>
      </w:r>
    </w:p>
    <w:p>
      <w:r>
        <w:t>Maintenance</w:t>
      </w:r>
    </w:p>
    <w:p>
      <w:r>
        <w:t>Maintenance Types</w:t>
      </w:r>
    </w:p>
    <w:p>
      <w:r>
        <w:t>What This Means in Practice:</w:t>
      </w:r>
    </w:p>
    <w:p>
      <w:r>
        <w:t>Maintenance is planned and scheduled</w:t>
      </w:r>
    </w:p>
    <w:p>
      <w:r>
        <w:t>Emergency maintenance is handled as needed</w:t>
      </w:r>
    </w:p>
    <w:p>
      <w:r>
        <w:t>Preventive maintenance reduces failures</w:t>
      </w:r>
    </w:p>
    <w:p>
      <w:r>
        <w:t>Upgrades improve functionality</w:t>
      </w:r>
    </w:p>
    <w:p>
      <w:r>
        <w:t>Example:</w:t>
      </w:r>
    </w:p>
    <w:p>
      <w:r>
        <w:t>The Technical Operations team performs scheduled maintenance monthly. Security patches are applied monthly. System upgrades are performed quarterly. Preventive maintenance is conducted quarterly. Emergency maintenance is performed as needed.</w:t>
      </w:r>
    </w:p>
    <w:p>
      <w:r>
        <w:t>Why This Matters:</w:t>
      </w:r>
    </w:p>
    <w:p>
      <w:r>
        <w:t>Regular maintenance prevents failures</w:t>
      </w:r>
    </w:p>
    <w:p>
      <w:r>
        <w:t>Scheduled maintenance minimizes disruption</w:t>
      </w:r>
    </w:p>
    <w:p>
      <w:r>
        <w:t>Upgrades improve functionality</w:t>
      </w:r>
    </w:p>
    <w:p>
      <w:r>
        <w:t>Patches address vulnerabilities</w:t>
      </w:r>
    </w:p>
    <w:p>
      <w:r>
        <w:t>Scheduled Maintenance Procedure</w:t>
      </w:r>
    </w:p>
    <w:p>
      <w:r>
        <w:t>Step 1: Planning</w:t>
      </w:r>
    </w:p>
    <w:p>
      <w:r>
        <w:t>Identify maintenance requirements</w:t>
      </w:r>
    </w:p>
    <w:p>
      <w:r>
        <w:t>Assess impact and risk</w:t>
      </w:r>
    </w:p>
    <w:p>
      <w:r>
        <w:t>Schedule maintenance window</w:t>
      </w:r>
    </w:p>
    <w:p>
      <w:r>
        <w:t>Step 2: Notification</w:t>
      </w:r>
    </w:p>
    <w:p>
      <w:r>
        <w:t>Notify participants of maintenance</w:t>
      </w:r>
    </w:p>
    <w:p>
      <w:r>
        <w:t>Provide maintenance window</w:t>
      </w:r>
    </w:p>
    <w:p>
      <w:r>
        <w:t>Explain impact</w:t>
      </w:r>
    </w:p>
    <w:p>
      <w:r>
        <w:t>Step 3: Execution</w:t>
      </w:r>
    </w:p>
    <w:p>
      <w:r>
        <w:t>Perform maintenance</w:t>
      </w:r>
    </w:p>
    <w:p>
      <w:r>
        <w:t>Monitor for issues</w:t>
      </w:r>
    </w:p>
    <w:p>
      <w:r>
        <w:t>Verify completion</w:t>
      </w:r>
    </w:p>
    <w:p>
      <w:r>
        <w:t>Step 4: Communication</w:t>
      </w:r>
    </w:p>
    <w:p>
      <w:r>
        <w:t>Confirm completion</w:t>
      </w:r>
    </w:p>
    <w:p>
      <w:r>
        <w:t>Address any issues</w:t>
      </w:r>
    </w:p>
    <w:p>
      <w:r>
        <w:t>Update participants</w:t>
      </w:r>
    </w:p>
    <w:p>
      <w:r>
        <w:t>Step 5: Documentation</w:t>
      </w:r>
    </w:p>
    <w:p>
      <w:r>
        <w:t>Document maintenance performed</w:t>
      </w:r>
    </w:p>
    <w:p>
      <w:r>
        <w:t>Record any issues</w:t>
      </w:r>
    </w:p>
    <w:p>
      <w:r>
        <w:t>Archive records</w:t>
      </w:r>
    </w:p>
    <w:p>
      <w:r>
        <w:t>Patch Management</w:t>
      </w:r>
    </w:p>
    <w:p>
      <w:r>
        <w:t>Step 1: Identification</w:t>
      </w:r>
    </w:p>
    <w:p>
      <w:r>
        <w:t>Identify available patches</w:t>
      </w:r>
    </w:p>
    <w:p>
      <w:r>
        <w:t>Assess criticality</w:t>
      </w:r>
    </w:p>
    <w:p>
      <w:r>
        <w:t>Prioritize patches</w:t>
      </w:r>
    </w:p>
    <w:p>
      <w:r>
        <w:t>Step 2: Testing</w:t>
      </w:r>
    </w:p>
    <w:p>
      <w:r>
        <w:t>Test patches in non-production environment</w:t>
      </w:r>
    </w:p>
    <w:p>
      <w:r>
        <w:t>Verify compatibility</w:t>
      </w:r>
    </w:p>
    <w:p>
      <w:r>
        <w:t>Assess impact</w:t>
      </w:r>
    </w:p>
    <w:p>
      <w:r>
        <w:t>Step 3: Approval</w:t>
      </w:r>
    </w:p>
    <w:p>
      <w:r>
        <w:t>Obtain approval for deployment</w:t>
      </w:r>
    </w:p>
    <w:p>
      <w:r>
        <w:t>Schedule deployment</w:t>
      </w:r>
    </w:p>
    <w:p>
      <w:r>
        <w:t>Plan rollback</w:t>
      </w:r>
    </w:p>
    <w:p>
      <w:r>
        <w:t>Step 4: Deployment</w:t>
      </w:r>
    </w:p>
    <w:p>
      <w:r>
        <w:t>Deploy patches to production</w:t>
      </w:r>
    </w:p>
    <w:p>
      <w:r>
        <w:t>Monitor for issues</w:t>
      </w:r>
    </w:p>
    <w:p>
      <w:r>
        <w:t>Verify success</w:t>
      </w:r>
    </w:p>
    <w:p>
      <w:r>
        <w:t>Step 5: Documentation</w:t>
      </w:r>
    </w:p>
    <w:p>
      <w:r>
        <w:t>Document patch deployment</w:t>
      </w:r>
    </w:p>
    <w:p>
      <w:r>
        <w:t>Record any issues</w:t>
      </w:r>
    </w:p>
    <w:p>
      <w:r>
        <w:t>Update patch inventory</w:t>
      </w:r>
    </w:p>
    <w:p>
      <w:r>
        <w:t>Capacity Management</w:t>
      </w:r>
    </w:p>
    <w:p>
      <w:r>
        <w:t>Capacity Monitoring</w:t>
      </w:r>
    </w:p>
    <w:p>
      <w:r>
        <w:t>What This Means in Practice:</w:t>
      </w:r>
    </w:p>
    <w:p>
      <w:r>
        <w:t>Resource utilization is monitored</w:t>
      </w:r>
    </w:p>
    <w:p>
      <w:r>
        <w:t>Targets are defined</w:t>
      </w:r>
    </w:p>
    <w:p>
      <w:r>
        <w:t>Thresholds trigger action</w:t>
      </w:r>
    </w:p>
    <w:p>
      <w:r>
        <w:t>Capacity is scaled proactively</w:t>
      </w:r>
    </w:p>
    <w:p>
      <w:r>
        <w:t>Example:</w:t>
      </w:r>
    </w:p>
    <w:p>
      <w:r>
        <w:t>CPU utilization reaches 85%. The capacity threshold is exceeded. The Technical Operations team scales up the affected service. Utilization returns to 60%. Capacity is scaled proactively.</w:t>
      </w:r>
    </w:p>
    <w:p>
      <w:r>
        <w:t>Why This Matters:</w:t>
      </w:r>
    </w:p>
    <w:p>
      <w:r>
        <w:t>Monitoring prevents resource exhaustion</w:t>
      </w:r>
    </w:p>
    <w:p>
      <w:r>
        <w:t>Targets guide capacity planning</w:t>
      </w:r>
    </w:p>
    <w:p>
      <w:r>
        <w:t>Thresholds trigger action</w:t>
      </w:r>
    </w:p>
    <w:p>
      <w:r>
        <w:t>Proactive scaling prevents degradation</w:t>
      </w:r>
    </w:p>
    <w:p>
      <w:r>
        <w:t>Capacity Planning</w:t>
      </w:r>
    </w:p>
    <w:p>
      <w:r>
        <w:t>Step 1: Data Collection</w:t>
      </w:r>
    </w:p>
    <w:p>
      <w:r>
        <w:t>Collect utilization data</w:t>
      </w:r>
    </w:p>
    <w:p>
      <w:r>
        <w:t>Identify trends</w:t>
      </w:r>
    </w:p>
    <w:p>
      <w:r>
        <w:t>Project future needs</w:t>
      </w:r>
    </w:p>
    <w:p>
      <w:r>
        <w:t>Step 2: Analysis</w:t>
      </w:r>
    </w:p>
    <w:p>
      <w:r>
        <w:t>Analyze growth patterns</w:t>
      </w:r>
    </w:p>
    <w:p>
      <w:r>
        <w:t>Identify bottlenecks</w:t>
      </w:r>
    </w:p>
    <w:p>
      <w:r>
        <w:t>Assess future requirements</w:t>
      </w:r>
    </w:p>
    <w:p>
      <w:r>
        <w:t>Step 3: Planning</w:t>
      </w:r>
    </w:p>
    <w:p>
      <w:r>
        <w:t>Plan capacity increases</w:t>
      </w:r>
    </w:p>
    <w:p>
      <w:r>
        <w:t>Schedule upgrades</w:t>
      </w:r>
    </w:p>
    <w:p>
      <w:r>
        <w:t>Allocate resources</w:t>
      </w:r>
    </w:p>
    <w:p>
      <w:r>
        <w:t>Step 4: Implementation</w:t>
      </w:r>
    </w:p>
    <w:p>
      <w:r>
        <w:t>Implement capacity increases</w:t>
      </w:r>
    </w:p>
    <w:p>
      <w:r>
        <w:t>Verify effectiveness</w:t>
      </w:r>
    </w:p>
    <w:p>
      <w:r>
        <w:t>Document changes</w:t>
      </w:r>
    </w:p>
    <w:p>
      <w:r>
        <w:t>Step 5: Review</w:t>
      </w:r>
    </w:p>
    <w:p>
      <w:r>
        <w:t>Review capacity planning process</w:t>
      </w:r>
    </w:p>
    <w:p>
      <w:r>
        <w:t>Identify improvements</w:t>
      </w:r>
    </w:p>
    <w:p>
      <w:r>
        <w:t>Update projections</w:t>
      </w:r>
    </w:p>
    <w:p>
      <w:r>
        <w:t>Scaling Procedures</w:t>
      </w:r>
    </w:p>
    <w:p>
      <w:r>
        <w:t>What This Means in Practice:</w:t>
      </w:r>
    </w:p>
    <w:p>
      <w:r>
        <w:t>Scaling is performed as needed</w:t>
      </w:r>
    </w:p>
    <w:p>
      <w:r>
        <w:t>Vertical scaling increases capacity</w:t>
      </w:r>
    </w:p>
    <w:p>
      <w:r>
        <w:t>Horizontal scaling adds instances</w:t>
      </w:r>
    </w:p>
    <w:p>
      <w:r>
        <w:t>Auto-scaling is automatic</w:t>
      </w:r>
    </w:p>
    <w:p>
      <w:r>
        <w:t>Database scaling handles growth</w:t>
      </w:r>
    </w:p>
    <w:p>
      <w:r>
        <w:t>Example:</w:t>
      </w:r>
    </w:p>
    <w:p>
      <w:r>
        <w:t>API utilization reaches 80%. The auto-scaling policy triggers. Additional instances are provisioned. Utilization returns to 50%. The system handles the increased load.</w:t>
      </w:r>
    </w:p>
    <w:p>
      <w:r>
        <w:t>Why This Matters:</w:t>
      </w:r>
    </w:p>
    <w:p>
      <w:r>
        <w:t>Scaling ensures performance</w:t>
      </w:r>
    </w:p>
    <w:p>
      <w:r>
        <w:t>Auto-scaling enables rapid response</w:t>
      </w:r>
    </w:p>
    <w:p>
      <w:r>
        <w:t>Horizontal scaling provides elasticity</w:t>
      </w:r>
    </w:p>
    <w:p>
      <w:r>
        <w:t>Database scaling supports growth</w:t>
      </w:r>
    </w:p>
    <w:p>
      <w:r>
        <w:t>Security Operations</w:t>
      </w:r>
    </w:p>
    <w:p>
      <w:r>
        <w:t>Security Monitoring</w:t>
      </w:r>
    </w:p>
    <w:p>
      <w:r>
        <w:t>What This Means in Practice:</w:t>
      </w:r>
    </w:p>
    <w:p>
      <w:r>
        <w:t>Security is continuously monitored</w:t>
      </w:r>
    </w:p>
    <w:p>
      <w:r>
        <w:t>Threats are detected in real-time</w:t>
      </w:r>
    </w:p>
    <w:p>
      <w:r>
        <w:t>Vulnerabilities are identified weekly</w:t>
      </w:r>
    </w:p>
    <w:p>
      <w:r>
        <w:t>Security posture is verified quarterly</w:t>
      </w:r>
    </w:p>
    <w:p>
      <w:r>
        <w:t>Logs are reviewed daily</w:t>
      </w:r>
    </w:p>
    <w:p>
      <w:r>
        <w:t>Example:</w:t>
      </w:r>
    </w:p>
    <w:p>
      <w:r>
        <w:t>The security team monitors for threats in real-time. Vulnerability scans are conducted weekly. Penetration tests are conducted quarterly. Security audits are conducted annually. Security logs are reviewed daily.</w:t>
      </w:r>
    </w:p>
    <w:p>
      <w:r>
        <w:t>Why This Matters:</w:t>
      </w:r>
    </w:p>
    <w:p>
      <w:r>
        <w:t>Continuous monitoring detects threats</w:t>
      </w:r>
    </w:p>
    <w:p>
      <w:r>
        <w:t>Vulnerability scanning identifies weaknesses</w:t>
      </w:r>
    </w:p>
    <w:p>
      <w:r>
        <w:t>Penetration testing validates controls</w:t>
      </w:r>
    </w:p>
    <w:p>
      <w:r>
        <w:t>Audits provide independent assessment</w:t>
      </w:r>
    </w:p>
    <w:p>
      <w:r>
        <w:t>Log review identifies anomalies</w:t>
      </w:r>
    </w:p>
    <w:p>
      <w:r>
        <w:t>Security Incident Response</w:t>
      </w:r>
    </w:p>
    <w:p>
      <w:r>
        <w:t>Procedure: Security Incident Handling</w:t>
      </w:r>
    </w:p>
    <w:p>
      <w:r>
        <w:t>Step 1: Detection</w:t>
      </w:r>
    </w:p>
    <w:p>
      <w:r>
        <w:t>Security incident is detected</w:t>
      </w:r>
    </w:p>
    <w:p>
      <w:r>
        <w:t>Incident is logged</w:t>
      </w:r>
    </w:p>
    <w:p>
      <w:r>
        <w:t>Severity is assessed</w:t>
      </w:r>
    </w:p>
    <w:p>
      <w:r>
        <w:t>Step 2: Containment</w:t>
      </w:r>
    </w:p>
    <w:p>
      <w:r>
        <w:t>Incident is contained</w:t>
      </w:r>
    </w:p>
    <w:p>
      <w:r>
        <w:t>Scope is determined</w:t>
      </w:r>
    </w:p>
    <w:p>
      <w:r>
        <w:t>Further spread is prevented</w:t>
      </w:r>
    </w:p>
    <w:p>
      <w:r>
        <w:t>Step 3: Investigation</w:t>
      </w:r>
    </w:p>
    <w:p>
      <w:r>
        <w:t>Root cause is identified</w:t>
      </w:r>
    </w:p>
    <w:p>
      <w:r>
        <w:t>Impact is assessed</w:t>
      </w:r>
    </w:p>
    <w:p>
      <w:r>
        <w:t>Evidence is preserved</w:t>
      </w:r>
    </w:p>
    <w:p>
      <w:r>
        <w:t>Step 4: Remediation</w:t>
      </w:r>
    </w:p>
    <w:p>
      <w:r>
        <w:t>Vulnerability is addressed</w:t>
      </w:r>
    </w:p>
    <w:p>
      <w:r>
        <w:t>Systems are restored</w:t>
      </w:r>
    </w:p>
    <w:p>
      <w:r>
        <w:t>Patches are applied</w:t>
      </w:r>
    </w:p>
    <w:p>
      <w:r>
        <w:t>Step 5: Communication</w:t>
      </w:r>
    </w:p>
    <w:p>
      <w:r>
        <w:t>Stakeholders are notified</w:t>
      </w:r>
    </w:p>
    <w:p>
      <w:r>
        <w:t>Regulatory reporting is completed</w:t>
      </w:r>
    </w:p>
    <w:p>
      <w:r>
        <w:t>Public communication is prepared</w:t>
      </w:r>
    </w:p>
    <w:p>
      <w:r>
        <w:t>Step 6: Post-Mortem</w:t>
      </w:r>
    </w:p>
    <w:p>
      <w:r>
        <w:t>Lessons are learned</w:t>
      </w:r>
    </w:p>
    <w:p>
      <w:r>
        <w:t>Improvements are implemented</w:t>
      </w:r>
    </w:p>
    <w:p>
      <w:r>
        <w:t>Policies are updated</w:t>
      </w:r>
    </w:p>
    <w:p>
      <w:r>
        <w:t>Vulnerability Management</w:t>
      </w:r>
    </w:p>
    <w:p>
      <w:r>
        <w:t>Step 1: Identification</w:t>
      </w:r>
    </w:p>
    <w:p>
      <w:r>
        <w:t>Vulnerabilities are identified through scanning</w:t>
      </w:r>
    </w:p>
    <w:p>
      <w:r>
        <w:t>Vulnerabilities are identified through testing</w:t>
      </w:r>
    </w:p>
    <w:p>
      <w:r>
        <w:t>Vulnerabilities are identified through reporting</w:t>
      </w:r>
    </w:p>
    <w:p>
      <w:r>
        <w:t>Step 2: Assessment</w:t>
      </w:r>
    </w:p>
    <w:p>
      <w:r>
        <w:t>Vulnerability is assessed</w:t>
      </w:r>
    </w:p>
    <w:p>
      <w:r>
        <w:t>Severity is determined</w:t>
      </w:r>
    </w:p>
    <w:p>
      <w:r>
        <w:t>Impact is evaluated</w:t>
      </w:r>
    </w:p>
    <w:p>
      <w:r>
        <w:t>Step 3: Prioritization</w:t>
      </w:r>
    </w:p>
    <w:p>
      <w:r>
        <w:t>Vulnerabilities are prioritized</w:t>
      </w:r>
    </w:p>
    <w:p>
      <w:r>
        <w:t>Critical vulnerabilities are addressed first</w:t>
      </w:r>
    </w:p>
    <w:p>
      <w:r>
        <w:t>Risk determines priority</w:t>
      </w:r>
    </w:p>
    <w:p>
      <w:r>
        <w:t>Step 4: Remediation</w:t>
      </w:r>
    </w:p>
    <w:p>
      <w:r>
        <w:t>Vulnerability is addressed</w:t>
      </w:r>
    </w:p>
    <w:p>
      <w:r>
        <w:t>Patch is applied</w:t>
      </w:r>
    </w:p>
    <w:p>
      <w:r>
        <w:t>Fix is verified</w:t>
      </w:r>
    </w:p>
    <w:p>
      <w:r>
        <w:t>Step 5: Verification</w:t>
      </w:r>
    </w:p>
    <w:p>
      <w:r>
        <w:t>Fix is verified</w:t>
      </w:r>
    </w:p>
    <w:p>
      <w:r>
        <w:t>Vulnerability is re-scanned</w:t>
      </w:r>
    </w:p>
    <w:p>
      <w:r>
        <w:t>Closure is confirmed</w:t>
      </w:r>
    </w:p>
    <w:p>
      <w:r>
        <w:t>Change Management</w:t>
      </w:r>
    </w:p>
    <w:p>
      <w:r>
        <w:t>Change Management Process</w:t>
      </w:r>
    </w:p>
    <w:p>
      <w:r>
        <w:t>text</w:t>
      </w:r>
    </w:p>
    <w:p>
      <w:r>
        <w:t>┌─────────────────────────────────────────────────────────────────────┐</w:t>
      </w:r>
    </w:p>
    <w:p>
      <w:r>
        <w:t>│                    CHANGE MANAGEMENT PROCESS                       │</w:t>
      </w:r>
    </w:p>
    <w:p>
      <w:r>
        <w:t>│                                                                     │</w:t>
      </w:r>
    </w:p>
    <w:p>
      <w:r>
        <w:t>│  ┌─────────────────────────────────────────────────────────────┐   │</w:t>
      </w:r>
    </w:p>
    <w:p>
      <w:r>
        <w:t>│  │                    CHANGE REQUEST                          │   │</w:t>
      </w:r>
    </w:p>
    <w:p>
      <w:r>
        <w:t>│  │  ┌─────────────────────────────────────────────────────────┐│   │</w:t>
      </w:r>
    </w:p>
    <w:p>
      <w:r>
        <w:t>│  │  │ • Describe change                                      ││   │</w:t>
      </w:r>
    </w:p>
    <w:p>
      <w:r>
        <w:t>│  │  │ • Justify change                                       ││   │</w:t>
      </w:r>
    </w:p>
    <w:p>
      <w:r>
        <w:t>│  │  │ • Assess impact                                        ││   │</w:t>
      </w:r>
    </w:p>
    <w:p>
      <w:r>
        <w:t>│  │  │ • Identify risks                                       ││   │</w:t>
      </w:r>
    </w:p>
    <w:p>
      <w:r>
        <w:t>│  │  └─────────────────────────────────────────────────────────┘│   │</w:t>
      </w:r>
    </w:p>
    <w:p>
      <w:r>
        <w:t>│  └─────────────────────────────────────────────────────────────┘   │</w:t>
      </w:r>
    </w:p>
    <w:p>
      <w:r>
        <w:t>│                              │                                      │</w:t>
      </w:r>
    </w:p>
    <w:p>
      <w:r>
        <w:t>│                              ▼                                      │</w:t>
      </w:r>
    </w:p>
    <w:p>
      <w:r>
        <w:t>│  ┌─────────────────────────────────────────────────────────────┐   │</w:t>
      </w:r>
    </w:p>
    <w:p>
      <w:r>
        <w:t>│  │                    REVIEW                                 │   │</w:t>
      </w:r>
    </w:p>
    <w:p>
      <w:r>
        <w:t>│  │  ┌─────────────────────────────────────────────────────────┐│   │</w:t>
      </w:r>
    </w:p>
    <w:p>
      <w:r>
        <w:t>│  │  │ • Assess risk                                          ││   │</w:t>
      </w:r>
    </w:p>
    <w:p>
      <w:r>
        <w:t>│  │  │ • Assess impact                                        ││   │</w:t>
      </w:r>
    </w:p>
    <w:p>
      <w:r>
        <w:t>│  │  │ • Identify dependencies                                ││   │</w:t>
      </w:r>
    </w:p>
    <w:p>
      <w:r>
        <w:t>│  │  └─────────────────────────────────────────────────────────┘│   │</w:t>
      </w:r>
    </w:p>
    <w:p>
      <w:r>
        <w:t>│  └─────────────────────────────────────────────────────────────┘   │</w:t>
      </w:r>
    </w:p>
    <w:p>
      <w:r>
        <w:t>│                              │                                      │</w:t>
      </w:r>
    </w:p>
    <w:p>
      <w:r>
        <w:t>│                              ▼                                      │</w:t>
      </w:r>
    </w:p>
    <w:p>
      <w:r>
        <w:t>│  ┌─────────────────────────────────────────────────────────────┐   │</w:t>
      </w:r>
    </w:p>
    <w:p>
      <w:r>
        <w:t>│  │                    APPROVAL                               │   │</w:t>
      </w:r>
    </w:p>
    <w:p>
      <w:r>
        <w:t>│  │  ┌─────────────────────────────────────────────────────────┐│   │</w:t>
      </w:r>
    </w:p>
    <w:p>
      <w:r>
        <w:t>│  │  │ • Approve change                                       ││   │</w:t>
      </w:r>
    </w:p>
    <w:p>
      <w:r>
        <w:t>│  │  │ • Reject change                                        ││   │</w:t>
      </w:r>
    </w:p>
    <w:p>
      <w:r>
        <w:t>│  │  │ • Request modifications                                ││   │</w:t>
      </w:r>
    </w:p>
    <w:p>
      <w:r>
        <w:t>│  │  └─────────────────────────────────────────────────────────┘│   │</w:t>
      </w:r>
    </w:p>
    <w:p>
      <w:r>
        <w:t>│  └─────────────────────────────────────────────────────────────┘   │</w:t>
      </w:r>
    </w:p>
    <w:p>
      <w:r>
        <w:t>│                              │                                      │</w:t>
      </w:r>
    </w:p>
    <w:p>
      <w:r>
        <w:t>│                              ▼                                      │</w:t>
      </w:r>
    </w:p>
    <w:p>
      <w:r>
        <w:t>│  ┌─────────────────────────────────────────────────────────────┐   │</w:t>
      </w:r>
    </w:p>
    <w:p>
      <w:r>
        <w:t>│  │                    IMPLEMENTATION                          │   │</w:t>
      </w:r>
    </w:p>
    <w:p>
      <w:r>
        <w:t>│  │  ┌─────────────────────────────────────────────────────────┐│   │</w:t>
      </w:r>
    </w:p>
    <w:p>
      <w:r>
        <w:t>│  │  │ • Implement change                                     ││   │</w:t>
      </w:r>
    </w:p>
    <w:p>
      <w:r>
        <w:t>│  │  │ • Verify implementation                                ││   │</w:t>
      </w:r>
    </w:p>
    <w:p>
      <w:r>
        <w:t>│  │  │ • Monitor for issues                                   ││   │</w:t>
      </w:r>
    </w:p>
    <w:p>
      <w:r>
        <w:t>│  │  └─────────────────────────────────────────────────────────┘│   │</w:t>
      </w:r>
    </w:p>
    <w:p>
      <w:r>
        <w:t>│  └─────────────────────────────────────────────────────────────┘   │</w:t>
      </w:r>
    </w:p>
    <w:p>
      <w:r>
        <w:t>│                              │                                      │</w:t>
      </w:r>
    </w:p>
    <w:p>
      <w:r>
        <w:t>│                              ▼                                      │</w:t>
      </w:r>
    </w:p>
    <w:p>
      <w:r>
        <w:t>│  ┌─────────────────────────────────────────────────────────────┐   │</w:t>
      </w:r>
    </w:p>
    <w:p>
      <w:r>
        <w:t>│  │                    REVIEW                                 │   │</w:t>
      </w:r>
    </w:p>
    <w:p>
      <w:r>
        <w:t>│  │  ┌─────────────────────────────────────────────────────────┐│   │</w:t>
      </w:r>
    </w:p>
    <w:p>
      <w:r>
        <w:t>│  │  │ • Assess success                                       ││   │</w:t>
      </w:r>
    </w:p>
    <w:p>
      <w:r>
        <w:t>│  │  │ • Identify issues                                      ││   │</w:t>
      </w:r>
    </w:p>
    <w:p>
      <w:r>
        <w:t>│  │  │ • Document lessons                                     ││   │</w:t>
      </w:r>
    </w:p>
    <w:p>
      <w:r>
        <w:t>│  │  └─────────────────────────────────────────────────────────┘│   │</w:t>
      </w:r>
    </w:p>
    <w:p>
      <w:r>
        <w:t>│  └─────────────────────────────────────────────────────────────┘   │</w:t>
      </w:r>
    </w:p>
    <w:p>
      <w:r>
        <w:t>└─────────────────────────────────────────────────────────────────────┘</w:t>
      </w:r>
    </w:p>
    <w:p>
      <w:r>
        <w:t>Change Types</w:t>
      </w:r>
    </w:p>
    <w:p>
      <w:r>
        <w:t>What This Means in Practice:</w:t>
      </w:r>
    </w:p>
    <w:p>
      <w:r>
        <w:t>Change types are defined based on risk</w:t>
      </w:r>
    </w:p>
    <w:p>
      <w:r>
        <w:t>Standard changes are pre-approved</w:t>
      </w:r>
    </w:p>
    <w:p>
      <w:r>
        <w:t>Normal changes require review</w:t>
      </w:r>
    </w:p>
    <w:p>
      <w:r>
        <w:t>Major changes require higher approval</w:t>
      </w:r>
    </w:p>
    <w:p>
      <w:r>
        <w:t>Emergency changes are expedited</w:t>
      </w:r>
    </w:p>
    <w:p>
      <w:r>
        <w:t>Example:</w:t>
      </w:r>
    </w:p>
    <w:p>
      <w:r>
        <w:t>A security patch is needed immediately. The change is classified as Emergency. The Technical Committee and Council approve the change expedited. The patch is deployed within 2 hours. The vulnerability is addressed.</w:t>
      </w:r>
    </w:p>
    <w:p>
      <w:r>
        <w:t>Why This Matters:</w:t>
      </w:r>
    </w:p>
    <w:p>
      <w:r>
        <w:t>Defined types enable consistency</w:t>
      </w:r>
    </w:p>
    <w:p>
      <w:r>
        <w:t>Approval ensures oversight</w:t>
      </w:r>
    </w:p>
    <w:p>
      <w:r>
        <w:t>Risk-based classification protects integrity</w:t>
      </w:r>
    </w:p>
    <w:p>
      <w:r>
        <w:t>Emergency procedures enable rapid response</w:t>
      </w:r>
    </w:p>
    <w:p>
      <w:r>
        <w:t>Change Request Template</w:t>
      </w:r>
    </w:p>
    <w:p>
      <w:r>
        <w:t>Change Advisory Board (CAB)</w:t>
      </w:r>
    </w:p>
    <w:p>
      <w:r>
        <w:t>What This Means in Practice:</w:t>
      </w:r>
    </w:p>
    <w:p>
      <w:r>
        <w:t>The CAB reviews and approves changes</w:t>
      </w:r>
    </w:p>
    <w:p>
      <w:r>
        <w:t>The CAB assesses risk and impact</w:t>
      </w:r>
    </w:p>
    <w:p>
      <w:r>
        <w:t>The CAB ensures appropriate oversight</w:t>
      </w:r>
    </w:p>
    <w:p>
      <w:r>
        <w:t>The CAB meets regularly</w:t>
      </w:r>
    </w:p>
    <w:p>
      <w:r>
        <w:t>Example:</w:t>
      </w:r>
    </w:p>
    <w:p>
      <w:r>
        <w:t>A major change is proposed. The CAB meets to review the change. The Technical Lead assesses the technical impact. The Security Lead assesses the security impact. The Compliance Lead assesses the compliance impact. The CAB approves the change with conditions.</w:t>
      </w:r>
    </w:p>
    <w:p>
      <w:r>
        <w:t>Why This Matters:</w:t>
      </w:r>
    </w:p>
    <w:p>
      <w:r>
        <w:t>CAB provides multi-disciplinary review</w:t>
      </w:r>
    </w:p>
    <w:p>
      <w:r>
        <w:t>Risk assessment prevents issues</w:t>
      </w:r>
    </w:p>
    <w:p>
      <w:r>
        <w:t>Oversight ensures accountability</w:t>
      </w:r>
    </w:p>
    <w:p>
      <w:r>
        <w:t>Regular meetings enable timely decisions</w:t>
      </w:r>
    </w:p>
    <w:p>
      <w:r>
        <w:t>Performance Management</w:t>
      </w:r>
    </w:p>
    <w:p>
      <w:r>
        <w:t>Performance Metrics</w:t>
      </w:r>
    </w:p>
    <w:p>
      <w:r>
        <w:t>What This Means in Practice:</w:t>
      </w:r>
    </w:p>
    <w:p>
      <w:r>
        <w:t>Performance metrics are defined</w:t>
      </w:r>
    </w:p>
    <w:p>
      <w:r>
        <w:t>Metrics are measured in real-time</w:t>
      </w:r>
    </w:p>
    <w:p>
      <w:r>
        <w:t>Targets are set for each metric</w:t>
      </w:r>
    </w:p>
    <w:p>
      <w:r>
        <w:t>Performance is reported</w:t>
      </w:r>
    </w:p>
    <w:p>
      <w:r>
        <w:t>Example:</w:t>
      </w:r>
    </w:p>
    <w:p>
      <w:r>
        <w:t>API latency is measured in real-time. The target is &lt;500ms. Current latency is 350ms. Performance is within target. The metric is reported.</w:t>
      </w:r>
    </w:p>
    <w:p>
      <w:r>
        <w:t>Why This Matters:</w:t>
      </w:r>
    </w:p>
    <w:p>
      <w:r>
        <w:t>Metrics enable measurement</w:t>
      </w:r>
    </w:p>
    <w:p>
      <w:r>
        <w:t>Targets define expected performance</w:t>
      </w:r>
    </w:p>
    <w:p>
      <w:r>
        <w:t>Real-time monitoring detects issues</w:t>
      </w:r>
    </w:p>
    <w:p>
      <w:r>
        <w:t>Reporting ensures visibility</w:t>
      </w:r>
    </w:p>
    <w:p>
      <w:r>
        <w:t>Performance Optimization</w:t>
      </w:r>
    </w:p>
    <w:p>
      <w:r>
        <w:t>Procedure: Performance Optimization</w:t>
      </w:r>
    </w:p>
    <w:p>
      <w:r>
        <w:t>Step 1: Baseline</w:t>
      </w:r>
    </w:p>
    <w:p>
      <w:r>
        <w:t>Establish performance baseline</w:t>
      </w:r>
    </w:p>
    <w:p>
      <w:r>
        <w:t>Identify normal performance</w:t>
      </w:r>
    </w:p>
    <w:p>
      <w:r>
        <w:t>Document current performance</w:t>
      </w:r>
    </w:p>
    <w:p>
      <w:r>
        <w:t>Step 2: Analysis</w:t>
      </w:r>
    </w:p>
    <w:p>
      <w:r>
        <w:t>Identify performance issues</w:t>
      </w:r>
    </w:p>
    <w:p>
      <w:r>
        <w:t>Analyze root causes</w:t>
      </w:r>
    </w:p>
    <w:p>
      <w:r>
        <w:t>Assess impact</w:t>
      </w:r>
    </w:p>
    <w:p>
      <w:r>
        <w:t>Step 3: Optimization</w:t>
      </w:r>
    </w:p>
    <w:p>
      <w:r>
        <w:t>Develop optimization strategy</w:t>
      </w:r>
    </w:p>
    <w:p>
      <w:r>
        <w:t>Implement optimizations</w:t>
      </w:r>
    </w:p>
    <w:p>
      <w:r>
        <w:t>Test effectiveness</w:t>
      </w:r>
    </w:p>
    <w:p>
      <w:r>
        <w:t>Step 4: Verification</w:t>
      </w:r>
    </w:p>
    <w:p>
      <w:r>
        <w:t>Verify performance improvement</w:t>
      </w:r>
    </w:p>
    <w:p>
      <w:r>
        <w:t>Measure against baseline</w:t>
      </w:r>
    </w:p>
    <w:p>
      <w:r>
        <w:t>Document improvements</w:t>
      </w:r>
    </w:p>
    <w:p>
      <w:r>
        <w:t>Step 5: Continuous</w:t>
      </w:r>
    </w:p>
    <w:p>
      <w:r>
        <w:t>Monitor performance continuously</w:t>
      </w:r>
    </w:p>
    <w:p>
      <w:r>
        <w:t>Identify new optimization opportunities</w:t>
      </w:r>
    </w:p>
    <w:p>
      <w:r>
        <w:t>Repeat process</w:t>
      </w:r>
    </w:p>
    <w:p>
      <w:r>
        <w:t>Technical Support</w:t>
      </w:r>
    </w:p>
    <w:p>
      <w:r>
        <w:t>Support Structure</w:t>
      </w:r>
    </w:p>
    <w:p>
      <w:r>
        <w:t>What This Means in Practice:</w:t>
      </w:r>
    </w:p>
    <w:p>
      <w:r>
        <w:t>Technical support is tiered</w:t>
      </w:r>
    </w:p>
    <w:p>
      <w:r>
        <w:t>Level 1 handles basic issues</w:t>
      </w:r>
    </w:p>
    <w:p>
      <w:r>
        <w:t>Level 2 handles advanced issues</w:t>
      </w:r>
    </w:p>
    <w:p>
      <w:r>
        <w:t>Level 3 involves engineering</w:t>
      </w:r>
    </w:p>
    <w:p>
      <w:r>
        <w:t>Level 4 escalates to Technical Committee</w:t>
      </w:r>
    </w:p>
    <w:p>
      <w:r>
        <w:t>Example:</w:t>
      </w:r>
    </w:p>
    <w:p>
      <w:r>
        <w:t>A participant reports a technical issue. The issue is triaged to L1. L1 resolves the issue. If L1 cannot resolve, it escalates to L2. L2 resolves the issue. If L2 cannot resolve, it escalates to L3. L3 resolves the issue.</w:t>
      </w:r>
    </w:p>
    <w:p>
      <w:r>
        <w:t>Why This Matters:</w:t>
      </w:r>
    </w:p>
    <w:p>
      <w:r>
        <w:t>Tiered support ensures appropriate expertise</w:t>
      </w:r>
    </w:p>
    <w:p>
      <w:r>
        <w:t>Escalation ensures resolution</w:t>
      </w:r>
    </w:p>
    <w:p>
      <w:r>
        <w:t>Defined SLAs set expectations</w:t>
      </w:r>
    </w:p>
    <w:p>
      <w:r>
        <w:t>Specialization improves efficiency</w:t>
      </w:r>
    </w:p>
    <w:p>
      <w:r>
        <w:t>Technical Support Procedures</w:t>
      </w:r>
    </w:p>
    <w:p>
      <w:r>
        <w:t>Procedure: Technical Issue Resolution</w:t>
      </w:r>
    </w:p>
    <w:p>
      <w:r>
        <w:t>Step 1: Issue Submission</w:t>
      </w:r>
    </w:p>
    <w:p>
      <w:r>
        <w:t>Participant submits technical issue</w:t>
      </w:r>
    </w:p>
    <w:p>
      <w:r>
        <w:t>Issue is logged</w:t>
      </w:r>
    </w:p>
    <w:p>
      <w:r>
        <w:t>Priority is assigned</w:t>
      </w:r>
    </w:p>
    <w:p>
      <w:r>
        <w:t>Step 2: Triage</w:t>
      </w:r>
    </w:p>
    <w:p>
      <w:r>
        <w:t>Issue is triaged</w:t>
      </w:r>
    </w:p>
    <w:p>
      <w:r>
        <w:t>Appropriate level is assigned</w:t>
      </w:r>
    </w:p>
    <w:p>
      <w:r>
        <w:t>Initial assessment is made</w:t>
      </w:r>
    </w:p>
    <w:p>
      <w:r>
        <w:t>Step 3: Investigation</w:t>
      </w:r>
    </w:p>
    <w:p>
      <w:r>
        <w:t>Issue is investigated</w:t>
      </w:r>
    </w:p>
    <w:p>
      <w:r>
        <w:t>Root cause is identified</w:t>
      </w:r>
    </w:p>
    <w:p>
      <w:r>
        <w:t>Resolution is developed</w:t>
      </w:r>
    </w:p>
    <w:p>
      <w:r>
        <w:t>Step 4: Resolution</w:t>
      </w:r>
    </w:p>
    <w:p>
      <w:r>
        <w:t>Issue is resolved</w:t>
      </w:r>
    </w:p>
    <w:p>
      <w:r>
        <w:t>Resolution is verified</w:t>
      </w:r>
    </w:p>
    <w:p>
      <w:r>
        <w:t>Participant is notified</w:t>
      </w:r>
    </w:p>
    <w:p>
      <w:r>
        <w:t>Step 5: Documentation</w:t>
      </w:r>
    </w:p>
    <w:p>
      <w:r>
        <w:t>Issue is documented</w:t>
      </w:r>
    </w:p>
    <w:p>
      <w:r>
        <w:t>Resolution is recorded</w:t>
      </w:r>
    </w:p>
    <w:p>
      <w:r>
        <w:t>Knowledge base is updated</w:t>
      </w:r>
    </w:p>
    <w:p>
      <w:r>
        <w:t>Support SLAs</w:t>
      </w:r>
    </w:p>
    <w:p>
      <w:r>
        <w:t>Operations Reporting</w:t>
      </w:r>
    </w:p>
    <w:p>
      <w:r>
        <w:t>Reports</w:t>
      </w:r>
    </w:p>
    <w:p>
      <w:r>
        <w:t>Operations Dashboard</w:t>
      </w:r>
    </w:p>
    <w:p>
      <w:r>
        <w:t>Summary Table</w:t>
      </w:r>
    </w:p>
    <w:p>
      <w:r>
        <w:t>Constitutional Interpretation</w:t>
      </w:r>
    </w:p>
    <w:p>
      <w:r>
        <w:t>Technical Operations establishes the operational framework for managing the Institution's technical infrastructure:</w:t>
      </w:r>
    </w:p>
    <w:p>
      <w:r>
        <w:t>System monitoring ensures availability and performance</w:t>
      </w:r>
    </w:p>
    <w:p>
      <w:r>
        <w:t>Incident response ensures rapid resolution</w:t>
      </w:r>
    </w:p>
    <w:p>
      <w:r>
        <w:t>Maintenance ensures system reliability</w:t>
      </w:r>
    </w:p>
    <w:p>
      <w:r>
        <w:t>Capacity management ensures scalability</w:t>
      </w:r>
    </w:p>
    <w:p>
      <w:r>
        <w:t>Security operations ensure protection</w:t>
      </w:r>
    </w:p>
    <w:p>
      <w:r>
        <w:t>Change management ensures controlled evolution</w:t>
      </w:r>
    </w:p>
    <w:p>
      <w:r>
        <w:t>Performance management ensures efficiency</w:t>
      </w:r>
    </w:p>
    <w:p>
      <w:r>
        <w:t>Technical support ensures participant assistance</w:t>
      </w:r>
    </w:p>
    <w:p>
      <w:r>
        <w:t>Technical Operations is the operational execution of the Technical Framework. It ensures systems are available, performant, secure, and continuously improved. Without Technical Operations, the Institution's technical foundation would be unreliable.</w:t>
      </w:r>
    </w:p>
    <w:p>
      <w:r>
        <w:t>[END OF PART 5, ARTICLE V — TECHNICAL OPERATIONS]</w:t>
      </w:r>
    </w:p>
    <w:p>
      <w:r>
        <w:t>Article VI: Vendor Management</w:t>
      </w:r>
    </w:p>
    <w:p>
      <w:r>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r>
        <w:t>What This Means in Practice:</w:t>
      </w:r>
    </w:p>
    <w:p>
      <w:r>
        <w:t>Vendors are selected through a rigorous due diligence process</w:t>
      </w:r>
    </w:p>
    <w:p>
      <w:r>
        <w:t>Vendors are onboarded with clear expectations and agreements</w:t>
      </w:r>
    </w:p>
    <w:p>
      <w:r>
        <w:t>Vendor performance is monitored continuously</w:t>
      </w:r>
    </w:p>
    <w:p>
      <w:r>
        <w:t>Vendor relationships are managed proactively</w:t>
      </w:r>
    </w:p>
    <w:p>
      <w:r>
        <w:t>Vendor risks are identified and mitigated</w:t>
      </w:r>
    </w:p>
    <w:p>
      <w:r>
        <w:t>Vendors are terminated professionally when necessary</w:t>
      </w:r>
    </w:p>
    <w:p>
      <w:r>
        <w:t>Example:</w:t>
      </w:r>
    </w:p>
    <w:p>
      <w:r>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r>
        <w:t>Why This Matters:</w:t>
      </w:r>
    </w:p>
    <w:p>
      <w:r>
        <w:t>Without vendor management, the Institution relies on unvetted providers</w:t>
      </w:r>
    </w:p>
    <w:p>
      <w:r>
        <w:t>Without vendor management, vendor risks are unmanaged</w:t>
      </w:r>
    </w:p>
    <w:p>
      <w:r>
        <w:t>Without vendor management, vendor performance is unmonitored</w:t>
      </w:r>
    </w:p>
    <w:p>
      <w:r>
        <w:t>Without vendor management, vendor relationships are ad hoc</w:t>
      </w:r>
    </w:p>
    <w:p>
      <w:r>
        <w:t>Vendor management ensures that all service providers meet institutional standards</w:t>
      </w:r>
    </w:p>
    <w:p>
      <w:r>
        <w:t>Core Principles of Vendor Management</w:t>
      </w:r>
    </w:p>
    <w:p>
      <w:pPr>
        <w:pStyle w:val="ListNumber"/>
        <w:ind w:left="425"/>
      </w:pPr>
      <w:r>
        <w:t>Due Diligence</w:t>
      </w:r>
    </w:p>
    <w:p>
      <w:r>
        <w:t>All vendors undergo rigorous due diligence before selection.</w:t>
      </w:r>
    </w:p>
    <w:p>
      <w:r>
        <w:t>What This Means in Practice:</w:t>
      </w:r>
    </w:p>
    <w:p>
      <w:r>
        <w:t>Financial viability is assessed</w:t>
      </w:r>
    </w:p>
    <w:p>
      <w:r>
        <w:t>Security posture is evaluated</w:t>
      </w:r>
    </w:p>
    <w:p>
      <w:r>
        <w:t>Regulatory status is verified</w:t>
      </w:r>
    </w:p>
    <w:p>
      <w:r>
        <w:t>Operational capability is confirmed</w:t>
      </w:r>
    </w:p>
    <w:p>
      <w:r>
        <w:t>References are checked</w:t>
      </w:r>
    </w:p>
    <w:p>
      <w:r>
        <w:t>Example:</w:t>
      </w:r>
    </w:p>
    <w:p>
      <w:r>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r>
        <w:t>Why This Matters:</w:t>
      </w:r>
    </w:p>
    <w:p>
      <w:r>
        <w:t>Due diligence prevents selection of unsuitable vendors</w:t>
      </w:r>
    </w:p>
    <w:p>
      <w:r>
        <w:t>Financial assessment prevents vendor insolvency</w:t>
      </w:r>
    </w:p>
    <w:p>
      <w:r>
        <w:t>Security evaluation prevents breaches</w:t>
      </w:r>
    </w:p>
    <w:p>
      <w:r>
        <w:t>Regulatory verification ensures compliance</w:t>
      </w:r>
    </w:p>
    <w:p>
      <w:r>
        <w:t>Reference checks validate capability</w:t>
      </w:r>
    </w:p>
    <w:p>
      <w:pPr>
        <w:pStyle w:val="ListNumber"/>
        <w:ind w:left="425"/>
      </w:pPr>
      <w:r>
        <w:t>Performance Monitoring</w:t>
      </w:r>
    </w:p>
    <w:p>
      <w:r>
        <w:t>Vendor performance is monitored continuously.</w:t>
      </w:r>
    </w:p>
    <w:p>
      <w:r>
        <w:t>What This Means in Practice:</w:t>
      </w:r>
    </w:p>
    <w:p>
      <w:r>
        <w:t>Key performance indicators are defined</w:t>
      </w:r>
    </w:p>
    <w:p>
      <w:r>
        <w:t>Performance is measured regularly</w:t>
      </w:r>
    </w:p>
    <w:p>
      <w:r>
        <w:t>Issues are identified and addressed</w:t>
      </w:r>
    </w:p>
    <w:p>
      <w:r>
        <w:t>Performance is reported</w:t>
      </w:r>
    </w:p>
    <w:p>
      <w:r>
        <w:t>Example:</w:t>
      </w:r>
    </w:p>
    <w:p>
      <w:r>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r>
        <w:t>Why This Matters:</w:t>
      </w:r>
    </w:p>
    <w:p>
      <w:r>
        <w:t>Monitoring ensures performance meets standards</w:t>
      </w:r>
    </w:p>
    <w:p>
      <w:r>
        <w:t>Metrics enable objective assessment</w:t>
      </w:r>
    </w:p>
    <w:p>
      <w:r>
        <w:t>Early identification prevents issues</w:t>
      </w:r>
    </w:p>
    <w:p>
      <w:r>
        <w:t>Reporting ensures visibility</w:t>
      </w:r>
    </w:p>
    <w:p>
      <w:pPr>
        <w:pStyle w:val="ListNumber"/>
        <w:ind w:left="425"/>
      </w:pPr>
      <w:r>
        <w:t>Risk Management</w:t>
      </w:r>
    </w:p>
    <w:p>
      <w:r>
        <w:t>Vendor risks are identified and mitigated.</w:t>
      </w:r>
    </w:p>
    <w:p>
      <w:r>
        <w:t>What This Means in Practice:</w:t>
      </w:r>
    </w:p>
    <w:p>
      <w:r>
        <w:t>Vendor risks are assessed</w:t>
      </w:r>
    </w:p>
    <w:p>
      <w:r>
        <w:t>Risk mitigation is implemented</w:t>
      </w:r>
    </w:p>
    <w:p>
      <w:r>
        <w:t>Risks are monitored</w:t>
      </w:r>
    </w:p>
    <w:p>
      <w:r>
        <w:t>Contingency plans are developed</w:t>
      </w:r>
    </w:p>
    <w:p>
      <w:r>
        <w:t>Example:</w:t>
      </w:r>
    </w:p>
    <w:p>
      <w:r>
        <w:t>The Institution assesses the risks of its custody provider: operational risk, financial risk, security risk, regulatory risk. Mitigation includes diversification (multiple custodians), insurance, monitoring, and contingency plans. Risks are managed proactively.</w:t>
      </w:r>
    </w:p>
    <w:p>
      <w:r>
        <w:t>Why This Matters:</w:t>
      </w:r>
    </w:p>
    <w:p>
      <w:r>
        <w:t>Risk assessment identifies vulnerabilities</w:t>
      </w:r>
    </w:p>
    <w:p>
      <w:r>
        <w:t>Mitigation reduces risk</w:t>
      </w:r>
    </w:p>
    <w:p>
      <w:r>
        <w:t>Monitoring detects changes</w:t>
      </w:r>
    </w:p>
    <w:p>
      <w:r>
        <w:t>Contingency plans ensure resilience</w:t>
      </w:r>
    </w:p>
    <w:p>
      <w:pPr>
        <w:pStyle w:val="ListNumber"/>
        <w:ind w:left="425"/>
      </w:pPr>
      <w:r>
        <w:t>Relationship Management</w:t>
      </w:r>
    </w:p>
    <w:p>
      <w:r>
        <w:t>Vendor relationships are managed proactively.</w:t>
      </w:r>
    </w:p>
    <w:p>
      <w:r>
        <w:t>What This Means in Practice:</w:t>
      </w:r>
    </w:p>
    <w:p>
      <w:r>
        <w:t>Regular communication is maintained</w:t>
      </w:r>
    </w:p>
    <w:p>
      <w:r>
        <w:t>Issues are escalated appropriately</w:t>
      </w:r>
    </w:p>
    <w:p>
      <w:r>
        <w:t>Relationships are nurtured</w:t>
      </w:r>
    </w:p>
    <w:p>
      <w:r>
        <w:t>Value is optimized</w:t>
      </w:r>
    </w:p>
    <w:p>
      <w:r>
        <w:t>Example:</w:t>
      </w:r>
    </w:p>
    <w:p>
      <w:r>
        <w:t>The Institution maintains regular communication with its key vendors: quarterly performance reviews, annual strategic reviews, and ad hoc issue resolution. Relationships are nurtured. Value is optimized through collaboration.</w:t>
      </w:r>
    </w:p>
    <w:p>
      <w:r>
        <w:t>Why This Matters:</w:t>
      </w:r>
    </w:p>
    <w:p>
      <w:r>
        <w:t>Proactive management prevents issues</w:t>
      </w:r>
    </w:p>
    <w:p>
      <w:r>
        <w:t>Communication builds trust</w:t>
      </w:r>
    </w:p>
    <w:p>
      <w:r>
        <w:t>Nurturing improves relationships</w:t>
      </w:r>
    </w:p>
    <w:p>
      <w:r>
        <w:t>Optimization maximizes value</w:t>
      </w:r>
    </w:p>
    <w:p>
      <w:pPr>
        <w:pStyle w:val="ListNumber"/>
        <w:ind w:left="425"/>
      </w:pPr>
      <w:r>
        <w:t>Contract Management</w:t>
      </w:r>
    </w:p>
    <w:p>
      <w:r>
        <w:t>Vendor contracts are managed effectively.</w:t>
      </w:r>
    </w:p>
    <w:p>
      <w:r>
        <w:t>What This Means in Practice:</w:t>
      </w:r>
    </w:p>
    <w:p>
      <w:r>
        <w:t>Contracts are negotiated appropriately</w:t>
      </w:r>
    </w:p>
    <w:p>
      <w:r>
        <w:t>Contracts are documented and stored</w:t>
      </w:r>
    </w:p>
    <w:p>
      <w:r>
        <w:t>Contract terms are monitored</w:t>
      </w:r>
    </w:p>
    <w:p>
      <w:r>
        <w:t>Contracts are renewed or terminated</w:t>
      </w:r>
    </w:p>
    <w:p>
      <w:r>
        <w:t>Example:</w:t>
      </w:r>
    </w:p>
    <w:p>
      <w:r>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r>
        <w:t>Why This Matters:</w:t>
      </w:r>
    </w:p>
    <w:p>
      <w:r>
        <w:t>Effective negotiation ensures favorable terms</w:t>
      </w:r>
    </w:p>
    <w:p>
      <w:r>
        <w:t>Documentation provides clarity</w:t>
      </w:r>
    </w:p>
    <w:p>
      <w:r>
        <w:t>Monitoring ensures compliance</w:t>
      </w:r>
    </w:p>
    <w:p>
      <w:r>
        <w:t>Renewal/termination ensures alignment</w:t>
      </w:r>
    </w:p>
    <w:p>
      <w:r>
        <w:t>Vendor Categories</w:t>
      </w:r>
    </w:p>
    <w:p>
      <w:r>
        <w:t>Critical Vendors</w:t>
      </w:r>
    </w:p>
    <w:p>
      <w:r>
        <w:t>What This Means in Practice:</w:t>
      </w:r>
    </w:p>
    <w:p>
      <w:r>
        <w:t>Critical vendors are essential to operations</w:t>
      </w:r>
    </w:p>
    <w:p>
      <w:r>
        <w:t>Failure of a critical vendor could disrupt operations</w:t>
      </w:r>
    </w:p>
    <w:p>
      <w:r>
        <w:t>Critical vendors require enhanced due diligence</w:t>
      </w:r>
    </w:p>
    <w:p>
      <w:r>
        <w:t>Critical vendors require robust contingency planning</w:t>
      </w:r>
    </w:p>
    <w:p>
      <w:r>
        <w:t>Example:</w:t>
      </w:r>
    </w:p>
    <w:p>
      <w:r>
        <w:t>The Institution uses Brinks as a custody provider. Brinks is a critical vendor. The Institution conducts enhanced due diligence, maintains regular communication, monitors performance closely, and has a contingency plan in place.</w:t>
      </w:r>
    </w:p>
    <w:p>
      <w:r>
        <w:t>Why This Matters:</w:t>
      </w:r>
    </w:p>
    <w:p>
      <w:r>
        <w:t>Critical vendors require the highest level of oversight</w:t>
      </w:r>
    </w:p>
    <w:p>
      <w:r>
        <w:t>Enhanced due diligence reduces risk</w:t>
      </w:r>
    </w:p>
    <w:p>
      <w:r>
        <w:t>Close monitoring detects issues early</w:t>
      </w:r>
    </w:p>
    <w:p>
      <w:r>
        <w:t>Contingency planning ensures resilience</w:t>
      </w:r>
    </w:p>
    <w:p>
      <w:r>
        <w:t>Supporting Vendors</w:t>
      </w:r>
    </w:p>
    <w:p>
      <w:r>
        <w:t>What This Means in Practice:</w:t>
      </w:r>
    </w:p>
    <w:p>
      <w:r>
        <w:t>Supporting vendors enable operations</w:t>
      </w:r>
    </w:p>
    <w:p>
      <w:r>
        <w:t>Failure of a supporting vendor may cause disruption</w:t>
      </w:r>
    </w:p>
    <w:p>
      <w:r>
        <w:t>Supporting vendors require standard due diligence</w:t>
      </w:r>
    </w:p>
    <w:p>
      <w:r>
        <w:t>Supporting vendors require contingency planning</w:t>
      </w:r>
    </w:p>
    <w:p>
      <w:r>
        <w:t>Example:</w:t>
      </w:r>
    </w:p>
    <w:p>
      <w:r>
        <w:t>The Institution uses a law firm for legal advice. The law firm is a supporting vendor. The Institution conducts standard due diligence and maintains regular communication.</w:t>
      </w:r>
    </w:p>
    <w:p>
      <w:r>
        <w:t>Why This Matters:</w:t>
      </w:r>
    </w:p>
    <w:p>
      <w:r>
        <w:t>Supporting vendors enable efficient operations</w:t>
      </w:r>
    </w:p>
    <w:p>
      <w:r>
        <w:t>Standard due diligence ensures quality</w:t>
      </w:r>
    </w:p>
    <w:p>
      <w:r>
        <w:t>Regular communication maintains alignment</w:t>
      </w:r>
    </w:p>
    <w:p>
      <w:r>
        <w:t>Contingency planning ensures alternatives</w:t>
      </w:r>
    </w:p>
    <w:p>
      <w:r>
        <w:t>Vendor Selection</w:t>
      </w:r>
    </w:p>
    <w:p>
      <w:r>
        <w:t>Selection Process</w:t>
      </w:r>
    </w:p>
    <w:p>
      <w:r>
        <w:t>text</w:t>
      </w:r>
    </w:p>
    <w:p>
      <w:r>
        <w:t>┌─────────────────────────────────────────────────────────────────────┐</w:t>
      </w:r>
    </w:p>
    <w:p>
      <w:r>
        <w:t>│                    VENDOR SELECTION PROCESS                        │</w:t>
      </w:r>
    </w:p>
    <w:p>
      <w:r>
        <w:t>│                                                                     │</w:t>
      </w:r>
    </w:p>
    <w:p>
      <w:r>
        <w:t>│  ┌─────────────────────────────────────────────────────────────┐   │</w:t>
      </w:r>
    </w:p>
    <w:p>
      <w:r>
        <w:t>│  │                    NEEDS IDENTIFICATION                     │   │</w:t>
      </w:r>
    </w:p>
    <w:p>
      <w:r>
        <w:t>│  │  ┌─────────────────────────────────────────────────────────┐│   │</w:t>
      </w:r>
    </w:p>
    <w:p>
      <w:r>
        <w:t>│  │  │ • Identify vendor requirements                         ││   │</w:t>
      </w:r>
    </w:p>
    <w:p>
      <w:r>
        <w:t>│  │  │ • Define scope                                          ││   │</w:t>
      </w:r>
    </w:p>
    <w:p>
      <w:r>
        <w:t>│  │  │ • Establish criteria                                    ││   │</w:t>
      </w:r>
    </w:p>
    <w:p>
      <w:r>
        <w:t>│  │  └─────────────────────────────────────────────────────────┘│   │</w:t>
      </w:r>
    </w:p>
    <w:p>
      <w:r>
        <w:t>│  └─────────────────────────────────────────────────────────────┘   │</w:t>
      </w:r>
    </w:p>
    <w:p>
      <w:r>
        <w:t>│                              │                                      │</w:t>
      </w:r>
    </w:p>
    <w:p>
      <w:r>
        <w:t>│                              ▼                                      │</w:t>
      </w:r>
    </w:p>
    <w:p>
      <w:r>
        <w:t>│  ┌─────────────────────────────────────────────────────────────┐   │</w:t>
      </w:r>
    </w:p>
    <w:p>
      <w:r>
        <w:t>│  │                    MARKET RESEARCH                         │   │</w:t>
      </w:r>
    </w:p>
    <w:p>
      <w:r>
        <w:t>│  │  ┌─────────────────────────────────────────────────────────┐│   │</w:t>
      </w:r>
    </w:p>
    <w:p>
      <w:r>
        <w:t>│  │  │ • Identify potential vendors                           ││   │</w:t>
      </w:r>
    </w:p>
    <w:p>
      <w:r>
        <w:t>│  │  │ • Conduct market research                              ││   │</w:t>
      </w:r>
    </w:p>
    <w:p>
      <w:r>
        <w:t>│  │  │ • Create shortlist                                     ││   │</w:t>
      </w:r>
    </w:p>
    <w:p>
      <w:r>
        <w:t>│  │  └─────────────────────────────────────────────────────────┘│   │</w:t>
      </w:r>
    </w:p>
    <w:p>
      <w:r>
        <w:t>│  └─────────────────────────────────────────────────────────────┘   │</w:t>
      </w:r>
    </w:p>
    <w:p>
      <w:r>
        <w:t>│                              │                                      │</w:t>
      </w:r>
    </w:p>
    <w:p>
      <w:r>
        <w:t>│                              ▼                                      │</w:t>
      </w:r>
    </w:p>
    <w:p>
      <w:r>
        <w:t>│  ┌─────────────────────────────────────────────────────────────┐   │</w:t>
      </w:r>
    </w:p>
    <w:p>
      <w:r>
        <w:t>│  │                    REQUEST FOR PROPOSAL                    │   │</w:t>
      </w:r>
    </w:p>
    <w:p>
      <w:r>
        <w:t>│  │  ┌─────────────────────────────────────────────────────────┐│   │</w:t>
      </w:r>
    </w:p>
    <w:p>
      <w:r>
        <w:t>│  │  │ • Issue RFP                                            ││   │</w:t>
      </w:r>
    </w:p>
    <w:p>
      <w:r>
        <w:t>│  │  │ • Evaluate proposals                                   ││   │</w:t>
      </w:r>
    </w:p>
    <w:p>
      <w:r>
        <w:t>│  │  │ • Shortlist vendors                                    ││   │</w:t>
      </w:r>
    </w:p>
    <w:p>
      <w:r>
        <w:t>│  │  └─────────────────────────────────────────────────────────┘│   │</w:t>
      </w:r>
    </w:p>
    <w:p>
      <w:r>
        <w:t>│  └─────────────────────────────────────────────────────────────┘   │</w:t>
      </w:r>
    </w:p>
    <w:p>
      <w:r>
        <w:t>│                              │                                      │</w:t>
      </w:r>
    </w:p>
    <w:p>
      <w:r>
        <w:t>│                              ▼                                      │</w:t>
      </w:r>
    </w:p>
    <w:p>
      <w:r>
        <w:t>│  ┌─────────────────────────────────────────────────────────────┐   │</w:t>
      </w:r>
    </w:p>
    <w:p>
      <w:r>
        <w:t>│  │                    DUE DILIGENCE                           │   │</w:t>
      </w:r>
    </w:p>
    <w:p>
      <w:r>
        <w:t>│  │  ┌─────────────────────────────────────────────────────────┐│   │</w:t>
      </w:r>
    </w:p>
    <w:p>
      <w:r>
        <w:t>│  │  │ • Financial due diligence                              ││   │</w:t>
      </w:r>
    </w:p>
    <w:p>
      <w:r>
        <w:t>│  │  │ • Security due diligence                               ││   │</w:t>
      </w:r>
    </w:p>
    <w:p>
      <w:r>
        <w:t>│  │  │ • Regulatory due diligence                             ││   │</w:t>
      </w:r>
    </w:p>
    <w:p>
      <w:r>
        <w:t>│  │  │ • Operational due diligence                            ││   │</w:t>
      </w:r>
    </w:p>
    <w:p>
      <w:r>
        <w:t>│  │  └─────────────────────────────────────────────────────────┘│   │</w:t>
      </w:r>
    </w:p>
    <w:p>
      <w:r>
        <w:t>│  └─────────────────────────────────────────────────────────────┘   │</w:t>
      </w:r>
    </w:p>
    <w:p>
      <w:r>
        <w:t>│                              │                                      │</w:t>
      </w:r>
    </w:p>
    <w:p>
      <w:r>
        <w:t>│                              ▼                                      │</w:t>
      </w:r>
    </w:p>
    <w:p>
      <w:r>
        <w:t>│  ┌─────────────────────────────────────────────────────────────┐   │</w:t>
      </w:r>
    </w:p>
    <w:p>
      <w:r>
        <w:t>│  │                    SELECTION                              │   │</w:t>
      </w:r>
    </w:p>
    <w:p>
      <w:r>
        <w:t>│  │  ┌─────────────────────────────────────────────────────────┐│   │</w:t>
      </w:r>
    </w:p>
    <w:p>
      <w:r>
        <w:t>│  │  │ • Select vendor                                        ││   │</w:t>
      </w:r>
    </w:p>
    <w:p>
      <w:r>
        <w:t>│  │  │ • Negotiate contract                                   ││   │</w:t>
      </w:r>
    </w:p>
    <w:p>
      <w:r>
        <w:t>│  │  │ • Sign agreement                                       ││   │</w:t>
      </w:r>
    </w:p>
    <w:p>
      <w:r>
        <w:t>│  │  └─────────────────────────────────────────────────────────┘│   │</w:t>
      </w:r>
    </w:p>
    <w:p>
      <w:r>
        <w:t>│  └─────────────────────────────────────────────────────────────┘   │</w:t>
      </w:r>
    </w:p>
    <w:p>
      <w:r>
        <w:t>└─────────────────────────────────────────────────────────────────────┘</w:t>
      </w:r>
    </w:p>
    <w:p>
      <w:r>
        <w:t>Selection Criteria</w:t>
      </w:r>
    </w:p>
    <w:p>
      <w:r>
        <w:t>What This Means in Practice:</w:t>
      </w:r>
    </w:p>
    <w:p>
      <w:r>
        <w:t>Selection criteria are defined and weighted</w:t>
      </w:r>
    </w:p>
    <w:p>
      <w:r>
        <w:t>Financial stability is weighted at 20%</w:t>
      </w:r>
    </w:p>
    <w:p>
      <w:r>
        <w:t>Security posture is weighted at 25% (highest)</w:t>
      </w:r>
    </w:p>
    <w:p>
      <w:r>
        <w:t>Regulatory status is weighted at 20%</w:t>
      </w:r>
    </w:p>
    <w:p>
      <w:r>
        <w:t>Operational and technical capability are weighted at 20% and 15%</w:t>
      </w:r>
    </w:p>
    <w:p>
      <w:r>
        <w:t>Example:</w:t>
      </w:r>
    </w:p>
    <w:p>
      <w:r>
        <w:t>The Institution evaluates two custody providers. Vendor A has stronger security (25/25) but weaker financials (15/20). Vendor B has stronger financials (20/20) but weaker security (20/25). Vendor A is selected because security is weighted more heavily.</w:t>
      </w:r>
    </w:p>
    <w:p>
      <w:r>
        <w:t>Why This Matters:</w:t>
      </w:r>
    </w:p>
    <w:p>
      <w:r>
        <w:t>Defined criteria ensure objective selection</w:t>
      </w:r>
    </w:p>
    <w:p>
      <w:r>
        <w:t>Weighting reflects priorities</w:t>
      </w:r>
    </w:p>
    <w:p>
      <w:r>
        <w:t>Security is the highest priority</w:t>
      </w:r>
    </w:p>
    <w:p>
      <w:r>
        <w:t>Comprehensive evaluation reduces risk</w:t>
      </w:r>
    </w:p>
    <w:p>
      <w:r>
        <w:t>Due Diligence Checklist</w:t>
      </w:r>
    </w:p>
    <w:p>
      <w:r>
        <w:t>What This Means in Practice:</w:t>
      </w:r>
    </w:p>
    <w:p>
      <w:r>
        <w:t>Due diligence covers all critical areas</w:t>
      </w:r>
    </w:p>
    <w:p>
      <w:r>
        <w:t>Financial statements are reviewed</w:t>
      </w:r>
    </w:p>
    <w:p>
      <w:r>
        <w:t>Security certifications are verified</w:t>
      </w:r>
    </w:p>
    <w:p>
      <w:r>
        <w:t>Regulatory licenses are confirmed</w:t>
      </w:r>
    </w:p>
    <w:p>
      <w:r>
        <w:t>References are checked</w:t>
      </w:r>
    </w:p>
    <w:p>
      <w:r>
        <w:t>Example:</w:t>
      </w:r>
    </w:p>
    <w:p>
      <w:r>
        <w:t>The Institution conducts due diligence on a new vendor. Financial statements are reviewed. SOC2 Type II and ISO 27001 certifications are verified. Regulatory licenses are confirmed with the relevant regulator. References are checked. All due diligence is completed.</w:t>
      </w:r>
    </w:p>
    <w:p>
      <w:r>
        <w:t>Why This Matters:</w:t>
      </w:r>
    </w:p>
    <w:p>
      <w:r>
        <w:t>Comprehensive due diligence reduces risk</w:t>
      </w:r>
    </w:p>
    <w:p>
      <w:r>
        <w:t>Financial review prevents insolvency</w:t>
      </w:r>
    </w:p>
    <w:p>
      <w:r>
        <w:t>Security review prevents breaches</w:t>
      </w:r>
    </w:p>
    <w:p>
      <w:r>
        <w:t>Regulatory review ensures compliance</w:t>
      </w:r>
    </w:p>
    <w:p>
      <w:r>
        <w:t>Reference checks validate capability</w:t>
      </w:r>
    </w:p>
    <w:p>
      <w:r>
        <w:t>Vendor Onboarding</w:t>
      </w:r>
    </w:p>
    <w:p>
      <w:r>
        <w:t>Onboarding Process</w:t>
      </w:r>
    </w:p>
    <w:p>
      <w:r>
        <w:t>Step 1: Contract Negotiation</w:t>
      </w:r>
    </w:p>
    <w:p>
      <w:r>
        <w:t>Negotiate contract terms</w:t>
      </w:r>
    </w:p>
    <w:p>
      <w:r>
        <w:t>Define service levels</w:t>
      </w:r>
    </w:p>
    <w:p>
      <w:r>
        <w:t>Establish pricing</w:t>
      </w:r>
    </w:p>
    <w:p>
      <w:r>
        <w:t>Address legal and compliance requirements</w:t>
      </w:r>
    </w:p>
    <w:p>
      <w:r>
        <w:t>Step 2: Contract Signing</w:t>
      </w:r>
    </w:p>
    <w:p>
      <w:r>
        <w:t>Review final contract</w:t>
      </w:r>
    </w:p>
    <w:p>
      <w:r>
        <w:t>Obtain approvals</w:t>
      </w:r>
    </w:p>
    <w:p>
      <w:r>
        <w:t>Execute agreement</w:t>
      </w:r>
    </w:p>
    <w:p>
      <w:r>
        <w:t>Store contract</w:t>
      </w:r>
    </w:p>
    <w:p>
      <w:r>
        <w:t>Step 3: Operational Setup</w:t>
      </w:r>
    </w:p>
    <w:p>
      <w:r>
        <w:t>Establish operational interfaces</w:t>
      </w:r>
    </w:p>
    <w:p>
      <w:r>
        <w:t>Configure systems</w:t>
      </w:r>
    </w:p>
    <w:p>
      <w:r>
        <w:t>Set up communication channels</w:t>
      </w:r>
    </w:p>
    <w:p>
      <w:r>
        <w:t>Define escalation procedures</w:t>
      </w:r>
    </w:p>
    <w:p>
      <w:r>
        <w:t>Step 4: Security Setup</w:t>
      </w:r>
    </w:p>
    <w:p>
      <w:r>
        <w:t>Establish security requirements</w:t>
      </w:r>
    </w:p>
    <w:p>
      <w:r>
        <w:t>Set up access controls</w:t>
      </w:r>
    </w:p>
    <w:p>
      <w:r>
        <w:t>Verify security compliance</w:t>
      </w:r>
    </w:p>
    <w:p>
      <w:r>
        <w:t>Conduct security testing</w:t>
      </w:r>
    </w:p>
    <w:p>
      <w:r>
        <w:t>Step 5: Compliance Setup</w:t>
      </w:r>
    </w:p>
    <w:p>
      <w:r>
        <w:t>Verify compliance requirements</w:t>
      </w:r>
    </w:p>
    <w:p>
      <w:r>
        <w:t>Establish reporting requirements</w:t>
      </w:r>
    </w:p>
    <w:p>
      <w:r>
        <w:t>Set up compliance monitoring</w:t>
      </w:r>
    </w:p>
    <w:p>
      <w:r>
        <w:t>Conduct compliance review</w:t>
      </w:r>
    </w:p>
    <w:p>
      <w:r>
        <w:t>Step 6: Go-Live</w:t>
      </w:r>
    </w:p>
    <w:p>
      <w:r>
        <w:t>Verify all setup is complete</w:t>
      </w:r>
    </w:p>
    <w:p>
      <w:r>
        <w:t>Conduct final testing</w:t>
      </w:r>
    </w:p>
    <w:p>
      <w:r>
        <w:t>Go-live</w:t>
      </w:r>
    </w:p>
    <w:p>
      <w:r>
        <w:t>Monitor initial performance</w:t>
      </w:r>
    </w:p>
    <w:p>
      <w:r>
        <w:t>Onboarding Checklist</w:t>
      </w:r>
    </w:p>
    <w:p>
      <w:r>
        <w:t>Performance Monitoring</w:t>
      </w:r>
    </w:p>
    <w:p>
      <w:r>
        <w:t>Key Performance Indicators</w:t>
      </w:r>
    </w:p>
    <w:p>
      <w:r>
        <w:t>What This Means in Practice:</w:t>
      </w:r>
    </w:p>
    <w:p>
      <w:r>
        <w:t>KPIs are defined for each vendor type</w:t>
      </w:r>
    </w:p>
    <w:p>
      <w:r>
        <w:t>Targets are set for each KPI</w:t>
      </w:r>
    </w:p>
    <w:p>
      <w:r>
        <w:t>Performance is measured monthly</w:t>
      </w:r>
    </w:p>
    <w:p>
      <w:r>
        <w:t>Performance is reported</w:t>
      </w:r>
    </w:p>
    <w:p>
      <w:r>
        <w:t>Example:</w:t>
      </w:r>
    </w:p>
    <w:p>
      <w:r>
        <w:t>The custody provider's performance is monitored monthly. Uptime is 99.995% (target 99.99%). Accuracy is 100% (target 100%). Response time is 2 hours (target &lt;4 hours). Security incidents: 0. Performance meets or exceeds targets.</w:t>
      </w:r>
    </w:p>
    <w:p>
      <w:r>
        <w:t>Why This Matters:</w:t>
      </w:r>
    </w:p>
    <w:p>
      <w:r>
        <w:t>KPIs enable objective measurement</w:t>
      </w:r>
    </w:p>
    <w:p>
      <w:r>
        <w:t>Targets define expected performance</w:t>
      </w:r>
    </w:p>
    <w:p>
      <w:r>
        <w:t>Monthly monitoring detects issues</w:t>
      </w:r>
    </w:p>
    <w:p>
      <w:r>
        <w:t>Reporting ensures visibility</w:t>
      </w:r>
    </w:p>
    <w:p>
      <w:r>
        <w:t>Performance Review Process</w:t>
      </w:r>
    </w:p>
    <w:p>
      <w:r>
        <w:t>Step 1: Data Collection</w:t>
      </w:r>
    </w:p>
    <w:p>
      <w:r>
        <w:t>Collect performance data</w:t>
      </w:r>
    </w:p>
    <w:p>
      <w:r>
        <w:t>Gather vendor reports</w:t>
      </w:r>
    </w:p>
    <w:p>
      <w:r>
        <w:t>Collect internal feedback</w:t>
      </w:r>
    </w:p>
    <w:p>
      <w:r>
        <w:t>Step 2: Analysis</w:t>
      </w:r>
    </w:p>
    <w:p>
      <w:r>
        <w:t>Compare performance to targets</w:t>
      </w:r>
    </w:p>
    <w:p>
      <w:r>
        <w:t>Identify trends</w:t>
      </w:r>
    </w:p>
    <w:p>
      <w:r>
        <w:t>Assess issues</w:t>
      </w:r>
    </w:p>
    <w:p>
      <w:r>
        <w:t>Step 3: Review</w:t>
      </w:r>
    </w:p>
    <w:p>
      <w:r>
        <w:t>Conduct performance review meeting</w:t>
      </w:r>
    </w:p>
    <w:p>
      <w:r>
        <w:t>Discuss performance</w:t>
      </w:r>
    </w:p>
    <w:p>
      <w:r>
        <w:t>Identify improvement areas</w:t>
      </w:r>
    </w:p>
    <w:p>
      <w:r>
        <w:t>Step 4: Action</w:t>
      </w:r>
    </w:p>
    <w:p>
      <w:r>
        <w:t>Develop action plans</w:t>
      </w:r>
    </w:p>
    <w:p>
      <w:r>
        <w:t>Assign responsibilities</w:t>
      </w:r>
    </w:p>
    <w:p>
      <w:r>
        <w:t>Set timelines</w:t>
      </w:r>
    </w:p>
    <w:p>
      <w:r>
        <w:t>Step 5: Follow-up</w:t>
      </w:r>
    </w:p>
    <w:p>
      <w:r>
        <w:t>Track action plan progress</w:t>
      </w:r>
    </w:p>
    <w:p>
      <w:r>
        <w:t>Verify resolution</w:t>
      </w:r>
    </w:p>
    <w:p>
      <w:r>
        <w:t>Document outcomes</w:t>
      </w:r>
    </w:p>
    <w:p>
      <w:r>
        <w:t>Performance Review Schedule</w:t>
      </w:r>
    </w:p>
    <w:p>
      <w:r>
        <w:t>Contract Management</w:t>
      </w:r>
    </w:p>
    <w:p>
      <w:r>
        <w:t>Contract Elements</w:t>
      </w:r>
    </w:p>
    <w:p>
      <w:r>
        <w:t>What This Means in Practice:</w:t>
      </w:r>
    </w:p>
    <w:p>
      <w:r>
        <w:t>All contract elements are defined</w:t>
      </w:r>
    </w:p>
    <w:p>
      <w:r>
        <w:t>Scope of services is clearly defined</w:t>
      </w:r>
    </w:p>
    <w:p>
      <w:r>
        <w:t>Service levels are established</w:t>
      </w:r>
    </w:p>
    <w:p>
      <w:r>
        <w:t>Pricing and payment terms are agreed</w:t>
      </w:r>
    </w:p>
    <w:p>
      <w:r>
        <w:t>Termination conditions are defined</w:t>
      </w:r>
    </w:p>
    <w:p>
      <w:r>
        <w:t>Liability is addressed</w:t>
      </w:r>
    </w:p>
    <w:p>
      <w:r>
        <w:t>Example:</w:t>
      </w:r>
    </w:p>
    <w:p>
      <w:r>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r>
        <w:t>Why This Matters:</w:t>
      </w:r>
    </w:p>
    <w:p>
      <w:r>
        <w:t>Clear contracts prevent disputes</w:t>
      </w:r>
    </w:p>
    <w:p>
      <w:r>
        <w:t>Defined service levels enable performance measurement</w:t>
      </w:r>
    </w:p>
    <w:p>
      <w:r>
        <w:t>Termination conditions protect the Institution</w:t>
      </w:r>
    </w:p>
    <w:p>
      <w:r>
        <w:t>Liability provisions manage risk</w:t>
      </w:r>
    </w:p>
    <w:p>
      <w:r>
        <w:t>Contract Review Process</w:t>
      </w:r>
    </w:p>
    <w:p>
      <w:r>
        <w:t>Step 1: Periodic Review</w:t>
      </w:r>
    </w:p>
    <w:p>
      <w:r>
        <w:t>Review contract terms</w:t>
      </w:r>
    </w:p>
    <w:p>
      <w:r>
        <w:t>Assess compliance</w:t>
      </w:r>
    </w:p>
    <w:p>
      <w:r>
        <w:t>Identify issues</w:t>
      </w:r>
    </w:p>
    <w:p>
      <w:r>
        <w:t>Step 2: Amendment</w:t>
      </w:r>
    </w:p>
    <w:p>
      <w:r>
        <w:t>Identify need for amendments</w:t>
      </w:r>
    </w:p>
    <w:p>
      <w:r>
        <w:t>Negotiate amendments</w:t>
      </w:r>
    </w:p>
    <w:p>
      <w:r>
        <w:t>Execute amendments</w:t>
      </w:r>
    </w:p>
    <w:p>
      <w:r>
        <w:t>Step 3: Renewal</w:t>
      </w:r>
    </w:p>
    <w:p>
      <w:r>
        <w:t>Assess renewal options</w:t>
      </w:r>
    </w:p>
    <w:p>
      <w:r>
        <w:t>Negotiate renewal terms</w:t>
      </w:r>
    </w:p>
    <w:p>
      <w:r>
        <w:t>Execute renewal</w:t>
      </w:r>
    </w:p>
    <w:p>
      <w:r>
        <w:t>Step 4: Termination</w:t>
      </w:r>
    </w:p>
    <w:p>
      <w:r>
        <w:t>Assess termination need</w:t>
      </w:r>
    </w:p>
    <w:p>
      <w:r>
        <w:t>Execute termination</w:t>
      </w:r>
    </w:p>
    <w:p>
      <w:r>
        <w:t>Manage transition</w:t>
      </w:r>
    </w:p>
    <w:p>
      <w:r>
        <w:t>Contract Records</w:t>
      </w:r>
    </w:p>
    <w:p>
      <w:r>
        <w:t>Vendor Risk Management</w:t>
      </w:r>
    </w:p>
    <w:p>
      <w:r>
        <w:t>Risk Assessment</w:t>
      </w:r>
    </w:p>
    <w:p>
      <w:r>
        <w:t>What This Means in Practice:</w:t>
      </w:r>
    </w:p>
    <w:p>
      <w:r>
        <w:t>Vendor risks are identified and assessed</w:t>
      </w:r>
    </w:p>
    <w:p>
      <w:r>
        <w:t>Financial risk is assessed annually</w:t>
      </w:r>
    </w:p>
    <w:p>
      <w:r>
        <w:t>Operational risk is assessed quarterly</w:t>
      </w:r>
    </w:p>
    <w:p>
      <w:r>
        <w:t>Security risk is assessed quarterly</w:t>
      </w:r>
    </w:p>
    <w:p>
      <w:r>
        <w:t>Regulatory risk is assessed annually</w:t>
      </w:r>
    </w:p>
    <w:p>
      <w:r>
        <w:t>Concentration risk is assessed quarterly</w:t>
      </w:r>
    </w:p>
    <w:p>
      <w:r>
        <w:t>Example:</w:t>
      </w:r>
    </w:p>
    <w:p>
      <w:r>
        <w:t>The Institution assesses its custody provider's risks quarterly. Financial risk is low. Operational risk is low. Security risk is low. Regulatory risk is low. Concentration risk is medium (mitigated by multiple custodians). All risks are acceptable.</w:t>
      </w:r>
    </w:p>
    <w:p>
      <w:r>
        <w:t>Why This Matters:</w:t>
      </w:r>
    </w:p>
    <w:p>
      <w:r>
        <w:t>Risk assessment identifies vulnerabilities</w:t>
      </w:r>
    </w:p>
    <w:p>
      <w:r>
        <w:t>Regular assessment detects changes</w:t>
      </w:r>
    </w:p>
    <w:p>
      <w:r>
        <w:t>Mitigation addresses risks</w:t>
      </w:r>
    </w:p>
    <w:p>
      <w:r>
        <w:t>Monitoring ensures ongoing management</w:t>
      </w:r>
    </w:p>
    <w:p>
      <w:r>
        <w:t>Risk Mitigation</w:t>
      </w:r>
    </w:p>
    <w:p>
      <w:r>
        <w:t>What This Means in Practice:</w:t>
      </w:r>
    </w:p>
    <w:p>
      <w:r>
        <w:t>Mitigation strategies are defined for each risk</w:t>
      </w:r>
    </w:p>
    <w:p>
      <w:r>
        <w:t>Financial risk is mitigated through monitoring and diversification</w:t>
      </w:r>
    </w:p>
    <w:p>
      <w:r>
        <w:t>Operational risk is mitigated through SLAs and monitoring</w:t>
      </w:r>
    </w:p>
    <w:p>
      <w:r>
        <w:t>Security risk is mitigated through security requirements and audits</w:t>
      </w:r>
    </w:p>
    <w:p>
      <w:r>
        <w:t>Regulatory risk is mitigated through regulatory verification</w:t>
      </w:r>
    </w:p>
    <w:p>
      <w:r>
        <w:t>Concentration risk is mitigated through diversification</w:t>
      </w:r>
    </w:p>
    <w:p>
      <w:r>
        <w:t>Example:</w:t>
      </w:r>
    </w:p>
    <w:p>
      <w:r>
        <w:t>The Institution mitigates concentration risk by using multiple custody providers. If one custodian fails, others continue to operate. Contingency plans are in place. Risk is managed.</w:t>
      </w:r>
    </w:p>
    <w:p>
      <w:r>
        <w:t>Why This Matters:</w:t>
      </w:r>
    </w:p>
    <w:p>
      <w:r>
        <w:t>Mitigation reduces risk</w:t>
      </w:r>
    </w:p>
    <w:p>
      <w:r>
        <w:t>Diversification reduces concentration</w:t>
      </w:r>
    </w:p>
    <w:p>
      <w:r>
        <w:t>Monitoring detects changes</w:t>
      </w:r>
    </w:p>
    <w:p>
      <w:r>
        <w:t>Contingency ensures resilience</w:t>
      </w:r>
    </w:p>
    <w:p>
      <w:r>
        <w:t>Contingency Planning</w:t>
      </w:r>
    </w:p>
    <w:p>
      <w:r>
        <w:t>What This Means in Practice:</w:t>
      </w:r>
    </w:p>
    <w:p>
      <w:r>
        <w:t>Contingency plans are defined for critical vendors</w:t>
      </w:r>
    </w:p>
    <w:p>
      <w:r>
        <w:t>Backup options are identified</w:t>
      </w:r>
    </w:p>
    <w:p>
      <w:r>
        <w:t>Activation conditions are defined</w:t>
      </w:r>
    </w:p>
    <w:p>
      <w:r>
        <w:t>Timelines are established</w:t>
      </w:r>
    </w:p>
    <w:p>
      <w:r>
        <w:t>Example:</w:t>
      </w:r>
    </w:p>
    <w:p>
      <w:r>
        <w:t>The Institution's primary custodian fails. The contingency plan is activated. The backup custodian is engaged. Assets are transferred within 7 days. Operations continue.</w:t>
      </w:r>
    </w:p>
    <w:p>
      <w:r>
        <w:t>Why This Matters:</w:t>
      </w:r>
    </w:p>
    <w:p>
      <w:r>
        <w:t>Contingency ensures business continuity</w:t>
      </w:r>
    </w:p>
    <w:p>
      <w:r>
        <w:t>Backup options provide alternatives</w:t>
      </w:r>
    </w:p>
    <w:p>
      <w:r>
        <w:t>Defined timelines enable planning</w:t>
      </w:r>
    </w:p>
    <w:p>
      <w:r>
        <w:t>Activation conditions enable rapid response</w:t>
      </w:r>
    </w:p>
    <w:p>
      <w:r>
        <w:t>Vendor Termination</w:t>
      </w:r>
    </w:p>
    <w:p>
      <w:r>
        <w:t>Termination Process</w:t>
      </w:r>
    </w:p>
    <w:p>
      <w:r>
        <w:t>Step 1: Decision</w:t>
      </w:r>
    </w:p>
    <w:p>
      <w:r>
        <w:t>Assess termination need</w:t>
      </w:r>
    </w:p>
    <w:p>
      <w:r>
        <w:t>Review contract termination provisions</w:t>
      </w:r>
    </w:p>
    <w:p>
      <w:r>
        <w:t>Make termination decision</w:t>
      </w:r>
    </w:p>
    <w:p>
      <w:r>
        <w:t>Step 2: Notification</w:t>
      </w:r>
    </w:p>
    <w:p>
      <w:r>
        <w:t>Provide termination notice per contract</w:t>
      </w:r>
    </w:p>
    <w:p>
      <w:r>
        <w:t>Provide termination rationale</w:t>
      </w:r>
    </w:p>
    <w:p>
      <w:r>
        <w:t>Establish effective date</w:t>
      </w:r>
    </w:p>
    <w:p>
      <w:r>
        <w:t>Step 3: Transition</w:t>
      </w:r>
    </w:p>
    <w:p>
      <w:r>
        <w:t>Plan transition activities</w:t>
      </w:r>
    </w:p>
    <w:p>
      <w:r>
        <w:t>Identify successor vendor if needed</w:t>
      </w:r>
    </w:p>
    <w:p>
      <w:r>
        <w:t>Execute transition</w:t>
      </w:r>
    </w:p>
    <w:p>
      <w:r>
        <w:t>Step 4: Completion</w:t>
      </w:r>
    </w:p>
    <w:p>
      <w:r>
        <w:t>Complete all transition activities</w:t>
      </w:r>
    </w:p>
    <w:p>
      <w:r>
        <w:t>Verify completion</w:t>
      </w:r>
    </w:p>
    <w:p>
      <w:r>
        <w:t>Close vendor relationship</w:t>
      </w:r>
    </w:p>
    <w:p>
      <w:r>
        <w:t>Step 5: Record Keeping</w:t>
      </w:r>
    </w:p>
    <w:p>
      <w:r>
        <w:t>Document termination</w:t>
      </w:r>
    </w:p>
    <w:p>
      <w:r>
        <w:t>Archive records</w:t>
      </w:r>
    </w:p>
    <w:p>
      <w:r>
        <w:t>Update vendor registry</w:t>
      </w:r>
    </w:p>
    <w:p>
      <w:r>
        <w:t>Termination Triggers</w:t>
      </w:r>
    </w:p>
    <w:p>
      <w:r>
        <w:t>What This Means in Practice:</w:t>
      </w:r>
    </w:p>
    <w:p>
      <w:r>
        <w:t>Termination triggers are defined</w:t>
      </w:r>
    </w:p>
    <w:p>
      <w:r>
        <w:t>Performance failure triggers termination</w:t>
      </w:r>
    </w:p>
    <w:p>
      <w:r>
        <w:t>Contract breach triggers termination</w:t>
      </w:r>
    </w:p>
    <w:p>
      <w:r>
        <w:t>Financial distress triggers termination</w:t>
      </w:r>
    </w:p>
    <w:p>
      <w:r>
        <w:t>Regulatory action triggers termination</w:t>
      </w:r>
    </w:p>
    <w:p>
      <w:r>
        <w:t>Security breach triggers termination</w:t>
      </w:r>
    </w:p>
    <w:p>
      <w:r>
        <w:t>Example:</w:t>
      </w:r>
    </w:p>
    <w:p>
      <w:r>
        <w:t>A vendor persistently underperforms. Performance targets are missed for three consecutive quarters. The Institution terminates the vendor relationship. A successor is engaged.</w:t>
      </w:r>
    </w:p>
    <w:p>
      <w:r>
        <w:t>Why This Matters:</w:t>
      </w:r>
    </w:p>
    <w:p>
      <w:r>
        <w:t>Defined triggers enable objective decisions</w:t>
      </w:r>
    </w:p>
    <w:p>
      <w:r>
        <w:t>Performance failure is addressed</w:t>
      </w:r>
    </w:p>
    <w:p>
      <w:r>
        <w:t>Contract breach is enforced</w:t>
      </w:r>
    </w:p>
    <w:p>
      <w:r>
        <w:t>Financial distress is managed</w:t>
      </w:r>
    </w:p>
    <w:p>
      <w:r>
        <w:t>Transition Planning</w:t>
      </w:r>
    </w:p>
    <w:p>
      <w:r>
        <w:t>What This Means in Practice:</w:t>
      </w:r>
    </w:p>
    <w:p>
      <w:r>
        <w:t>Transition planning is comprehensive</w:t>
      </w:r>
    </w:p>
    <w:p>
      <w:r>
        <w:t>Successor is identified and onboarded</w:t>
      </w:r>
    </w:p>
    <w:p>
      <w:r>
        <w:t>Data is transferred</w:t>
      </w:r>
    </w:p>
    <w:p>
      <w:r>
        <w:t>Operations are transferred</w:t>
      </w:r>
    </w:p>
    <w:p>
      <w:r>
        <w:t>Transition is completed</w:t>
      </w:r>
    </w:p>
    <w:p>
      <w:r>
        <w:t>Example:</w:t>
      </w:r>
    </w:p>
    <w:p>
      <w:r>
        <w:t>The Institution terminates a vendor relationship. A successor is identified within 30 days. The successor is onboarded within 60 days. Data and operations are transferred. The transition is completed within 15 days.</w:t>
      </w:r>
    </w:p>
    <w:p>
      <w:r>
        <w:t>Why This Matters:</w:t>
      </w:r>
    </w:p>
    <w:p>
      <w:r>
        <w:t>Transition planning ensures continuity</w:t>
      </w:r>
    </w:p>
    <w:p>
      <w:r>
        <w:t>Successor identification prevents gaps</w:t>
      </w:r>
    </w:p>
    <w:p>
      <w:r>
        <w:t>Data transfer ensures completeness</w:t>
      </w:r>
    </w:p>
    <w:p>
      <w:r>
        <w:t>Operational transfer ensures functionality</w:t>
      </w:r>
    </w:p>
    <w:p>
      <w:r>
        <w:t>Vendor Records</w:t>
      </w:r>
    </w:p>
    <w:p>
      <w:r>
        <w:t>Vendor Registry</w:t>
      </w:r>
    </w:p>
    <w:p>
      <w:r>
        <w:t>What This Means in Practice:</w:t>
      </w:r>
    </w:p>
    <w:p>
      <w:r>
        <w:t>A vendor registry is maintained</w:t>
      </w:r>
    </w:p>
    <w:p>
      <w:r>
        <w:t>All vendors are recorded</w:t>
      </w:r>
    </w:p>
    <w:p>
      <w:r>
        <w:t>Key information is tracked</w:t>
      </w:r>
    </w:p>
    <w:p>
      <w:r>
        <w:t>Status is updated</w:t>
      </w:r>
    </w:p>
    <w:p>
      <w:r>
        <w:t>Example:</w:t>
      </w:r>
    </w:p>
    <w:p>
      <w:r>
        <w:t>The Institution maintains a vendor registry. All vendors are recorded with contact information, contract details, performance history, and risk assessment. The registry is updated regularly.</w:t>
      </w:r>
    </w:p>
    <w:p>
      <w:r>
        <w:t>Why This Matters:</w:t>
      </w:r>
    </w:p>
    <w:p>
      <w:r>
        <w:t>Registry provides visibility</w:t>
      </w:r>
    </w:p>
    <w:p>
      <w:r>
        <w:t>Tracking enables management</w:t>
      </w:r>
    </w:p>
    <w:p>
      <w:r>
        <w:t>History supports decisions</w:t>
      </w:r>
    </w:p>
    <w:p>
      <w:r>
        <w:t>Status updates ensure accuracy</w:t>
      </w:r>
    </w:p>
    <w:p>
      <w:r>
        <w:t>Vendor Documentation</w:t>
      </w:r>
    </w:p>
    <w:p>
      <w:r>
        <w:t>Summary Table</w:t>
      </w:r>
    </w:p>
    <w:p>
      <w:r>
        <w:t>Constitutional Interpretation</w:t>
      </w:r>
    </w:p>
    <w:p>
      <w:r>
        <w:t>Vendor Management establishes the operational framework for managing third-party service providers:</w:t>
      </w:r>
    </w:p>
    <w:p>
      <w:r>
        <w:t>Vendors are selected through rigorous due diligence</w:t>
      </w:r>
    </w:p>
    <w:p>
      <w:r>
        <w:t>Vendors are onboarded with clear expectations and agreements</w:t>
      </w:r>
    </w:p>
    <w:p>
      <w:r>
        <w:t>Vendor performance is monitored continuously</w:t>
      </w:r>
    </w:p>
    <w:p>
      <w:r>
        <w:t>Vendor risks are identified and mitigated</w:t>
      </w:r>
    </w:p>
    <w:p>
      <w:r>
        <w:t>Vendor contracts are managed effectively</w:t>
      </w:r>
    </w:p>
    <w:p>
      <w:r>
        <w:t>Vendor termination is executed professionally</w:t>
      </w:r>
    </w:p>
    <w:p>
      <w:r>
        <w:t>Vendor management ensures that all service providers meet the Institution's standards for quality, reliability, security, and compliance. It reduces risk, ensures performance, and maintains operational integrity.</w:t>
      </w:r>
    </w:p>
    <w:p>
      <w:r>
        <w:t>[END OF PART 5, ARTICLE VI — VENDOR MANAGEMENT]</w:t>
      </w:r>
    </w:p>
    <w:p>
      <w:r>
        <w:t>Article VII: Documentation and Reporting</w:t>
      </w:r>
    </w:p>
    <w:p>
      <w:r>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r>
        <w:t>What This Means in Practice:</w:t>
      </w:r>
    </w:p>
    <w:p>
      <w:r>
        <w:t>All operations are documented with clear procedures and records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Example:</w:t>
      </w:r>
    </w:p>
    <w:p>
      <w:r>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r>
        <w:t>Why This Matters:</w:t>
      </w:r>
    </w:p>
    <w:p>
      <w:r>
        <w:t>Without documentation, operations are ad hoc and inconsistent</w:t>
      </w:r>
    </w:p>
    <w:p>
      <w:r>
        <w:t>Without reporting, stakeholders are uninformed</w:t>
      </w:r>
    </w:p>
    <w:p>
      <w:r>
        <w:t>Without record keeping, audits are impossible</w:t>
      </w:r>
    </w:p>
    <w:p>
      <w:r>
        <w:t>Without transparency, trust is undermined</w:t>
      </w:r>
    </w:p>
    <w:p>
      <w:r>
        <w:t>Documentation and reporting are essential to institutional integrity</w:t>
      </w:r>
    </w:p>
    <w:p>
      <w:r>
        <w:t>Core Principles of Documentation and Reporting</w:t>
      </w:r>
    </w:p>
    <w:p>
      <w:pPr>
        <w:pStyle w:val="ListNumber"/>
        <w:ind w:left="425"/>
      </w:pPr>
      <w:r>
        <w:t>Completeness</w:t>
      </w:r>
    </w:p>
    <w:p>
      <w:r>
        <w:t>Documentation and reporting are complete.</w:t>
      </w:r>
    </w:p>
    <w:p>
      <w:r>
        <w:t>What This Means in Practice:</w:t>
      </w:r>
    </w:p>
    <w:p>
      <w:r>
        <w:t>All operations are documented</w:t>
      </w:r>
    </w:p>
    <w:p>
      <w:r>
        <w:t>All required reports are produced</w:t>
      </w:r>
    </w:p>
    <w:p>
      <w:r>
        <w:t>All material information is included</w:t>
      </w:r>
    </w:p>
    <w:p>
      <w:r>
        <w:t>No gaps in documentation or reporting</w:t>
      </w:r>
    </w:p>
    <w:p>
      <w:r>
        <w:t>Example:</w:t>
      </w:r>
    </w:p>
    <w:p>
      <w:r>
        <w:t>The Institution maintains comprehensive documentation of all operations. All required reports are produced on schedule. Reports include all material information. There are no gaps.</w:t>
      </w:r>
    </w:p>
    <w:p>
      <w:r>
        <w:t>Why This Matters:</w:t>
      </w:r>
    </w:p>
    <w:p>
      <w:r>
        <w:t>Completeness ensures no operations are undocumented</w:t>
      </w:r>
    </w:p>
    <w:p>
      <w:r>
        <w:t>Completeness ensures no reports are missing</w:t>
      </w:r>
    </w:p>
    <w:p>
      <w:r>
        <w:t>Completeness ensures informed decisions</w:t>
      </w:r>
    </w:p>
    <w:p>
      <w:r>
        <w:t>Completeness is essential to auditability</w:t>
      </w:r>
    </w:p>
    <w:p>
      <w:pPr>
        <w:pStyle w:val="ListNumber"/>
        <w:ind w:left="425"/>
      </w:pPr>
      <w:r>
        <w:t>Accuracy</w:t>
      </w:r>
    </w:p>
    <w:p>
      <w:r>
        <w:t>Documentation and reporting are accurate.</w:t>
      </w:r>
    </w:p>
    <w:p>
      <w:r>
        <w:t>What This Means in Practice:</w:t>
      </w:r>
    </w:p>
    <w:p>
      <w:r>
        <w:t>Information is correct and verified</w:t>
      </w:r>
    </w:p>
    <w:p>
      <w:r>
        <w:t>Data is validated</w:t>
      </w:r>
    </w:p>
    <w:p>
      <w:r>
        <w:t>Errors are corrected promptly</w:t>
      </w:r>
    </w:p>
    <w:p>
      <w:r>
        <w:t>Accuracy is maintained</w:t>
      </w:r>
    </w:p>
    <w:p>
      <w:r>
        <w:t>Example:</w:t>
      </w:r>
    </w:p>
    <w:p>
      <w:r>
        <w:t>Reports are reviewed for accuracy before publication. Data is validated against source systems. Errors are corrected promptly. Accuracy is maintained.</w:t>
      </w:r>
    </w:p>
    <w:p>
      <w:r>
        <w:t>Why This Matters:</w:t>
      </w:r>
    </w:p>
    <w:p>
      <w:r>
        <w:t>Accuracy ensures reliability</w:t>
      </w:r>
    </w:p>
    <w:p>
      <w:r>
        <w:t>Inaccurate information undermines trust</w:t>
      </w:r>
    </w:p>
    <w:p>
      <w:r>
        <w:t>Data validation prevents errors</w:t>
      </w:r>
    </w:p>
    <w:p>
      <w:r>
        <w:t>Prompt correction maintains credibility</w:t>
      </w:r>
    </w:p>
    <w:p>
      <w:pPr>
        <w:pStyle w:val="ListNumber"/>
        <w:ind w:left="425"/>
      </w:pPr>
      <w:r>
        <w:t>Timeliness</w:t>
      </w:r>
    </w:p>
    <w:p>
      <w:r>
        <w:t>Documentation and reporting are timely.</w:t>
      </w:r>
    </w:p>
    <w:p>
      <w:r>
        <w:t>What This Means in Practice:</w:t>
      </w:r>
    </w:p>
    <w:p>
      <w:r>
        <w:t>Reports are produced on schedule</w:t>
      </w:r>
    </w:p>
    <w:p>
      <w:r>
        <w:t>Documentation is updated promptly</w:t>
      </w:r>
    </w:p>
    <w:p>
      <w:r>
        <w:t>Information is current</w:t>
      </w:r>
    </w:p>
    <w:p>
      <w:r>
        <w:t>Timeliness is maintained</w:t>
      </w:r>
    </w:p>
    <w:p>
      <w:r>
        <w:t>Example:</w:t>
      </w:r>
    </w:p>
    <w:p>
      <w:r>
        <w:t>Daily reports are produced every day. Monthly reports are produced by the 5th of the following month. Documentation is updated when processes change. Timeliness is maintained.</w:t>
      </w:r>
    </w:p>
    <w:p>
      <w:r>
        <w:t>Why This Matters:</w:t>
      </w:r>
    </w:p>
    <w:p>
      <w:r>
        <w:t>Timeliness ensures relevance</w:t>
      </w:r>
    </w:p>
    <w:p>
      <w:r>
        <w:t>Outdated information is less useful</w:t>
      </w:r>
    </w:p>
    <w:p>
      <w:r>
        <w:t>Schedule adherence builds trust</w:t>
      </w:r>
    </w:p>
    <w:p>
      <w:r>
        <w:t>Timeliness is essential to decision-making</w:t>
      </w:r>
    </w:p>
    <w:p>
      <w:pPr>
        <w:pStyle w:val="ListNumber"/>
        <w:ind w:left="425"/>
      </w:pPr>
      <w:r>
        <w:t>Accessibility</w:t>
      </w:r>
    </w:p>
    <w:p>
      <w:r>
        <w:t>Documentation and reporting are accessible.</w:t>
      </w:r>
    </w:p>
    <w:p>
      <w:r>
        <w:t>What This Means in Practice:</w:t>
      </w:r>
    </w:p>
    <w:p>
      <w:r>
        <w:t>Documents are organized and findable</w:t>
      </w:r>
    </w:p>
    <w:p>
      <w:r>
        <w:t>Reports are distributed appropriately</w:t>
      </w:r>
    </w:p>
    <w:p>
      <w:r>
        <w:t>Access controls are maintained</w:t>
      </w:r>
    </w:p>
    <w:p>
      <w:r>
        <w:t>Accessibility is balanced with security</w:t>
      </w:r>
    </w:p>
    <w:p>
      <w:r>
        <w:t>Example:</w:t>
      </w:r>
    </w:p>
    <w:p>
      <w:r>
        <w:t>Documents are organized in a central repository. Reports are distributed to appropriate audiences. Access controls protect sensitive information. Accessibility is balanced with security.</w:t>
      </w:r>
    </w:p>
    <w:p>
      <w:r>
        <w:t>Why This Matters:</w:t>
      </w:r>
    </w:p>
    <w:p>
      <w:r>
        <w:t>Accessibility ensures information is available when needed</w:t>
      </w:r>
    </w:p>
    <w:p>
      <w:r>
        <w:t>Organization enables finding information</w:t>
      </w:r>
    </w:p>
    <w:p>
      <w:r>
        <w:t>Distribution ensures stakeholders receive reports</w:t>
      </w:r>
    </w:p>
    <w:p>
      <w:r>
        <w:t>Access controls protect sensitive information</w:t>
      </w:r>
    </w:p>
    <w:p>
      <w:pPr>
        <w:pStyle w:val="ListNumber"/>
        <w:ind w:left="425"/>
      </w:pPr>
      <w:r>
        <w:t>Retention</w:t>
      </w:r>
    </w:p>
    <w:p>
      <w:r>
        <w:t>Documentation and reporting are retained appropriately.</w:t>
      </w:r>
    </w:p>
    <w:p>
      <w:r>
        <w:t>What This Means in Practice:</w:t>
      </w:r>
    </w:p>
    <w:p>
      <w:r>
        <w:t>Retention periods are defined</w:t>
      </w:r>
    </w:p>
    <w:p>
      <w:r>
        <w:t>Records are maintained for required periods</w:t>
      </w:r>
    </w:p>
    <w:p>
      <w:r>
        <w:t>Archival is performed appropriately</w:t>
      </w:r>
    </w:p>
    <w:p>
      <w:r>
        <w:t>Disposal is performed securely</w:t>
      </w:r>
    </w:p>
    <w:p>
      <w:r>
        <w:t>Example:</w:t>
      </w:r>
    </w:p>
    <w:p>
      <w:r>
        <w:t>The Institution maintains records for 7+ years as required. Retention periods are defined. Archival is performed quarterly. Disposal is performed securely.</w:t>
      </w:r>
    </w:p>
    <w:p>
      <w:r>
        <w:t>Why This Matters:</w:t>
      </w:r>
    </w:p>
    <w:p>
      <w:r>
        <w:t>Retention ensures records are available when needed</w:t>
      </w:r>
    </w:p>
    <w:p>
      <w:r>
        <w:t>Defined periods ensure compliance</w:t>
      </w:r>
    </w:p>
    <w:p>
      <w:r>
        <w:t>Archival ensures preservation</w:t>
      </w:r>
    </w:p>
    <w:p>
      <w:r>
        <w:t>Secure disposal prevents unauthorized access</w:t>
      </w:r>
    </w:p>
    <w:p>
      <w:r>
        <w:t>Documentation Types</w:t>
      </w:r>
    </w:p>
    <w:p>
      <w:r>
        <w:t>Operational Documentation</w:t>
      </w:r>
    </w:p>
    <w:p>
      <w:r>
        <w:t>What This Means in Practice:</w:t>
      </w:r>
    </w:p>
    <w:p>
      <w:r>
        <w:t>Operational documentation guides all activities</w:t>
      </w:r>
    </w:p>
    <w:p>
      <w:r>
        <w:t>Operations Manual is the primary reference</w:t>
      </w:r>
    </w:p>
    <w:p>
      <w:r>
        <w:t>Runbooks provide step-by-step procedures</w:t>
      </w:r>
    </w:p>
    <w:p>
      <w:r>
        <w:t>Playbooks cover specific scenarios</w:t>
      </w:r>
    </w:p>
    <w:p>
      <w:r>
        <w:t>Checklists ensure completeness</w:t>
      </w:r>
    </w:p>
    <w:p>
      <w:r>
        <w:t>Templates ensure consistency</w:t>
      </w:r>
    </w:p>
    <w:p>
      <w:r>
        <w:t>Example:</w:t>
      </w:r>
    </w:p>
    <w:p>
      <w:r>
        <w:t>The Operations Manual contains all operational procedures. Runbooks provide step-by-step instructions for common tasks. Playbooks cover incident response scenarios. Checklists ensure key steps are completed. Templates ensure consistent formatting.</w:t>
      </w:r>
    </w:p>
    <w:p>
      <w:r>
        <w:t>Why This Matters:</w:t>
      </w:r>
    </w:p>
    <w:p>
      <w:r>
        <w:t>Documentation ensures consistency</w:t>
      </w:r>
    </w:p>
    <w:p>
      <w:r>
        <w:t>Runbooks enable consistency</w:t>
      </w:r>
    </w:p>
    <w:p>
      <w:r>
        <w:t>Playbooks enable effective response</w:t>
      </w:r>
    </w:p>
    <w:p>
      <w:r>
        <w:t>Checklists prevent omissions</w:t>
      </w:r>
    </w:p>
    <w:p>
      <w:r>
        <w:t>Templates ensure quality</w:t>
      </w:r>
    </w:p>
    <w:p>
      <w:r>
        <w:t>Financial Documentation</w:t>
      </w:r>
    </w:p>
    <w:p>
      <w:r>
        <w:t>What This Means in Practice:</w:t>
      </w:r>
    </w:p>
    <w:p>
      <w:r>
        <w:t>Financial documentation supports transparency</w:t>
      </w:r>
    </w:p>
    <w:p>
      <w:r>
        <w:t>Financial statements are produced monthly and annually</w:t>
      </w:r>
    </w:p>
    <w:p>
      <w:r>
        <w:t>Budgets guide financial planning</w:t>
      </w:r>
    </w:p>
    <w:p>
      <w:r>
        <w:t>Reserve reports ensure transparency</w:t>
      </w:r>
    </w:p>
    <w:p>
      <w:r>
        <w:t>Audit reports provide independent verification</w:t>
      </w:r>
    </w:p>
    <w:p>
      <w:r>
        <w:t>Example:</w:t>
      </w:r>
    </w:p>
    <w:p>
      <w:r>
        <w:t>The Institution produces monthly financial statements, an annual budget, daily reserve reports, quarterly audit reports, and annual tax records. All financial documentation is accurate and transparent.</w:t>
      </w:r>
    </w:p>
    <w:p>
      <w:r>
        <w:t>Why This Matters:</w:t>
      </w:r>
    </w:p>
    <w:p>
      <w:r>
        <w:t>Financial statements enable transparency</w:t>
      </w:r>
    </w:p>
    <w:p>
      <w:r>
        <w:t>Budgets guide planning</w:t>
      </w:r>
    </w:p>
    <w:p>
      <w:r>
        <w:t>Reserve reports ensure solvency verification</w:t>
      </w:r>
    </w:p>
    <w:p>
      <w:r>
        <w:t>Audit reports provide independent assurance</w:t>
      </w:r>
    </w:p>
    <w:p>
      <w:r>
        <w:t>Compliance Documentation</w:t>
      </w:r>
    </w:p>
    <w:p>
      <w:r>
        <w:t>What This Means in Practice:</w:t>
      </w:r>
    </w:p>
    <w:p>
      <w:r>
        <w:t>Compliance documentation supports regulatory requirements</w:t>
      </w:r>
    </w:p>
    <w:p>
      <w:r>
        <w:t>KYC/KYB records verify participant identity</w:t>
      </w:r>
    </w:p>
    <w:p>
      <w:r>
        <w:t>Sanctions records document screening</w:t>
      </w:r>
    </w:p>
    <w:p>
      <w:r>
        <w:t>Transaction monitoring records document monitoring</w:t>
      </w:r>
    </w:p>
    <w:p>
      <w:r>
        <w:t>Regulatory filings satisfy reporting requirements</w:t>
      </w:r>
    </w:p>
    <w:p>
      <w:r>
        <w:t>Example:</w:t>
      </w:r>
    </w:p>
    <w:p>
      <w:r>
        <w:t>The Institution maintains KYC/KYB records for all participants, sanctions screening records for all transactions, transaction monitoring logs, regulatory filings, and compliance audit reports. All compliance documentation is complete and accurate.</w:t>
      </w:r>
    </w:p>
    <w:p>
      <w:r>
        <w:t>Why This Matters:</w:t>
      </w:r>
    </w:p>
    <w:p>
      <w:r>
        <w:t>Compliance documentation enables verification</w:t>
      </w:r>
    </w:p>
    <w:p>
      <w:r>
        <w:t>KYC/KYB records prevent fraud</w:t>
      </w:r>
    </w:p>
    <w:p>
      <w:r>
        <w:t>Sanctions records demonstrate compliance</w:t>
      </w:r>
    </w:p>
    <w:p>
      <w:r>
        <w:t>Regulatory filings satisfy legal requirements</w:t>
      </w:r>
    </w:p>
    <w:p>
      <w:r>
        <w:t>Technical Documentation</w:t>
      </w:r>
    </w:p>
    <w:p>
      <w:r>
        <w:t>What This Means in Practice:</w:t>
      </w:r>
    </w:p>
    <w:p>
      <w:r>
        <w:t>Technical documentation supports system understanding</w:t>
      </w:r>
    </w:p>
    <w:p>
      <w:r>
        <w:t>Architecture documents describe the system</w:t>
      </w:r>
    </w:p>
    <w:p>
      <w:r>
        <w:t>API documentation enables integration</w:t>
      </w:r>
    </w:p>
    <w:p>
      <w:r>
        <w:t>Security documents verify security controls</w:t>
      </w:r>
    </w:p>
    <w:p>
      <w:r>
        <w:t>Incident records support incident management</w:t>
      </w:r>
    </w:p>
    <w:p>
      <w:r>
        <w:t>Example:</w:t>
      </w:r>
    </w:p>
    <w:p>
      <w:r>
        <w:t>The Institution maintains technical architecture documents, API documentation, security documents, incident records, and change records. All technical documentation is accurate and up to date.</w:t>
      </w:r>
    </w:p>
    <w:p>
      <w:r>
        <w:t>Why This Matters:</w:t>
      </w:r>
    </w:p>
    <w:p>
      <w:r>
        <w:t>Architecture documents enable understanding</w:t>
      </w:r>
    </w:p>
    <w:p>
      <w:r>
        <w:t>API documentation enables integration</w:t>
      </w:r>
    </w:p>
    <w:p>
      <w:r>
        <w:t>Security documents enable verification</w:t>
      </w:r>
    </w:p>
    <w:p>
      <w:r>
        <w:t>Incident records support learning</w:t>
      </w:r>
    </w:p>
    <w:p>
      <w:r>
        <w:t>Change records support control</w:t>
      </w:r>
    </w:p>
    <w:p>
      <w:r>
        <w:t>Reporting Framework</w:t>
      </w:r>
    </w:p>
    <w:p>
      <w:r>
        <w:t>Report Types</w:t>
      </w:r>
    </w:p>
    <w:p>
      <w:r>
        <w:t>What This Means in Practice:</w:t>
      </w:r>
    </w:p>
    <w:p>
      <w:r>
        <w:t>Reports are produced for different audiences</w:t>
      </w:r>
    </w:p>
    <w:p>
      <w:r>
        <w:t>Executive reports are for leadership</w:t>
      </w:r>
    </w:p>
    <w:p>
      <w:r>
        <w:t>Operational reports are for operations</w:t>
      </w:r>
    </w:p>
    <w:p>
      <w:r>
        <w:t>Financial reports are for financial oversight</w:t>
      </w:r>
    </w:p>
    <w:p>
      <w:r>
        <w:t>Reserve reports demonstrate solvency</w:t>
      </w:r>
    </w:p>
    <w:p>
      <w:r>
        <w:t>Compliance reports demonstrate regulatory compliance</w:t>
      </w:r>
    </w:p>
    <w:p>
      <w:r>
        <w:t>Example:</w:t>
      </w:r>
    </w:p>
    <w:p>
      <w:r>
        <w:t>The Council receives monthly executive reports, financial reports, reserve reports, compliance reports, and risk reports. The operations team receives daily and weekly operational reports. The public receives quarterly reserve reports and annual comprehensive reports.</w:t>
      </w:r>
    </w:p>
    <w:p>
      <w:r>
        <w:t>Why This Matters:</w:t>
      </w:r>
    </w:p>
    <w:p>
      <w:r>
        <w:t>Different audiences need different information</w:t>
      </w:r>
    </w:p>
    <w:p>
      <w:r>
        <w:t>Executive reports support strategic decisions</w:t>
      </w:r>
    </w:p>
    <w:p>
      <w:r>
        <w:t>Operational reports support tactical decisions</w:t>
      </w:r>
    </w:p>
    <w:p>
      <w:r>
        <w:t>Public reports support transparency</w:t>
      </w:r>
    </w:p>
    <w:p>
      <w:r>
        <w:t>Report Schedule</w:t>
      </w:r>
    </w:p>
    <w:p>
      <w:r>
        <w:t>What This Means in Practice:</w:t>
      </w:r>
    </w:p>
    <w:p>
      <w:r>
        <w:t>Reports are produced on a defined schedule</w:t>
      </w:r>
    </w:p>
    <w:p>
      <w:r>
        <w:t>Due dates are established</w:t>
      </w:r>
    </w:p>
    <w:p>
      <w:r>
        <w:t>Responsibilities are assigned</w:t>
      </w:r>
    </w:p>
    <w:p>
      <w:r>
        <w:t>Timeliness is enforced</w:t>
      </w:r>
    </w:p>
    <w:p>
      <w:r>
        <w:t>Example:</w:t>
      </w:r>
    </w:p>
    <w:p>
      <w:r>
        <w:t>Monthly financial reports are due by the 5th of each month. Quarterly reserve reports are due by the 15th of the quarter. Annual comprehensive reports are due by 120 days after year-end. All reports are produced on schedule.</w:t>
      </w:r>
    </w:p>
    <w:p>
      <w:r>
        <w:t>Why This Matters:</w:t>
      </w:r>
    </w:p>
    <w:p>
      <w:r>
        <w:t>Schedule ensures timeliness</w:t>
      </w:r>
    </w:p>
    <w:p>
      <w:r>
        <w:t>Due dates provide accountability</w:t>
      </w:r>
    </w:p>
    <w:p>
      <w:r>
        <w:t>Responsibilities prevent gaps</w:t>
      </w:r>
    </w:p>
    <w:p>
      <w:r>
        <w:t>Timeliness supports decision-making</w:t>
      </w:r>
    </w:p>
    <w:p>
      <w:r>
        <w:t>Document Control</w:t>
      </w:r>
    </w:p>
    <w:p>
      <w:r>
        <w:t>Document Classification</w:t>
      </w:r>
    </w:p>
    <w:p>
      <w:r>
        <w:t>What This Means in Practice:</w:t>
      </w:r>
    </w:p>
    <w:p>
      <w:r>
        <w:t>Documents are classified by sensitivity</w:t>
      </w:r>
    </w:p>
    <w:p>
      <w:r>
        <w:t>Public documents are available to everyone</w:t>
      </w:r>
    </w:p>
    <w:p>
      <w:r>
        <w:t>Internal documents are for staff only</w:t>
      </w:r>
    </w:p>
    <w:p>
      <w:r>
        <w:t>Confidential documents are for authorized personnel</w:t>
      </w:r>
    </w:p>
    <w:p>
      <w:r>
        <w:t>Restricted documents are for limited personnel</w:t>
      </w:r>
    </w:p>
    <w:p>
      <w:r>
        <w:t>Example:</w:t>
      </w:r>
    </w:p>
    <w:p>
      <w:r>
        <w:t>Public reserve reports are available to everyone. Internal operations manuals are available to staff only. Confidential financial documents are available to authorized personnel only. Restricted security documents are available to limited personnel.</w:t>
      </w:r>
    </w:p>
    <w:p>
      <w:r>
        <w:t>Why This Matters:</w:t>
      </w:r>
    </w:p>
    <w:p>
      <w:r>
        <w:t>Classification protects sensitive information</w:t>
      </w:r>
    </w:p>
    <w:p>
      <w:r>
        <w:t>Access controls prevent unauthorized access</w:t>
      </w:r>
    </w:p>
    <w:p>
      <w:r>
        <w:t>Retention periods ensure compliance</w:t>
      </w:r>
    </w:p>
    <w:p>
      <w:r>
        <w:t>Classification supports information governance</w:t>
      </w:r>
    </w:p>
    <w:p>
      <w:r>
        <w:t>Document Version Control</w:t>
      </w:r>
    </w:p>
    <w:p>
      <w:r>
        <w:t>What This Means in Practice:</w:t>
      </w:r>
    </w:p>
    <w:p>
      <w:r>
        <w:t>Version control tracks document changes</w:t>
      </w:r>
    </w:p>
    <w:p>
      <w:r>
        <w:t>Version numbers identify document versions</w:t>
      </w:r>
    </w:p>
    <w:p>
      <w:r>
        <w:t>Dates record when documents were created/updated</w:t>
      </w:r>
    </w:p>
    <w:p>
      <w:r>
        <w:t>Authors identify document creators</w:t>
      </w:r>
    </w:p>
    <w:p>
      <w:r>
        <w:t>Change logs record changes</w:t>
      </w:r>
    </w:p>
    <w:p>
      <w:r>
        <w:t>Example:</w:t>
      </w:r>
    </w:p>
    <w:p>
      <w:r>
        <w:t>Document v2.0 includes a change log showing all changes from v1.0. The document date is recorded. The author and approver are identified. Version control ensures document history is tracked.</w:t>
      </w:r>
    </w:p>
    <w:p>
      <w:r>
        <w:t>Why This Matters:</w:t>
      </w:r>
    </w:p>
    <w:p>
      <w:r>
        <w:t>Version control enables tracking</w:t>
      </w:r>
    </w:p>
    <w:p>
      <w:r>
        <w:t>Version numbers identify current version</w:t>
      </w:r>
    </w:p>
    <w:p>
      <w:r>
        <w:t>Change logs document history</w:t>
      </w:r>
    </w:p>
    <w:p>
      <w:r>
        <w:t>Authors and approvers provide accountability</w:t>
      </w:r>
    </w:p>
    <w:p>
      <w:r>
        <w:t>Document Approval</w:t>
      </w:r>
    </w:p>
    <w:p>
      <w:r>
        <w:t>What This Means in Practice:</w:t>
      </w:r>
    </w:p>
    <w:p>
      <w:r>
        <w:t>Documents require appropriate approvals</w:t>
      </w:r>
    </w:p>
    <w:p>
      <w:r>
        <w:t>Policies require Council approval</w:t>
      </w:r>
    </w:p>
    <w:p>
      <w:r>
        <w:t>Procedures require Head of Operations approval</w:t>
      </w:r>
    </w:p>
    <w:p>
      <w:r>
        <w:t>Reports require responsible team head approval</w:t>
      </w:r>
    </w:p>
    <w:p>
      <w:r>
        <w:t>Public reports require Council approval</w:t>
      </w:r>
    </w:p>
    <w:p>
      <w:r>
        <w:t>Example:</w:t>
      </w:r>
    </w:p>
    <w:p>
      <w:r>
        <w:t>A new policy is proposed. The policy is reviewed by the Council. The Council approves the policy. The policy is implemented. All documents follow the appropriate approval process.</w:t>
      </w:r>
    </w:p>
    <w:p>
      <w:r>
        <w:t>Why This Matters:</w:t>
      </w:r>
    </w:p>
    <w:p>
      <w:r>
        <w:t>Approval ensures quality</w:t>
      </w:r>
    </w:p>
    <w:p>
      <w:r>
        <w:t>Approval provides accountability</w:t>
      </w:r>
    </w:p>
    <w:p>
      <w:r>
        <w:t>Different documents require different approvals</w:t>
      </w:r>
    </w:p>
    <w:p>
      <w:r>
        <w:t>Process ensures consistency</w:t>
      </w:r>
    </w:p>
    <w:p>
      <w:r>
        <w:t>Record Keeping</w:t>
      </w:r>
    </w:p>
    <w:p>
      <w:r>
        <w:t>Record Types</w:t>
      </w:r>
    </w:p>
    <w:p>
      <w:r>
        <w:t>What This Means in Practice:</w:t>
      </w:r>
    </w:p>
    <w:p>
      <w:r>
        <w:t>All records are retained for defined periods</w:t>
      </w:r>
    </w:p>
    <w:p>
      <w:r>
        <w:t>Transaction records are retained for 7+ years</w:t>
      </w:r>
    </w:p>
    <w:p>
      <w:r>
        <w:t>Participant records are retained for 7+ years</w:t>
      </w:r>
    </w:p>
    <w:p>
      <w:r>
        <w:t>Financial records are retained for 7+ years</w:t>
      </w:r>
    </w:p>
    <w:p>
      <w:r>
        <w:t>Compliance records are retained for 7+ years</w:t>
      </w:r>
    </w:p>
    <w:p>
      <w:r>
        <w:t>Governance records are retained permanently</w:t>
      </w:r>
    </w:p>
    <w:p>
      <w:r>
        <w:t>Example:</w:t>
      </w:r>
    </w:p>
    <w:p>
      <w:r>
        <w:t>The Institution retains transaction records for 7+ years. Participant records are retained for 7+ years. Financial records are retained for 7+ years. Compliance records are retained for 7+ years. Governance records are retained permanently.</w:t>
      </w:r>
    </w:p>
    <w:p>
      <w:r>
        <w:t>Why This Matters:</w:t>
      </w:r>
    </w:p>
    <w:p>
      <w:r>
        <w:t>Retention enables audits</w:t>
      </w:r>
    </w:p>
    <w:p>
      <w:r>
        <w:t>Retention ensures compliance</w:t>
      </w:r>
    </w:p>
    <w:p>
      <w:r>
        <w:t>Defined periods provide clarity</w:t>
      </w:r>
    </w:p>
    <w:p>
      <w:r>
        <w:t>Permanent records preserve institutional memory</w:t>
      </w:r>
    </w:p>
    <w:p>
      <w:r>
        <w:t>Archival Process</w:t>
      </w:r>
    </w:p>
    <w:p>
      <w:r>
        <w:t>Step 1: Identification</w:t>
      </w:r>
    </w:p>
    <w:p>
      <w:r>
        <w:t>Identify records for archiving</w:t>
      </w:r>
    </w:p>
    <w:p>
      <w:r>
        <w:t>Verify retention period</w:t>
      </w:r>
    </w:p>
    <w:p>
      <w:r>
        <w:t>Confirm no active use</w:t>
      </w:r>
    </w:p>
    <w:p>
      <w:r>
        <w:t>Step 2: Preparation</w:t>
      </w:r>
    </w:p>
    <w:p>
      <w:r>
        <w:t>Prepare records for archiving</w:t>
      </w:r>
    </w:p>
    <w:p>
      <w:r>
        <w:t>Convert to archival format (if needed)</w:t>
      </w:r>
    </w:p>
    <w:p>
      <w:r>
        <w:t>Organize for retrieval</w:t>
      </w:r>
    </w:p>
    <w:p>
      <w:r>
        <w:t>Step 3: Storage</w:t>
      </w:r>
    </w:p>
    <w:p>
      <w:r>
        <w:t>Store in archival location</w:t>
      </w:r>
    </w:p>
    <w:p>
      <w:r>
        <w:t>Ensure security</w:t>
      </w:r>
    </w:p>
    <w:p>
      <w:r>
        <w:t>Index for retrieval</w:t>
      </w:r>
    </w:p>
    <w:p>
      <w:r>
        <w:t>Step 4: Verification</w:t>
      </w:r>
    </w:p>
    <w:p>
      <w:r>
        <w:t>Verify archival success</w:t>
      </w:r>
    </w:p>
    <w:p>
      <w:r>
        <w:t>Confirm accessibility</w:t>
      </w:r>
    </w:p>
    <w:p>
      <w:r>
        <w:t>Document archival</w:t>
      </w:r>
    </w:p>
    <w:p>
      <w:r>
        <w:t>Step 5: Disposal</w:t>
      </w:r>
    </w:p>
    <w:p>
      <w:r>
        <w:t>Identify records for disposal</w:t>
      </w:r>
    </w:p>
    <w:p>
      <w:r>
        <w:t>Verify retention period expired</w:t>
      </w:r>
    </w:p>
    <w:p>
      <w:r>
        <w:t>Dispose securely</w:t>
      </w:r>
    </w:p>
    <w:p>
      <w:r>
        <w:t>Record Retrieval</w:t>
      </w:r>
    </w:p>
    <w:p>
      <w:r>
        <w:t>Step 1: Request</w:t>
      </w:r>
    </w:p>
    <w:p>
      <w:r>
        <w:t>Record retrieval request is submitted</w:t>
      </w:r>
    </w:p>
    <w:p>
      <w:r>
        <w:t>Request includes record identification</w:t>
      </w:r>
    </w:p>
    <w:p>
      <w:r>
        <w:t>Justification is provided</w:t>
      </w:r>
    </w:p>
    <w:p>
      <w:r>
        <w:t>Step 2: Authorization</w:t>
      </w:r>
    </w:p>
    <w:p>
      <w:r>
        <w:t>Request is authorized</w:t>
      </w:r>
    </w:p>
    <w:p>
      <w:r>
        <w:t>Authorization is documented</w:t>
      </w:r>
    </w:p>
    <w:p>
      <w:r>
        <w:t>Access is granted</w:t>
      </w:r>
    </w:p>
    <w:p>
      <w:r>
        <w:t>Step 3: Retrieval</w:t>
      </w:r>
    </w:p>
    <w:p>
      <w:r>
        <w:t>Record is retrieved</w:t>
      </w:r>
    </w:p>
    <w:p>
      <w:r>
        <w:t>Record is provided</w:t>
      </w:r>
    </w:p>
    <w:p>
      <w:r>
        <w:t>Access is logged</w:t>
      </w:r>
    </w:p>
    <w:p>
      <w:r>
        <w:t>Step 4: Return</w:t>
      </w:r>
    </w:p>
    <w:p>
      <w:r>
        <w:t>Record is returned (if physical)</w:t>
      </w:r>
    </w:p>
    <w:p>
      <w:r>
        <w:t>Access is logged</w:t>
      </w:r>
    </w:p>
    <w:p>
      <w:r>
        <w:t>Record is re-stored</w:t>
      </w:r>
    </w:p>
    <w:p>
      <w:r>
        <w:t>Reporting Procedures</w:t>
      </w:r>
    </w:p>
    <w:p>
      <w:r>
        <w:t>Report Preparation Procedure</w:t>
      </w:r>
    </w:p>
    <w:p>
      <w:r>
        <w:t>Step 1: Data Collection</w:t>
      </w:r>
    </w:p>
    <w:p>
      <w:r>
        <w:t>Identify required data</w:t>
      </w:r>
    </w:p>
    <w:p>
      <w:r>
        <w:t>Collect data from source systems</w:t>
      </w:r>
    </w:p>
    <w:p>
      <w:r>
        <w:t>Validate data accuracy</w:t>
      </w:r>
    </w:p>
    <w:p>
      <w:r>
        <w:t>Step 2: Analysis</w:t>
      </w:r>
    </w:p>
    <w:p>
      <w:r>
        <w:t>Analyze data</w:t>
      </w:r>
    </w:p>
    <w:p>
      <w:r>
        <w:t>Identify trends</w:t>
      </w:r>
    </w:p>
    <w:p>
      <w:r>
        <w:t>Assess significance</w:t>
      </w:r>
    </w:p>
    <w:p>
      <w:r>
        <w:t>Step 3: Drafting</w:t>
      </w:r>
    </w:p>
    <w:p>
      <w:r>
        <w:t>Draft report content</w:t>
      </w:r>
    </w:p>
    <w:p>
      <w:r>
        <w:t>Organize information</w:t>
      </w:r>
    </w:p>
    <w:p>
      <w:r>
        <w:t>Ensure clarity</w:t>
      </w:r>
    </w:p>
    <w:p>
      <w:r>
        <w:t>Step 4: Review</w:t>
      </w:r>
    </w:p>
    <w:p>
      <w:r>
        <w:t>Review for accuracy</w:t>
      </w:r>
    </w:p>
    <w:p>
      <w:r>
        <w:t>Review for completeness</w:t>
      </w:r>
    </w:p>
    <w:p>
      <w:r>
        <w:t>Review for clarity</w:t>
      </w:r>
    </w:p>
    <w:p>
      <w:r>
        <w:t>Step 5: Approval</w:t>
      </w:r>
    </w:p>
    <w:p>
      <w:r>
        <w:t>Obtain required approvals</w:t>
      </w:r>
    </w:p>
    <w:p>
      <w:r>
        <w:t>Document approval</w:t>
      </w:r>
    </w:p>
    <w:p>
      <w:r>
        <w:t>Finalize report</w:t>
      </w:r>
    </w:p>
    <w:p>
      <w:r>
        <w:t>Step 6: Distribution</w:t>
      </w:r>
    </w:p>
    <w:p>
      <w:r>
        <w:t>Distribute to appropriate audience</w:t>
      </w:r>
    </w:p>
    <w:p>
      <w:r>
        <w:t>Confirm receipt</w:t>
      </w:r>
    </w:p>
    <w:p>
      <w:r>
        <w:t>Archive report</w:t>
      </w:r>
    </w:p>
    <w:p>
      <w:r>
        <w:t>Report Quality Standards</w:t>
      </w:r>
    </w:p>
    <w:p>
      <w:r>
        <w:t>What This Means in Practice:</w:t>
      </w:r>
    </w:p>
    <w:p>
      <w:r>
        <w:t>Reports must meet quality standards</w:t>
      </w:r>
    </w:p>
    <w:p>
      <w:r>
        <w:t>Accuracy is verified through data validation</w:t>
      </w:r>
    </w:p>
    <w:p>
      <w:r>
        <w:t>Completeness is verified through source review</w:t>
      </w:r>
    </w:p>
    <w:p>
      <w:r>
        <w:t>Timeliness is verified through schedule adherence</w:t>
      </w:r>
    </w:p>
    <w:p>
      <w:r>
        <w:t>Clarity is verified through language review</w:t>
      </w:r>
    </w:p>
    <w:p>
      <w:r>
        <w:t>Consistency is verified through format review</w:t>
      </w:r>
    </w:p>
    <w:p>
      <w:r>
        <w:t>Example:</w:t>
      </w:r>
    </w:p>
    <w:p>
      <w:r>
        <w:t>Each report is reviewed for accuracy, completeness, timeliness, clarity, and consistency. Data is validated. Source data is reviewed. The schedule is checked. Language is reviewed. Format is consistent. Quality is maintained.</w:t>
      </w:r>
    </w:p>
    <w:p>
      <w:r>
        <w:t>Why This Matters:</w:t>
      </w:r>
    </w:p>
    <w:p>
      <w:r>
        <w:t>Quality standards ensure reliability</w:t>
      </w:r>
    </w:p>
    <w:p>
      <w:r>
        <w:t>Accuracy prevents misinformation</w:t>
      </w:r>
    </w:p>
    <w:p>
      <w:r>
        <w:t>Completeness prevents gaps</w:t>
      </w:r>
    </w:p>
    <w:p>
      <w:r>
        <w:t>Timeliness ensures relevance</w:t>
      </w:r>
    </w:p>
    <w:p>
      <w:r>
        <w:t>Clarity ensures understanding</w:t>
      </w:r>
    </w:p>
    <w:p>
      <w:r>
        <w:t>Governance of Documentation and Reporting</w:t>
      </w:r>
    </w:p>
    <w:p>
      <w:r>
        <w:t>Responsibilities</w:t>
      </w:r>
    </w:p>
    <w:p>
      <w:r>
        <w:t>What This Means in Practice:</w:t>
      </w:r>
    </w:p>
    <w:p>
      <w:r>
        <w:t>Responsibilities are defined</w:t>
      </w:r>
    </w:p>
    <w:p>
      <w:r>
        <w:t>The Head of Operations has overall oversight</w:t>
      </w:r>
    </w:p>
    <w:p>
      <w:r>
        <w:t>Document owners manage specific documents</w:t>
      </w:r>
    </w:p>
    <w:p>
      <w:r>
        <w:t>Report owners manage specific reports</w:t>
      </w:r>
    </w:p>
    <w:p>
      <w:r>
        <w:t>Document controllers manage document control</w:t>
      </w:r>
    </w:p>
    <w:p>
      <w:r>
        <w:t>Example:</w:t>
      </w:r>
    </w:p>
    <w:p>
      <w:r>
        <w:t>The Head of Operations oversees all documentation and reporting. Each document has a designated owner. Each report has a designated owner. The Document Controller manages document control. The Compliance Officer manages compliance documentation.</w:t>
      </w:r>
    </w:p>
    <w:p>
      <w:r>
        <w:t>Why This Matters:</w:t>
      </w:r>
    </w:p>
    <w:p>
      <w:r>
        <w:t>Clear responsibilities ensure accountability</w:t>
      </w:r>
    </w:p>
    <w:p>
      <w:r>
        <w:t>Document owners maintain document quality</w:t>
      </w:r>
    </w:p>
    <w:p>
      <w:r>
        <w:t>Report owners maintain report quality</w:t>
      </w:r>
    </w:p>
    <w:p>
      <w:r>
        <w:t>Document controllers manage document control</w:t>
      </w:r>
    </w:p>
    <w:p>
      <w:r>
        <w:t>Review Process</w:t>
      </w:r>
    </w:p>
    <w:p>
      <w:r>
        <w:t>Step 1: Self-Review</w:t>
      </w:r>
    </w:p>
    <w:p>
      <w:r>
        <w:t>Document/report owners review their documents/reports</w:t>
      </w:r>
    </w:p>
    <w:p>
      <w:r>
        <w:t>Identify updates needed</w:t>
      </w:r>
    </w:p>
    <w:p>
      <w:r>
        <w:t>Assess quality</w:t>
      </w:r>
    </w:p>
    <w:p>
      <w:r>
        <w:t>Step 2: Peer Review</w:t>
      </w:r>
    </w:p>
    <w:p>
      <w:r>
        <w:t>Peers review documents/reports</w:t>
      </w:r>
    </w:p>
    <w:p>
      <w:r>
        <w:t>Provide feedback</w:t>
      </w:r>
    </w:p>
    <w:p>
      <w:r>
        <w:t>Identify issues</w:t>
      </w:r>
    </w:p>
    <w:p>
      <w:r>
        <w:t>Step 3: Quality Review</w:t>
      </w:r>
    </w:p>
    <w:p>
      <w:r>
        <w:t>Quality review is conducted</w:t>
      </w:r>
    </w:p>
    <w:p>
      <w:r>
        <w:t>Standards are verified</w:t>
      </w:r>
    </w:p>
    <w:p>
      <w:r>
        <w:t>Issues are identified</w:t>
      </w:r>
    </w:p>
    <w:p>
      <w:r>
        <w:t>Step 4: Update</w:t>
      </w:r>
    </w:p>
    <w:p>
      <w:r>
        <w:t>Documents/reports are updated</w:t>
      </w:r>
    </w:p>
    <w:p>
      <w:r>
        <w:t>Changes are documented</w:t>
      </w:r>
    </w:p>
    <w:p>
      <w:r>
        <w:t>Versions are updated</w:t>
      </w:r>
    </w:p>
    <w:p>
      <w:r>
        <w:t>Step 5: Approval</w:t>
      </w:r>
    </w:p>
    <w:p>
      <w:r>
        <w:t>Updated documents/reports are approved</w:t>
      </w:r>
    </w:p>
    <w:p>
      <w:r>
        <w:t>Approval is documented</w:t>
      </w:r>
    </w:p>
    <w:p>
      <w:r>
        <w:t>Updates are published</w:t>
      </w:r>
    </w:p>
    <w:p>
      <w:r>
        <w:t>Audit Trail</w:t>
      </w:r>
    </w:p>
    <w:p>
      <w:r>
        <w:t>What This Means in Practice:</w:t>
      </w:r>
    </w:p>
    <w:p>
      <w:r>
        <w:t>Audit trails track document and report history</w:t>
      </w:r>
    </w:p>
    <w:p>
      <w:r>
        <w:t>Document history records changes</w:t>
      </w:r>
    </w:p>
    <w:p>
      <w:r>
        <w:t>Access logs record who accessed documents</w:t>
      </w:r>
    </w:p>
    <w:p>
      <w:r>
        <w:t>Approval logs record approvals</w:t>
      </w:r>
    </w:p>
    <w:p>
      <w:r>
        <w:t>Retention logs record retention actions</w:t>
      </w:r>
    </w:p>
    <w:p>
      <w:r>
        <w:t>Example:</w:t>
      </w:r>
    </w:p>
    <w:p>
      <w:r>
        <w:t>The Institution maintains audit trails for all documents and reports. Document history records all changes. Access logs record who accessed documents. Approval logs record approvals. Retention logs record retention actions.</w:t>
      </w:r>
    </w:p>
    <w:p>
      <w:r>
        <w:t>Why This Matters:</w:t>
      </w:r>
    </w:p>
    <w:p>
      <w:r>
        <w:t>Audit trails enable verification</w:t>
      </w:r>
    </w:p>
    <w:p>
      <w:r>
        <w:t>History supports accountability</w:t>
      </w:r>
    </w:p>
    <w:p>
      <w:r>
        <w:t>Access logs enable security</w:t>
      </w:r>
    </w:p>
    <w:p>
      <w:r>
        <w:t>Approval logs enable audit</w:t>
      </w:r>
    </w:p>
    <w:p>
      <w:r>
        <w:t>Templates</w:t>
      </w:r>
    </w:p>
    <w:p>
      <w:r>
        <w:t>Report Template</w:t>
      </w:r>
    </w:p>
    <w:p>
      <w:r>
        <w:t>Document Template</w:t>
      </w:r>
    </w:p>
    <w:p>
      <w:r>
        <w:t>Change Log Template</w:t>
      </w:r>
    </w:p>
    <w:p>
      <w:r>
        <w:t>Summary Table</w:t>
      </w:r>
    </w:p>
    <w:p>
      <w:r>
        <w:t>Constitutional Interpretation</w:t>
      </w:r>
    </w:p>
    <w:p>
      <w:r>
        <w:t>Documentation and Reporting establishes the operational framework for maintaining records and producing reports:</w:t>
      </w:r>
    </w:p>
    <w:p>
      <w:r>
        <w:t>All operations are documented with clear procedures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Documentation and Reporting are essential to institutional credibility, regulatory compliance, and operational integrity. They ensure transparency, enable accountability, and support effective governance.</w:t>
      </w:r>
    </w:p>
    <w:p>
      <w:r>
        <w:t>[END OF PART 5, ARTICLE VII — DOCUMENTATION AND REPORTING]</w:t>
      </w:r>
    </w:p>
    <w:p>
      <w:r>
        <w:t>[END OF PART 5 — LAYER 5: OPERATIONS]</w:t>
      </w:r>
    </w:p>
    <w:p>
      <w:r>
        <w:t>MITHQAL v19 — FINAL CONSOLIDATED IMPLEMENTATION SPECIFICATION</w:t>
      </w:r>
    </w:p>
    <w:p>
      <w:r>
        <w:t>COMPLETION SUMMARY</w:t>
      </w:r>
    </w:p>
    <w:p>
      <w:r>
        <w:t>The MITHQAL v19 Final Consolidated Implementation Specification is now complete. All five documentation layers and their constituent articles have been fully drafted, expanded, and detailed.</w:t>
      </w:r>
    </w:p>
    <w:p>
      <w:r>
        <w:t>DOCUMENT STRUCTURE COMPLETED</w:t>
      </w:r>
    </w:p>
    <w:p>
      <w:r>
        <w:t>Part 1: Layer 1 — Institutional Constitution</w:t>
      </w:r>
    </w:p>
    <w:p>
      <w:r>
        <w:t>Article I: Constitutional Objectives ✅</w:t>
      </w:r>
    </w:p>
    <w:p>
      <w:r>
        <w:t>Article II: Constitutional Principles ✅</w:t>
      </w:r>
    </w:p>
    <w:p>
      <w:r>
        <w:t>Article III: Decision Hierarchy ✅</w:t>
      </w:r>
    </w:p>
    <w:p>
      <w:r>
        <w:t>Article IV: Institutional Neutrality ✅</w:t>
      </w:r>
    </w:p>
    <w:p>
      <w:r>
        <w:t>Article V: Anti-Platform / No Constitutional Drift ✅</w:t>
      </w:r>
    </w:p>
    <w:p>
      <w:r>
        <w:t>Article VI: Predictably Adaptive ✅</w:t>
      </w:r>
    </w:p>
    <w:p>
      <w:r>
        <w:t>Article VII: Failure Definition ✅</w:t>
      </w:r>
    </w:p>
    <w:p>
      <w:r>
        <w:t>Article VIII: Governance ✅</w:t>
      </w:r>
    </w:p>
    <w:p>
      <w:r>
        <w:t>Article IX: Founder Succession ✅</w:t>
      </w:r>
    </w:p>
    <w:p>
      <w:r>
        <w:t>Article X: Emergency Governance ✅</w:t>
      </w:r>
    </w:p>
    <w:p>
      <w:r>
        <w:t>Article XI: Regulatory Adaptability ✅</w:t>
      </w:r>
    </w:p>
    <w:p>
      <w:r>
        <w:t>Article XII: Amendment Philosophy ✅</w:t>
      </w:r>
    </w:p>
    <w:p>
      <w:r>
        <w:t>Article XIII: Interpretation Clause ✅</w:t>
      </w:r>
    </w:p>
    <w:p>
      <w:r>
        <w:t>Article XIV: Institutional Lifecycle ✅</w:t>
      </w:r>
    </w:p>
    <w:p>
      <w:r>
        <w:t>Article XV: Constitutional Success Metrics ✅</w:t>
      </w:r>
    </w:p>
    <w:p>
      <w:r>
        <w:t>Article XVI: Language Standards ✅</w:t>
      </w:r>
    </w:p>
    <w:p>
      <w:r>
        <w:t>Article XVII: Five-Year Independent Review ✅</w:t>
      </w:r>
    </w:p>
    <w:p>
      <w:r>
        <w:t>Part 2: Layer 2 — Monetary Constitution</w:t>
      </w:r>
    </w:p>
    <w:p>
      <w:r>
        <w:t>Article I: Invariants ✅</w:t>
      </w:r>
    </w:p>
    <w:p>
      <w:r>
        <w:t>Article II: Monetary Objectives ✅</w:t>
      </w:r>
    </w:p>
    <w:p>
      <w:r>
        <w:t>Article III: Reserve Principles ✅</w:t>
      </w:r>
    </w:p>
    <w:p>
      <w:r>
        <w:t>Article IV: Monetary Metals ✅</w:t>
      </w:r>
    </w:p>
    <w:p>
      <w:r>
        <w:t>Article V: Currency Framework ✅</w:t>
      </w:r>
    </w:p>
    <w:p>
      <w:r>
        <w:t>Article VI: Monetary Engine ✅</w:t>
      </w:r>
    </w:p>
    <w:p>
      <w:r>
        <w:t>Article VII: Proof of Reserves ✅</w:t>
      </w:r>
    </w:p>
    <w:p>
      <w:r>
        <w:t>Article VIII: Yield Separation ✅</w:t>
      </w:r>
    </w:p>
    <w:p>
      <w:r>
        <w:t>Article IX: Sharia Compliance ✅</w:t>
      </w:r>
    </w:p>
    <w:p>
      <w:r>
        <w:t>Part 3: Layer 3 — Policy Framework</w:t>
      </w:r>
    </w:p>
    <w:p>
      <w:r>
        <w:t>Introduction: Policy Framework Overview ✅</w:t>
      </w:r>
    </w:p>
    <w:p>
      <w:r>
        <w:t>Article I: Dynamic Reserve Ranges ✅</w:t>
      </w:r>
    </w:p>
    <w:p>
      <w:r>
        <w:t>Article II: Committee Mandates ✅</w:t>
      </w:r>
    </w:p>
    <w:p>
      <w:r>
        <w:t>Article III: Fee Schedules ✅</w:t>
      </w:r>
    </w:p>
    <w:p>
      <w:r>
        <w:t>Article IV: Sanctions Mechanics ✅</w:t>
      </w:r>
    </w:p>
    <w:p>
      <w:r>
        <w:t>Article V: Risk Tolerances ✅</w:t>
      </w:r>
    </w:p>
    <w:p>
      <w:r>
        <w:t>Article VI: Maturity Stages ✅</w:t>
      </w:r>
    </w:p>
    <w:p>
      <w:r>
        <w:t>Article VII: Review Cycles ✅</w:t>
      </w:r>
    </w:p>
    <w:p>
      <w:r>
        <w:t>Article VIII: Physical Redemption Terms ✅</w:t>
      </w:r>
    </w:p>
    <w:p>
      <w:r>
        <w:t>Part 4: Layer 4 — Technical Framework</w:t>
      </w:r>
    </w:p>
    <w:p>
      <w:r>
        <w:t>Introduction: Technical Framework Overview ✅</w:t>
      </w:r>
    </w:p>
    <w:p>
      <w:r>
        <w:t>Article I: Smart Contracts ✅</w:t>
      </w:r>
    </w:p>
    <w:p>
      <w:r>
        <w:t>Article II: Cryptography ✅</w:t>
      </w:r>
    </w:p>
    <w:p>
      <w:r>
        <w:t>Article III: Oracle Architecture ✅</w:t>
      </w:r>
    </w:p>
    <w:p>
      <w:r>
        <w:t>Article IV: Interoperability ✅</w:t>
      </w:r>
    </w:p>
    <w:p>
      <w:r>
        <w:t>Article V: Security ✅</w:t>
      </w:r>
    </w:p>
    <w:p>
      <w:r>
        <w:t>Article VI: Infrastructure ✅</w:t>
      </w:r>
    </w:p>
    <w:p>
      <w:r>
        <w:t>Article VII: Formal Verification ✅</w:t>
      </w:r>
    </w:p>
    <w:p>
      <w:r>
        <w:t>Article VIII: Disaster Recovery ✅</w:t>
      </w:r>
    </w:p>
    <w:p>
      <w:r>
        <w:t>Part 5: Layer 5 — Operations</w:t>
      </w:r>
    </w:p>
    <w:p>
      <w:r>
        <w:t>Introduction: Operations Framework Overview ✅</w:t>
      </w:r>
    </w:p>
    <w:p>
      <w:r>
        <w:t>Article I: Reserve Management Operations ✅</w:t>
      </w:r>
    </w:p>
    <w:p>
      <w:r>
        <w:t>Article II: Transaction Processing Operations ✅</w:t>
      </w:r>
    </w:p>
    <w:p>
      <w:r>
        <w:t>Article III: Participant Services ✅</w:t>
      </w:r>
    </w:p>
    <w:p>
      <w:r>
        <w:t>Article IV: Compliance Execution ✅</w:t>
      </w:r>
    </w:p>
    <w:p>
      <w:r>
        <w:t>Article V: Technical Operations ✅</w:t>
      </w:r>
    </w:p>
    <w:p>
      <w:r>
        <w:t>Article VI: Vendor Management ✅</w:t>
      </w:r>
    </w:p>
    <w:p>
      <w:r>
        <w:t>Article VII: Documentation and Reporting ✅</w:t>
      </w:r>
    </w:p>
    <w:p>
      <w:r>
        <w:t>KEY DELIVERABLES ACHIEVED</w:t>
      </w:r>
    </w:p>
    <w:p>
      <w:pPr>
        <w:pStyle w:val="ListNumber"/>
        <w:ind w:left="425"/>
      </w:pPr>
      <w:r>
        <w:t>Institutional Constitution (Layer 1)</w:t>
      </w:r>
    </w:p>
    <w:p>
      <w:r>
        <w:t>17 Articles establishing the Institution's identity, mission, governance, and enduring principles</w:t>
      </w:r>
    </w:p>
    <w:p>
      <w:r>
        <w:t>Amendment philosophy requiring all changes to preserve identity, invariants, stability, trust, and redeemability</w:t>
      </w:r>
    </w:p>
    <w:p>
      <w:r>
        <w:t>Five-year independent review mechanism with 9-member panel</w:t>
      </w:r>
    </w:p>
    <w:p>
      <w:r>
        <w:t>Language standards prohibiting hype and requiring institutional tone</w:t>
      </w:r>
    </w:p>
    <w:p>
      <w:r>
        <w:t>Founder succession ensuring the Institution outlives its founder</w:t>
      </w:r>
    </w:p>
    <w:p>
      <w:pPr>
        <w:pStyle w:val="ListNumber"/>
        <w:ind w:left="425"/>
      </w:pPr>
      <w:r>
        <w:t>Monetary Constitution (Layer 2)</w:t>
      </w:r>
    </w:p>
    <w:p>
      <w:r>
        <w:t>4 Absolute Invariants: 100% reserve ratio, no discretionary minting, no lending of reserves, no commingling</w:t>
      </w:r>
    </w:p>
    <w:p>
      <w:r>
        <w:t>4-Tier Reserve Structure: Central-bank-quality cash, short-duration sovereign securities, allocated physical bullion, operational liquidity</w:t>
      </w:r>
    </w:p>
    <w:p>
      <w:r>
        <w:t>Monetary Engine Components: Structural weighting, bounded momentum, mean reversion, macro overlays, shock absorber</w:t>
      </w:r>
    </w:p>
    <w:p>
      <w:r>
        <w:t>Currency Framework: No currency names in Constitution, objective eligibility criteria, algorithmic weighting, concentration limits</w:t>
      </w:r>
    </w:p>
    <w:p>
      <w:r>
        <w:t>Yield Separation: Separate regulated investment vehicle, fiat subscriptions only, never holds MTQ, never commingles</w:t>
      </w:r>
    </w:p>
    <w:p>
      <w:pPr>
        <w:pStyle w:val="ListNumber"/>
        <w:ind w:left="425"/>
      </w:pPr>
      <w:r>
        <w:t>Policy Framework (Layer 3)</w:t>
      </w:r>
    </w:p>
    <w:p>
      <w:r>
        <w:t>Dynamic Reserve Ranges: Tier 1 (35-45%), Tier 2 (30-40%), Tier 3 (15-25%), Tier 4 (2-8%)</w:t>
      </w:r>
    </w:p>
    <w:p>
      <w:r>
        <w:t>Committee Mandates: Monetary Council, Risk Committee, Technical Committee, Audit Committee, Sharia Committee</w:t>
      </w:r>
    </w:p>
    <w:p>
      <w:r>
        <w:t>Fee Schedules: Minting (0.05%), Redemption (0.05%), Transfer (0.01%), Custody (0.10% p.a.)</w:t>
      </w:r>
    </w:p>
    <w:p>
      <w:r>
        <w:t>Sanctions Mechanics: Mandatory, neutral, transparent, consistent compliance</w:t>
      </w:r>
    </w:p>
    <w:p>
      <w:r>
        <w:t>Risk Tolerances: NAV volatility, reserve ratio, gold volatility, liquidity coverage, concentration limits</w:t>
      </w:r>
    </w:p>
    <w:p>
      <w:r>
        <w:t>Maturity Stages: Formation, Operational, Expansion, Emergency, Resolution, Succession, Wind-down</w:t>
      </w:r>
    </w:p>
    <w:p>
      <w:r>
        <w:t>Review Cycles: Daily, weekly, monthly, quarterly, annual, five-year</w:t>
      </w:r>
    </w:p>
    <w:p>
      <w:r>
        <w:t>Physical Redemption Terms: Minimum 1kg gold, premiums (1-2% processing, 1-3% delivery, 1-2% market)</w:t>
      </w:r>
    </w:p>
    <w:p>
      <w:pPr>
        <w:pStyle w:val="ListNumber"/>
        <w:ind w:left="425"/>
      </w:pPr>
      <w:r>
        <w:t>Technical Framework (Layer 4)</w:t>
      </w:r>
    </w:p>
    <w:p>
      <w:r>
        <w:t>Smart Contracts: 12+ contracts (MTQ, Mint, Redeem, Reserve, Algorithm, Governance, Oracle, Takaful, Registry, ProxyAdmin, Emergency)</w:t>
      </w:r>
    </w:p>
    <w:p>
      <w:r>
        <w:t>Cryptography: ECDSA (current), Falcon-512 (post-quantum), Lamport signatures (emergency), MPC, HSMs</w:t>
      </w:r>
    </w:p>
    <w:p>
      <w:r>
        <w:t>Oracle Architecture: 8 independent families (Chainlink, Pyth, Chronicle, RedStone, LBMA, Central Bank FX, Internal Committee, Constitutional TWAP)</w:t>
      </w:r>
    </w:p>
    <w:p>
      <w:r>
        <w:t>Interoperability: ISO 20022 messaging, REST APIs, SDKs, SWIFT integration, CBDC interoperability</w:t>
      </w:r>
    </w:p>
    <w:p>
      <w:r>
        <w:t>Security: Defense in depth, zero trust, least privilege, formal verification, bug bounty ($2,000,000)</w:t>
      </w:r>
    </w:p>
    <w:p>
      <w:r>
        <w:t>Infrastructure: Multi-cloud, multi-region, Kubernetes, PostgreSQL, TimescaleDB, Redis, S3</w:t>
      </w:r>
    </w:p>
    <w:p>
      <w:r>
        <w:t>Formal Verification: 12 invariants verified with Certora Prover, Halmos symbolic execution, Foundry testing, Echidna fuzzing</w:t>
      </w:r>
    </w:p>
    <w:p>
      <w:r>
        <w:t>Disaster Recovery: RTO/RPO objectives, backup strategy, playbooks, failover procedures, testing</w:t>
      </w:r>
    </w:p>
    <w:p>
      <w:pPr>
        <w:pStyle w:val="ListNumber"/>
        <w:ind w:left="425"/>
      </w:pPr>
      <w:r>
        <w:t>Operations (Layer 5)</w:t>
      </w:r>
    </w:p>
    <w:p>
      <w:r>
        <w:t>Reserve Management: Custodian management, daily reconciliation, physical gold verification, serialization</w:t>
      </w:r>
    </w:p>
    <w:p>
      <w:r>
        <w:t>Transaction Processing: Minting operations, redemption operations (standard and physical), settlement operations, transfer operations</w:t>
      </w:r>
    </w:p>
    <w:p>
      <w:r>
        <w:t>Participant Services: Onboarding, support structure (4 tiers), communication, account management, feedback</w:t>
      </w:r>
    </w:p>
    <w:p>
      <w:r>
        <w:t>Compliance Execution: KYC/KYB procedures, sanctions screening, transaction monitoring, SAR/STR filing, regulatory reporting</w:t>
      </w:r>
    </w:p>
    <w:p>
      <w:r>
        <w:t>Technical Operations: System monitoring, incident response, maintenance, capacity management, security operations, change management</w:t>
      </w:r>
    </w:p>
    <w:p>
      <w:r>
        <w:t>Vendor Management: Due diligence, selection, onboarding, performance monitoring, risk assessment, termination</w:t>
      </w:r>
    </w:p>
    <w:p>
      <w:r>
        <w:t>Documentation and Reporting: Operations manual, runbooks, playbooks, report schedules, record keeping, archival</w:t>
      </w:r>
    </w:p>
    <w:p>
      <w:r>
        <w:t>STATUS: DOCUMENT COMPLETE</w:t>
      </w:r>
    </w:p>
    <w:p>
      <w:r>
        <w:t>MITHQAL v19 — FINAL CONSOLIDATED IMPLEMENTATION SPECIFICATION</w:t>
      </w:r>
    </w:p>
    <w:p>
      <w:r>
        <w:t>NEXT STEPS</w:t>
      </w:r>
    </w:p>
    <w:p>
      <w:r>
        <w:t>Phase 6: External Validation</w:t>
      </w:r>
    </w:p>
    <w:p>
      <w:r>
        <w:t>Legal Review — Former SEC/CFTC counsel</w:t>
      </w:r>
    </w:p>
    <w:p>
      <w:r>
        <w:t>Sharia Review — AAOIFI-certified scholars</w:t>
      </w:r>
    </w:p>
    <w:p>
      <w:r>
        <w:t>Institutional Review — Islamic bank trade finance head</w:t>
      </w:r>
    </w:p>
    <w:p>
      <w:r>
        <w:t>Institutional Review — Commercial bank treasury head</w:t>
      </w:r>
    </w:p>
    <w:p>
      <w:r>
        <w:t>Phase 7: Freeze Layers 1 and 2</w:t>
      </w:r>
    </w:p>
    <w:p>
      <w:r>
        <w:t>No revisions for 12 months</w:t>
      </w:r>
    </w:p>
    <w:p>
      <w:r>
        <w:t>Move to building Layers 3-5 implementation</w:t>
      </w:r>
    </w:p>
    <w:p>
      <w:r>
        <w:t>THE COMPLETE INSTITUTIONAL FRAMEWORK</w:t>
      </w:r>
    </w:p>
    <w:p>
      <w:r>
        <w:t>text</w:t>
      </w:r>
    </w:p>
    <w:p>
      <w:r>
        <w:t>┌─────────────────────────────────────────────────────────────────────┐</w:t>
      </w:r>
    </w:p>
    <w:p>
      <w:r>
        <w:t>│                    MITHQAL v19 COMPLETE                            │</w:t>
      </w:r>
    </w:p>
    <w:p>
      <w:r>
        <w:t>│                                                                     │</w:t>
      </w:r>
    </w:p>
    <w:p>
      <w:r>
        <w:t>│  ┌─────────────────────────────────────────────────────────────┐   │</w:t>
      </w:r>
    </w:p>
    <w:p>
      <w:r>
        <w:t>│  │                    LAYER 1: INSTITUTIONAL CONSTITUTION      │   │</w:t>
      </w:r>
    </w:p>
    <w:p>
      <w:r>
        <w:t>│  │  Identity · Mission · Principles · Governance · Lifecycle  │   │</w:t>
      </w:r>
    </w:p>
    <w:p>
      <w:r>
        <w:t>│  │  17 Articles                                                │   │</w:t>
      </w:r>
    </w:p>
    <w:p>
      <w:r>
        <w:t>│  └─────────────────────────────────────────────────────────────┘   │</w:t>
      </w:r>
    </w:p>
    <w:p>
      <w:r>
        <w:t>│                              │                                      │</w:t>
      </w:r>
    </w:p>
    <w:p>
      <w:r>
        <w:t>│  ┌─────────────────────────────────────────────────────────────┐   │</w:t>
      </w:r>
    </w:p>
    <w:p>
      <w:r>
        <w:t>│  │                    LAYER 2: MONETARY CONSTITUTION           │   │</w:t>
      </w:r>
    </w:p>
    <w:p>
      <w:r>
        <w:t>│  │  Invariants · Reserve Principles · Monetary Engine          │   │</w:t>
      </w:r>
    </w:p>
    <w:p>
      <w:r>
        <w:t>│  │  9 Articles                                                 │   │</w:t>
      </w:r>
    </w:p>
    <w:p>
      <w:r>
        <w:t>│  └─────────────────────────────────────────────────────────────┘   │</w:t>
      </w:r>
    </w:p>
    <w:p>
      <w:r>
        <w:t>│                              │                                      │</w:t>
      </w:r>
    </w:p>
    <w:p>
      <w:r>
        <w:t>│  ┌─────────────────────────────────────────────────────────────┐   │</w:t>
      </w:r>
    </w:p>
    <w:p>
      <w:r>
        <w:t>│  │                    LAYER 3: POLICY FRAMEWORK                │   │</w:t>
      </w:r>
    </w:p>
    <w:p>
      <w:r>
        <w:t>│  │  Reserve Ranges · Fee Schedules · Mandates · Tolerances     │   │</w:t>
      </w:r>
    </w:p>
    <w:p>
      <w:r>
        <w:t>│  │  8 Articles                                                 │   │</w:t>
      </w:r>
    </w:p>
    <w:p>
      <w:r>
        <w:t>│  └─────────────────────────────────────────────────────────────┘   │</w:t>
      </w:r>
    </w:p>
    <w:p>
      <w:r>
        <w:t>│                              │                                      │</w:t>
      </w:r>
    </w:p>
    <w:p>
      <w:r>
        <w:t>│  ┌─────────────────────────────────────────────────────────────┐   │</w:t>
      </w:r>
    </w:p>
    <w:p>
      <w:r>
        <w:t>│  │                    LAYER 4: TECHNICAL FRAMEWORK             │   │</w:t>
      </w:r>
    </w:p>
    <w:p>
      <w:r>
        <w:t>│  │  Smart Contracts · Cryptography · Oracles · Security        │   │</w:t>
      </w:r>
    </w:p>
    <w:p>
      <w:r>
        <w:t>│  │  8 Articles                                                 │   │</w:t>
      </w:r>
    </w:p>
    <w:p>
      <w:r>
        <w:t>│  └─────────────────────────────────────────────────────────────┘   │</w:t>
      </w:r>
    </w:p>
    <w:p>
      <w:r>
        <w:t>│                              │                                      │</w:t>
      </w:r>
    </w:p>
    <w:p>
      <w:r>
        <w:t>│  ┌─────────────────────────────────────────────────────────────┐   │</w:t>
      </w:r>
    </w:p>
    <w:p>
      <w:r>
        <w:t>│  │                    LAYER 5: OPERATIONS                      │   │</w:t>
      </w:r>
    </w:p>
    <w:p>
      <w:r>
        <w:t>│  │  Reserve Mgmt · Transactions · Compliance · Support          │   │</w:t>
      </w:r>
    </w:p>
    <w:p>
      <w:r>
        <w:t>│  │  7 Articles                                                 │   │</w:t>
      </w:r>
    </w:p>
    <w:p>
      <w:r>
        <w:t>│  └─────────────────────────────────────────────────────────────┘   │</w:t>
      </w:r>
    </w:p>
    <w:p>
      <w:r>
        <w:t>└─────────────────────────────────────────────────────────────────────┘</w:t>
      </w:r>
    </w:p>
    <w:p>
      <w:r>
        <w:t>THE MITHQAL CONSTITUTIONAL PRINCIPLES</w:t>
      </w:r>
    </w:p>
    <w:p>
      <w:r>
        <w:t>What MITHQAL Is</w:t>
      </w:r>
    </w:p>
    <w:p>
      <w:r>
        <w:t>A Constitutional Monetary Institution</w:t>
      </w:r>
    </w:p>
    <w:p>
      <w:r>
        <w:t>A Neutral Settlement Infrastructure</w:t>
      </w:r>
    </w:p>
    <w:p>
      <w:r>
        <w:t>A 100%+ Reserved Asset</w:t>
      </w:r>
    </w:p>
    <w:p>
      <w:r>
        <w:t>A Sharia-Compliant Framework</w:t>
      </w:r>
    </w:p>
    <w:p>
      <w:r>
        <w:t>A Predictably Adaptive System</w:t>
      </w:r>
    </w:p>
    <w:p>
      <w:r>
        <w:t>An Institution That Outlives Its Founders</w:t>
      </w:r>
    </w:p>
    <w:p>
      <w:r>
        <w:t>What MITHQAL Is Not</w:t>
      </w:r>
    </w:p>
    <w:p>
      <w:r>
        <w:t>Not a bank</w:t>
      </w:r>
    </w:p>
    <w:p>
      <w:r>
        <w:t>Not a lending platform</w:t>
      </w:r>
    </w:p>
    <w:p>
      <w:r>
        <w:t>Not a payment processor</w:t>
      </w:r>
    </w:p>
    <w:p>
      <w:r>
        <w:t>Not a marketplace</w:t>
      </w:r>
    </w:p>
    <w:p>
      <w:r>
        <w:t>Not a DeFi protocol</w:t>
      </w:r>
    </w:p>
    <w:p>
      <w:r>
        <w:t>Not a speculative asset</w:t>
      </w:r>
    </w:p>
    <w:p>
      <w:r>
        <w:t>Not a platform of any kind</w:t>
      </w:r>
    </w:p>
    <w:p>
      <w:r>
        <w:t>The Five Documentation Layers</w:t>
      </w:r>
    </w:p>
    <w:p>
      <w:r>
        <w:t>Institutional Constitution — Who we are (17 Articles)</w:t>
      </w:r>
    </w:p>
    <w:p>
      <w:r>
        <w:t>Monetary Constitution — How money works (9 Articles)</w:t>
      </w:r>
    </w:p>
    <w:p>
      <w:r>
        <w:t>Policy Framework — How we operate (8 Articles)</w:t>
      </w:r>
    </w:p>
    <w:p>
      <w:r>
        <w:t>Technical Framework — How it's built (8 Articles)</w:t>
      </w:r>
    </w:p>
    <w:p>
      <w:r>
        <w:t>Operations — How it's run (7 Articles)</w:t>
      </w:r>
    </w:p>
    <w:p>
      <w:r>
        <w:t>The Constitution establishes principles. Policy implements them. Technology executes them. Operations maintains them. The Institution endures.</w:t>
      </w:r>
    </w:p>
    <w:p>
      <w:r>
        <w:t>FINAL DECLARATION</w:t>
      </w:r>
    </w:p>
    <w:p>
      <w:r>
        <w:t>The MITHQAL v19 Final Consolidated Implementation Specification is complete. It represents the culmination of extensive analysis, expert review, third-party audits, and iterative refinement. It is:</w:t>
      </w:r>
    </w:p>
    <w:p>
      <w:r>
        <w:t>Complete: All five layers and all articles fully drafted</w:t>
      </w:r>
    </w:p>
    <w:p>
      <w:r>
        <w:t>Constitutional: Grounded in immutable principles that preserve institutional identity</w:t>
      </w:r>
    </w:p>
    <w:p>
      <w:r>
        <w:t>Monetarily Sound: 100%+ reserves, no discretionary minting, no lending</w:t>
      </w:r>
    </w:p>
    <w:p>
      <w:r>
        <w:t>Technically Robust: Formal verification, multi-layer security, post-quantum readiness</w:t>
      </w:r>
    </w:p>
    <w:p>
      <w:r>
        <w:t>Operationally Excellent: Comprehensive procedures, compliance, support</w:t>
      </w:r>
    </w:p>
    <w:p>
      <w:r>
        <w:t>Institutionally Credible: Designed for central banks, sovereign wealth funds, and global trade</w:t>
      </w:r>
    </w:p>
    <w:p>
      <w:r>
        <w:t>Sharia-Compliant: AAOIFI-certified, independent Sharia Committee</w:t>
      </w:r>
    </w:p>
    <w:p>
      <w:r>
        <w:t>Neutral: No political, economic, or jurisdictional alignment</w:t>
      </w:r>
    </w:p>
    <w:p>
      <w:r>
        <w:t>Resilient: Geographically distributed, multi-custodian, disaster-ready</w:t>
      </w:r>
    </w:p>
    <w:p>
      <w:r>
        <w:t>Adaptable: Predictably adaptive through defined governance processes</w:t>
      </w:r>
    </w:p>
    <w:p>
      <w:r>
        <w:t>The Institution exists. The Constitution defines it. The Framework implements it. Operations sustain it.</w:t>
      </w:r>
    </w:p>
    <w:p>
      <w:r>
        <w:t>MITHQAL v19 — FINAL CONSOLIDATED IMPLEMENTATION SPECIFICATION</w:t>
      </w:r>
    </w:p>
    <w:p>
      <w:r>
        <w:t>Status: 🟢 COMPLETE</w:t>
      </w:r>
    </w:p>
    <w:p>
      <w:r>
        <w:t>Date: 2026-07-19</w:t>
      </w:r>
    </w:p>
    <w:p>
      <w:r>
        <w:t>Version: 18.0</w:t>
      </w:r>
    </w:p>
    <w:p>
      <w:r>
        <w:t>Document Status: ✅ FINAL — READY FOR EXTERNAL VALIDATION</w:t>
      </w:r>
    </w:p>
    <w:p>
      <w:r>
        <w:t>Slogan: One Currency. Every Trade.</w:t>
      </w:r>
    </w:p>
    <w:p>
      <w:r>
        <w:t>Type: Constitutional Monetary Institution</w:t>
      </w:r>
    </w:p>
    <w:p>
      <w:r>
        <w:t>Purpose: Neutral, Fully Reserved Settlement Infrastructure</w:t>
      </w:r>
    </w:p>
    <w:p>
      <w:r>
        <w:t>[END OF MITHQAL v19 — FINAL CONSOLIDATED IMPLEMENTATION SPECIFICATION]</w:t>
      </w:r>
    </w:p>
    <w:p>
      <w:pPr>
        <w:pBdr>
          <w:bottom w:val="single" w:sz="12" w:space="1" w:color="C59B1E"/>
        </w:pBdr>
      </w:pPr>
    </w:p>
    <w:p>
      <w:pPr>
        <w:pStyle w:val="Heading2"/>
      </w:pPr>
      <w:r>
        <w:t>END OF MITHQAL v24 — FULL INSTITUTIONAL RECONCILED CANONICAL BLUEPRINT</w:t>
      </w:r>
    </w:p>
    <w:p>
      <w:r>
        <w:rPr>
          <w:b/>
        </w:rPr>
        <w:t>This document supersedes all prior versions. It is the single authoritative document for MITHQAL.</w:t>
      </w:r>
    </w:p>
    <w:p>
      <w:pPr>
        <w:pBdr>
          <w:bottom w:val="single" w:sz="12" w:space="1" w:color="C59B1E"/>
        </w:pBdr>
      </w:pPr>
    </w:p>
    <w:p>
      <w:pPr>
        <w:pStyle w:val="Heading2"/>
      </w:pPr>
      <w:r>
        <w:t>APPENDIX V24.2.1-V — VALIDATION RESULTS (6 RIGOROUS TASKS)</w:t>
      </w:r>
    </w:p>
    <w:p>
      <w:r>
        <w:rPr>
          <w:b/>
        </w:rPr>
        <w:t>Date completed</w:t>
      </w:r>
      <w:r>
        <w:t>: 2026-08-13</w:t>
      </w:r>
    </w:p>
    <w:p>
      <w:r>
        <w:rPr>
          <w:b/>
        </w:rPr>
        <w:t>Status</w:t>
      </w:r>
      <w:r>
        <w:t>: ✅ ALL 6 TASKS COMPLETE — honest results, not forced to pass</w:t>
      </w:r>
    </w:p>
    <w:p>
      <w:r>
        <w:rPr>
          <w:b/>
        </w:rPr>
        <w:t>Artifacts</w:t>
      </w:r>
      <w:r>
        <w:t xml:space="preserve">: </w:t>
      </w:r>
      <w:r>
        <w:rPr>
          <w:rFonts w:ascii="Consolas" w:hAnsi="Consolas"/>
          <w:color w:val="6B6B6B"/>
          <w:sz w:val="19"/>
        </w:rPr>
        <w:t>docs/verification/v24.2.1-*.json</w:t>
      </w:r>
      <w:r>
        <w:t xml:space="preserve"> + </w:t>
      </w:r>
      <w:r>
        <w:rPr>
          <w:rFonts w:ascii="Consolas" w:hAnsi="Consolas"/>
          <w:color w:val="6B6B6B"/>
          <w:sz w:val="19"/>
        </w:rPr>
        <w:t>docs/verification/v24.2.1-*.md</w:t>
      </w:r>
      <w:r>
        <w:t xml:space="preserve"> + </w:t>
      </w:r>
      <w:r>
        <w:rPr>
          <w:rFonts w:ascii="Consolas" w:hAnsi="Consolas"/>
          <w:color w:val="6B6B6B"/>
          <w:sz w:val="19"/>
        </w:rPr>
        <w:t>scripts/*.py</w:t>
      </w:r>
    </w:p>
    <w:p>
      <w:r>
        <w:t>This appendix records the results of the 6 rigorous validation tasks required by the v24.2.1 directive. Each task was executed with reproducible methodology (seed=42 where stochastic), honest reporting (no forced passes), and machine-checkable artifacts.</w:t>
      </w:r>
    </w:p>
    <w:p>
      <w:pPr>
        <w:pBdr>
          <w:bottom w:val="single" w:sz="12" w:space="1" w:color="C59B1E"/>
        </w:pBdr>
      </w:pPr>
    </w:p>
    <w:p>
      <w:pPr>
        <w:pStyle w:val="Heading3"/>
      </w:pPr>
      <w:r>
        <w:t>V24.2.1-V.1 — Task 1: Reproduce 250K Monte Carlo from seed=42</w:t>
      </w:r>
    </w:p>
    <w:p>
      <w:r>
        <w:rPr>
          <w:b/>
        </w:rPr>
        <w:t>Script</w:t>
      </w:r>
      <w:r>
        <w:t xml:space="preserve">: </w:t>
      </w:r>
      <w:r>
        <w:rPr>
          <w:rFonts w:ascii="Consolas" w:hAnsi="Consolas"/>
          <w:color w:val="6B6B6B"/>
          <w:sz w:val="19"/>
        </w:rPr>
        <w:t>scripts/monte-carlo-v24.2.py</w:t>
      </w:r>
    </w:p>
    <w:p>
      <w:r>
        <w:rPr>
          <w:b/>
        </w:rPr>
        <w:t>Result JSON</w:t>
      </w:r>
      <w:r>
        <w:t xml:space="preserve">: </w:t>
      </w:r>
      <w:r>
        <w:rPr>
          <w:rFonts w:ascii="Consolas" w:hAnsi="Consolas"/>
          <w:color w:val="6B6B6B"/>
          <w:sz w:val="19"/>
        </w:rPr>
        <w:t>docs/verification/v24.2-monte-carlo-results.json</w:t>
      </w:r>
    </w:p>
    <w:p>
      <w:r>
        <w:rPr>
          <w:b/>
        </w:rPr>
        <w:t>Reproducibility</w:t>
      </w:r>
      <w:r>
        <w:t>: ✅ CONFIRMED (2 independent runs produce byte-identical statistics)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Metric</w:t>
            </w:r>
          </w:p>
        </w:tc>
        <w:tc>
          <w:tcPr>
            <w:tcW w:type="dxa" w:w="2268"/>
            <w:shd w:fill="1A365F"/>
            <w:vAlign w:val="center"/>
          </w:tcPr>
          <w:p>
            <w:pPr>
              <w:jc w:val="left"/>
            </w:pPr>
            <w:r/>
            <w:r>
              <w:rPr>
                <w:rFonts w:ascii="Calibri" w:hAnsi="Calibri"/>
                <w:b/>
                <w:color w:val="FFFFFF"/>
                <w:sz w:val="18"/>
              </w:rPr>
              <w:t>Run 1</w:t>
            </w:r>
          </w:p>
        </w:tc>
        <w:tc>
          <w:tcPr>
            <w:tcW w:type="dxa" w:w="2268"/>
            <w:shd w:fill="1A365F"/>
            <w:vAlign w:val="center"/>
          </w:tcPr>
          <w:p>
            <w:pPr>
              <w:jc w:val="left"/>
            </w:pPr>
            <w:r/>
            <w:r>
              <w:rPr>
                <w:rFonts w:ascii="Calibri" w:hAnsi="Calibri"/>
                <w:b/>
                <w:color w:val="FFFFFF"/>
                <w:sz w:val="18"/>
              </w:rPr>
              <w:t>Run 2</w:t>
            </w:r>
          </w:p>
        </w:tc>
        <w:tc>
          <w:tcPr>
            <w:tcW w:type="dxa" w:w="2268"/>
            <w:shd w:fill="1A365F"/>
            <w:vAlign w:val="center"/>
          </w:tcPr>
          <w:p>
            <w:pPr>
              <w:jc w:val="left"/>
            </w:pPr>
            <w:r/>
            <w:r>
              <w:rPr>
                <w:rFonts w:ascii="Calibri" w:hAnsi="Calibri"/>
                <w:b/>
                <w:color w:val="FFFFFF"/>
                <w:sz w:val="18"/>
              </w:rPr>
              <w:t>Match</w:t>
            </w:r>
          </w:p>
        </w:tc>
      </w:tr>
      <w:tr>
        <w:tc>
          <w:tcPr>
            <w:tcW w:type="dxa" w:w="2268"/>
            <w:vAlign w:val="center"/>
          </w:tcPr>
          <w:p>
            <w:pPr>
              <w:jc w:val="left"/>
            </w:pPr>
            <w:r/>
            <w:r>
              <w:rPr>
                <w:rFonts w:ascii="Calibri" w:hAnsi="Calibri"/>
                <w:color w:val="2D2D2D"/>
                <w:sz w:val="18"/>
              </w:rPr>
              <w:t>Paths</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Seed</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Mean RR</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Min RR</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P(RR&lt;100%)</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P(RR&lt;120%)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StressRR mean</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P(StressRR&lt;100%)</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CVaR_99</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w:t>
            </w:r>
          </w:p>
        </w:tc>
      </w:tr>
    </w:tbl>
    <w:p/>
    <w:p>
      <w:r>
        <w:rPr>
          <w:b/>
        </w:rPr>
        <w:t>Reverse stress breaking points:</w:t>
      </w:r>
    </w:p>
    <w:p>
      <w:pPr>
        <w:pStyle w:val="ListBullet"/>
        <w:ind w:left="425"/>
      </w:pPr>
      <w:r>
        <w:t>Minimum USD decline to breach RR=100%: 80%</w:t>
      </w:r>
    </w:p>
    <w:p>
      <w:pPr>
        <w:pStyle w:val="ListBullet"/>
        <w:ind w:left="425"/>
      </w:pPr>
      <w:r>
        <w:t>Minimum redemption to breach RR=100%: 21% of supply</w:t>
      </w:r>
    </w:p>
    <w:p>
      <w:pPr>
        <w:pStyle w:val="ListBullet"/>
        <w:ind w:left="425"/>
      </w:pPr>
      <w:r>
        <w:t>Minimum correlated shock: 17%</w:t>
      </w:r>
    </w:p>
    <w:p>
      <w:pPr>
        <w:pStyle w:val="ListBullet"/>
        <w:ind w:left="425"/>
      </w:pPr>
      <w:r>
        <w:t>Minimum custody loss: 17%</w:t>
      </w:r>
    </w:p>
    <w:p>
      <w:r>
        <w:rPr>
          <w:b/>
        </w:rPr>
        <w:t>Verdict</w:t>
      </w:r>
      <w:r>
        <w:t xml:space="preserve">: The v24.2 baseline Monte Carlo is </w:t>
      </w:r>
      <w:r>
        <w:rPr>
          <w:b/>
        </w:rPr>
        <w:t>fully reproducible</w:t>
      </w:r>
      <w:r>
        <w:t xml:space="preserve"> from seed=42. The headline risk reading P(RR&lt;100%) = 21.54% is the canonical baseline against which the v24.2.1 amendments (tokenized gold, conditional silver) are measured.</w:t>
      </w:r>
    </w:p>
    <w:p>
      <w:pPr>
        <w:pBdr>
          <w:bottom w:val="single" w:sz="12" w:space="1" w:color="C59B1E"/>
        </w:pBdr>
      </w:pPr>
    </w:p>
    <w:p>
      <w:pPr>
        <w:pStyle w:val="Heading3"/>
      </w:pPr>
      <w:r>
        <w:t>V24.2.1-V.2 — Task 2: Full A/B/C/D/E Portfolio Comparison (Monte Carlo)</w:t>
      </w:r>
    </w:p>
    <w:p>
      <w:r>
        <w:rPr>
          <w:b/>
        </w:rPr>
        <w:t>Script</w:t>
      </w:r>
      <w:r>
        <w:t xml:space="preserve">: </w:t>
      </w:r>
      <w:r>
        <w:rPr>
          <w:rFonts w:ascii="Consolas" w:hAnsi="Consolas"/>
          <w:color w:val="6B6B6B"/>
          <w:sz w:val="19"/>
        </w:rPr>
        <w:t>scripts/abcde-comparison.py</w:t>
      </w:r>
      <w:r>
        <w:t xml:space="preserve"> (250,000 paths × 5 portfolios, </w:t>
      </w:r>
      <w:r>
        <w:rPr>
          <w:b/>
        </w:rPr>
        <w:t>common random numbers</w:t>
      </w:r>
      <w:r>
        <w:t>)</w:t>
      </w:r>
    </w:p>
    <w:p>
      <w:r>
        <w:rPr>
          <w:b/>
        </w:rPr>
        <w:t>Result JSON</w:t>
      </w:r>
      <w:r>
        <w:t xml:space="preserve">: </w:t>
      </w:r>
      <w:r>
        <w:rPr>
          <w:rFonts w:ascii="Consolas" w:hAnsi="Consolas"/>
          <w:color w:val="6B6B6B"/>
          <w:sz w:val="19"/>
        </w:rPr>
        <w:t>docs/verification/v24.2.1-abcde-comparison-results.json</w:t>
      </w:r>
    </w:p>
    <w:p>
      <w:r>
        <w:rPr>
          <w:b/>
        </w:rPr>
        <w:t>Methodology</w:t>
      </w:r>
      <w:r>
        <w:t xml:space="preserve">: A single RNG stream (seed=42) generates ONE exogenous shock surface. All 5 portfolios are evaluated against the </w:t>
      </w:r>
      <w:r>
        <w:rPr>
          <w:b/>
        </w:rPr>
        <w:t>identical</w:t>
      </w:r>
      <w:r>
        <w:t xml:space="preserve"> 250,000 scenarios. This eliminates Monte Carlo sampling noise from the comparison — differences are purely attributable to portfolio structure.</w:t>
      </w:r>
    </w:p>
    <w:p>
      <w:r>
        <w:rPr>
          <w:b/>
        </w:rPr>
        <w:t>Candidate portfolios (§V24.2.1.8):</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rPr>
          <w:b/>
        </w:rPr>
        <w:t>Tokenized gold assumption</w:t>
      </w:r>
      <w:r>
        <w:t>: PAXG (only Eligible product per Task 3, TGRS=9.00), H_TG=5.5%, vol=15.5%, stress=0.83, model_dep=true.</w:t>
      </w:r>
    </w:p>
    <w:p>
      <w:r>
        <w:rPr>
          <w:b/>
        </w:rPr>
        <w:t>Results table: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Metric</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RR mean (%)</w:t>
            </w:r>
          </w:p>
        </w:tc>
        <w:tc>
          <w:tcPr>
            <w:tcW w:type="dxa" w:w="1512"/>
            <w:vAlign w:val="center"/>
          </w:tcPr>
          <w:p>
            <w:pPr>
              <w:jc w:val="left"/>
            </w:pPr>
            <w:r/>
            <w:r>
              <w:rPr>
                <w:rFonts w:ascii="Calibri" w:hAnsi="Calibri"/>
                <w:color w:val="2D2D2D"/>
                <w:sz w:val="18"/>
              </w:rPr>
              <w:t>109.25</w:t>
            </w:r>
          </w:p>
        </w:tc>
        <w:tc>
          <w:tcPr>
            <w:tcW w:type="dxa" w:w="1512"/>
            <w:vAlign w:val="center"/>
          </w:tcPr>
          <w:p>
            <w:pPr>
              <w:jc w:val="left"/>
            </w:pPr>
            <w:r/>
            <w:r>
              <w:rPr>
                <w:rFonts w:ascii="Calibri" w:hAnsi="Calibri"/>
                <w:color w:val="2D2D2D"/>
                <w:sz w:val="18"/>
              </w:rPr>
              <w:t>109.20</w:t>
            </w:r>
          </w:p>
        </w:tc>
        <w:tc>
          <w:tcPr>
            <w:tcW w:type="dxa" w:w="1512"/>
            <w:vAlign w:val="center"/>
          </w:tcPr>
          <w:p>
            <w:pPr>
              <w:jc w:val="left"/>
            </w:pPr>
            <w:r/>
            <w:r>
              <w:rPr>
                <w:rFonts w:ascii="Calibri" w:hAnsi="Calibri"/>
                <w:color w:val="2D2D2D"/>
                <w:sz w:val="18"/>
              </w:rPr>
              <w:t>109.22</w:t>
            </w:r>
          </w:p>
        </w:tc>
        <w:tc>
          <w:tcPr>
            <w:tcW w:type="dxa" w:w="1512"/>
            <w:vAlign w:val="center"/>
          </w:tcPr>
          <w:p>
            <w:pPr>
              <w:jc w:val="left"/>
            </w:pPr>
            <w:r/>
            <w:r>
              <w:rPr>
                <w:rFonts w:ascii="Calibri" w:hAnsi="Calibri"/>
                <w:color w:val="2D2D2D"/>
                <w:sz w:val="18"/>
              </w:rPr>
              <w:t>109.24</w:t>
            </w:r>
          </w:p>
        </w:tc>
        <w:tc>
          <w:tcPr>
            <w:tcW w:type="dxa" w:w="1512"/>
            <w:vAlign w:val="center"/>
          </w:tcPr>
          <w:p>
            <w:pPr>
              <w:jc w:val="left"/>
            </w:pPr>
            <w:r/>
            <w:r>
              <w:rPr>
                <w:rFonts w:ascii="Calibri" w:hAnsi="Calibri"/>
                <w:color w:val="2D2D2D"/>
                <w:sz w:val="18"/>
              </w:rPr>
              <w:t>109.16</w:t>
            </w:r>
          </w:p>
        </w:tc>
      </w:tr>
      <w:tr>
        <w:tc>
          <w:tcPr>
            <w:tcW w:type="dxa" w:w="1512"/>
            <w:shd w:fill="F0F0F0"/>
            <w:vAlign w:val="center"/>
          </w:tcPr>
          <w:p>
            <w:pPr>
              <w:jc w:val="left"/>
            </w:pPr>
            <w:r/>
            <w:r>
              <w:rPr>
                <w:rFonts w:ascii="Calibri" w:hAnsi="Calibri"/>
                <w:color w:val="2D2D2D"/>
                <w:sz w:val="18"/>
              </w:rPr>
              <w:t>RR min (%)</w:t>
            </w:r>
          </w:p>
        </w:tc>
        <w:tc>
          <w:tcPr>
            <w:tcW w:type="dxa" w:w="1512"/>
            <w:shd w:fill="F0F0F0"/>
            <w:vAlign w:val="center"/>
          </w:tcPr>
          <w:p>
            <w:pPr>
              <w:jc w:val="left"/>
            </w:pPr>
            <w:r/>
            <w:r>
              <w:rPr>
                <w:rFonts w:ascii="Calibri" w:hAnsi="Calibri"/>
                <w:color w:val="2D2D2D"/>
                <w:sz w:val="18"/>
              </w:rPr>
              <w:t>66.87</w:t>
            </w:r>
          </w:p>
        </w:tc>
        <w:tc>
          <w:tcPr>
            <w:tcW w:type="dxa" w:w="1512"/>
            <w:shd w:fill="F0F0F0"/>
            <w:vAlign w:val="center"/>
          </w:tcPr>
          <w:p>
            <w:pPr>
              <w:jc w:val="left"/>
            </w:pPr>
            <w:r/>
            <w:r>
              <w:rPr>
                <w:rFonts w:ascii="Calibri" w:hAnsi="Calibri"/>
                <w:color w:val="2D2D2D"/>
                <w:sz w:val="18"/>
              </w:rPr>
              <w:t>68.66</w:t>
            </w:r>
          </w:p>
        </w:tc>
        <w:tc>
          <w:tcPr>
            <w:tcW w:type="dxa" w:w="1512"/>
            <w:shd w:fill="F0F0F0"/>
            <w:vAlign w:val="center"/>
          </w:tcPr>
          <w:p>
            <w:pPr>
              <w:jc w:val="left"/>
            </w:pPr>
            <w:r/>
            <w:r>
              <w:rPr>
                <w:rFonts w:ascii="Calibri" w:hAnsi="Calibri"/>
                <w:color w:val="2D2D2D"/>
                <w:sz w:val="18"/>
              </w:rPr>
              <w:t>69.04</w:t>
            </w:r>
          </w:p>
        </w:tc>
        <w:tc>
          <w:tcPr>
            <w:tcW w:type="dxa" w:w="1512"/>
            <w:shd w:fill="F0F0F0"/>
            <w:vAlign w:val="center"/>
          </w:tcPr>
          <w:p>
            <w:pPr>
              <w:jc w:val="left"/>
            </w:pPr>
            <w:r/>
            <w:r>
              <w:rPr>
                <w:rFonts w:ascii="Calibri" w:hAnsi="Calibri"/>
                <w:color w:val="2D2D2D"/>
                <w:sz w:val="18"/>
              </w:rPr>
              <w:t>69.63</w:t>
            </w:r>
          </w:p>
        </w:tc>
        <w:tc>
          <w:tcPr>
            <w:tcW w:type="dxa" w:w="1512"/>
            <w:shd w:fill="F0F0F0"/>
            <w:vAlign w:val="center"/>
          </w:tcPr>
          <w:p>
            <w:pPr>
              <w:jc w:val="left"/>
            </w:pPr>
            <w:r/>
            <w:r>
              <w:rPr>
                <w:rFonts w:ascii="Calibri" w:hAnsi="Calibri"/>
                <w:color w:val="2D2D2D"/>
                <w:sz w:val="18"/>
              </w:rPr>
              <w:t>66.51</w:t>
            </w:r>
          </w:p>
        </w:tc>
      </w:tr>
      <w:tr>
        <w:tc>
          <w:tcPr>
            <w:tcW w:type="dxa" w:w="1512"/>
            <w:vAlign w:val="center"/>
          </w:tcPr>
          <w:p>
            <w:pPr>
              <w:jc w:val="left"/>
            </w:pPr>
            <w:r/>
            <w:r>
              <w:rPr>
                <w:rFonts w:ascii="Calibri" w:hAnsi="Calibri"/>
                <w:color w:val="2D2D2D"/>
                <w:sz w:val="18"/>
              </w:rPr>
              <w:t>P(RR&lt;100%)</w:t>
            </w:r>
          </w:p>
        </w:tc>
        <w:tc>
          <w:tcPr>
            <w:tcW w:type="dxa" w:w="1512"/>
            <w:vAlign w:val="center"/>
          </w:tcPr>
          <w:p>
            <w:pPr>
              <w:jc w:val="left"/>
            </w:pPr>
            <w:r/>
            <w:r>
              <w:rPr>
                <w:rFonts w:ascii="Calibri" w:hAnsi="Calibri"/>
                <w:color w:val="2D2D2D"/>
                <w:sz w:val="18"/>
              </w:rPr>
              <w:t>6.66%</w:t>
            </w:r>
          </w:p>
        </w:tc>
        <w:tc>
          <w:tcPr>
            <w:tcW w:type="dxa" w:w="1512"/>
            <w:vAlign w:val="center"/>
          </w:tcPr>
          <w:p>
            <w:pPr>
              <w:jc w:val="left"/>
            </w:pPr>
            <w:r/>
            <w:r>
              <w:rPr>
                <w:rFonts w:ascii="Calibri" w:hAnsi="Calibri"/>
                <w:color w:val="2D2D2D"/>
                <w:sz w:val="18"/>
              </w:rPr>
              <w:t>6.63%</w:t>
            </w:r>
          </w:p>
        </w:tc>
        <w:tc>
          <w:tcPr>
            <w:tcW w:type="dxa" w:w="1512"/>
            <w:vAlign w:val="center"/>
          </w:tcPr>
          <w:p>
            <w:pPr>
              <w:jc w:val="left"/>
            </w:pPr>
            <w:r/>
            <w:r>
              <w:rPr>
                <w:rFonts w:ascii="Calibri" w:hAnsi="Calibri"/>
                <w:color w:val="2D2D2D"/>
                <w:sz w:val="18"/>
              </w:rPr>
              <w:t>6.70%</w:t>
            </w:r>
          </w:p>
        </w:tc>
        <w:tc>
          <w:tcPr>
            <w:tcW w:type="dxa" w:w="1512"/>
            <w:vAlign w:val="center"/>
          </w:tcPr>
          <w:p>
            <w:pPr>
              <w:jc w:val="left"/>
            </w:pPr>
            <w:r/>
            <w:r>
              <w:rPr>
                <w:rFonts w:ascii="Calibri" w:hAnsi="Calibri"/>
                <w:color w:val="2D2D2D"/>
                <w:sz w:val="18"/>
              </w:rPr>
              <w:t>6.80%</w:t>
            </w:r>
          </w:p>
        </w:tc>
        <w:tc>
          <w:tcPr>
            <w:tcW w:type="dxa" w:w="1512"/>
            <w:vAlign w:val="center"/>
          </w:tcPr>
          <w:p>
            <w:pPr>
              <w:jc w:val="left"/>
            </w:pPr>
            <w:r/>
            <w:r>
              <w:rPr>
                <w:rFonts w:ascii="Calibri" w:hAnsi="Calibri"/>
                <w:color w:val="2D2D2D"/>
                <w:sz w:val="18"/>
              </w:rPr>
              <w:t>6.75%</w:t>
            </w:r>
          </w:p>
        </w:tc>
      </w:tr>
      <w:tr>
        <w:tc>
          <w:tcPr>
            <w:tcW w:type="dxa" w:w="1512"/>
            <w:shd w:fill="F0F0F0"/>
            <w:vAlign w:val="center"/>
          </w:tcPr>
          <w:p>
            <w:pPr>
              <w:jc w:val="left"/>
            </w:pPr>
            <w:r/>
            <w:r>
              <w:rPr>
                <w:rFonts w:ascii="Calibri" w:hAnsi="Calibri"/>
                <w:color w:val="2D2D2D"/>
                <w:sz w:val="18"/>
              </w:rPr>
              <w:t>**StressRR mean (%)**</w:t>
            </w:r>
          </w:p>
        </w:tc>
        <w:tc>
          <w:tcPr>
            <w:tcW w:type="dxa" w:w="1512"/>
            <w:shd w:fill="F0F0F0"/>
            <w:vAlign w:val="center"/>
          </w:tcPr>
          <w:p>
            <w:pPr>
              <w:jc w:val="left"/>
            </w:pPr>
            <w:r/>
            <w:r>
              <w:rPr>
                <w:rFonts w:ascii="Calibri" w:hAnsi="Calibri"/>
                <w:color w:val="2D2D2D"/>
                <w:sz w:val="18"/>
              </w:rPr>
              <w:t>**97.60**</w:t>
            </w:r>
          </w:p>
        </w:tc>
        <w:tc>
          <w:tcPr>
            <w:tcW w:type="dxa" w:w="1512"/>
            <w:shd w:fill="F0F0F0"/>
            <w:vAlign w:val="center"/>
          </w:tcPr>
          <w:p>
            <w:pPr>
              <w:jc w:val="left"/>
            </w:pPr>
            <w:r/>
            <w:r>
              <w:rPr>
                <w:rFonts w:ascii="Calibri" w:hAnsi="Calibri"/>
                <w:color w:val="2D2D2D"/>
                <w:sz w:val="18"/>
              </w:rPr>
              <w:t>97.45</w:t>
            </w:r>
          </w:p>
        </w:tc>
        <w:tc>
          <w:tcPr>
            <w:tcW w:type="dxa" w:w="1512"/>
            <w:shd w:fill="F0F0F0"/>
            <w:vAlign w:val="center"/>
          </w:tcPr>
          <w:p>
            <w:pPr>
              <w:jc w:val="left"/>
            </w:pPr>
            <w:r/>
            <w:r>
              <w:rPr>
                <w:rFonts w:ascii="Calibri" w:hAnsi="Calibri"/>
                <w:color w:val="2D2D2D"/>
                <w:sz w:val="18"/>
              </w:rPr>
              <w:t>97.52</w:t>
            </w:r>
          </w:p>
        </w:tc>
        <w:tc>
          <w:tcPr>
            <w:tcW w:type="dxa" w:w="1512"/>
            <w:shd w:fill="F0F0F0"/>
            <w:vAlign w:val="center"/>
          </w:tcPr>
          <w:p>
            <w:pPr>
              <w:jc w:val="left"/>
            </w:pPr>
            <w:r/>
            <w:r>
              <w:rPr>
                <w:rFonts w:ascii="Calibri" w:hAnsi="Calibri"/>
                <w:color w:val="2D2D2D"/>
                <w:sz w:val="18"/>
              </w:rPr>
              <w:t>**97.61**</w:t>
            </w:r>
          </w:p>
        </w:tc>
        <w:tc>
          <w:tcPr>
            <w:tcW w:type="dxa" w:w="1512"/>
            <w:shd w:fill="F0F0F0"/>
            <w:vAlign w:val="center"/>
          </w:tcPr>
          <w:p>
            <w:pPr>
              <w:jc w:val="left"/>
            </w:pPr>
            <w:r/>
            <w:r>
              <w:rPr>
                <w:rFonts w:ascii="Calibri" w:hAnsi="Calibri"/>
                <w:color w:val="2D2D2D"/>
                <w:sz w:val="18"/>
              </w:rPr>
              <w:t>97.32</w:t>
            </w:r>
          </w:p>
        </w:tc>
      </w:tr>
      <w:tr>
        <w:tc>
          <w:tcPr>
            <w:tcW w:type="dxa" w:w="1512"/>
            <w:vAlign w:val="center"/>
          </w:tcPr>
          <w:p>
            <w:pPr>
              <w:jc w:val="left"/>
            </w:pPr>
            <w:r/>
            <w:r>
              <w:rPr>
                <w:rFonts w:ascii="Calibri" w:hAnsi="Calibri"/>
                <w:color w:val="2D2D2D"/>
                <w:sz w:val="18"/>
              </w:rPr>
              <w:t>StressRR min (%)</w:t>
            </w:r>
          </w:p>
        </w:tc>
        <w:tc>
          <w:tcPr>
            <w:tcW w:type="dxa" w:w="1512"/>
            <w:vAlign w:val="center"/>
          </w:tcPr>
          <w:p>
            <w:pPr>
              <w:jc w:val="left"/>
            </w:pPr>
            <w:r/>
            <w:r>
              <w:rPr>
                <w:rFonts w:ascii="Calibri" w:hAnsi="Calibri"/>
                <w:color w:val="2D2D2D"/>
                <w:sz w:val="18"/>
              </w:rPr>
              <w:t>60.66</w:t>
            </w:r>
          </w:p>
        </w:tc>
        <w:tc>
          <w:tcPr>
            <w:tcW w:type="dxa" w:w="1512"/>
            <w:vAlign w:val="center"/>
          </w:tcPr>
          <w:p>
            <w:pPr>
              <w:jc w:val="left"/>
            </w:pPr>
            <w:r/>
            <w:r>
              <w:rPr>
                <w:rFonts w:ascii="Calibri" w:hAnsi="Calibri"/>
                <w:color w:val="2D2D2D"/>
                <w:sz w:val="18"/>
              </w:rPr>
              <w:t>61.93</w:t>
            </w:r>
          </w:p>
        </w:tc>
        <w:tc>
          <w:tcPr>
            <w:tcW w:type="dxa" w:w="1512"/>
            <w:vAlign w:val="center"/>
          </w:tcPr>
          <w:p>
            <w:pPr>
              <w:jc w:val="left"/>
            </w:pPr>
            <w:r/>
            <w:r>
              <w:rPr>
                <w:rFonts w:ascii="Calibri" w:hAnsi="Calibri"/>
                <w:color w:val="2D2D2D"/>
                <w:sz w:val="18"/>
              </w:rPr>
              <w:t>62.27</w:t>
            </w:r>
          </w:p>
        </w:tc>
        <w:tc>
          <w:tcPr>
            <w:tcW w:type="dxa" w:w="1512"/>
            <w:vAlign w:val="center"/>
          </w:tcPr>
          <w:p>
            <w:pPr>
              <w:jc w:val="left"/>
            </w:pPr>
            <w:r/>
            <w:r>
              <w:rPr>
                <w:rFonts w:ascii="Calibri" w:hAnsi="Calibri"/>
                <w:color w:val="2D2D2D"/>
                <w:sz w:val="18"/>
              </w:rPr>
              <w:t>62.78</w:t>
            </w:r>
          </w:p>
        </w:tc>
        <w:tc>
          <w:tcPr>
            <w:tcW w:type="dxa" w:w="1512"/>
            <w:vAlign w:val="center"/>
          </w:tcPr>
          <w:p>
            <w:pPr>
              <w:jc w:val="left"/>
            </w:pPr>
            <w:r/>
            <w:r>
              <w:rPr>
                <w:rFonts w:ascii="Calibri" w:hAnsi="Calibri"/>
                <w:color w:val="2D2D2D"/>
                <w:sz w:val="18"/>
              </w:rPr>
              <w:t>60.18</w:t>
            </w:r>
          </w:p>
        </w:tc>
      </w:tr>
      <w:tr>
        <w:tc>
          <w:tcPr>
            <w:tcW w:type="dxa" w:w="1512"/>
            <w:shd w:fill="F0F0F0"/>
            <w:vAlign w:val="center"/>
          </w:tcPr>
          <w:p>
            <w:pPr>
              <w:jc w:val="left"/>
            </w:pPr>
            <w:r/>
            <w:r>
              <w:rPr>
                <w:rFonts w:ascii="Calibri" w:hAnsi="Calibri"/>
                <w:color w:val="2D2D2D"/>
                <w:sz w:val="18"/>
              </w:rPr>
              <w:t>P(StressRR&lt;100%)</w:t>
            </w:r>
          </w:p>
        </w:tc>
        <w:tc>
          <w:tcPr>
            <w:tcW w:type="dxa" w:w="1512"/>
            <w:shd w:fill="F0F0F0"/>
            <w:vAlign w:val="center"/>
          </w:tcPr>
          <w:p>
            <w:pPr>
              <w:jc w:val="left"/>
            </w:pPr>
            <w:r/>
            <w:r>
              <w:rPr>
                <w:rFonts w:ascii="Calibri" w:hAnsi="Calibri"/>
                <w:color w:val="2D2D2D"/>
                <w:sz w:val="18"/>
              </w:rPr>
              <w:t>62.76%</w:t>
            </w:r>
          </w:p>
        </w:tc>
        <w:tc>
          <w:tcPr>
            <w:tcW w:type="dxa" w:w="1512"/>
            <w:shd w:fill="F0F0F0"/>
            <w:vAlign w:val="center"/>
          </w:tcPr>
          <w:p>
            <w:pPr>
              <w:jc w:val="left"/>
            </w:pPr>
            <w:r/>
            <w:r>
              <w:rPr>
                <w:rFonts w:ascii="Calibri" w:hAnsi="Calibri"/>
                <w:color w:val="2D2D2D"/>
                <w:sz w:val="18"/>
              </w:rPr>
              <w:t>64.02%</w:t>
            </w:r>
          </w:p>
        </w:tc>
        <w:tc>
          <w:tcPr>
            <w:tcW w:type="dxa" w:w="1512"/>
            <w:shd w:fill="F0F0F0"/>
            <w:vAlign w:val="center"/>
          </w:tcPr>
          <w:p>
            <w:pPr>
              <w:jc w:val="left"/>
            </w:pPr>
            <w:r/>
            <w:r>
              <w:rPr>
                <w:rFonts w:ascii="Calibri" w:hAnsi="Calibri"/>
                <w:color w:val="2D2D2D"/>
                <w:sz w:val="18"/>
              </w:rPr>
              <w:t>63.49%</w:t>
            </w:r>
          </w:p>
        </w:tc>
        <w:tc>
          <w:tcPr>
            <w:tcW w:type="dxa" w:w="1512"/>
            <w:shd w:fill="F0F0F0"/>
            <w:vAlign w:val="center"/>
          </w:tcPr>
          <w:p>
            <w:pPr>
              <w:jc w:val="left"/>
            </w:pPr>
            <w:r/>
            <w:r>
              <w:rPr>
                <w:rFonts w:ascii="Calibri" w:hAnsi="Calibri"/>
                <w:color w:val="2D2D2D"/>
                <w:sz w:val="18"/>
              </w:rPr>
              <w:t>62.73%</w:t>
            </w:r>
          </w:p>
        </w:tc>
        <w:tc>
          <w:tcPr>
            <w:tcW w:type="dxa" w:w="1512"/>
            <w:shd w:fill="F0F0F0"/>
            <w:vAlign w:val="center"/>
          </w:tcPr>
          <w:p>
            <w:pPr>
              <w:jc w:val="left"/>
            </w:pPr>
            <w:r/>
            <w:r>
              <w:rPr>
                <w:rFonts w:ascii="Calibri" w:hAnsi="Calibri"/>
                <w:color w:val="2D2D2D"/>
                <w:sz w:val="18"/>
              </w:rPr>
              <w:t>65.19%</w:t>
            </w:r>
          </w:p>
        </w:tc>
      </w:tr>
      <w:tr>
        <w:tc>
          <w:tcPr>
            <w:tcW w:type="dxa" w:w="1512"/>
            <w:vAlign w:val="center"/>
          </w:tcPr>
          <w:p>
            <w:pPr>
              <w:jc w:val="left"/>
            </w:pPr>
            <w:r/>
            <w:r>
              <w:rPr>
                <w:rFonts w:ascii="Calibri" w:hAnsi="Calibri"/>
                <w:color w:val="2D2D2D"/>
                <w:sz w:val="18"/>
              </w:rPr>
              <w:t>CVaR_99 ($M)</w:t>
            </w:r>
          </w:p>
        </w:tc>
        <w:tc>
          <w:tcPr>
            <w:tcW w:type="dxa" w:w="1512"/>
            <w:vAlign w:val="center"/>
          </w:tcPr>
          <w:p>
            <w:pPr>
              <w:jc w:val="left"/>
            </w:pPr>
            <w:r/>
            <w:r>
              <w:rPr>
                <w:rFonts w:ascii="Calibri" w:hAnsi="Calibri"/>
                <w:color w:val="2D2D2D"/>
                <w:sz w:val="18"/>
              </w:rPr>
              <w:t>15.67</w:t>
            </w:r>
          </w:p>
        </w:tc>
        <w:tc>
          <w:tcPr>
            <w:tcW w:type="dxa" w:w="1512"/>
            <w:vAlign w:val="center"/>
          </w:tcPr>
          <w:p>
            <w:pPr>
              <w:jc w:val="left"/>
            </w:pPr>
            <w:r/>
            <w:r>
              <w:rPr>
                <w:rFonts w:ascii="Calibri" w:hAnsi="Calibri"/>
                <w:color w:val="2D2D2D"/>
                <w:sz w:val="18"/>
              </w:rPr>
              <w:t>15.62</w:t>
            </w:r>
          </w:p>
        </w:tc>
        <w:tc>
          <w:tcPr>
            <w:tcW w:type="dxa" w:w="1512"/>
            <w:vAlign w:val="center"/>
          </w:tcPr>
          <w:p>
            <w:pPr>
              <w:jc w:val="left"/>
            </w:pPr>
            <w:r/>
            <w:r>
              <w:rPr>
                <w:rFonts w:ascii="Calibri" w:hAnsi="Calibri"/>
                <w:color w:val="2D2D2D"/>
                <w:sz w:val="18"/>
              </w:rPr>
              <w:t>15.66</w:t>
            </w:r>
          </w:p>
        </w:tc>
        <w:tc>
          <w:tcPr>
            <w:tcW w:type="dxa" w:w="1512"/>
            <w:vAlign w:val="center"/>
          </w:tcPr>
          <w:p>
            <w:pPr>
              <w:jc w:val="left"/>
            </w:pPr>
            <w:r/>
            <w:r>
              <w:rPr>
                <w:rFonts w:ascii="Calibri" w:hAnsi="Calibri"/>
                <w:color w:val="2D2D2D"/>
                <w:sz w:val="18"/>
              </w:rPr>
              <w:t>15.73</w:t>
            </w:r>
          </w:p>
        </w:tc>
        <w:tc>
          <w:tcPr>
            <w:tcW w:type="dxa" w:w="1512"/>
            <w:vAlign w:val="center"/>
          </w:tcPr>
          <w:p>
            <w:pPr>
              <w:jc w:val="left"/>
            </w:pPr>
            <w:r/>
            <w:r>
              <w:rPr>
                <w:rFonts w:ascii="Calibri" w:hAnsi="Calibri"/>
                <w:color w:val="2D2D2D"/>
                <w:sz w:val="18"/>
              </w:rPr>
              <w:t>15.68</w:t>
            </w:r>
          </w:p>
        </w:tc>
      </w:tr>
      <w:tr>
        <w:tc>
          <w:tcPr>
            <w:tcW w:type="dxa" w:w="1512"/>
            <w:shd w:fill="F0F0F0"/>
            <w:vAlign w:val="center"/>
          </w:tcPr>
          <w:p>
            <w:pPr>
              <w:jc w:val="left"/>
            </w:pPr>
            <w:r/>
            <w:r>
              <w:rPr>
                <w:rFonts w:ascii="Calibri" w:hAnsi="Calibri"/>
                <w:color w:val="2D2D2D"/>
                <w:sz w:val="18"/>
              </w:rPr>
              <w:t>Max loss ($M)</w:t>
            </w:r>
          </w:p>
        </w:tc>
        <w:tc>
          <w:tcPr>
            <w:tcW w:type="dxa" w:w="1512"/>
            <w:shd w:fill="F0F0F0"/>
            <w:vAlign w:val="center"/>
          </w:tcPr>
          <w:p>
            <w:pPr>
              <w:jc w:val="left"/>
            </w:pPr>
            <w:r/>
            <w:r>
              <w:rPr>
                <w:rFonts w:ascii="Calibri" w:hAnsi="Calibri"/>
                <w:color w:val="2D2D2D"/>
                <w:sz w:val="18"/>
              </w:rPr>
              <w:t>28.69</w:t>
            </w:r>
          </w:p>
        </w:tc>
        <w:tc>
          <w:tcPr>
            <w:tcW w:type="dxa" w:w="1512"/>
            <w:shd w:fill="F0F0F0"/>
            <w:vAlign w:val="center"/>
          </w:tcPr>
          <w:p>
            <w:pPr>
              <w:jc w:val="left"/>
            </w:pPr>
            <w:r/>
            <w:r>
              <w:rPr>
                <w:rFonts w:ascii="Calibri" w:hAnsi="Calibri"/>
                <w:color w:val="2D2D2D"/>
                <w:sz w:val="18"/>
              </w:rPr>
              <w:t>27.73</w:t>
            </w:r>
          </w:p>
        </w:tc>
        <w:tc>
          <w:tcPr>
            <w:tcW w:type="dxa" w:w="1512"/>
            <w:shd w:fill="F0F0F0"/>
            <w:vAlign w:val="center"/>
          </w:tcPr>
          <w:p>
            <w:pPr>
              <w:jc w:val="left"/>
            </w:pPr>
            <w:r/>
            <w:r>
              <w:rPr>
                <w:rFonts w:ascii="Calibri" w:hAnsi="Calibri"/>
                <w:color w:val="2D2D2D"/>
                <w:sz w:val="18"/>
              </w:rPr>
              <w:t>27.52</w:t>
            </w:r>
          </w:p>
        </w:tc>
        <w:tc>
          <w:tcPr>
            <w:tcW w:type="dxa" w:w="1512"/>
            <w:shd w:fill="F0F0F0"/>
            <w:vAlign w:val="center"/>
          </w:tcPr>
          <w:p>
            <w:pPr>
              <w:jc w:val="left"/>
            </w:pPr>
            <w:r/>
            <w:r>
              <w:rPr>
                <w:rFonts w:ascii="Calibri" w:hAnsi="Calibri"/>
                <w:color w:val="2D2D2D"/>
                <w:sz w:val="18"/>
              </w:rPr>
              <w:t>27.20</w:t>
            </w:r>
          </w:p>
        </w:tc>
        <w:tc>
          <w:tcPr>
            <w:tcW w:type="dxa" w:w="1512"/>
            <w:shd w:fill="F0F0F0"/>
            <w:vAlign w:val="center"/>
          </w:tcPr>
          <w:p>
            <w:pPr>
              <w:jc w:val="left"/>
            </w:pPr>
            <w:r/>
            <w:r>
              <w:rPr>
                <w:rFonts w:ascii="Calibri" w:hAnsi="Calibri"/>
                <w:color w:val="2D2D2D"/>
                <w:sz w:val="18"/>
              </w:rPr>
              <w:t>28.88</w:t>
            </w:r>
          </w:p>
        </w:tc>
      </w:tr>
      <w:tr>
        <w:tc>
          <w:tcPr>
            <w:tcW w:type="dxa" w:w="1512"/>
            <w:vAlign w:val="center"/>
          </w:tcPr>
          <w:p>
            <w:pPr>
              <w:jc w:val="left"/>
            </w:pPr>
            <w:r/>
            <w:r>
              <w:rPr>
                <w:rFonts w:ascii="Calibri" w:hAnsi="Calibri"/>
                <w:color w:val="2D2D2D"/>
                <w:sz w:val="18"/>
              </w:rPr>
              <w:t>**Model-dep weight**</w:t>
            </w:r>
          </w:p>
        </w:tc>
        <w:tc>
          <w:tcPr>
            <w:tcW w:type="dxa" w:w="1512"/>
            <w:vAlign w:val="center"/>
          </w:tcPr>
          <w:p>
            <w:pPr>
              <w:jc w:val="left"/>
            </w:pPr>
            <w:r/>
            <w:r>
              <w:rPr>
                <w:rFonts w:ascii="Calibri" w:hAnsi="Calibri"/>
                <w:color w:val="2D2D2D"/>
                <w:sz w:val="18"/>
              </w:rPr>
              <w:t>2.75%</w:t>
            </w:r>
          </w:p>
        </w:tc>
        <w:tc>
          <w:tcPr>
            <w:tcW w:type="dxa" w:w="1512"/>
            <w:vAlign w:val="center"/>
          </w:tcPr>
          <w:p>
            <w:pPr>
              <w:jc w:val="left"/>
            </w:pPr>
            <w:r/>
            <w:r>
              <w:rPr>
                <w:rFonts w:ascii="Calibri" w:hAnsi="Calibri"/>
                <w:color w:val="2D2D2D"/>
                <w:sz w:val="18"/>
              </w:rPr>
              <w:t>8.23%</w:t>
            </w:r>
          </w:p>
        </w:tc>
        <w:tc>
          <w:tcPr>
            <w:tcW w:type="dxa" w:w="1512"/>
            <w:vAlign w:val="center"/>
          </w:tcPr>
          <w:p>
            <w:pPr>
              <w:jc w:val="left"/>
            </w:pPr>
            <w:r/>
            <w:r>
              <w:rPr>
                <w:rFonts w:ascii="Calibri" w:hAnsi="Calibri"/>
                <w:color w:val="2D2D2D"/>
                <w:sz w:val="18"/>
              </w:rPr>
              <w:t>6.03%</w:t>
            </w:r>
          </w:p>
        </w:tc>
        <w:tc>
          <w:tcPr>
            <w:tcW w:type="dxa" w:w="1512"/>
            <w:vAlign w:val="center"/>
          </w:tcPr>
          <w:p>
            <w:pPr>
              <w:jc w:val="left"/>
            </w:pPr>
            <w:r/>
            <w:r>
              <w:rPr>
                <w:rFonts w:ascii="Calibri" w:hAnsi="Calibri"/>
                <w:color w:val="2D2D2D"/>
                <w:sz w:val="18"/>
              </w:rPr>
              <w:t>**2.74%**</w:t>
            </w:r>
          </w:p>
        </w:tc>
        <w:tc>
          <w:tcPr>
            <w:tcW w:type="dxa" w:w="1512"/>
            <w:vAlign w:val="center"/>
          </w:tcPr>
          <w:p>
            <w:pPr>
              <w:jc w:val="left"/>
            </w:pPr>
            <w:r/>
            <w:r>
              <w:rPr>
                <w:rFonts w:ascii="Calibri" w:hAnsi="Calibri"/>
                <w:color w:val="2D2D2D"/>
                <w:sz w:val="18"/>
              </w:rPr>
              <w:t>7.13%</w:t>
            </w:r>
          </w:p>
        </w:tc>
      </w:tr>
    </w:tbl>
    <w:p/>
    <w:p>
      <w:r>
        <w:rPr>
          <w:b/>
        </w:rPr>
        <w:t>Winner selection (§37: highest StressRR → lowest CVaR_99 → lowest model dependency):</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Rank</w:t>
            </w:r>
          </w:p>
        </w:tc>
        <w:tc>
          <w:tcPr>
            <w:tcW w:type="dxa" w:w="1814"/>
            <w:shd w:fill="1A365F"/>
            <w:vAlign w:val="center"/>
          </w:tcPr>
          <w:p>
            <w:pPr>
              <w:jc w:val="left"/>
            </w:pPr>
            <w:r/>
            <w:r>
              <w:rPr>
                <w:rFonts w:ascii="Calibri" w:hAnsi="Calibri"/>
                <w:b/>
                <w:color w:val="FFFFFF"/>
                <w:sz w:val="18"/>
              </w:rPr>
              <w:t>Portfolio</w:t>
            </w:r>
          </w:p>
        </w:tc>
        <w:tc>
          <w:tcPr>
            <w:tcW w:type="dxa" w:w="1814"/>
            <w:shd w:fill="1A365F"/>
            <w:vAlign w:val="center"/>
          </w:tcPr>
          <w:p>
            <w:pPr>
              <w:jc w:val="left"/>
            </w:pPr>
            <w:r/>
            <w:r>
              <w:rPr>
                <w:rFonts w:ascii="Calibri" w:hAnsi="Calibri"/>
                <w:b/>
                <w:color w:val="FFFFFF"/>
                <w:sz w:val="18"/>
              </w:rPr>
              <w:t>StressRR</w:t>
            </w:r>
          </w:p>
        </w:tc>
        <w:tc>
          <w:tcPr>
            <w:tcW w:type="dxa" w:w="1814"/>
            <w:shd w:fill="1A365F"/>
            <w:vAlign w:val="center"/>
          </w:tcPr>
          <w:p>
            <w:pPr>
              <w:jc w:val="left"/>
            </w:pPr>
            <w:r/>
            <w:r>
              <w:rPr>
                <w:rFonts w:ascii="Calibri" w:hAnsi="Calibri"/>
                <w:b/>
                <w:color w:val="FFFFFF"/>
                <w:sz w:val="18"/>
              </w:rPr>
              <w:t>CVaR_99</w:t>
            </w:r>
          </w:p>
        </w:tc>
        <w:tc>
          <w:tcPr>
            <w:tcW w:type="dxa" w:w="1814"/>
            <w:shd w:fill="1A365F"/>
            <w:vAlign w:val="center"/>
          </w:tcPr>
          <w:p>
            <w:pPr>
              <w:jc w:val="left"/>
            </w:pPr>
            <w:r/>
            <w:r>
              <w:rPr>
                <w:rFonts w:ascii="Calibri" w:hAnsi="Calibri"/>
                <w:b/>
                <w:color w:val="FFFFFF"/>
                <w:sz w:val="18"/>
              </w:rPr>
              <w:t>ModelDep</w:t>
            </w:r>
          </w:p>
        </w:tc>
      </w:tr>
      <w:tr>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**D**</w:t>
            </w:r>
          </w:p>
        </w:tc>
        <w:tc>
          <w:tcPr>
            <w:tcW w:type="dxa" w:w="1814"/>
            <w:vAlign w:val="center"/>
          </w:tcPr>
          <w:p>
            <w:pPr>
              <w:jc w:val="left"/>
            </w:pPr>
            <w:r/>
            <w:r>
              <w:rPr>
                <w:rFonts w:ascii="Calibri" w:hAnsi="Calibri"/>
                <w:color w:val="2D2D2D"/>
                <w:sz w:val="18"/>
              </w:rPr>
              <w:t>**97.61%**</w:t>
            </w:r>
          </w:p>
        </w:tc>
        <w:tc>
          <w:tcPr>
            <w:tcW w:type="dxa" w:w="1814"/>
            <w:vAlign w:val="center"/>
          </w:tcPr>
          <w:p>
            <w:pPr>
              <w:jc w:val="left"/>
            </w:pPr>
            <w:r/>
            <w:r>
              <w:rPr>
                <w:rFonts w:ascii="Calibri" w:hAnsi="Calibri"/>
                <w:color w:val="2D2D2D"/>
                <w:sz w:val="18"/>
              </w:rPr>
              <w:t>$15.73M</w:t>
            </w:r>
          </w:p>
        </w:tc>
        <w:tc>
          <w:tcPr>
            <w:tcW w:type="dxa" w:w="1814"/>
            <w:vAlign w:val="center"/>
          </w:tcPr>
          <w:p>
            <w:pPr>
              <w:jc w:val="left"/>
            </w:pPr>
            <w:r/>
            <w:r>
              <w:rPr>
                <w:rFonts w:ascii="Calibri" w:hAnsi="Calibri"/>
                <w:color w:val="2D2D2D"/>
                <w:sz w:val="18"/>
              </w:rPr>
              <w:t>**2.74%**</w:t>
            </w:r>
          </w:p>
        </w:tc>
      </w:tr>
      <w:tr>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A</w:t>
            </w:r>
          </w:p>
        </w:tc>
        <w:tc>
          <w:tcPr>
            <w:tcW w:type="dxa" w:w="1814"/>
            <w:shd w:fill="F0F0F0"/>
            <w:vAlign w:val="center"/>
          </w:tcPr>
          <w:p>
            <w:pPr>
              <w:jc w:val="left"/>
            </w:pPr>
            <w:r/>
            <w:r>
              <w:rPr>
                <w:rFonts w:ascii="Calibri" w:hAnsi="Calibri"/>
                <w:color w:val="2D2D2D"/>
                <w:sz w:val="18"/>
              </w:rPr>
              <w:t>97.60%</w:t>
            </w:r>
          </w:p>
        </w:tc>
        <w:tc>
          <w:tcPr>
            <w:tcW w:type="dxa" w:w="1814"/>
            <w:shd w:fill="F0F0F0"/>
            <w:vAlign w:val="center"/>
          </w:tcPr>
          <w:p>
            <w:pPr>
              <w:jc w:val="left"/>
            </w:pPr>
            <w:r/>
            <w:r>
              <w:rPr>
                <w:rFonts w:ascii="Calibri" w:hAnsi="Calibri"/>
                <w:color w:val="2D2D2D"/>
                <w:sz w:val="18"/>
              </w:rPr>
              <w:t>$15.67M</w:t>
            </w:r>
          </w:p>
        </w:tc>
        <w:tc>
          <w:tcPr>
            <w:tcW w:type="dxa" w:w="1814"/>
            <w:shd w:fill="F0F0F0"/>
            <w:vAlign w:val="center"/>
          </w:tcPr>
          <w:p>
            <w:pPr>
              <w:jc w:val="left"/>
            </w:pPr>
            <w:r/>
            <w:r>
              <w:rPr>
                <w:rFonts w:ascii="Calibri" w:hAnsi="Calibri"/>
                <w:color w:val="2D2D2D"/>
                <w:sz w:val="18"/>
              </w:rPr>
              <w:t>2.75%</w:t>
            </w:r>
          </w:p>
        </w:tc>
      </w:tr>
      <w:tr>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C</w:t>
            </w:r>
          </w:p>
        </w:tc>
        <w:tc>
          <w:tcPr>
            <w:tcW w:type="dxa" w:w="1814"/>
            <w:vAlign w:val="center"/>
          </w:tcPr>
          <w:p>
            <w:pPr>
              <w:jc w:val="left"/>
            </w:pPr>
            <w:r/>
            <w:r>
              <w:rPr>
                <w:rFonts w:ascii="Calibri" w:hAnsi="Calibri"/>
                <w:color w:val="2D2D2D"/>
                <w:sz w:val="18"/>
              </w:rPr>
              <w:t>97.52%</w:t>
            </w:r>
          </w:p>
        </w:tc>
        <w:tc>
          <w:tcPr>
            <w:tcW w:type="dxa" w:w="1814"/>
            <w:vAlign w:val="center"/>
          </w:tcPr>
          <w:p>
            <w:pPr>
              <w:jc w:val="left"/>
            </w:pPr>
            <w:r/>
            <w:r>
              <w:rPr>
                <w:rFonts w:ascii="Calibri" w:hAnsi="Calibri"/>
                <w:color w:val="2D2D2D"/>
                <w:sz w:val="18"/>
              </w:rPr>
              <w:t>$15.66M</w:t>
            </w:r>
          </w:p>
        </w:tc>
        <w:tc>
          <w:tcPr>
            <w:tcW w:type="dxa" w:w="1814"/>
            <w:vAlign w:val="center"/>
          </w:tcPr>
          <w:p>
            <w:pPr>
              <w:jc w:val="left"/>
            </w:pPr>
            <w:r/>
            <w:r>
              <w:rPr>
                <w:rFonts w:ascii="Calibri" w:hAnsi="Calibri"/>
                <w:color w:val="2D2D2D"/>
                <w:sz w:val="18"/>
              </w:rPr>
              <w:t>6.03%</w:t>
            </w:r>
          </w:p>
        </w:tc>
      </w:tr>
      <w:tr>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B</w:t>
            </w:r>
          </w:p>
        </w:tc>
        <w:tc>
          <w:tcPr>
            <w:tcW w:type="dxa" w:w="1814"/>
            <w:shd w:fill="F0F0F0"/>
            <w:vAlign w:val="center"/>
          </w:tcPr>
          <w:p>
            <w:pPr>
              <w:jc w:val="left"/>
            </w:pPr>
            <w:r/>
            <w:r>
              <w:rPr>
                <w:rFonts w:ascii="Calibri" w:hAnsi="Calibri"/>
                <w:color w:val="2D2D2D"/>
                <w:sz w:val="18"/>
              </w:rPr>
              <w:t>97.45%</w:t>
            </w:r>
          </w:p>
        </w:tc>
        <w:tc>
          <w:tcPr>
            <w:tcW w:type="dxa" w:w="1814"/>
            <w:shd w:fill="F0F0F0"/>
            <w:vAlign w:val="center"/>
          </w:tcPr>
          <w:p>
            <w:pPr>
              <w:jc w:val="left"/>
            </w:pPr>
            <w:r/>
            <w:r>
              <w:rPr>
                <w:rFonts w:ascii="Calibri" w:hAnsi="Calibri"/>
                <w:color w:val="2D2D2D"/>
                <w:sz w:val="18"/>
              </w:rPr>
              <w:t>$15.62M</w:t>
            </w:r>
          </w:p>
        </w:tc>
        <w:tc>
          <w:tcPr>
            <w:tcW w:type="dxa" w:w="1814"/>
            <w:shd w:fill="F0F0F0"/>
            <w:vAlign w:val="center"/>
          </w:tcPr>
          <w:p>
            <w:pPr>
              <w:jc w:val="left"/>
            </w:pPr>
            <w:r/>
            <w:r>
              <w:rPr>
                <w:rFonts w:ascii="Calibri" w:hAnsi="Calibri"/>
                <w:color w:val="2D2D2D"/>
                <w:sz w:val="18"/>
              </w:rPr>
              <w:t>8.23%</w:t>
            </w:r>
          </w:p>
        </w:tc>
      </w:tr>
      <w:tr>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E</w:t>
            </w:r>
          </w:p>
        </w:tc>
        <w:tc>
          <w:tcPr>
            <w:tcW w:type="dxa" w:w="1814"/>
            <w:vAlign w:val="center"/>
          </w:tcPr>
          <w:p>
            <w:pPr>
              <w:jc w:val="left"/>
            </w:pPr>
            <w:r/>
            <w:r>
              <w:rPr>
                <w:rFonts w:ascii="Calibri" w:hAnsi="Calibri"/>
                <w:color w:val="2D2D2D"/>
                <w:sz w:val="18"/>
              </w:rPr>
              <w:t>97.32%</w:t>
            </w:r>
          </w:p>
        </w:tc>
        <w:tc>
          <w:tcPr>
            <w:tcW w:type="dxa" w:w="1814"/>
            <w:vAlign w:val="center"/>
          </w:tcPr>
          <w:p>
            <w:pPr>
              <w:jc w:val="left"/>
            </w:pPr>
            <w:r/>
            <w:r>
              <w:rPr>
                <w:rFonts w:ascii="Calibri" w:hAnsi="Calibri"/>
                <w:color w:val="2D2D2D"/>
                <w:sz w:val="18"/>
              </w:rPr>
              <w:t>$15.68M</w:t>
            </w:r>
          </w:p>
        </w:tc>
        <w:tc>
          <w:tcPr>
            <w:tcW w:type="dxa" w:w="1814"/>
            <w:vAlign w:val="center"/>
          </w:tcPr>
          <w:p>
            <w:pPr>
              <w:jc w:val="left"/>
            </w:pPr>
            <w:r/>
            <w:r>
              <w:rPr>
                <w:rFonts w:ascii="Calibri" w:hAnsi="Calibri"/>
                <w:color w:val="2D2D2D"/>
                <w:sz w:val="18"/>
              </w:rPr>
              <w:t>7.13%</w:t>
            </w:r>
          </w:p>
        </w:tc>
      </w:tr>
    </w:tbl>
    <w:p/>
    <w:p>
      <w:r>
        <w:rPr>
          <w:b/>
        </w:rPr>
        <w:t>&gt;&gt;&gt; WINNER: Portfolio D (All-physical gold max: 20% physical, 0% tokenized, 0% silver)</w:t>
      </w:r>
    </w:p>
    <w:p>
      <w:r>
        <w:rPr>
          <w:b/>
        </w:rPr>
        <w:t>Honest analysis:</w:t>
      </w:r>
    </w:p>
    <w:p>
      <w:pPr>
        <w:pStyle w:val="ListBullet"/>
        <w:ind w:left="425"/>
      </w:pPr>
      <w:r>
        <w:t xml:space="preserve">The differences between portfolios are </w:t>
      </w:r>
      <w:r>
        <w:rPr>
          <w:b/>
        </w:rPr>
        <w:t>small</w:t>
      </w:r>
      <w:r>
        <w:t xml:space="preserve"> (StressRR spread = 0.29pp). The bullion sleeve is only 15-20% of the portfolio; the fiat basket dominates.</w:t>
      </w:r>
    </w:p>
    <w:p>
      <w:pPr>
        <w:pStyle w:val="ListBullet"/>
        <w:ind w:left="425"/>
      </w:pPr>
      <w:r>
        <w:t>Portfolio D wins on StressRR (97.61%) AND model dependency (2.74%, tied-lowest with A). It adds no tokenized-gold model dependency.</w:t>
      </w:r>
    </w:p>
    <w:p>
      <w:pPr>
        <w:pStyle w:val="ListBullet"/>
        <w:ind w:left="425"/>
      </w:pPr>
      <w:r>
        <w:t xml:space="preserve">Portfolio B (the provisional strategic reference: 15% phys + 5% tok + 0% silver) is ranked #4 — it has the </w:t>
      </w:r>
      <w:r>
        <w:rPr>
          <w:b/>
        </w:rPr>
        <w:t>lowest CVaR_99</w:t>
      </w:r>
      <w:r>
        <w:t xml:space="preserve"> ($15.62M) but the </w:t>
      </w:r>
      <w:r>
        <w:rPr>
          <w:b/>
        </w:rPr>
        <w:t>highest model dependency</w:t>
      </w:r>
      <w:r>
        <w:t xml:space="preserve"> (8.23%).</w:t>
      </w:r>
    </w:p>
    <w:p>
      <w:pPr>
        <w:pStyle w:val="ListBullet"/>
        <w:ind w:left="425"/>
      </w:pPr>
      <w:r>
        <w:t>The data does NOT strongly support adding tokenized gold on a pure risk-adjusted basis. Tokenized gold's benefit (slightly lower CVaR via diversification into a different bar pool/custody) is offset by its model dependency.</w:t>
      </w:r>
    </w:p>
    <w:p>
      <w:pPr>
        <w:pStyle w:val="ListBullet"/>
        <w:ind w:left="425"/>
      </w:pPr>
      <w:r>
        <w:rPr>
          <w:b/>
        </w:rPr>
        <w:t>Note</w:t>
      </w:r>
      <w:r>
        <w:t xml:space="preserve">: absolute P(RR&lt;100%) values (~6.7%) differ from the primary Monte Carlo (21.54%) because this comparison uses a vectorized modern-RNG implementation with a regime-fraction model. The </w:t>
      </w:r>
      <w:r>
        <w:rPr>
          <w:b/>
        </w:rPr>
        <w:t>relative ranking</w:t>
      </w:r>
      <w:r>
        <w:t xml:space="preserve"> is statistically valid due to common random numbers; the absolute level is not directly comparable to the primary MC.</w:t>
      </w:r>
    </w:p>
    <w:p>
      <w:r>
        <w:rPr>
          <w:b/>
        </w:rPr>
        <w:t>Implication for the provisional strategic reference (§V24.2.1.9):</w:t>
      </w:r>
    </w:p>
    <w:p>
      <w:r>
        <w:t xml:space="preserve">The provisional reference (B-like: 15% phys + 5% tok + 0% silver) is </w:t>
      </w:r>
      <w:r>
        <w:rPr>
          <w:b/>
        </w:rPr>
        <w:t>dominated</w:t>
      </w:r>
      <w:r>
        <w:t xml:space="preserve"> by Portfolio D on StressRR and model dependency. However, the margin is within 0.16pp of StressRR. The strategic decision to include tokenized gold should therefore be justified by </w:t>
      </w:r>
      <w:r>
        <w:rPr>
          <w:b/>
        </w:rPr>
        <w:t>operational benefits</w:t>
      </w:r>
      <w:r>
        <w:t xml:space="preserve"> (faster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pPr>
        <w:pBdr>
          <w:bottom w:val="single" w:sz="12" w:space="1" w:color="C59B1E"/>
        </w:pBdr>
      </w:pPr>
    </w:p>
    <w:p>
      <w:pPr>
        <w:pStyle w:val="Heading3"/>
      </w:pPr>
      <w:r>
        <w:t>V24.2.1-V.3 — Task 3: TGRS Validation with Real Tokenized Gold Products</w:t>
      </w:r>
    </w:p>
    <w:p>
      <w:r>
        <w:rPr>
          <w:b/>
        </w:rPr>
        <w:t>Report</w:t>
      </w:r>
      <w:r>
        <w:t xml:space="preserve">: </w:t>
      </w:r>
      <w:r>
        <w:rPr>
          <w:rFonts w:ascii="Consolas" w:hAnsi="Consolas"/>
          <w:color w:val="6B6B6B"/>
          <w:sz w:val="19"/>
        </w:rPr>
        <w:t>docs/verification/v24.2.1-tgrs-validation.md</w:t>
      </w:r>
      <w:r>
        <w:t xml:space="preserve"> (760 lines)</w:t>
      </w:r>
    </w:p>
    <w:p>
      <w:r>
        <w:rPr>
          <w:b/>
        </w:rPr>
        <w:t>Scores</w:t>
      </w:r>
      <w:r>
        <w:t xml:space="preserve">: </w:t>
      </w:r>
      <w:r>
        <w:rPr>
          <w:rFonts w:ascii="Consolas" w:hAnsi="Consolas"/>
          <w:color w:val="6B6B6B"/>
          <w:sz w:val="19"/>
        </w:rPr>
        <w:t>docs/verification/v24.2.1-tgrs-scores.json</w:t>
      </w:r>
      <w:r>
        <w:t xml:space="preserve"> (8 products scored)</w:t>
      </w:r>
    </w:p>
    <w:p>
      <w:r>
        <w:rPr>
          <w:b/>
        </w:rPr>
        <w:t>Research artifacts</w:t>
      </w:r>
      <w:r>
        <w:t xml:space="preserve">: </w:t>
      </w:r>
      <w:r>
        <w:rPr>
          <w:rFonts w:ascii="Consolas" w:hAnsi="Consolas"/>
          <w:color w:val="6B6B6B"/>
          <w:sz w:val="19"/>
        </w:rPr>
        <w:t>docs/verification/tgrs-research/*.json</w:t>
      </w:r>
      <w:r>
        <w:t xml:space="preserve"> (16 raw sources, ~660KB)</w:t>
      </w:r>
    </w:p>
    <w:p>
      <w:r>
        <w:rPr>
          <w:b/>
        </w:rPr>
        <w:t>8 real tokenized gold products scored against the 13-point eligibility gate + 10-dimension TGRS rubric: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Product</w:t>
            </w:r>
          </w:p>
        </w:tc>
        <w:tc>
          <w:tcPr>
            <w:tcW w:type="dxa" w:w="1512"/>
            <w:shd w:fill="1A365F"/>
            <w:vAlign w:val="center"/>
          </w:tcPr>
          <w:p>
            <w:pPr>
              <w:jc w:val="left"/>
            </w:pPr>
            <w:r/>
            <w:r>
              <w:rPr>
                <w:rFonts w:ascii="Calibri" w:hAnsi="Calibri"/>
                <w:b/>
                <w:color w:val="FFFFFF"/>
                <w:sz w:val="18"/>
              </w:rPr>
              <w:t>Ticker</w:t>
            </w:r>
          </w:p>
        </w:tc>
        <w:tc>
          <w:tcPr>
            <w:tcW w:type="dxa" w:w="1512"/>
            <w:shd w:fill="1A365F"/>
            <w:vAlign w:val="center"/>
          </w:tcPr>
          <w:p>
            <w:pPr>
              <w:jc w:val="left"/>
            </w:pPr>
            <w:r/>
            <w:r>
              <w:rPr>
                <w:rFonts w:ascii="Calibri" w:hAnsi="Calibri"/>
                <w:b/>
                <w:color w:val="FFFFFF"/>
                <w:sz w:val="18"/>
              </w:rPr>
              <w:t>TGRS</w:t>
            </w:r>
          </w:p>
        </w:tc>
        <w:tc>
          <w:tcPr>
            <w:tcW w:type="dxa" w:w="1512"/>
            <w:shd w:fill="1A365F"/>
            <w:vAlign w:val="center"/>
          </w:tcPr>
          <w:p>
            <w:pPr>
              <w:jc w:val="left"/>
            </w:pPr>
            <w:r/>
            <w:r>
              <w:rPr>
                <w:rFonts w:ascii="Calibri" w:hAnsi="Calibri"/>
                <w:b/>
                <w:color w:val="FFFFFF"/>
                <w:sz w:val="18"/>
              </w:rPr>
              <w:t>13-Point Gate</w:t>
            </w:r>
          </w:p>
        </w:tc>
        <w:tc>
          <w:tcPr>
            <w:tcW w:type="dxa" w:w="1512"/>
            <w:shd w:fill="1A365F"/>
            <w:vAlign w:val="center"/>
          </w:tcPr>
          <w:p>
            <w:pPr>
              <w:jc w:val="left"/>
            </w:pPr>
            <w:r/>
            <w:r>
              <w:rPr>
                <w:rFonts w:ascii="Calibri" w:hAnsi="Calibri"/>
                <w:b/>
                <w:color w:val="FFFFFF"/>
                <w:sz w:val="18"/>
              </w:rPr>
              <w:t>Classification</w:t>
            </w:r>
          </w:p>
        </w:tc>
        <w:tc>
          <w:tcPr>
            <w:tcW w:type="dxa" w:w="1512"/>
            <w:shd w:fill="1A365F"/>
            <w:vAlign w:val="center"/>
          </w:tcPr>
          <w:p>
            <w:pPr>
              <w:jc w:val="left"/>
            </w:pPr>
            <w:r/>
            <w:r>
              <w:rPr>
                <w:rFonts w:ascii="Calibri" w:hAnsi="Calibri"/>
                <w:b/>
                <w:color w:val="FFFFFF"/>
                <w:sz w:val="18"/>
              </w:rPr>
              <w:t>H_TG</w:t>
            </w:r>
          </w:p>
        </w:tc>
      </w:tr>
      <w:tr>
        <w:tc>
          <w:tcPr>
            <w:tcW w:type="dxa" w:w="1512"/>
            <w:vAlign w:val="center"/>
          </w:tcPr>
          <w:p>
            <w:pPr>
              <w:jc w:val="left"/>
            </w:pPr>
            <w:r/>
            <w:r>
              <w:rPr>
                <w:rFonts w:ascii="Calibri" w:hAnsi="Calibri"/>
                <w:color w:val="2D2D2D"/>
                <w:sz w:val="18"/>
              </w:rPr>
              <w:t>**PAX Gold**</w:t>
            </w:r>
          </w:p>
        </w:tc>
        <w:tc>
          <w:tcPr>
            <w:tcW w:type="dxa" w:w="1512"/>
            <w:vAlign w:val="center"/>
          </w:tcPr>
          <w:p>
            <w:pPr>
              <w:jc w:val="left"/>
            </w:pPr>
            <w:r/>
            <w:r>
              <w:rPr>
                <w:rFonts w:ascii="Calibri" w:hAnsi="Calibri"/>
                <w:color w:val="2D2D2D"/>
                <w:sz w:val="18"/>
              </w:rPr>
              <w:t>PAXG</w:t>
            </w:r>
          </w:p>
        </w:tc>
        <w:tc>
          <w:tcPr>
            <w:tcW w:type="dxa" w:w="1512"/>
            <w:vAlign w:val="center"/>
          </w:tcPr>
          <w:p>
            <w:pPr>
              <w:jc w:val="left"/>
            </w:pPr>
            <w:r/>
            <w:r>
              <w:rPr>
                <w:rFonts w:ascii="Calibri" w:hAnsi="Calibri"/>
                <w:color w:val="2D2D2D"/>
                <w:sz w:val="18"/>
              </w:rPr>
              <w:t>**9.00**</w:t>
            </w:r>
          </w:p>
        </w:tc>
        <w:tc>
          <w:tcPr>
            <w:tcW w:type="dxa" w:w="1512"/>
            <w:vAlign w:val="center"/>
          </w:tcPr>
          <w:p>
            <w:pPr>
              <w:jc w:val="left"/>
            </w:pPr>
            <w:r/>
            <w:r>
              <w:rPr>
                <w:rFonts w:ascii="Calibri" w:hAnsi="Calibri"/>
                <w:color w:val="2D2D2D"/>
                <w:sz w:val="18"/>
              </w:rPr>
              <w:t>13/13 PASS</w:t>
            </w:r>
          </w:p>
        </w:tc>
        <w:tc>
          <w:tcPr>
            <w:tcW w:type="dxa" w:w="1512"/>
            <w:vAlign w:val="center"/>
          </w:tcPr>
          <w:p>
            <w:pPr>
              <w:jc w:val="left"/>
            </w:pPr>
            <w:r/>
            <w:r>
              <w:rPr>
                <w:rFonts w:ascii="Calibri" w:hAnsi="Calibri"/>
                <w:color w:val="2D2D2D"/>
                <w:sz w:val="18"/>
              </w:rPr>
              <w:t>**ELIGIBLE**</w:t>
            </w:r>
          </w:p>
        </w:tc>
        <w:tc>
          <w:tcPr>
            <w:tcW w:type="dxa" w:w="1512"/>
            <w:vAlign w:val="center"/>
          </w:tcPr>
          <w:p>
            <w:pPr>
              <w:jc w:val="left"/>
            </w:pPr>
            <w:r/>
            <w:r>
              <w:rPr>
                <w:rFonts w:ascii="Calibri" w:hAnsi="Calibri"/>
                <w:color w:val="2D2D2D"/>
                <w:sz w:val="18"/>
              </w:rPr>
              <w:t>5.50%</w:t>
            </w:r>
          </w:p>
        </w:tc>
      </w:tr>
      <w:tr>
        <w:tc>
          <w:tcPr>
            <w:tcW w:type="dxa" w:w="1512"/>
            <w:shd w:fill="F0F0F0"/>
            <w:vAlign w:val="center"/>
          </w:tcPr>
          <w:p>
            <w:pPr>
              <w:jc w:val="left"/>
            </w:pPr>
            <w:r/>
            <w:r>
              <w:rPr>
                <w:rFonts w:ascii="Calibri" w:hAnsi="Calibri"/>
                <w:color w:val="2D2D2D"/>
                <w:sz w:val="18"/>
              </w:rPr>
              <w:t>Tether Gold</w:t>
            </w:r>
          </w:p>
        </w:tc>
        <w:tc>
          <w:tcPr>
            <w:tcW w:type="dxa" w:w="1512"/>
            <w:shd w:fill="F0F0F0"/>
            <w:vAlign w:val="center"/>
          </w:tcPr>
          <w:p>
            <w:pPr>
              <w:jc w:val="left"/>
            </w:pPr>
            <w:r/>
            <w:r>
              <w:rPr>
                <w:rFonts w:ascii="Calibri" w:hAnsi="Calibri"/>
                <w:color w:val="2D2D2D"/>
                <w:sz w:val="18"/>
              </w:rPr>
              <w:t>XAUT</w:t>
            </w:r>
          </w:p>
        </w:tc>
        <w:tc>
          <w:tcPr>
            <w:tcW w:type="dxa" w:w="1512"/>
            <w:shd w:fill="F0F0F0"/>
            <w:vAlign w:val="center"/>
          </w:tcPr>
          <w:p>
            <w:pPr>
              <w:jc w:val="left"/>
            </w:pPr>
            <w:r/>
            <w:r>
              <w:rPr>
                <w:rFonts w:ascii="Calibri" w:hAnsi="Calibri"/>
                <w:color w:val="2D2D2D"/>
                <w:sz w:val="18"/>
              </w:rPr>
              <w:t>7.71</w:t>
            </w:r>
          </w:p>
        </w:tc>
        <w:tc>
          <w:tcPr>
            <w:tcW w:type="dxa" w:w="1512"/>
            <w:shd w:fill="F0F0F0"/>
            <w:vAlign w:val="center"/>
          </w:tcPr>
          <w:p>
            <w:pPr>
              <w:jc w:val="left"/>
            </w:pPr>
            <w:r/>
            <w:r>
              <w:rPr>
                <w:rFonts w:ascii="Calibri" w:hAnsi="Calibri"/>
                <w:color w:val="2D2D2D"/>
                <w:sz w:val="18"/>
              </w:rPr>
              <w:t>11 PASS / 2 UNCERTAIN</w:t>
            </w:r>
          </w:p>
        </w:tc>
        <w:tc>
          <w:tcPr>
            <w:tcW w:type="dxa" w:w="1512"/>
            <w:shd w:fill="F0F0F0"/>
            <w:vAlign w:val="center"/>
          </w:tcPr>
          <w:p>
            <w:pPr>
              <w:jc w:val="left"/>
            </w:pPr>
            <w:r/>
            <w:r>
              <w:rPr>
                <w:rFonts w:ascii="Calibri" w:hAnsi="Calibri"/>
                <w:color w:val="2D2D2D"/>
                <w:sz w:val="18"/>
              </w:rPr>
              <w:t>Rejected (gate)</w:t>
            </w:r>
          </w:p>
        </w:tc>
        <w:tc>
          <w:tcPr>
            <w:tcW w:type="dxa" w:w="1512"/>
            <w:shd w:fill="F0F0F0"/>
            <w:vAlign w:val="center"/>
          </w:tcPr>
          <w:p>
            <w:pPr>
              <w:jc w:val="left"/>
            </w:pPr>
            <w:r/>
            <w:r>
              <w:rPr>
                <w:rFonts w:ascii="Calibri" w:hAnsi="Calibri"/>
                <w:color w:val="2D2D2D"/>
                <w:sz w:val="18"/>
              </w:rPr>
              <w:t>6.15%*</w:t>
            </w:r>
          </w:p>
        </w:tc>
      </w:tr>
      <w:tr>
        <w:tc>
          <w:tcPr>
            <w:tcW w:type="dxa" w:w="1512"/>
            <w:vAlign w:val="center"/>
          </w:tcPr>
          <w:p>
            <w:pPr>
              <w:jc w:val="left"/>
            </w:pPr>
            <w:r/>
            <w:r>
              <w:rPr>
                <w:rFonts w:ascii="Calibri" w:hAnsi="Calibri"/>
                <w:color w:val="2D2D2D"/>
                <w:sz w:val="18"/>
              </w:rPr>
              <w:t>Kinesis Gold</w:t>
            </w:r>
          </w:p>
        </w:tc>
        <w:tc>
          <w:tcPr>
            <w:tcW w:type="dxa" w:w="1512"/>
            <w:vAlign w:val="center"/>
          </w:tcPr>
          <w:p>
            <w:pPr>
              <w:jc w:val="left"/>
            </w:pPr>
            <w:r/>
            <w:r>
              <w:rPr>
                <w:rFonts w:ascii="Calibri" w:hAnsi="Calibri"/>
                <w:color w:val="2D2D2D"/>
                <w:sz w:val="18"/>
              </w:rPr>
              <w:t>KAU</w:t>
            </w:r>
          </w:p>
        </w:tc>
        <w:tc>
          <w:tcPr>
            <w:tcW w:type="dxa" w:w="1512"/>
            <w:vAlign w:val="center"/>
          </w:tcPr>
          <w:p>
            <w:pPr>
              <w:jc w:val="left"/>
            </w:pPr>
            <w:r/>
            <w:r>
              <w:rPr>
                <w:rFonts w:ascii="Calibri" w:hAnsi="Calibri"/>
                <w:color w:val="2D2D2D"/>
                <w:sz w:val="18"/>
              </w:rPr>
              <w:t>7.23</w:t>
            </w:r>
          </w:p>
        </w:tc>
        <w:tc>
          <w:tcPr>
            <w:tcW w:type="dxa" w:w="1512"/>
            <w:vAlign w:val="center"/>
          </w:tcPr>
          <w:p>
            <w:pPr>
              <w:jc w:val="left"/>
            </w:pPr>
            <w:r/>
            <w:r>
              <w:rPr>
                <w:rFonts w:ascii="Calibri" w:hAnsi="Calibri"/>
                <w:color w:val="2D2D2D"/>
                <w:sz w:val="18"/>
              </w:rPr>
              <w:t>11 PASS / 2 UNCERTAIN</w:t>
            </w:r>
          </w:p>
        </w:tc>
        <w:tc>
          <w:tcPr>
            <w:tcW w:type="dxa" w:w="1512"/>
            <w:vAlign w:val="center"/>
          </w:tcPr>
          <w:p>
            <w:pPr>
              <w:jc w:val="left"/>
            </w:pPr>
            <w:r/>
            <w:r>
              <w:rPr>
                <w:rFonts w:ascii="Calibri" w:hAnsi="Calibri"/>
                <w:color w:val="2D2D2D"/>
                <w:sz w:val="18"/>
              </w:rPr>
              <w:t>Rejected (gate)</w:t>
            </w:r>
          </w:p>
        </w:tc>
        <w:tc>
          <w:tcPr>
            <w:tcW w:type="dxa" w:w="1512"/>
            <w:vAlign w:val="center"/>
          </w:tcPr>
          <w:p>
            <w:pPr>
              <w:jc w:val="left"/>
            </w:pPr>
            <w:r/>
            <w:r>
              <w:rPr>
                <w:rFonts w:ascii="Calibri" w:hAnsi="Calibri"/>
                <w:color w:val="2D2D2D"/>
                <w:sz w:val="18"/>
              </w:rPr>
              <w:t>6.39%*</w:t>
            </w:r>
          </w:p>
        </w:tc>
      </w:tr>
      <w:tr>
        <w:tc>
          <w:tcPr>
            <w:tcW w:type="dxa" w:w="1512"/>
            <w:shd w:fill="F0F0F0"/>
            <w:vAlign w:val="center"/>
          </w:tcPr>
          <w:p>
            <w:pPr>
              <w:jc w:val="left"/>
            </w:pPr>
            <w:r/>
            <w:r>
              <w:rPr>
                <w:rFonts w:ascii="Calibri" w:hAnsi="Calibri"/>
                <w:color w:val="2D2D2D"/>
                <w:sz w:val="18"/>
              </w:rPr>
              <w:t>Meld Gold</w:t>
            </w:r>
          </w:p>
        </w:tc>
        <w:tc>
          <w:tcPr>
            <w:tcW w:type="dxa" w:w="1512"/>
            <w:shd w:fill="F0F0F0"/>
            <w:vAlign w:val="center"/>
          </w:tcPr>
          <w:p>
            <w:pPr>
              <w:jc w:val="left"/>
            </w:pPr>
            <w:r/>
            <w:r>
              <w:rPr>
                <w:rFonts w:ascii="Calibri" w:hAnsi="Calibri"/>
                <w:color w:val="2D2D2D"/>
                <w:sz w:val="18"/>
              </w:rPr>
              <w:t>MCAU</w:t>
            </w:r>
          </w:p>
        </w:tc>
        <w:tc>
          <w:tcPr>
            <w:tcW w:type="dxa" w:w="1512"/>
            <w:shd w:fill="F0F0F0"/>
            <w:vAlign w:val="center"/>
          </w:tcPr>
          <w:p>
            <w:pPr>
              <w:jc w:val="left"/>
            </w:pPr>
            <w:r/>
            <w:r>
              <w:rPr>
                <w:rFonts w:ascii="Calibri" w:hAnsi="Calibri"/>
                <w:color w:val="2D2D2D"/>
                <w:sz w:val="18"/>
              </w:rPr>
              <w:t>5.85</w:t>
            </w:r>
          </w:p>
        </w:tc>
        <w:tc>
          <w:tcPr>
            <w:tcW w:type="dxa" w:w="1512"/>
            <w:shd w:fill="F0F0F0"/>
            <w:vAlign w:val="center"/>
          </w:tcPr>
          <w:p>
            <w:pPr>
              <w:jc w:val="left"/>
            </w:pPr>
            <w:r/>
            <w:r>
              <w:rPr>
                <w:rFonts w:ascii="Calibri" w:hAnsi="Calibri"/>
                <w:color w:val="2D2D2D"/>
                <w:sz w:val="18"/>
              </w:rPr>
              <w:t>6 PASS / 7 UNCERTAIN</w:t>
            </w:r>
          </w:p>
        </w:tc>
        <w:tc>
          <w:tcPr>
            <w:tcW w:type="dxa" w:w="1512"/>
            <w:shd w:fill="F0F0F0"/>
            <w:vAlign w:val="center"/>
          </w:tcPr>
          <w:p>
            <w:pPr>
              <w:jc w:val="left"/>
            </w:pPr>
            <w:r/>
            <w:r>
              <w:rPr>
                <w:rFonts w:ascii="Calibri" w:hAnsi="Calibri"/>
                <w:color w:val="2D2D2D"/>
                <w:sz w:val="18"/>
              </w:rPr>
              <w:t>Rejected</w:t>
            </w:r>
          </w:p>
        </w:tc>
        <w:tc>
          <w:tcPr>
            <w:tcW w:type="dxa" w:w="1512"/>
            <w:shd w:fill="F0F0F0"/>
            <w:vAlign w:val="center"/>
          </w:tcPr>
          <w:p>
            <w:pPr>
              <w:jc w:val="left"/>
            </w:pPr>
            <w:r/>
            <w:r>
              <w:rPr>
                <w:rFonts w:ascii="Calibri" w:hAnsi="Calibri"/>
                <w:color w:val="2D2D2D"/>
                <w:sz w:val="18"/>
              </w:rPr>
              <w:t>7.08%*</w:t>
            </w:r>
          </w:p>
        </w:tc>
      </w:tr>
      <w:tr>
        <w:tc>
          <w:tcPr>
            <w:tcW w:type="dxa" w:w="1512"/>
            <w:vAlign w:val="center"/>
          </w:tcPr>
          <w:p>
            <w:pPr>
              <w:jc w:val="left"/>
            </w:pPr>
            <w:r/>
            <w:r>
              <w:rPr>
                <w:rFonts w:ascii="Calibri" w:hAnsi="Calibri"/>
                <w:color w:val="2D2D2D"/>
                <w:sz w:val="18"/>
              </w:rPr>
              <w:t>Aurus tXAU</w:t>
            </w:r>
          </w:p>
        </w:tc>
        <w:tc>
          <w:tcPr>
            <w:tcW w:type="dxa" w:w="1512"/>
            <w:vAlign w:val="center"/>
          </w:tcPr>
          <w:p>
            <w:pPr>
              <w:jc w:val="left"/>
            </w:pPr>
            <w:r/>
            <w:r>
              <w:rPr>
                <w:rFonts w:ascii="Calibri" w:hAnsi="Calibri"/>
                <w:color w:val="2D2D2D"/>
                <w:sz w:val="18"/>
              </w:rPr>
              <w:t>tXAU</w:t>
            </w:r>
          </w:p>
        </w:tc>
        <w:tc>
          <w:tcPr>
            <w:tcW w:type="dxa" w:w="1512"/>
            <w:vAlign w:val="center"/>
          </w:tcPr>
          <w:p>
            <w:pPr>
              <w:jc w:val="left"/>
            </w:pPr>
            <w:r/>
            <w:r>
              <w:rPr>
                <w:rFonts w:ascii="Calibri" w:hAnsi="Calibri"/>
                <w:color w:val="2D2D2D"/>
                <w:sz w:val="18"/>
              </w:rPr>
              <w:t>5.38</w:t>
            </w:r>
          </w:p>
        </w:tc>
        <w:tc>
          <w:tcPr>
            <w:tcW w:type="dxa" w:w="1512"/>
            <w:vAlign w:val="center"/>
          </w:tcPr>
          <w:p>
            <w:pPr>
              <w:jc w:val="left"/>
            </w:pPr>
            <w:r/>
            <w:r>
              <w:rPr>
                <w:rFonts w:ascii="Calibri" w:hAnsi="Calibri"/>
                <w:color w:val="2D2D2D"/>
                <w:sz w:val="18"/>
              </w:rPr>
              <w:t>6 PASS / 7 UNCERTAIN</w:t>
            </w:r>
          </w:p>
        </w:tc>
        <w:tc>
          <w:tcPr>
            <w:tcW w:type="dxa" w:w="1512"/>
            <w:vAlign w:val="center"/>
          </w:tcPr>
          <w:p>
            <w:pPr>
              <w:jc w:val="left"/>
            </w:pPr>
            <w:r/>
            <w:r>
              <w:rPr>
                <w:rFonts w:ascii="Calibri" w:hAnsi="Calibri"/>
                <w:color w:val="2D2D2D"/>
                <w:sz w:val="18"/>
              </w:rPr>
              <w:t>Rejected</w:t>
            </w:r>
          </w:p>
        </w:tc>
        <w:tc>
          <w:tcPr>
            <w:tcW w:type="dxa" w:w="1512"/>
            <w:vAlign w:val="center"/>
          </w:tcPr>
          <w:p>
            <w:pPr>
              <w:jc w:val="left"/>
            </w:pPr>
            <w:r/>
            <w:r>
              <w:rPr>
                <w:rFonts w:ascii="Calibri" w:hAnsi="Calibri"/>
                <w:color w:val="2D2D2D"/>
                <w:sz w:val="18"/>
              </w:rPr>
              <w:t>7.31%*</w:t>
            </w:r>
          </w:p>
        </w:tc>
      </w:tr>
      <w:tr>
        <w:tc>
          <w:tcPr>
            <w:tcW w:type="dxa" w:w="1512"/>
            <w:shd w:fill="F0F0F0"/>
            <w:vAlign w:val="center"/>
          </w:tcPr>
          <w:p>
            <w:pPr>
              <w:jc w:val="left"/>
            </w:pPr>
            <w:r/>
            <w:r>
              <w:rPr>
                <w:rFonts w:ascii="Calibri" w:hAnsi="Calibri"/>
                <w:color w:val="2D2D2D"/>
                <w:sz w:val="18"/>
              </w:rPr>
              <w:t>Cache Gold</w:t>
            </w:r>
          </w:p>
        </w:tc>
        <w:tc>
          <w:tcPr>
            <w:tcW w:type="dxa" w:w="1512"/>
            <w:shd w:fill="F0F0F0"/>
            <w:vAlign w:val="center"/>
          </w:tcPr>
          <w:p>
            <w:pPr>
              <w:jc w:val="left"/>
            </w:pPr>
            <w:r/>
            <w:r>
              <w:rPr>
                <w:rFonts w:ascii="Calibri" w:hAnsi="Calibri"/>
                <w:color w:val="2D2D2D"/>
                <w:sz w:val="18"/>
              </w:rPr>
              <w:t>CGT</w:t>
            </w:r>
          </w:p>
        </w:tc>
        <w:tc>
          <w:tcPr>
            <w:tcW w:type="dxa" w:w="1512"/>
            <w:shd w:fill="F0F0F0"/>
            <w:vAlign w:val="center"/>
          </w:tcPr>
          <w:p>
            <w:pPr>
              <w:jc w:val="left"/>
            </w:pPr>
            <w:r/>
            <w:r>
              <w:rPr>
                <w:rFonts w:ascii="Calibri" w:hAnsi="Calibri"/>
                <w:color w:val="2D2D2D"/>
                <w:sz w:val="18"/>
              </w:rPr>
              <w:t>4.15</w:t>
            </w:r>
          </w:p>
        </w:tc>
        <w:tc>
          <w:tcPr>
            <w:tcW w:type="dxa" w:w="1512"/>
            <w:shd w:fill="F0F0F0"/>
            <w:vAlign w:val="center"/>
          </w:tcPr>
          <w:p>
            <w:pPr>
              <w:jc w:val="left"/>
            </w:pPr>
            <w:r/>
            <w:r>
              <w:rPr>
                <w:rFonts w:ascii="Calibri" w:hAnsi="Calibri"/>
                <w:color w:val="2D2D2D"/>
                <w:sz w:val="18"/>
              </w:rPr>
              <w:t>6 PASS / 7 FAIL</w:t>
            </w:r>
          </w:p>
        </w:tc>
        <w:tc>
          <w:tcPr>
            <w:tcW w:type="dxa" w:w="1512"/>
            <w:shd w:fill="F0F0F0"/>
            <w:vAlign w:val="center"/>
          </w:tcPr>
          <w:p>
            <w:pPr>
              <w:jc w:val="left"/>
            </w:pPr>
            <w:r/>
            <w:r>
              <w:rPr>
                <w:rFonts w:ascii="Calibri" w:hAnsi="Calibri"/>
                <w:color w:val="2D2D2D"/>
                <w:sz w:val="18"/>
              </w:rPr>
              <w:t>Rejected (winding down)</w:t>
            </w:r>
          </w:p>
        </w:tc>
        <w:tc>
          <w:tcPr>
            <w:tcW w:type="dxa" w:w="1512"/>
            <w:shd w:fill="F0F0F0"/>
            <w:vAlign w:val="center"/>
          </w:tcPr>
          <w:p>
            <w:pPr>
              <w:jc w:val="left"/>
            </w:pPr>
            <w:r/>
            <w:r>
              <w:rPr>
                <w:rFonts w:ascii="Calibri" w:hAnsi="Calibri"/>
                <w:color w:val="2D2D2D"/>
                <w:sz w:val="18"/>
              </w:rPr>
              <w:t>7.93%*</w:t>
            </w:r>
          </w:p>
        </w:tc>
      </w:tr>
      <w:tr>
        <w:tc>
          <w:tcPr>
            <w:tcW w:type="dxa" w:w="1512"/>
            <w:vAlign w:val="center"/>
          </w:tcPr>
          <w:p>
            <w:pPr>
              <w:jc w:val="left"/>
            </w:pPr>
            <w:r/>
            <w:r>
              <w:rPr>
                <w:rFonts w:ascii="Calibri" w:hAnsi="Calibri"/>
                <w:color w:val="2D2D2D"/>
                <w:sz w:val="18"/>
              </w:rPr>
              <w:t>DigixGold</w:t>
            </w:r>
          </w:p>
        </w:tc>
        <w:tc>
          <w:tcPr>
            <w:tcW w:type="dxa" w:w="1512"/>
            <w:vAlign w:val="center"/>
          </w:tcPr>
          <w:p>
            <w:pPr>
              <w:jc w:val="left"/>
            </w:pPr>
            <w:r/>
            <w:r>
              <w:rPr>
                <w:rFonts w:ascii="Calibri" w:hAnsi="Calibri"/>
                <w:color w:val="2D2D2D"/>
                <w:sz w:val="18"/>
              </w:rPr>
              <w:t>DGX</w:t>
            </w:r>
          </w:p>
        </w:tc>
        <w:tc>
          <w:tcPr>
            <w:tcW w:type="dxa" w:w="1512"/>
            <w:vAlign w:val="center"/>
          </w:tcPr>
          <w:p>
            <w:pPr>
              <w:jc w:val="left"/>
            </w:pPr>
            <w:r/>
            <w:r>
              <w:rPr>
                <w:rFonts w:ascii="Calibri" w:hAnsi="Calibri"/>
                <w:color w:val="2D2D2D"/>
                <w:sz w:val="18"/>
              </w:rPr>
              <w:t>3.34</w:t>
            </w:r>
          </w:p>
        </w:tc>
        <w:tc>
          <w:tcPr>
            <w:tcW w:type="dxa" w:w="1512"/>
            <w:vAlign w:val="center"/>
          </w:tcPr>
          <w:p>
            <w:pPr>
              <w:jc w:val="left"/>
            </w:pPr>
            <w:r/>
            <w:r>
              <w:rPr>
                <w:rFonts w:ascii="Calibri" w:hAnsi="Calibri"/>
                <w:color w:val="2D2D2D"/>
                <w:sz w:val="18"/>
              </w:rPr>
              <w:t>1 PASS / multi FAIL</w:t>
            </w:r>
          </w:p>
        </w:tc>
        <w:tc>
          <w:tcPr>
            <w:tcW w:type="dxa" w:w="1512"/>
            <w:vAlign w:val="center"/>
          </w:tcPr>
          <w:p>
            <w:pPr>
              <w:jc w:val="left"/>
            </w:pPr>
            <w:r/>
            <w:r>
              <w:rPr>
                <w:rFonts w:ascii="Calibri" w:hAnsi="Calibri"/>
                <w:color w:val="2D2D2D"/>
                <w:sz w:val="18"/>
              </w:rPr>
              <w:t>Rejected (dormant)</w:t>
            </w:r>
          </w:p>
        </w:tc>
        <w:tc>
          <w:tcPr>
            <w:tcW w:type="dxa" w:w="1512"/>
            <w:vAlign w:val="center"/>
          </w:tcPr>
          <w:p>
            <w:pPr>
              <w:jc w:val="left"/>
            </w:pPr>
            <w:r/>
            <w:r>
              <w:rPr>
                <w:rFonts w:ascii="Calibri" w:hAnsi="Calibri"/>
                <w:color w:val="2D2D2D"/>
                <w:sz w:val="18"/>
              </w:rPr>
              <w:t>8.33%*</w:t>
            </w:r>
          </w:p>
        </w:tc>
      </w:tr>
      <w:tr>
        <w:tc>
          <w:tcPr>
            <w:tcW w:type="dxa" w:w="1512"/>
            <w:shd w:fill="F0F0F0"/>
            <w:vAlign w:val="center"/>
          </w:tcPr>
          <w:p>
            <w:pPr>
              <w:jc w:val="left"/>
            </w:pPr>
            <w:r/>
            <w:r>
              <w:rPr>
                <w:rFonts w:ascii="Calibri" w:hAnsi="Calibri"/>
                <w:color w:val="2D2D2D"/>
                <w:sz w:val="18"/>
              </w:rPr>
              <w:t>Perth Mint Gold Token</w:t>
            </w:r>
          </w:p>
        </w:tc>
        <w:tc>
          <w:tcPr>
            <w:tcW w:type="dxa" w:w="1512"/>
            <w:shd w:fill="F0F0F0"/>
            <w:vAlign w:val="center"/>
          </w:tcPr>
          <w:p>
            <w:pPr>
              <w:jc w:val="left"/>
            </w:pPr>
            <w:r/>
            <w:r>
              <w:rPr>
                <w:rFonts w:ascii="Calibri" w:hAnsi="Calibri"/>
                <w:color w:val="2D2D2D"/>
                <w:sz w:val="18"/>
              </w:rPr>
              <w:t>PMGT</w:t>
            </w:r>
          </w:p>
        </w:tc>
        <w:tc>
          <w:tcPr>
            <w:tcW w:type="dxa" w:w="1512"/>
            <w:shd w:fill="F0F0F0"/>
            <w:vAlign w:val="center"/>
          </w:tcPr>
          <w:p>
            <w:pPr>
              <w:jc w:val="left"/>
            </w:pPr>
            <w:r/>
            <w:r>
              <w:rPr>
                <w:rFonts w:ascii="Calibri" w:hAnsi="Calibri"/>
                <w:color w:val="2D2D2D"/>
                <w:sz w:val="18"/>
              </w:rPr>
              <w:t>0.64</w:t>
            </w:r>
          </w:p>
        </w:tc>
        <w:tc>
          <w:tcPr>
            <w:tcW w:type="dxa" w:w="1512"/>
            <w:shd w:fill="F0F0F0"/>
            <w:vAlign w:val="center"/>
          </w:tcPr>
          <w:p>
            <w:pPr>
              <w:jc w:val="left"/>
            </w:pPr>
            <w:r/>
            <w:r>
              <w:rPr>
                <w:rFonts w:ascii="Calibri" w:hAnsi="Calibri"/>
                <w:color w:val="2D2D2D"/>
                <w:sz w:val="18"/>
              </w:rPr>
              <w:t>0/13 PASS</w:t>
            </w:r>
          </w:p>
        </w:tc>
        <w:tc>
          <w:tcPr>
            <w:tcW w:type="dxa" w:w="1512"/>
            <w:shd w:fill="F0F0F0"/>
            <w:vAlign w:val="center"/>
          </w:tcPr>
          <w:p>
            <w:pPr>
              <w:jc w:val="left"/>
            </w:pPr>
            <w:r/>
            <w:r>
              <w:rPr>
                <w:rFonts w:ascii="Calibri" w:hAnsi="Calibri"/>
                <w:color w:val="2D2D2D"/>
                <w:sz w:val="18"/>
              </w:rPr>
              <w:t>Rejected (discontinued)</w:t>
            </w:r>
          </w:p>
        </w:tc>
        <w:tc>
          <w:tcPr>
            <w:tcW w:type="dxa" w:w="1512"/>
            <w:shd w:fill="F0F0F0"/>
            <w:vAlign w:val="center"/>
          </w:tcPr>
          <w:p>
            <w:pPr>
              <w:jc w:val="left"/>
            </w:pPr>
            <w:r/>
            <w:r>
              <w:rPr>
                <w:rFonts w:ascii="Calibri" w:hAnsi="Calibri"/>
                <w:color w:val="2D2D2D"/>
                <w:sz w:val="18"/>
              </w:rPr>
              <w:t>9.68%*</w:t>
            </w:r>
          </w:p>
        </w:tc>
      </w:tr>
    </w:tbl>
    <w:p/>
    <w:p>
      <w:r>
        <w:t>*Notional haircut only — rejected products are not admissible to the reserve.</w:t>
      </w:r>
    </w:p>
    <w:p>
      <w:r>
        <w:rPr>
          <w:b/>
        </w:rPr>
        <w:t>Key findings:</w:t>
      </w:r>
    </w:p>
    <w:p>
      <w:pPr>
        <w:pStyle w:val="ListNumber"/>
        <w:ind w:left="425"/>
      </w:pPr>
      <w:r>
        <w:rPr>
          <w:b/>
        </w:rPr>
        <w:t>PAXG is the ONLY Eligible product</w:t>
      </w:r>
      <w:r>
        <w:t xml:space="preserve"> (TGRS 9.00, 13/13 gate PASS). It is the only tokenized gold with: NYDFS+OCC trust charter (#25379), monthly Withum attestation, CertiK formal verification (98%), LBMA-approved allocated vaults, and published bar serial numbers.</w:t>
      </w:r>
    </w:p>
    <w:p>
      <w:pPr>
        <w:pStyle w:val="ListNumber"/>
        <w:ind w:left="425"/>
      </w:pPr>
      <w:r>
        <w:rPr>
          <w:b/>
        </w:rPr>
        <w:t>The 13-point gate is the strict binding constraint</w:t>
      </w:r>
      <w:r>
        <w:t xml:space="preserve"> — UNCERTAIN is treated as not-PASS. XAUT (TGRS 7.71, $4B+ market cap) is correctly excluded on bankruptcy-remoteness and legal-review concerns (Tether corporate opacity). The rubric works as designed.</w:t>
      </w:r>
    </w:p>
    <w:p>
      <w:pPr>
        <w:pStyle w:val="ListNumber"/>
        <w:ind w:left="425"/>
      </w:pPr>
      <w:r>
        <w:rPr>
          <w:b/>
        </w:rPr>
        <w:t>Three products are effectively non-functional</w:t>
      </w:r>
      <w:r>
        <w:t>: PMGT (discontinued Oct 2023 after Perth Mint gold doping controversy), DGX (dormant since 2019), CGT (issuer winding down).</w:t>
      </w:r>
    </w:p>
    <w:p>
      <w:pPr>
        <w:pStyle w:val="ListNumber"/>
        <w:ind w:left="425"/>
      </w:pPr>
      <w:r>
        <w:rPr>
          <w:b/>
        </w:rPr>
        <w:t>XAUT and KAU score in the Conditional TGRS range (6.0-8.0) but fail the gate</w:t>
      </w:r>
      <w:r>
        <w:t xml:space="preserve"> — motivating a recommendation for a "Conditional-Pending (Monitoring)" sub-category.</w:t>
      </w:r>
    </w:p>
    <w:p>
      <w:r>
        <w:rPr>
          <w:b/>
        </w:rPr>
        <w:t>Rubric assessment (advisory only — canonical rubric unchanged):</w:t>
      </w:r>
    </w:p>
    <w:p>
      <w:pPr>
        <w:pStyle w:val="ListBullet"/>
        <w:ind w:left="425"/>
      </w:pPr>
      <w:r>
        <w:t xml:space="preserve">The rubric is </w:t>
      </w:r>
      <w:r>
        <w:rPr>
          <w:b/>
        </w:rPr>
        <w:t>discriminative</w:t>
      </w:r>
      <w:r>
        <w:t>: it correctly separates fully-backed allocated products from weaker ones.</w:t>
      </w:r>
    </w:p>
    <w:p>
      <w:pPr>
        <w:pStyle w:val="ListBullet"/>
        <w:ind w:left="425"/>
      </w:pPr>
      <w:r>
        <w:t>The 8.0 eligibility threshold produces sensible classifications.</w:t>
      </w:r>
    </w:p>
    <w:p>
      <w:pPr>
        <w:pStyle w:val="ListBullet"/>
        <w:ind w:left="425"/>
      </w:pPr>
      <w:r>
        <w:t>Recommended refinements (NOT applied to canonical): rebalance weights (PhysicalBacking 0.20→0.15, IssuerReliability 0.10→0.15), add AttestationFrequency dimension, require on-chain proof-of-reserves for "Independent reconciliation."</w:t>
      </w:r>
    </w:p>
    <w:p>
      <w:r>
        <w:rPr>
          <w:b/>
        </w:rPr>
        <w:t>Operational implication</w:t>
      </w:r>
      <w:r>
        <w:t>: Only PAXG is admissible to the MITHQAL tokenized gold reserve layer. The H_TG = 5.5% used in the A/B/C/D/E comparison (Task 2) is the PAXG-derived haircut. If PAXG's TGRS drops below 8.0, the tokenized layer is suspended (weight forced to 0).</w:t>
      </w:r>
    </w:p>
    <w:p>
      <w:pPr>
        <w:pBdr>
          <w:bottom w:val="single" w:sz="12" w:space="1" w:color="C59B1E"/>
        </w:pBdr>
      </w:pPr>
    </w:p>
    <w:p>
      <w:pPr>
        <w:pStyle w:val="Heading3"/>
      </w:pPr>
      <w:r>
        <w:t>V24.2.1-V.4 — Task 4: Silver A/B Historical Backtest</w:t>
      </w:r>
    </w:p>
    <w:p>
      <w:r>
        <w:rPr>
          <w:b/>
        </w:rPr>
        <w:t>Script</w:t>
      </w:r>
      <w:r>
        <w:t xml:space="preserve">: </w:t>
      </w:r>
      <w:r>
        <w:rPr>
          <w:rFonts w:ascii="Consolas" w:hAnsi="Consolas"/>
          <w:color w:val="6B6B6B"/>
          <w:sz w:val="19"/>
        </w:rPr>
        <w:t>scripts/silver-ab-backtest.py</w:t>
      </w:r>
      <w:r>
        <w:t xml:space="preserve"> (deterministic, seed=42)</w:t>
      </w:r>
    </w:p>
    <w:p>
      <w:r>
        <w:rPr>
          <w:b/>
        </w:rPr>
        <w:t>Report</w:t>
      </w:r>
      <w:r>
        <w:t xml:space="preserve">: </w:t>
      </w:r>
      <w:r>
        <w:rPr>
          <w:rFonts w:ascii="Consolas" w:hAnsi="Consolas"/>
          <w:color w:val="6B6B6B"/>
          <w:sz w:val="19"/>
        </w:rPr>
        <w:t>docs/verification/v24.2.1-silver-ab-report.md</w:t>
      </w:r>
      <w:r>
        <w:t xml:space="preserve"> (27.8KB)</w:t>
      </w:r>
    </w:p>
    <w:p>
      <w:r>
        <w:rPr>
          <w:b/>
        </w:rPr>
        <w:t>Results</w:t>
      </w:r>
      <w:r>
        <w:t xml:space="preserve">: </w:t>
      </w:r>
      <w:r>
        <w:rPr>
          <w:rFonts w:ascii="Consolas" w:hAnsi="Consolas"/>
          <w:color w:val="6B6B6B"/>
          <w:sz w:val="19"/>
        </w:rPr>
        <w:t>docs/verification/v24.2.1-silver-ab-results.json</w:t>
      </w:r>
      <w:r>
        <w:t xml:space="preserve"> (65.4KB)</w:t>
      </w:r>
    </w:p>
    <w:p>
      <w:r>
        <w:rPr>
          <w:b/>
        </w:rPr>
        <w:t>Data</w:t>
      </w:r>
      <w:r>
        <w:t xml:space="preserve">: </w:t>
      </w:r>
      <w:r>
        <w:rPr>
          <w:rFonts w:ascii="Consolas" w:hAnsi="Consolas"/>
          <w:color w:val="6B6B6B"/>
          <w:sz w:val="19"/>
        </w:rPr>
        <w:t>docs/verification/historical-prices.csv</w:t>
      </w:r>
      <w:r>
        <w:t xml:space="preserve"> (69 months, 2020-01 → 2025-09, Yahoo Finance)</w:t>
      </w:r>
    </w:p>
    <w:p>
      <w:r>
        <w:rPr>
          <w:b/>
        </w:rPr>
        <w:t>Real historical data used</w:t>
      </w:r>
      <w:r>
        <w:t>: Gold (GC=F/GLD), Silver (SI=F/SLV), FX basket (EUR, JPY, GBP, CHF, AUD, CAD, SGD, CNY, AED, SAR — all to USD). Source: Yahoo Finance v8 chart API (free, no key), cross-validated against gold-api.com live spot.</w:t>
      </w:r>
    </w:p>
    <w:p>
      <w:r>
        <w:rPr>
          <w:b/>
        </w:rPr>
        <w:t>Three strategies backtested over 2020-01 to 2025-09 (68 monthly returns):</w:t>
      </w:r>
    </w:p>
    <w:p>
      <w:pPr>
        <w:pStyle w:val="ListBullet"/>
        <w:ind w:left="425"/>
      </w:pPr>
      <w:r>
        <w:rPr>
          <w:b/>
        </w:rPr>
        <w:t>Portfolio A</w:t>
      </w:r>
      <w:r>
        <w:t xml:space="preserve"> (v24.2 baseline): Silver = 3% mandatory</w:t>
      </w:r>
    </w:p>
    <w:p>
      <w:pPr>
        <w:pStyle w:val="ListBullet"/>
        <w:ind w:left="425"/>
      </w:pPr>
      <w:r>
        <w:rPr>
          <w:b/>
        </w:rPr>
        <w:t>Portfolio B</w:t>
      </w:r>
      <w:r>
        <w:t xml:space="preserve"> (v24.2.1): Silver = 0% (conditional default)</w:t>
      </w:r>
    </w:p>
    <w:p>
      <w:pPr>
        <w:pStyle w:val="ListBullet"/>
        <w:ind w:left="425"/>
      </w:pPr>
      <w:r>
        <w:rPr>
          <w:b/>
        </w:rPr>
        <w:t>Portfolio C</w:t>
      </w:r>
      <w:r>
        <w:t xml:space="preserve"> (v24.2.1 dynamic): Silver = 0-3% admitted when SDC_Ag &gt; 0</w:t>
      </w:r>
    </w:p>
    <w:p>
      <w:r>
        <w:rPr>
          <w:b/>
        </w:rPr>
        <w:t>SDC_Ag (Silver Diversification Contribution) 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VERDICT: SILVER = 0% (VALID POLICY RESULT — conservative default)</w:t>
      </w:r>
    </w:p>
    <w:p>
      <w:r>
        <w:rPr>
          <w:b/>
        </w:rPr>
        <w:t>Why 0% is recommended despite the primary SDC_Ag being positive:</w:t>
      </w:r>
    </w:p>
    <w:p>
      <w:pPr>
        <w:pStyle w:val="ListNumber"/>
        <w:ind w:left="425"/>
      </w:pPr>
      <w:r>
        <w:rPr>
          <w:b/>
        </w:rPr>
        <w:t>Silver HURTS in acute stress</w:t>
      </w:r>
      <w:r>
        <w:t xml:space="preserve"> when diversification matters most: COVID-2020 (−248 bp primary), 2022 inflation drawdown (−32 bp primary). Silver behaves as "high-beta gold," not a true diversifier.</w:t>
      </w:r>
    </w:p>
    <w:p>
      <w:pPr>
        <w:pStyle w:val="ListNumber"/>
        <w:ind w:left="425"/>
      </w:pPr>
      <w:r>
        <w:rPr>
          <w:b/>
        </w:rPr>
        <w:t>Portfolio C (dynamic SDC_Ag) underperforms both static A and B</w:t>
      </w:r>
      <w:r>
        <w:t xml:space="preserve"> in mean RR (103.83% vs 105.21% vs 104.22%) — the rolling 12-month signal lags silver's actual diversification timing.</w:t>
      </w:r>
    </w:p>
    <w:p>
      <w:pPr>
        <w:pStyle w:val="ListNumber"/>
        <w:ind w:left="425"/>
      </w:pPr>
      <w:r>
        <w:t>The proportional-LCR sensitivity view (treating every LCR unit as having constant marginal value) rejects silver with t = −13.0 — a defensible conservative interpretation.</w:t>
      </w:r>
    </w:p>
    <w:p>
      <w:pPr>
        <w:pStyle w:val="ListNumber"/>
        <w:ind w:left="425"/>
      </w:pPr>
      <w:r>
        <w:t>The shortfall-LCR view that admits silver relies on assuming HQLA buffer above 1.5 has zero marginal value — optimistic and may not hold under severe stress.</w:t>
      </w:r>
    </w:p>
    <w:p>
      <w:r>
        <w:rPr>
          <w:b/>
        </w:rPr>
        <w:t>Honest disclosure</w:t>
      </w:r>
      <w:r>
        <w:t>: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r>
        <w:rPr>
          <w:b/>
        </w:rPr>
        <w:t>Operational implication</w:t>
      </w:r>
      <w:r>
        <w:t xml:space="preserve">: The v24.2.1 conditional silver policy (0% normal target, 0-3% conditional band) is </w:t>
      </w:r>
      <w:r>
        <w:rPr>
          <w:b/>
        </w:rPr>
        <w:t>validated</w:t>
      </w:r>
      <w:r>
        <w:t>. Silver remains available as a conditional diversifier if future data shows a robust positive SDC_Ag, but the conservative default of 0% is the correct current policy.</w:t>
      </w:r>
    </w:p>
    <w:p>
      <w:pPr>
        <w:pBdr>
          <w:bottom w:val="single" w:sz="12" w:space="1" w:color="C59B1E"/>
        </w:pBdr>
      </w:pPr>
    </w:p>
    <w:p>
      <w:pPr>
        <w:pStyle w:val="Heading3"/>
      </w:pPr>
      <w:r>
        <w:t>V24.2.1-V.5 — Task 5: Independent Model Validation (Challenger Model Stack)</w:t>
      </w:r>
    </w:p>
    <w:p>
      <w:r>
        <w:rPr>
          <w:b/>
        </w:rPr>
        <w:t>Script</w:t>
      </w:r>
      <w:r>
        <w:t xml:space="preserve">: </w:t>
      </w:r>
      <w:r>
        <w:rPr>
          <w:rFonts w:ascii="Consolas" w:hAnsi="Consolas"/>
          <w:color w:val="6B6B6B"/>
          <w:sz w:val="19"/>
        </w:rPr>
        <w:t>scripts/challenger-models.py</w:t>
      </w:r>
      <w:r>
        <w:t xml:space="preserve"> (957 lines, ~9 sec, NumPy+SciPy vectorized)</w:t>
      </w:r>
    </w:p>
    <w:p>
      <w:r>
        <w:rPr>
          <w:b/>
        </w:rPr>
        <w:t>Report</w:t>
      </w:r>
      <w:r>
        <w:t xml:space="preserve">: </w:t>
      </w:r>
      <w:r>
        <w:rPr>
          <w:rFonts w:ascii="Consolas" w:hAnsi="Consolas"/>
          <w:color w:val="6B6B6B"/>
          <w:sz w:val="19"/>
        </w:rPr>
        <w:t>docs/verification/v24.2.1-challenger-report.md</w:t>
      </w:r>
      <w:r>
        <w:t xml:space="preserve"> (25.2KB)</w:t>
      </w:r>
    </w:p>
    <w:p>
      <w:r>
        <w:rPr>
          <w:b/>
        </w:rPr>
        <w:t>Results</w:t>
      </w:r>
      <w:r>
        <w:t xml:space="preserve">: </w:t>
      </w:r>
      <w:r>
        <w:rPr>
          <w:rFonts w:ascii="Consolas" w:hAnsi="Consolas"/>
          <w:color w:val="6B6B6B"/>
          <w:sz w:val="19"/>
        </w:rPr>
        <w:t>docs/verification/v24.2.1-challenger-results.json</w:t>
      </w:r>
      <w:r>
        <w:t xml:space="preserve"> (14.5KB)</w:t>
      </w:r>
    </w:p>
    <w:p>
      <w:r>
        <w:rPr>
          <w:b/>
        </w:rPr>
        <w:t>5 methodologically distinct challenger models</w:t>
      </w:r>
      <w:r>
        <w:t xml:space="preserve"> compared against the primary Monte Carlo (seed=42, 250K paths, P(RR&lt;100%)=21.5432%):</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Challenger</w:t>
            </w:r>
          </w:p>
        </w:tc>
        <w:tc>
          <w:tcPr>
            <w:tcW w:type="dxa" w:w="1512"/>
            <w:shd w:fill="1A365F"/>
            <w:vAlign w:val="center"/>
          </w:tcPr>
          <w:p>
            <w:pPr>
              <w:jc w:val="left"/>
            </w:pPr>
            <w:r/>
            <w:r>
              <w:rPr>
                <w:rFonts w:ascii="Calibri" w:hAnsi="Calibri"/>
                <w:b/>
                <w:color w:val="FFFFFF"/>
                <w:sz w:val="18"/>
              </w:rPr>
              <w:t>Methodology</w:t>
            </w:r>
          </w:p>
        </w:tc>
        <w:tc>
          <w:tcPr>
            <w:tcW w:type="dxa" w:w="1512"/>
            <w:shd w:fill="1A365F"/>
            <w:vAlign w:val="center"/>
          </w:tcPr>
          <w:p>
            <w:pPr>
              <w:jc w:val="left"/>
            </w:pPr>
            <w:r/>
            <w:r>
              <w:rPr>
                <w:rFonts w:ascii="Calibri" w:hAnsi="Calibri"/>
                <w:b/>
                <w:color w:val="FFFFFF"/>
                <w:sz w:val="18"/>
              </w:rPr>
              <w:t>P(RR&lt;100%)</w:t>
            </w:r>
          </w:p>
        </w:tc>
        <w:tc>
          <w:tcPr>
            <w:tcW w:type="dxa" w:w="1512"/>
            <w:shd w:fill="1A365F"/>
            <w:vAlign w:val="center"/>
          </w:tcPr>
          <w:p>
            <w:pPr>
              <w:jc w:val="left"/>
            </w:pPr>
            <w:r/>
            <w:r>
              <w:rPr>
                <w:rFonts w:ascii="Calibri" w:hAnsi="Calibri"/>
                <w:b/>
                <w:color w:val="FFFFFF"/>
                <w:sz w:val="18"/>
              </w:rPr>
              <w:t>Δpp vs primary</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C1</w:t>
            </w:r>
          </w:p>
        </w:tc>
        <w:tc>
          <w:tcPr>
            <w:tcW w:type="dxa" w:w="1512"/>
            <w:vAlign w:val="center"/>
          </w:tcPr>
          <w:p>
            <w:pPr>
              <w:jc w:val="left"/>
            </w:pPr>
            <w:r/>
            <w:r>
              <w:rPr>
                <w:rFonts w:ascii="Calibri" w:hAnsi="Calibri"/>
                <w:color w:val="2D2D2D"/>
                <w:sz w:val="18"/>
              </w:rPr>
              <w:t>Historical block bootstrap</w:t>
            </w:r>
          </w:p>
        </w:tc>
        <w:tc>
          <w:tcPr>
            <w:tcW w:type="dxa" w:w="1512"/>
            <w:vAlign w:val="center"/>
          </w:tcPr>
          <w:p>
            <w:pPr>
              <w:jc w:val="left"/>
            </w:pPr>
            <w:r/>
            <w:r>
              <w:rPr>
                <w:rFonts w:ascii="Calibri" w:hAnsi="Calibri"/>
                <w:color w:val="2D2D2D"/>
                <w:sz w:val="18"/>
              </w:rPr>
              <w:t>Resample actual return blocks (20-day blocks), no parametric assumption</w:t>
            </w:r>
          </w:p>
        </w:tc>
        <w:tc>
          <w:tcPr>
            <w:tcW w:type="dxa" w:w="1512"/>
            <w:vAlign w:val="center"/>
          </w:tcPr>
          <w:p>
            <w:pPr>
              <w:jc w:val="left"/>
            </w:pPr>
            <w:r/>
            <w:r>
              <w:rPr>
                <w:rFonts w:ascii="Calibri" w:hAnsi="Calibri"/>
                <w:color w:val="2D2D2D"/>
                <w:sz w:val="18"/>
              </w:rPr>
              <w:t>19.97%</w:t>
            </w:r>
          </w:p>
        </w:tc>
        <w:tc>
          <w:tcPr>
            <w:tcW w:type="dxa" w:w="1512"/>
            <w:vAlign w:val="center"/>
          </w:tcPr>
          <w:p>
            <w:pPr>
              <w:jc w:val="left"/>
            </w:pPr>
            <w:r/>
            <w:r>
              <w:rPr>
                <w:rFonts w:ascii="Calibri" w:hAnsi="Calibri"/>
                <w:color w:val="2D2D2D"/>
                <w:sz w:val="18"/>
              </w:rPr>
              <w:t>−1.57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C2</w:t>
            </w:r>
          </w:p>
        </w:tc>
        <w:tc>
          <w:tcPr>
            <w:tcW w:type="dxa" w:w="1512"/>
            <w:shd w:fill="F0F0F0"/>
            <w:vAlign w:val="center"/>
          </w:tcPr>
          <w:p>
            <w:pPr>
              <w:jc w:val="left"/>
            </w:pPr>
            <w:r/>
            <w:r>
              <w:rPr>
                <w:rFonts w:ascii="Calibri" w:hAnsi="Calibri"/>
                <w:color w:val="2D2D2D"/>
                <w:sz w:val="18"/>
              </w:rPr>
              <w:t>Gaussian (thin-tailed)</w:t>
            </w:r>
          </w:p>
        </w:tc>
        <w:tc>
          <w:tcPr>
            <w:tcW w:type="dxa" w:w="1512"/>
            <w:shd w:fill="F0F0F0"/>
            <w:vAlign w:val="center"/>
          </w:tcPr>
          <w:p>
            <w:pPr>
              <w:jc w:val="left"/>
            </w:pPr>
            <w:r/>
            <w:r>
              <w:rPr>
                <w:rFonts w:ascii="Calibri" w:hAnsi="Calibri"/>
                <w:color w:val="2D2D2D"/>
                <w:sz w:val="18"/>
              </w:rPr>
              <w:t>Same structure, Normal instead of Student-t, no jumps</w:t>
            </w:r>
          </w:p>
        </w:tc>
        <w:tc>
          <w:tcPr>
            <w:tcW w:type="dxa" w:w="1512"/>
            <w:shd w:fill="F0F0F0"/>
            <w:vAlign w:val="center"/>
          </w:tcPr>
          <w:p>
            <w:pPr>
              <w:jc w:val="left"/>
            </w:pPr>
            <w:r/>
            <w:r>
              <w:rPr>
                <w:rFonts w:ascii="Calibri" w:hAnsi="Calibri"/>
                <w:color w:val="2D2D2D"/>
                <w:sz w:val="18"/>
              </w:rPr>
              <w:t>20.19%</w:t>
            </w:r>
          </w:p>
        </w:tc>
        <w:tc>
          <w:tcPr>
            <w:tcW w:type="dxa" w:w="1512"/>
            <w:shd w:fill="F0F0F0"/>
            <w:vAlign w:val="center"/>
          </w:tcPr>
          <w:p>
            <w:pPr>
              <w:jc w:val="left"/>
            </w:pPr>
            <w:r/>
            <w:r>
              <w:rPr>
                <w:rFonts w:ascii="Calibri" w:hAnsi="Calibri"/>
                <w:color w:val="2D2D2D"/>
                <w:sz w:val="18"/>
              </w:rPr>
              <w:t>−1.36</w:t>
            </w:r>
          </w:p>
        </w:tc>
        <w:tc>
          <w:tcPr>
            <w:tcW w:type="dxa" w:w="1512"/>
            <w:shd w:fill="F0F0F0"/>
            <w:vAlign w:val="center"/>
          </w:tcPr>
          <w:p>
            <w:pPr>
              <w:jc w:val="left"/>
            </w:pPr>
            <w:r/>
            <w:r>
              <w:rPr>
                <w:rFonts w:ascii="Calibri" w:hAnsi="Calibri"/>
                <w:color w:val="2D2D2D"/>
                <w:sz w:val="18"/>
              </w:rPr>
              <w:t>**CONFIRM**</w:t>
            </w:r>
          </w:p>
        </w:tc>
      </w:tr>
      <w:tr>
        <w:tc>
          <w:tcPr>
            <w:tcW w:type="dxa" w:w="1512"/>
            <w:vAlign w:val="center"/>
          </w:tcPr>
          <w:p>
            <w:pPr>
              <w:jc w:val="left"/>
            </w:pPr>
            <w:r/>
            <w:r>
              <w:rPr>
                <w:rFonts w:ascii="Calibri" w:hAnsi="Calibri"/>
                <w:color w:val="2D2D2D"/>
                <w:sz w:val="18"/>
              </w:rPr>
              <w:t>C3</w:t>
            </w:r>
          </w:p>
        </w:tc>
        <w:tc>
          <w:tcPr>
            <w:tcW w:type="dxa" w:w="1512"/>
            <w:vAlign w:val="center"/>
          </w:tcPr>
          <w:p>
            <w:pPr>
              <w:jc w:val="left"/>
            </w:pPr>
            <w:r/>
            <w:r>
              <w:rPr>
                <w:rFonts w:ascii="Calibri" w:hAnsi="Calibri"/>
                <w:color w:val="2D2D2D"/>
                <w:sz w:val="18"/>
              </w:rPr>
              <w:t>Analytical Cornish-Fisher</w:t>
            </w:r>
          </w:p>
        </w:tc>
        <w:tc>
          <w:tcPr>
            <w:tcW w:type="dxa" w:w="1512"/>
            <w:vAlign w:val="center"/>
          </w:tcPr>
          <w:p>
            <w:pPr>
              <w:jc w:val="left"/>
            </w:pPr>
            <w:r/>
            <w:r>
              <w:rPr>
                <w:rFonts w:ascii="Calibri" w:hAnsi="Calibri"/>
                <w:color w:val="2D2D2D"/>
                <w:sz w:val="18"/>
              </w:rPr>
              <w:t>Closed-form parametric VaR with skew/kurtosis, no simulation</w:t>
            </w:r>
          </w:p>
        </w:tc>
        <w:tc>
          <w:tcPr>
            <w:tcW w:type="dxa" w:w="1512"/>
            <w:vAlign w:val="center"/>
          </w:tcPr>
          <w:p>
            <w:pPr>
              <w:jc w:val="left"/>
            </w:pPr>
            <w:r/>
            <w:r>
              <w:rPr>
                <w:rFonts w:ascii="Calibri" w:hAnsi="Calibri"/>
                <w:color w:val="2D2D2D"/>
                <w:sz w:val="18"/>
              </w:rPr>
              <w:t>24.01%</w:t>
            </w:r>
          </w:p>
        </w:tc>
        <w:tc>
          <w:tcPr>
            <w:tcW w:type="dxa" w:w="1512"/>
            <w:vAlign w:val="center"/>
          </w:tcPr>
          <w:p>
            <w:pPr>
              <w:jc w:val="left"/>
            </w:pPr>
            <w:r/>
            <w:r>
              <w:rPr>
                <w:rFonts w:ascii="Calibri" w:hAnsi="Calibri"/>
                <w:color w:val="2D2D2D"/>
                <w:sz w:val="18"/>
              </w:rPr>
              <w:t>+2.47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C4</w:t>
            </w:r>
          </w:p>
        </w:tc>
        <w:tc>
          <w:tcPr>
            <w:tcW w:type="dxa" w:w="1512"/>
            <w:shd w:fill="F0F0F0"/>
            <w:vAlign w:val="center"/>
          </w:tcPr>
          <w:p>
            <w:pPr>
              <w:jc w:val="left"/>
            </w:pPr>
            <w:r/>
            <w:r>
              <w:rPr>
                <w:rFonts w:ascii="Calibri" w:hAnsi="Calibri"/>
                <w:color w:val="2D2D2D"/>
                <w:sz w:val="18"/>
              </w:rPr>
              <w:t>Worst-case historical replay</w:t>
            </w:r>
          </w:p>
        </w:tc>
        <w:tc>
          <w:tcPr>
            <w:tcW w:type="dxa" w:w="1512"/>
            <w:shd w:fill="F0F0F0"/>
            <w:vAlign w:val="center"/>
          </w:tcPr>
          <w:p>
            <w:pPr>
              <w:jc w:val="left"/>
            </w:pPr>
            <w:r/>
            <w:r>
              <w:rPr>
                <w:rFonts w:ascii="Calibri" w:hAnsi="Calibri"/>
                <w:color w:val="2D2D2D"/>
                <w:sz w:val="18"/>
              </w:rPr>
              <w:t>Deterministic replay of 2008/2020/2022/2023 stress windows</w:t>
            </w:r>
          </w:p>
        </w:tc>
        <w:tc>
          <w:tcPr>
            <w:tcW w:type="dxa" w:w="1512"/>
            <w:shd w:fill="F0F0F0"/>
            <w:vAlign w:val="center"/>
          </w:tcPr>
          <w:p>
            <w:pPr>
              <w:jc w:val="left"/>
            </w:pPr>
            <w:r/>
            <w:r>
              <w:rPr>
                <w:rFonts w:ascii="Calibri" w:hAnsi="Calibri"/>
                <w:color w:val="2D2D2D"/>
                <w:sz w:val="18"/>
              </w:rPr>
              <w:t>100.00%</w:t>
            </w:r>
          </w:p>
        </w:tc>
        <w:tc>
          <w:tcPr>
            <w:tcW w:type="dxa" w:w="1512"/>
            <w:shd w:fill="F0F0F0"/>
            <w:vAlign w:val="center"/>
          </w:tcPr>
          <w:p>
            <w:pPr>
              <w:jc w:val="left"/>
            </w:pPr>
            <w:r/>
            <w:r>
              <w:rPr>
                <w:rFonts w:ascii="Calibri" w:hAnsi="Calibri"/>
                <w:color w:val="2D2D2D"/>
                <w:sz w:val="18"/>
              </w:rPr>
              <w:t>+78.46</w:t>
            </w:r>
          </w:p>
        </w:tc>
        <w:tc>
          <w:tcPr>
            <w:tcW w:type="dxa" w:w="1512"/>
            <w:shd w:fill="F0F0F0"/>
            <w:vAlign w:val="center"/>
          </w:tcPr>
          <w:p>
            <w:pPr>
              <w:jc w:val="left"/>
            </w:pPr>
            <w:r/>
            <w:r>
              <w:rPr>
                <w:rFonts w:ascii="Calibri" w:hAnsi="Calibri"/>
                <w:color w:val="2D2D2D"/>
                <w:sz w:val="18"/>
              </w:rPr>
              <w:t>**DISSENT** (methodological)</w:t>
            </w:r>
          </w:p>
        </w:tc>
      </w:tr>
      <w:tr>
        <w:tc>
          <w:tcPr>
            <w:tcW w:type="dxa" w:w="1512"/>
            <w:vAlign w:val="center"/>
          </w:tcPr>
          <w:p>
            <w:pPr>
              <w:jc w:val="left"/>
            </w:pPr>
            <w:r/>
            <w:r>
              <w:rPr>
                <w:rFonts w:ascii="Calibri" w:hAnsi="Calibri"/>
                <w:color w:val="2D2D2D"/>
                <w:sz w:val="18"/>
              </w:rPr>
              <w:t>C5</w:t>
            </w:r>
          </w:p>
        </w:tc>
        <w:tc>
          <w:tcPr>
            <w:tcW w:type="dxa" w:w="1512"/>
            <w:vAlign w:val="center"/>
          </w:tcPr>
          <w:p>
            <w:pPr>
              <w:jc w:val="left"/>
            </w:pPr>
            <w:r/>
            <w:r>
              <w:rPr>
                <w:rFonts w:ascii="Calibri" w:hAnsi="Calibri"/>
                <w:color w:val="2D2D2D"/>
                <w:sz w:val="18"/>
              </w:rPr>
              <w:t>Copula-based</w:t>
            </w:r>
          </w:p>
        </w:tc>
        <w:tc>
          <w:tcPr>
            <w:tcW w:type="dxa" w:w="1512"/>
            <w:vAlign w:val="center"/>
          </w:tcPr>
          <w:p>
            <w:pPr>
              <w:jc w:val="left"/>
            </w:pPr>
            <w:r/>
            <w:r>
              <w:rPr>
                <w:rFonts w:ascii="Calibri" w:hAnsi="Calibri"/>
                <w:color w:val="2D2D2D"/>
                <w:sz w:val="18"/>
              </w:rPr>
              <w:t>Student-t copula (metals) + Gaussian (FX), block-diagonal</w:t>
            </w:r>
          </w:p>
        </w:tc>
        <w:tc>
          <w:tcPr>
            <w:tcW w:type="dxa" w:w="1512"/>
            <w:vAlign w:val="center"/>
          </w:tcPr>
          <w:p>
            <w:pPr>
              <w:jc w:val="left"/>
            </w:pPr>
            <w:r/>
            <w:r>
              <w:rPr>
                <w:rFonts w:ascii="Calibri" w:hAnsi="Calibri"/>
                <w:color w:val="2D2D2D"/>
                <w:sz w:val="18"/>
              </w:rPr>
              <w:t>24.91%</w:t>
            </w:r>
          </w:p>
        </w:tc>
        <w:tc>
          <w:tcPr>
            <w:tcW w:type="dxa" w:w="1512"/>
            <w:vAlign w:val="center"/>
          </w:tcPr>
          <w:p>
            <w:pPr>
              <w:jc w:val="left"/>
            </w:pPr>
            <w:r/>
            <w:r>
              <w:rPr>
                <w:rFonts w:ascii="Calibri" w:hAnsi="Calibri"/>
                <w:color w:val="2D2D2D"/>
                <w:sz w:val="18"/>
              </w:rPr>
              <w:t>+3.36</w:t>
            </w:r>
          </w:p>
        </w:tc>
        <w:tc>
          <w:tcPr>
            <w:tcW w:type="dxa" w:w="1512"/>
            <w:vAlign w:val="center"/>
          </w:tcPr>
          <w:p>
            <w:pPr>
              <w:jc w:val="left"/>
            </w:pPr>
            <w:r/>
            <w:r>
              <w:rPr>
                <w:rFonts w:ascii="Calibri" w:hAnsi="Calibri"/>
                <w:color w:val="2D2D2D"/>
                <w:sz w:val="18"/>
              </w:rPr>
              <w:t>**CONFIRM**</w:t>
            </w:r>
          </w:p>
        </w:tc>
      </w:tr>
    </w:tbl>
    <w:p/>
    <w:p>
      <w:r>
        <w:rPr>
          <w:b/>
        </w:rPr>
        <w:t>OVERALL INDEPENDENT VALIDATION OPINION: ✅ CONFIRM</w:t>
      </w:r>
      <w:r>
        <w:t xml:space="preserve"> (with documented methodological dissent)</w:t>
      </w:r>
    </w:p>
    <w:p>
      <w:pPr>
        <w:pStyle w:val="ListBullet"/>
        <w:ind w:left="425"/>
      </w:pPr>
      <w:r>
        <w:rPr>
          <w:b/>
        </w:rPr>
        <w:t>4 of 5 challengers confirm</w:t>
      </w:r>
      <w:r>
        <w:t xml:space="preserve"> the primary within the ±5pp model-validity gate (§V24.2.8).</w:t>
      </w:r>
    </w:p>
    <w:p>
      <w:pPr>
        <w:pStyle w:val="ListBullet"/>
        <w:ind w:left="425"/>
      </w:pPr>
      <w:r>
        <w:t>C4 (worst-case historical) dissents by construction — it replays ONLY stress windows, so P(RR&lt;100%)=100% is expected and consistent with the primary's P(StressRR&lt;100%)=99.34%. This is not a contradiction; it is a different question.</w:t>
      </w:r>
    </w:p>
    <w:p>
      <w:pPr>
        <w:pStyle w:val="ListBullet"/>
        <w:ind w:left="425"/>
      </w:pPr>
      <w:r>
        <w:t xml:space="preserve">Excluding C4, the challenger range is </w:t>
      </w:r>
      <w:r>
        <w:rPr>
          <w:b/>
        </w:rPr>
        <w:t>[19.97%, 24.91%]</w:t>
      </w:r>
      <w:r>
        <w:t>, all within ±3.4pp of the primary's 21.54%.</w:t>
      </w:r>
    </w:p>
    <w:p>
      <w:r>
        <w:rPr>
          <w:b/>
        </w:rPr>
        <w:t>Key honest findings:</w:t>
      </w:r>
    </w:p>
    <w:p>
      <w:pPr>
        <w:pStyle w:val="ListNumber"/>
        <w:ind w:left="425"/>
      </w:pPr>
      <w:r>
        <w:rPr>
          <w:b/>
        </w:rPr>
        <w:t>C2 (Gaussian)</w:t>
      </w:r>
      <w:r>
        <w:t xml:space="preserve"> shows the fat-tail contribution to P(RR&lt;100%) is only ~1.4pp — the headline risk is dominated by the redemption-regime bimodality, NOT asset-return tail fatness. The primary model is </w:t>
      </w:r>
      <w:r>
        <w:rPr>
          <w:b/>
        </w:rPr>
        <w:t>robust to distributional assumptions</w:t>
      </w:r>
      <w:r>
        <w:t>.</w:t>
      </w:r>
    </w:p>
    <w:p>
      <w:pPr>
        <w:pStyle w:val="ListNumber"/>
        <w:ind w:left="425"/>
      </w:pPr>
      <w:r>
        <w:rPr>
          <w:b/>
        </w:rPr>
        <w:t>C5 (Copula)</w:t>
      </w:r>
      <w:r>
        <w:t xml:space="preserve"> shows replacing the primary's single 0.30-correlation matrix with a block-diagonal copula shifts P(RR&lt;100%) by only +3.36pp. The primary's dependence-structure assumption is </w:t>
      </w:r>
      <w:r>
        <w:rPr>
          <w:b/>
        </w:rPr>
        <w:t>not a major sensitivity</w:t>
      </w:r>
      <w:r>
        <w:t>.</w:t>
      </w:r>
    </w:p>
    <w:p>
      <w:pPr>
        <w:pStyle w:val="ListNumber"/>
        <w:ind w:left="425"/>
      </w:pPr>
      <w:r>
        <w:rPr>
          <w:b/>
        </w:rPr>
        <w:t>No challenger reproduces the primary's Min RR=36.69%</w:t>
      </w:r>
      <w:r>
        <w:t xml:space="preserve"> (all overstate it: 56.6%-74.5%). The primary's extreme tail is driven by compound rare events (Student-t + jump + stress + depeg simultaneously) — *more conservative* than any challenger (safe direction).</w:t>
      </w:r>
    </w:p>
    <w:p>
      <w:pPr>
        <w:pStyle w:val="ListNumber"/>
        <w:ind w:left="425"/>
      </w:pPr>
      <w:r>
        <w:rPr>
          <w:b/>
        </w:rPr>
        <w:t>C3 CVaR_99 = $34.12M</w:t>
      </w:r>
      <w:r>
        <w:t xml:space="preserve"> is +34% above primary's $25.52M — a documented Cornish-Fisher tail-expectation limitation. The other 4 challengers agree to within ±$1.7M.</w:t>
      </w:r>
    </w:p>
    <w:p>
      <w:r>
        <w:rPr>
          <w:b/>
        </w:rPr>
        <w:t>Compliance</w:t>
      </w:r>
      <w:r>
        <w:t>: §3.17 CHALLENGER-MODEL REQUIREMENT satisfied (5 challengers, all methodologically distinct, no parameter tuning). §3.16 MODEL-FAILURE RULE honored (honest=True, forced_to_pass=False). §V24.2.8 MODEL VALIDITY GATE applied (±5pp on P(RR&lt;100%)).</w:t>
      </w:r>
    </w:p>
    <w:p>
      <w:pPr>
        <w:pBdr>
          <w:bottom w:val="single" w:sz="12" w:space="1" w:color="C59B1E"/>
        </w:pBdr>
      </w:pPr>
    </w:p>
    <w:p>
      <w:pPr>
        <w:pStyle w:val="Heading3"/>
      </w:pPr>
      <w:r>
        <w:t>V24.2.1-V.6 — Task 6: Formal Verification of Anti-Double-Counting</w:t>
      </w:r>
    </w:p>
    <w:p>
      <w:r>
        <w:rPr>
          <w:b/>
        </w:rPr>
        <w:t>Verifier</w:t>
      </w:r>
      <w:r>
        <w:t xml:space="preserve">: </w:t>
      </w:r>
      <w:r>
        <w:rPr>
          <w:rFonts w:ascii="Consolas" w:hAnsi="Consolas"/>
          <w:color w:val="6B6B6B"/>
          <w:sz w:val="19"/>
        </w:rPr>
        <w:t>scripts/anti-double-counting-verifier.py</w:t>
      </w:r>
      <w:r>
        <w:t xml:space="preserve"> (machine-checked, exit 0 = PASS)</w:t>
      </w:r>
    </w:p>
    <w:p>
      <w:r>
        <w:rPr>
          <w:b/>
        </w:rPr>
        <w:t>Proof document</w:t>
      </w:r>
      <w:r>
        <w:t xml:space="preserve">: </w:t>
      </w:r>
      <w:r>
        <w:rPr>
          <w:rFonts w:ascii="Consolas" w:hAnsi="Consolas"/>
          <w:color w:val="6B6B6B"/>
          <w:sz w:val="19"/>
        </w:rPr>
        <w:t>docs/verification/v24.2.1-anti-double-counting-proof.md</w:t>
      </w:r>
      <w:r>
        <w:t xml:space="preserve"> (10 theorems)</w:t>
      </w:r>
    </w:p>
    <w:p>
      <w:r>
        <w:rPr>
          <w:b/>
        </w:rPr>
        <w:t>Results</w:t>
      </w:r>
      <w:r>
        <w:t xml:space="preserve">: </w:t>
      </w:r>
      <w:r>
        <w:rPr>
          <w:rFonts w:ascii="Consolas" w:hAnsi="Consolas"/>
          <w:color w:val="6B6B6B"/>
          <w:sz w:val="19"/>
        </w:rPr>
        <w:t>docs/verification/v24.2.1-anti-double-counting-verification.json</w:t>
      </w:r>
    </w:p>
    <w:p>
      <w:r>
        <w:rPr>
          <w:b/>
        </w:rPr>
        <w:t>10 theorems, 32 machine-checked assertions — ALL PASS (32/32):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Theorem</w:t>
            </w:r>
          </w:p>
        </w:tc>
        <w:tc>
          <w:tcPr>
            <w:tcW w:type="dxa" w:w="2268"/>
            <w:shd w:fill="1A365F"/>
            <w:vAlign w:val="center"/>
          </w:tcPr>
          <w:p>
            <w:pPr>
              <w:jc w:val="left"/>
            </w:pPr>
            <w:r/>
            <w:r>
              <w:rPr>
                <w:rFonts w:ascii="Calibri" w:hAnsi="Calibri"/>
                <w:b/>
                <w:color w:val="FFFFFF"/>
                <w:sz w:val="18"/>
              </w:rPr>
              <w:t>Claim</w:t>
            </w:r>
          </w:p>
        </w:tc>
        <w:tc>
          <w:tcPr>
            <w:tcW w:type="dxa" w:w="2268"/>
            <w:shd w:fill="1A365F"/>
            <w:vAlign w:val="center"/>
          </w:tcPr>
          <w:p>
            <w:pPr>
              <w:jc w:val="left"/>
            </w:pPr>
            <w:r/>
            <w:r>
              <w:rPr>
                <w:rFonts w:ascii="Calibri" w:hAnsi="Calibri"/>
                <w:b/>
                <w:color w:val="FFFFFF"/>
                <w:sz w:val="18"/>
              </w:rPr>
              <w:t>Checks</w:t>
            </w:r>
          </w:p>
        </w:tc>
        <w:tc>
          <w:tcPr>
            <w:tcW w:type="dxa" w:w="2268"/>
            <w:shd w:fill="1A365F"/>
            <w:vAlign w:val="center"/>
          </w:tcPr>
          <w:p>
            <w:pPr>
              <w:jc w:val="left"/>
            </w:pPr>
            <w:r/>
            <w:r>
              <w:rPr>
                <w:rFonts w:ascii="Calibri" w:hAnsi="Calibri"/>
                <w:b/>
                <w:color w:val="FFFFFF"/>
                <w:sz w:val="18"/>
              </w:rPr>
              <w:t>Status</w:t>
            </w:r>
          </w:p>
        </w:tc>
      </w:tr>
      <w:tr>
        <w:tc>
          <w:tcPr>
            <w:tcW w:type="dxa" w:w="2268"/>
            <w:vAlign w:val="center"/>
          </w:tcPr>
          <w:p>
            <w:pPr>
              <w:jc w:val="left"/>
            </w:pPr>
            <w:r/>
            <w:r>
              <w:rPr>
                <w:rFonts w:ascii="Calibri" w:hAnsi="Calibri"/>
                <w:color w:val="2D2D2D"/>
                <w:sz w:val="18"/>
              </w:rPr>
              <w:t>T1</w:t>
            </w:r>
          </w:p>
        </w:tc>
        <w:tc>
          <w:tcPr>
            <w:tcW w:type="dxa" w:w="2268"/>
            <w:vAlign w:val="center"/>
          </w:tcPr>
          <w:p>
            <w:pPr>
              <w:jc w:val="left"/>
            </w:pPr>
            <w:r/>
            <w:r>
              <w:rPr>
                <w:rFonts w:ascii="Calibri" w:hAnsi="Calibri"/>
                <w:color w:val="2D2D2D"/>
                <w:sz w:val="18"/>
              </w:rPr>
              <w:t>Gold_total = GoldPhys + GoldTok (set-theoretic identity)</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T2</w:t>
            </w:r>
          </w:p>
        </w:tc>
        <w:tc>
          <w:tcPr>
            <w:tcW w:type="dxa" w:w="2268"/>
            <w:shd w:fill="F0F0F0"/>
            <w:vAlign w:val="center"/>
          </w:tcPr>
          <w:p>
            <w:pPr>
              <w:jc w:val="left"/>
            </w:pPr>
            <w:r/>
            <w:r>
              <w:rPr>
                <w:rFonts w:ascii="Calibri" w:hAnsi="Calibri"/>
                <w:color w:val="2D2D2D"/>
                <w:sz w:val="18"/>
              </w:rPr>
              <w:t>No underlying-bar overlap (legal segregation of allocated pools)</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T3</w:t>
            </w:r>
          </w:p>
        </w:tc>
        <w:tc>
          <w:tcPr>
            <w:tcW w:type="dxa" w:w="2268"/>
            <w:vAlign w:val="center"/>
          </w:tcPr>
          <w:p>
            <w:pPr>
              <w:jc w:val="left"/>
            </w:pPr>
            <w:r/>
            <w:r>
              <w:rPr>
                <w:rFonts w:ascii="Calibri" w:hAnsi="Calibri"/>
                <w:color w:val="2D2D2D"/>
                <w:sz w:val="18"/>
              </w:rPr>
              <w:t>R_a aggregation counts each asset exactly once (mass conservation)</w:t>
            </w:r>
          </w:p>
        </w:tc>
        <w:tc>
          <w:tcPr>
            <w:tcW w:type="dxa" w:w="2268"/>
            <w:vAlign w:val="center"/>
          </w:tcPr>
          <w:p>
            <w:pPr>
              <w:jc w:val="left"/>
            </w:pPr>
            <w:r/>
            <w:r>
              <w:rPr>
                <w:rFonts w:ascii="Calibri" w:hAnsi="Calibri"/>
                <w:color w:val="2D2D2D"/>
                <w:sz w:val="18"/>
              </w:rPr>
              <w:t>4</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T4</w:t>
            </w:r>
          </w:p>
        </w:tc>
        <w:tc>
          <w:tcPr>
            <w:tcW w:type="dxa" w:w="2268"/>
            <w:shd w:fill="F0F0F0"/>
            <w:vAlign w:val="center"/>
          </w:tcPr>
          <w:p>
            <w:pPr>
              <w:jc w:val="left"/>
            </w:pPr>
            <w:r/>
            <w:r>
              <w:rPr>
                <w:rFonts w:ascii="Calibri" w:hAnsi="Calibri"/>
                <w:color w:val="2D2D2D"/>
                <w:sz w:val="18"/>
              </w:rPr>
              <w:t>Stress coefficients distinct rows, not compounded</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T5</w:t>
            </w:r>
          </w:p>
        </w:tc>
        <w:tc>
          <w:tcPr>
            <w:tcW w:type="dxa" w:w="2268"/>
            <w:vAlign w:val="center"/>
          </w:tcPr>
          <w:p>
            <w:pPr>
              <w:jc w:val="left"/>
            </w:pPr>
            <w:r/>
            <w:r>
              <w:rPr>
                <w:rFonts w:ascii="Calibri" w:hAnsi="Calibri"/>
                <w:color w:val="2D2D2D"/>
                <w:sz w:val="18"/>
              </w:rPr>
              <w:t>Liquidation order: tokenized gold before physical (Article X)</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T6</w:t>
            </w:r>
          </w:p>
        </w:tc>
        <w:tc>
          <w:tcPr>
            <w:tcW w:type="dxa" w:w="2268"/>
            <w:shd w:fill="F0F0F0"/>
            <w:vAlign w:val="center"/>
          </w:tcPr>
          <w:p>
            <w:pPr>
              <w:jc w:val="left"/>
            </w:pPr>
            <w:r/>
            <w:r>
              <w:rPr>
                <w:rFonts w:ascii="Calibri" w:hAnsi="Calibri"/>
                <w:color w:val="2D2D2D"/>
                <w:sz w:val="18"/>
              </w:rPr>
              <w:t>Advisory indices (GEI/BRI/CBGRS) count gold exposure once</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T7</w:t>
            </w:r>
          </w:p>
        </w:tc>
        <w:tc>
          <w:tcPr>
            <w:tcW w:type="dxa" w:w="2268"/>
            <w:vAlign w:val="center"/>
          </w:tcPr>
          <w:p>
            <w:pPr>
              <w:jc w:val="left"/>
            </w:pPr>
            <w:r/>
            <w:r>
              <w:rPr>
                <w:rFonts w:ascii="Calibri" w:hAnsi="Calibri"/>
                <w:color w:val="2D2D2D"/>
                <w:sz w:val="18"/>
              </w:rPr>
              <w:t>Rebalancing conserves mass (ΣΔw=0); no bar duplication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T8</w:t>
            </w:r>
          </w:p>
        </w:tc>
        <w:tc>
          <w:tcPr>
            <w:tcW w:type="dxa" w:w="2268"/>
            <w:shd w:fill="F0F0F0"/>
            <w:vAlign w:val="center"/>
          </w:tcPr>
          <w:p>
            <w:pPr>
              <w:jc w:val="left"/>
            </w:pPr>
            <w:r/>
            <w:r>
              <w:rPr>
                <w:rFonts w:ascii="Calibri" w:hAnsi="Calibri"/>
                <w:color w:val="2D2D2D"/>
                <w:sz w:val="18"/>
              </w:rPr>
              <w:t>Bar serial-number sets disjoint across custodies</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T9</w:t>
            </w:r>
          </w:p>
        </w:tc>
        <w:tc>
          <w:tcPr>
            <w:tcW w:type="dxa" w:w="2268"/>
            <w:vAlign w:val="center"/>
          </w:tcPr>
          <w:p>
            <w:pPr>
              <w:jc w:val="left"/>
            </w:pPr>
            <w:r/>
            <w:r>
              <w:rPr>
                <w:rFonts w:ascii="Calibri" w:hAnsi="Calibri"/>
                <w:color w:val="2D2D2D"/>
                <w:sz w:val="18"/>
              </w:rPr>
              <w:t>φ_t uses Gold_total (not GoldPhys alone)</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T10</w:t>
            </w:r>
          </w:p>
        </w:tc>
        <w:tc>
          <w:tcPr>
            <w:tcW w:type="dxa" w:w="2268"/>
            <w:shd w:fill="F0F0F0"/>
            <w:vAlign w:val="center"/>
          </w:tcPr>
          <w:p>
            <w:pPr>
              <w:jc w:val="left"/>
            </w:pPr>
            <w:r/>
            <w:r>
              <w:rPr>
                <w:rFonts w:ascii="Calibri" w:hAnsi="Calibri"/>
                <w:color w:val="2D2D2D"/>
                <w:sz w:val="18"/>
              </w:rPr>
              <w:t>Rejected double-counting patterns (triple-count, rehypothecation, folding)</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**32**</w:t>
            </w:r>
          </w:p>
        </w:tc>
        <w:tc>
          <w:tcPr>
            <w:tcW w:type="dxa" w:w="2268"/>
            <w:vAlign w:val="center"/>
          </w:tcPr>
          <w:p>
            <w:pPr>
              <w:jc w:val="left"/>
            </w:pPr>
            <w:r/>
            <w:r>
              <w:rPr>
                <w:rFonts w:ascii="Calibri" w:hAnsi="Calibri"/>
                <w:color w:val="2D2D2D"/>
                <w:sz w:val="18"/>
              </w:rPr>
              <w:t>**✅ ALL PASS**</w:t>
            </w:r>
          </w:p>
        </w:tc>
      </w:tr>
    </w:tbl>
    <w:p/>
    <w:p>
      <w:r>
        <w:rPr>
          <w:b/>
        </w:rPr>
        <w:t>Core identity proven (§V24.2.1.2):</w:t>
      </w:r>
    </w:p>
    <w:p>
      <w:r>
        <w:t>$$\text{Gold}_{\text{total}} = \text{Gold}_{\text{phys}} + \text{Gold}_{\text{tok}}$$</w:t>
      </w:r>
    </w:p>
    <w:p>
      <w:r>
        <w:rPr>
          <w:b/>
        </w:rPr>
        <w:t>Why no double-counting occurs:</w:t>
      </w:r>
    </w:p>
    <w:p>
      <w:pPr>
        <w:pStyle w:val="ListBullet"/>
        <w:ind w:left="425"/>
      </w:pPr>
      <w:r>
        <w:rPr>
          <w:rFonts w:ascii="Consolas" w:hAnsi="Consolas"/>
          <w:color w:val="6B6B6B"/>
          <w:sz w:val="19"/>
        </w:rPr>
        <w:t>GoldPhys</w:t>
      </w:r>
      <w:r>
        <w:t xml:space="preserve"> and </w:t>
      </w:r>
      <w:r>
        <w:rPr>
          <w:rFonts w:ascii="Consolas" w:hAnsi="Consolas"/>
          <w:color w:val="6B6B6B"/>
          <w:sz w:val="19"/>
        </w:rPr>
        <w:t>GoldTok</w:t>
      </w:r>
      <w:r>
        <w:t xml:space="preserve"> are </w:t>
      </w:r>
      <w:r>
        <w:rPr>
          <w:b/>
        </w:rPr>
        <w:t>distinct asset registry rows</w:t>
      </w:r>
      <w:r>
        <w:t xml:space="preserve"> (different IDs, different double-count-group tags).</w:t>
      </w:r>
    </w:p>
    <w:p>
      <w:pPr>
        <w:pStyle w:val="ListBullet"/>
        <w:ind w:left="425"/>
      </w:pPr>
      <w:r>
        <w:t xml:space="preserve">The underlying physical bars are in </w:t>
      </w:r>
      <w:r>
        <w:rPr>
          <w:b/>
        </w:rPr>
        <w:t>disjoint allocated pools</w:t>
      </w:r>
      <w:r>
        <w:t>: MITHQAL's bars (Brink's/Loomis vault, under MITHQAL's name) vs. PAXG's bars (Paxos LBMA vault, under Paxos as trustee). Two different bailors cannot hold bailment title to the same bar.</w:t>
      </w:r>
    </w:p>
    <w:p>
      <w:pPr>
        <w:pStyle w:val="ListBullet"/>
        <w:ind w:left="425"/>
      </w:pPr>
      <w:r>
        <w:t xml:space="preserve">Bar serial-number sets are </w:t>
      </w:r>
      <w:r>
        <w:rPr>
          <w:b/>
        </w:rPr>
        <w:t>cross-verifiable</w:t>
      </w:r>
      <w:r>
        <w:t xml:space="preserve"> via separate attestation reports (MITHQAL's auditor + Paxos's Withum monthly).</w:t>
      </w:r>
    </w:p>
    <w:p>
      <w:pPr>
        <w:pStyle w:val="ListBullet"/>
        <w:ind w:left="425"/>
      </w:pPr>
      <w:r>
        <w:t xml:space="preserve">R_a aggregation sums each row </w:t>
      </w:r>
      <w:r>
        <w:rPr>
          <w:b/>
        </w:rPr>
        <w:t>exactly once</w:t>
      </w:r>
      <w:r>
        <w:t xml:space="preserve"> — no compound haircut, no compound stress, no folding.</w:t>
      </w:r>
    </w:p>
    <w:p>
      <w:pPr>
        <w:pStyle w:val="ListBullet"/>
        <w:ind w:left="425"/>
      </w:pPr>
      <w:r>
        <w:t xml:space="preserve">Liquidation order retires </w:t>
      </w:r>
      <w:r>
        <w:rPr>
          <w:rFonts w:ascii="Consolas" w:hAnsi="Consolas"/>
          <w:color w:val="6B6B6B"/>
          <w:sz w:val="19"/>
        </w:rPr>
        <w:t>GoldTok</w:t>
      </w:r>
      <w:r>
        <w:t xml:space="preserve"> </w:t>
      </w:r>
      <w:r>
        <w:rPr>
          <w:b/>
        </w:rPr>
        <w:t>before</w:t>
      </w:r>
      <w:r>
        <w:t xml:space="preserve"> </w:t>
      </w:r>
      <w:r>
        <w:rPr>
          <w:rFonts w:ascii="Consolas" w:hAnsi="Consolas"/>
          <w:color w:val="6B6B6B"/>
          <w:sz w:val="19"/>
        </w:rPr>
        <w:t>GoldPhys</w:t>
      </w:r>
      <w:r>
        <w:t xml:space="preserve"> (Article X §V24.2.1.6), preserving physical bars as the last backstop.</w:t>
      </w:r>
    </w:p>
    <w:p>
      <w:r>
        <w:rPr>
          <w:b/>
        </w:rPr>
        <w:t>Operational safeguards (beyond the proof):</w:t>
      </w:r>
    </w:p>
    <w:p>
      <w:pPr>
        <w:pStyle w:val="ListNumber"/>
        <w:ind w:left="425"/>
      </w:pPr>
      <w:r>
        <w:t>Two-attestation requirement (MITHQAL auditor + Paxos Withum) — lapse of either → GoldTok weight forced to 0.</w:t>
      </w:r>
    </w:p>
    <w:p>
      <w:pPr>
        <w:pStyle w:val="ListNumber"/>
        <w:ind w:left="425"/>
      </w:pPr>
      <w:r>
        <w:t>Quarterly bar-list cross-reference — any serial collision → immediate suspension.</w:t>
      </w:r>
    </w:p>
    <w:p>
      <w:pPr>
        <w:pStyle w:val="ListNumber"/>
        <w:ind w:left="425"/>
      </w:pPr>
      <w:r>
        <w:t>PAXG TGRS re-evaluated quarterly — below 8.0 → GoldTok weight forced to 0 within 5 business days.</w:t>
      </w:r>
    </w:p>
    <w:p>
      <w:pPr>
        <w:pStyle w:val="ListNumber"/>
        <w:ind w:left="425"/>
      </w:pPr>
      <w:r>
        <w:t>On-chain proof-of-reserves monitoring — divergence &gt; 0.1% → circuit breaker.</w:t>
      </w:r>
    </w:p>
    <w:p>
      <w:pPr>
        <w:pStyle w:val="ListNumber"/>
        <w:ind w:left="425"/>
      </w:pPr>
      <w:r>
        <w:t>Article X liquidation precedence enforced at the code level.</w:t>
      </w:r>
    </w:p>
    <w:p>
      <w:r>
        <w:rPr>
          <w:b/>
        </w:rPr>
        <w:t>Verdict</w:t>
      </w:r>
      <w:r>
        <w:t xml:space="preserve">: The anti-double-counting invariant is </w:t>
      </w:r>
      <w:r>
        <w:rPr>
          <w:b/>
        </w:rPr>
        <w:t>proven structurally</w:t>
      </w:r>
      <w:r>
        <w:t xml:space="preserve"> (10 theorems) and </w:t>
      </w:r>
      <w:r>
        <w:rPr>
          <w:b/>
        </w:rPr>
        <w:t>enforced operationally</w:t>
      </w:r>
      <w:r>
        <w:t xml:space="preserve"> (5 safeguards). Tokenized allocated gold (PAXG) and physical allocated gold are legally, operationally, and computationally distinct.</w:t>
      </w:r>
    </w:p>
    <w:p>
      <w:pPr>
        <w:pBdr>
          <w:bottom w:val="single" w:sz="12" w:space="1" w:color="C59B1E"/>
        </w:pBdr>
      </w:pPr>
    </w:p>
    <w:p>
      <w:pPr>
        <w:pStyle w:val="Heading3"/>
      </w:pPr>
      <w:r>
        <w:t>V24.2.1-V.7 — Consolidated Validation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Task</w:t>
            </w:r>
          </w:p>
        </w:tc>
        <w:tc>
          <w:tcPr>
            <w:tcW w:type="dxa" w:w="2268"/>
            <w:shd w:fill="1A365F"/>
            <w:vAlign w:val="center"/>
          </w:tcPr>
          <w:p>
            <w:pPr>
              <w:jc w:val="left"/>
            </w:pPr>
            <w:r/>
            <w:r>
              <w:rPr>
                <w:rFonts w:ascii="Calibri" w:hAnsi="Calibri"/>
                <w:b/>
                <w:color w:val="FFFFFF"/>
                <w:sz w:val="18"/>
              </w:rPr>
              <w:t>Method</w:t>
            </w:r>
          </w:p>
        </w:tc>
        <w:tc>
          <w:tcPr>
            <w:tcW w:type="dxa" w:w="2268"/>
            <w:shd w:fill="1A365F"/>
            <w:vAlign w:val="center"/>
          </w:tcPr>
          <w:p>
            <w:pPr>
              <w:jc w:val="left"/>
            </w:pPr>
            <w:r/>
            <w:r>
              <w:rPr>
                <w:rFonts w:ascii="Calibri" w:hAnsi="Calibri"/>
                <w:b/>
                <w:color w:val="FFFFFF"/>
                <w:sz w:val="18"/>
              </w:rPr>
              <w:t>Key Result</w:t>
            </w:r>
          </w:p>
        </w:tc>
        <w:tc>
          <w:tcPr>
            <w:tcW w:type="dxa" w:w="2268"/>
            <w:shd w:fill="1A365F"/>
            <w:vAlign w:val="center"/>
          </w:tcPr>
          <w:p>
            <w:pPr>
              <w:jc w:val="left"/>
            </w:pPr>
            <w:r/>
            <w:r>
              <w:rPr>
                <w:rFonts w:ascii="Calibri" w:hAnsi="Calibri"/>
                <w:b/>
                <w:color w:val="FFFFFF"/>
                <w:sz w:val="18"/>
              </w:rPr>
              <w:t>Verdict</w:t>
            </w:r>
          </w:p>
        </w:tc>
      </w:tr>
      <w:tr>
        <w:tc>
          <w:tcPr>
            <w:tcW w:type="dxa" w:w="2268"/>
            <w:vAlign w:val="center"/>
          </w:tcPr>
          <w:p>
            <w:pPr>
              <w:jc w:val="left"/>
            </w:pPr>
            <w:r/>
            <w:r>
              <w:rPr>
                <w:rFonts w:ascii="Calibri" w:hAnsi="Calibri"/>
                <w:color w:val="2D2D2D"/>
                <w:sz w:val="18"/>
              </w:rPr>
              <w:t>1. MC Reproduction</w:t>
            </w:r>
          </w:p>
        </w:tc>
        <w:tc>
          <w:tcPr>
            <w:tcW w:type="dxa" w:w="2268"/>
            <w:vAlign w:val="center"/>
          </w:tcPr>
          <w:p>
            <w:pPr>
              <w:jc w:val="left"/>
            </w:pPr>
            <w:r/>
            <w:r>
              <w:rPr>
                <w:rFonts w:ascii="Calibri" w:hAnsi="Calibri"/>
                <w:color w:val="2D2D2D"/>
                <w:sz w:val="18"/>
              </w:rPr>
              <w:t>250K paths, seed=42, 2 runs</w:t>
            </w:r>
          </w:p>
        </w:tc>
        <w:tc>
          <w:tcPr>
            <w:tcW w:type="dxa" w:w="2268"/>
            <w:vAlign w:val="center"/>
          </w:tcPr>
          <w:p>
            <w:pPr>
              <w:jc w:val="left"/>
            </w:pPr>
            <w:r/>
            <w:r>
              <w:rPr>
                <w:rFonts w:ascii="Calibri" w:hAnsi="Calibri"/>
                <w:color w:val="2D2D2D"/>
                <w:sz w:val="18"/>
              </w:rPr>
              <w:t>P(RR&lt;100%)=21.5432%, byte-identical</w:t>
            </w:r>
          </w:p>
        </w:tc>
        <w:tc>
          <w:tcPr>
            <w:tcW w:type="dxa" w:w="2268"/>
            <w:vAlign w:val="center"/>
          </w:tcPr>
          <w:p>
            <w:pPr>
              <w:jc w:val="left"/>
            </w:pPr>
            <w:r/>
            <w:r>
              <w:rPr>
                <w:rFonts w:ascii="Calibri" w:hAnsi="Calibri"/>
                <w:color w:val="2D2D2D"/>
                <w:sz w:val="18"/>
              </w:rPr>
              <w:t>✅ Reproducible</w:t>
            </w:r>
          </w:p>
        </w:tc>
      </w:tr>
      <w:tr>
        <w:tc>
          <w:tcPr>
            <w:tcW w:type="dxa" w:w="2268"/>
            <w:shd w:fill="F0F0F0"/>
            <w:vAlign w:val="center"/>
          </w:tcPr>
          <w:p>
            <w:pPr>
              <w:jc w:val="left"/>
            </w:pPr>
            <w:r/>
            <w:r>
              <w:rPr>
                <w:rFonts w:ascii="Calibri" w:hAnsi="Calibri"/>
                <w:color w:val="2D2D2D"/>
                <w:sz w:val="18"/>
              </w:rPr>
              <w:t>2. A/B/C/D/E Comparison</w:t>
            </w:r>
          </w:p>
        </w:tc>
        <w:tc>
          <w:tcPr>
            <w:tcW w:type="dxa" w:w="2268"/>
            <w:shd w:fill="F0F0F0"/>
            <w:vAlign w:val="center"/>
          </w:tcPr>
          <w:p>
            <w:pPr>
              <w:jc w:val="left"/>
            </w:pPr>
            <w:r/>
            <w:r>
              <w:rPr>
                <w:rFonts w:ascii="Calibri" w:hAnsi="Calibri"/>
                <w:color w:val="2D2D2D"/>
                <w:sz w:val="18"/>
              </w:rPr>
              <w:t>250K paths × 5 portfolios, common RN</w:t>
            </w:r>
          </w:p>
        </w:tc>
        <w:tc>
          <w:tcPr>
            <w:tcW w:type="dxa" w:w="2268"/>
            <w:shd w:fill="F0F0F0"/>
            <w:vAlign w:val="center"/>
          </w:tcPr>
          <w:p>
            <w:pPr>
              <w:jc w:val="left"/>
            </w:pPr>
            <w:r/>
            <w:r>
              <w:rPr>
                <w:rFonts w:ascii="Calibri" w:hAnsi="Calibri"/>
                <w:color w:val="2D2D2D"/>
                <w:sz w:val="18"/>
              </w:rPr>
              <w:t>Winner: Portfolio D (20% phys, 0% tok, 0% Ag)</w:t>
            </w:r>
          </w:p>
        </w:tc>
        <w:tc>
          <w:tcPr>
            <w:tcW w:type="dxa" w:w="2268"/>
            <w:shd w:fill="F0F0F0"/>
            <w:vAlign w:val="center"/>
          </w:tcPr>
          <w:p>
            <w:pPr>
              <w:jc w:val="left"/>
            </w:pPr>
            <w:r/>
            <w:r>
              <w:rPr>
                <w:rFonts w:ascii="Calibri" w:hAnsi="Calibri"/>
                <w:color w:val="2D2D2D"/>
                <w:sz w:val="18"/>
              </w:rPr>
              <w:t>✅ Complete</w:t>
            </w:r>
          </w:p>
        </w:tc>
      </w:tr>
      <w:tr>
        <w:tc>
          <w:tcPr>
            <w:tcW w:type="dxa" w:w="2268"/>
            <w:vAlign w:val="center"/>
          </w:tcPr>
          <w:p>
            <w:pPr>
              <w:jc w:val="left"/>
            </w:pPr>
            <w:r/>
            <w:r>
              <w:rPr>
                <w:rFonts w:ascii="Calibri" w:hAnsi="Calibri"/>
                <w:color w:val="2D2D2D"/>
                <w:sz w:val="18"/>
              </w:rPr>
              <w:t>3. TGRS Validation</w:t>
            </w:r>
          </w:p>
        </w:tc>
        <w:tc>
          <w:tcPr>
            <w:tcW w:type="dxa" w:w="2268"/>
            <w:vAlign w:val="center"/>
          </w:tcPr>
          <w:p>
            <w:pPr>
              <w:jc w:val="left"/>
            </w:pPr>
            <w:r/>
            <w:r>
              <w:rPr>
                <w:rFonts w:ascii="Calibri" w:hAnsi="Calibri"/>
                <w:color w:val="2D2D2D"/>
                <w:sz w:val="18"/>
              </w:rPr>
              <w:t>8 real products scored</w:t>
            </w:r>
          </w:p>
        </w:tc>
        <w:tc>
          <w:tcPr>
            <w:tcW w:type="dxa" w:w="2268"/>
            <w:vAlign w:val="center"/>
          </w:tcPr>
          <w:p>
            <w:pPr>
              <w:jc w:val="left"/>
            </w:pPr>
            <w:r/>
            <w:r>
              <w:rPr>
                <w:rFonts w:ascii="Calibri" w:hAnsi="Calibri"/>
                <w:color w:val="2D2D2D"/>
                <w:sz w:val="18"/>
              </w:rPr>
              <w:t>Only PAXG Eligible (9.00); 7 Rejected</w:t>
            </w:r>
          </w:p>
        </w:tc>
        <w:tc>
          <w:tcPr>
            <w:tcW w:type="dxa" w:w="2268"/>
            <w:vAlign w:val="center"/>
          </w:tcPr>
          <w:p>
            <w:pPr>
              <w:jc w:val="left"/>
            </w:pPr>
            <w:r/>
            <w:r>
              <w:rPr>
                <w:rFonts w:ascii="Calibri" w:hAnsi="Calibri"/>
                <w:color w:val="2D2D2D"/>
                <w:sz w:val="18"/>
              </w:rPr>
              <w:t>✅ Discriminative</w:t>
            </w:r>
          </w:p>
        </w:tc>
      </w:tr>
      <w:tr>
        <w:tc>
          <w:tcPr>
            <w:tcW w:type="dxa" w:w="2268"/>
            <w:shd w:fill="F0F0F0"/>
            <w:vAlign w:val="center"/>
          </w:tcPr>
          <w:p>
            <w:pPr>
              <w:jc w:val="left"/>
            </w:pPr>
            <w:r/>
            <w:r>
              <w:rPr>
                <w:rFonts w:ascii="Calibri" w:hAnsi="Calibri"/>
                <w:color w:val="2D2D2D"/>
                <w:sz w:val="18"/>
              </w:rPr>
              <w:t>4. Silver A/B Backtest</w:t>
            </w:r>
          </w:p>
        </w:tc>
        <w:tc>
          <w:tcPr>
            <w:tcW w:type="dxa" w:w="2268"/>
            <w:shd w:fill="F0F0F0"/>
            <w:vAlign w:val="center"/>
          </w:tcPr>
          <w:p>
            <w:pPr>
              <w:jc w:val="left"/>
            </w:pPr>
            <w:r/>
            <w:r>
              <w:rPr>
                <w:rFonts w:ascii="Calibri" w:hAnsi="Calibri"/>
                <w:color w:val="2D2D2D"/>
                <w:sz w:val="18"/>
              </w:rPr>
              <w:t>69 months real data, SDC_Ag</w:t>
            </w:r>
          </w:p>
        </w:tc>
        <w:tc>
          <w:tcPr>
            <w:tcW w:type="dxa" w:w="2268"/>
            <w:shd w:fill="F0F0F0"/>
            <w:vAlign w:val="center"/>
          </w:tcPr>
          <w:p>
            <w:pPr>
              <w:jc w:val="left"/>
            </w:pPr>
            <w:r/>
            <w:r>
              <w:rPr>
                <w:rFonts w:ascii="Calibri" w:hAnsi="Calibri"/>
                <w:color w:val="2D2D2D"/>
                <w:sz w:val="18"/>
              </w:rPr>
              <w:t>Silver = 0% (conservative, valid)</w:t>
            </w:r>
          </w:p>
        </w:tc>
        <w:tc>
          <w:tcPr>
            <w:tcW w:type="dxa" w:w="2268"/>
            <w:shd w:fill="F0F0F0"/>
            <w:vAlign w:val="center"/>
          </w:tcPr>
          <w:p>
            <w:pPr>
              <w:jc w:val="left"/>
            </w:pPr>
            <w:r/>
            <w:r>
              <w:rPr>
                <w:rFonts w:ascii="Calibri" w:hAnsi="Calibri"/>
                <w:color w:val="2D2D2D"/>
                <w:sz w:val="18"/>
              </w:rPr>
              <w:t>✅ Validated</w:t>
            </w:r>
          </w:p>
        </w:tc>
      </w:tr>
      <w:tr>
        <w:tc>
          <w:tcPr>
            <w:tcW w:type="dxa" w:w="2268"/>
            <w:vAlign w:val="center"/>
          </w:tcPr>
          <w:p>
            <w:pPr>
              <w:jc w:val="left"/>
            </w:pPr>
            <w:r/>
            <w:r>
              <w:rPr>
                <w:rFonts w:ascii="Calibri" w:hAnsi="Calibri"/>
                <w:color w:val="2D2D2D"/>
                <w:sz w:val="18"/>
              </w:rPr>
              <w:t>5. Challenger Models</w:t>
            </w:r>
          </w:p>
        </w:tc>
        <w:tc>
          <w:tcPr>
            <w:tcW w:type="dxa" w:w="2268"/>
            <w:vAlign w:val="center"/>
          </w:tcPr>
          <w:p>
            <w:pPr>
              <w:jc w:val="left"/>
            </w:pPr>
            <w:r/>
            <w:r>
              <w:rPr>
                <w:rFonts w:ascii="Calibri" w:hAnsi="Calibri"/>
                <w:color w:val="2D2D2D"/>
                <w:sz w:val="18"/>
              </w:rPr>
              <w:t>5 distinct methodologies</w:t>
            </w:r>
          </w:p>
        </w:tc>
        <w:tc>
          <w:tcPr>
            <w:tcW w:type="dxa" w:w="2268"/>
            <w:vAlign w:val="center"/>
          </w:tcPr>
          <w:p>
            <w:pPr>
              <w:jc w:val="left"/>
            </w:pPr>
            <w:r/>
            <w:r>
              <w:rPr>
                <w:rFonts w:ascii="Calibri" w:hAnsi="Calibri"/>
                <w:color w:val="2D2D2D"/>
                <w:sz w:val="18"/>
              </w:rPr>
              <w:t>4/5 confirm primary; 1 methodological dissent</w:t>
            </w:r>
          </w:p>
        </w:tc>
        <w:tc>
          <w:tcPr>
            <w:tcW w:type="dxa" w:w="2268"/>
            <w:vAlign w:val="center"/>
          </w:tcPr>
          <w:p>
            <w:pPr>
              <w:jc w:val="left"/>
            </w:pPr>
            <w:r/>
            <w:r>
              <w:rPr>
                <w:rFonts w:ascii="Calibri" w:hAnsi="Calibri"/>
                <w:color w:val="2D2D2D"/>
                <w:sz w:val="18"/>
              </w:rPr>
              <w:t>✅ Confirmed</w:t>
            </w:r>
          </w:p>
        </w:tc>
      </w:tr>
      <w:tr>
        <w:tc>
          <w:tcPr>
            <w:tcW w:type="dxa" w:w="2268"/>
            <w:shd w:fill="F0F0F0"/>
            <w:vAlign w:val="center"/>
          </w:tcPr>
          <w:p>
            <w:pPr>
              <w:jc w:val="left"/>
            </w:pPr>
            <w:r/>
            <w:r>
              <w:rPr>
                <w:rFonts w:ascii="Calibri" w:hAnsi="Calibri"/>
                <w:color w:val="2D2D2D"/>
                <w:sz w:val="18"/>
              </w:rPr>
              <w:t>6. Anti-Double-Counting</w:t>
            </w:r>
          </w:p>
        </w:tc>
        <w:tc>
          <w:tcPr>
            <w:tcW w:type="dxa" w:w="2268"/>
            <w:shd w:fill="F0F0F0"/>
            <w:vAlign w:val="center"/>
          </w:tcPr>
          <w:p>
            <w:pPr>
              <w:jc w:val="left"/>
            </w:pPr>
            <w:r/>
            <w:r>
              <w:rPr>
                <w:rFonts w:ascii="Calibri" w:hAnsi="Calibri"/>
                <w:color w:val="2D2D2D"/>
                <w:sz w:val="18"/>
              </w:rPr>
              <w:t>10 theorems, 32 assertions</w:t>
            </w:r>
          </w:p>
        </w:tc>
        <w:tc>
          <w:tcPr>
            <w:tcW w:type="dxa" w:w="2268"/>
            <w:shd w:fill="F0F0F0"/>
            <w:vAlign w:val="center"/>
          </w:tcPr>
          <w:p>
            <w:pPr>
              <w:jc w:val="left"/>
            </w:pPr>
            <w:r/>
            <w:r>
              <w:rPr>
                <w:rFonts w:ascii="Calibri" w:hAnsi="Calibri"/>
                <w:color w:val="2D2D2D"/>
                <w:sz w:val="18"/>
              </w:rPr>
              <w:t>32/32 PASS</w:t>
            </w:r>
          </w:p>
        </w:tc>
        <w:tc>
          <w:tcPr>
            <w:tcW w:type="dxa" w:w="2268"/>
            <w:shd w:fill="F0F0F0"/>
            <w:vAlign w:val="center"/>
          </w:tcPr>
          <w:p>
            <w:pPr>
              <w:jc w:val="left"/>
            </w:pPr>
            <w:r/>
            <w:r>
              <w:rPr>
                <w:rFonts w:ascii="Calibri" w:hAnsi="Calibri"/>
                <w:color w:val="2D2D2D"/>
                <w:sz w:val="18"/>
              </w:rPr>
              <w:t>✅ Proven</w:t>
            </w:r>
          </w:p>
        </w:tc>
      </w:tr>
    </w:tbl>
    <w:p/>
    <w:p>
      <w:r>
        <w:rPr>
          <w:b/>
        </w:rPr>
        <w:t>Cross-task consistency check:</w:t>
      </w:r>
    </w:p>
    <w:p>
      <w:pPr>
        <w:pStyle w:val="ListBullet"/>
        <w:ind w:left="425"/>
      </w:pPr>
      <w:r>
        <w:t>Task 1 (primary MC P(RR&lt;100%)=21.54%) is confirmed by Task 5 (challenger range 19.97%-24.91%, excluding methodological C4).</w:t>
      </w:r>
    </w:p>
    <w:p>
      <w:pPr>
        <w:pStyle w:val="ListBullet"/>
        <w:ind w:left="425"/>
      </w:pPr>
      <w:r>
        <w:t>Task 2 (A/B/C/D/E) uses the PAXG parameters validated in Task 3 (TGRS=9.00, H_TG=5.5%).</w:t>
      </w:r>
    </w:p>
    <w:p>
      <w:pPr>
        <w:pStyle w:val="ListBullet"/>
        <w:ind w:left="425"/>
      </w:pPr>
      <w:r>
        <w:t>Task 2 confirms Task 4's finding: Portfolio D (0% silver) marginally outperforms Portfolio A (3% silver) and Portfolio E (2% silver) on StressRR — silver does not earn its place.</w:t>
      </w:r>
    </w:p>
    <w:p>
      <w:pPr>
        <w:pStyle w:val="ListBullet"/>
        <w:ind w:left="425"/>
      </w:pPr>
      <w:r>
        <w:t>Task 6's anti-double-counting proof underpins Task 2's use of distinct GoldPhys/GoldTok rows in the Monte Carlo.</w:t>
      </w:r>
    </w:p>
    <w:p>
      <w:r>
        <w:rPr>
          <w:b/>
        </w:rPr>
        <w:t>Honest disclosures:</w:t>
      </w:r>
    </w:p>
    <w:p>
      <w:pPr>
        <w:pStyle w:val="ListBullet"/>
        <w:ind w:left="425"/>
      </w:pPr>
      <w:r>
        <w:t>No results were forced to pass. Where a model dissented (C4) or a verdict was borderline (silver SDC_Ag), this was reported transparently.</w:t>
      </w:r>
    </w:p>
    <w:p>
      <w:pPr>
        <w:pStyle w:val="ListBullet"/>
        <w:ind w:left="425"/>
      </w:pPr>
      <w:r>
        <w:t xml:space="preserve">The A/B/C/D/E absolute P(RR&lt;100%) (~6.7%) is not directly comparable to the primary MC (21.54%) due to implementation differences (modern RNG, regime-fraction model). The </w:t>
      </w:r>
      <w:r>
        <w:rPr>
          <w:b/>
        </w:rPr>
        <w:t>relative ranking</w:t>
      </w:r>
      <w:r>
        <w:t xml:space="preserve"> is valid due to common random numbers.</w:t>
      </w:r>
    </w:p>
    <w:p>
      <w:pPr>
        <w:pStyle w:val="ListBullet"/>
        <w:ind w:left="425"/>
      </w:pPr>
      <w:r>
        <w:t>The silver verdict is sensitive to LCR normalization philosophy. Both interpretations are documented; the conservative 0% default is recommended.</w:t>
      </w:r>
    </w:p>
    <w:p>
      <w:r>
        <w:rPr>
          <w:b/>
        </w:rPr>
        <w:t>Artifacts index:</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Artifact</w:t>
            </w:r>
          </w:p>
        </w:tc>
        <w:tc>
          <w:tcPr>
            <w:tcW w:type="dxa" w:w="4536"/>
            <w:shd w:fill="1A365F"/>
            <w:vAlign w:val="center"/>
          </w:tcPr>
          <w:p>
            <w:pPr>
              <w:jc w:val="left"/>
            </w:pPr>
            <w:r/>
            <w:r>
              <w:rPr>
                <w:rFonts w:ascii="Calibri" w:hAnsi="Calibri"/>
                <w:b/>
                <w:color w:val="FFFFFF"/>
                <w:sz w:val="18"/>
              </w:rPr>
              <w:t>Path</w:t>
            </w:r>
          </w:p>
        </w:tc>
      </w:tr>
      <w:tr>
        <w:tc>
          <w:tcPr>
            <w:tcW w:type="dxa" w:w="4536"/>
            <w:vAlign w:val="center"/>
          </w:tcPr>
          <w:p>
            <w:pPr>
              <w:jc w:val="left"/>
            </w:pPr>
            <w:r/>
            <w:r>
              <w:rPr>
                <w:rFonts w:ascii="Calibri" w:hAnsi="Calibri"/>
                <w:color w:val="2D2D2D"/>
                <w:sz w:val="18"/>
              </w:rPr>
              <w:t>MC reproduction (Task 1)</w:t>
            </w:r>
          </w:p>
        </w:tc>
        <w:tc>
          <w:tcPr>
            <w:tcW w:type="dxa" w:w="4536"/>
            <w:vAlign w:val="center"/>
          </w:tcPr>
          <w:p>
            <w:pPr>
              <w:jc w:val="left"/>
            </w:pPr>
            <w:r/>
            <w:r>
              <w:rPr>
                <w:rFonts w:ascii="Calibri" w:hAnsi="Calibri"/>
                <w:color w:val="2D2D2D"/>
                <w:sz w:val="18"/>
              </w:rPr>
              <w:t>`docs/verification/v24.2-monte-carlo-results.json`</w:t>
            </w:r>
          </w:p>
        </w:tc>
      </w:tr>
      <w:tr>
        <w:tc>
          <w:tcPr>
            <w:tcW w:type="dxa" w:w="4536"/>
            <w:shd w:fill="F0F0F0"/>
            <w:vAlign w:val="center"/>
          </w:tcPr>
          <w:p>
            <w:pPr>
              <w:jc w:val="left"/>
            </w:pPr>
            <w:r/>
            <w:r>
              <w:rPr>
                <w:rFonts w:ascii="Calibri" w:hAnsi="Calibri"/>
                <w:color w:val="2D2D2D"/>
                <w:sz w:val="18"/>
              </w:rPr>
              <w:t>A/B/C/D/E comparison (Task 2)</w:t>
            </w:r>
          </w:p>
        </w:tc>
        <w:tc>
          <w:tcPr>
            <w:tcW w:type="dxa" w:w="4536"/>
            <w:shd w:fill="F0F0F0"/>
            <w:vAlign w:val="center"/>
          </w:tcPr>
          <w:p>
            <w:pPr>
              <w:jc w:val="left"/>
            </w:pPr>
            <w:r/>
            <w:r>
              <w:rPr>
                <w:rFonts w:ascii="Calibri" w:hAnsi="Calibri"/>
                <w:color w:val="2D2D2D"/>
                <w:sz w:val="18"/>
              </w:rPr>
              <w:t>`scripts/abcde-comparison.py`, `docs/verification/v24.2.1-abcde-comparison-results.json`</w:t>
            </w:r>
          </w:p>
        </w:tc>
      </w:tr>
      <w:tr>
        <w:tc>
          <w:tcPr>
            <w:tcW w:type="dxa" w:w="4536"/>
            <w:vAlign w:val="center"/>
          </w:tcPr>
          <w:p>
            <w:pPr>
              <w:jc w:val="left"/>
            </w:pPr>
            <w:r/>
            <w:r>
              <w:rPr>
                <w:rFonts w:ascii="Calibri" w:hAnsi="Calibri"/>
                <w:color w:val="2D2D2D"/>
                <w:sz w:val="18"/>
              </w:rPr>
              <w:t>TGRS validation (Task 3)</w:t>
            </w:r>
          </w:p>
        </w:tc>
        <w:tc>
          <w:tcPr>
            <w:tcW w:type="dxa" w:w="4536"/>
            <w:vAlign w:val="center"/>
          </w:tcPr>
          <w:p>
            <w:pPr>
              <w:jc w:val="left"/>
            </w:pPr>
            <w:r/>
            <w:r>
              <w:rPr>
                <w:rFonts w:ascii="Calibri" w:hAnsi="Calibri"/>
                <w:color w:val="2D2D2D"/>
                <w:sz w:val="18"/>
              </w:rPr>
              <w:t>`docs/verification/v24.2.1-tgrs-validation.md`, `v24.2.1-tgrs-scores.json`, `tgrs-research/*.json`</w:t>
            </w:r>
          </w:p>
        </w:tc>
      </w:tr>
      <w:tr>
        <w:tc>
          <w:tcPr>
            <w:tcW w:type="dxa" w:w="4536"/>
            <w:shd w:fill="F0F0F0"/>
            <w:vAlign w:val="center"/>
          </w:tcPr>
          <w:p>
            <w:pPr>
              <w:jc w:val="left"/>
            </w:pPr>
            <w:r/>
            <w:r>
              <w:rPr>
                <w:rFonts w:ascii="Calibri" w:hAnsi="Calibri"/>
                <w:color w:val="2D2D2D"/>
                <w:sz w:val="18"/>
              </w:rPr>
              <w:t>Silver A/B backtest (Task 4)</w:t>
            </w:r>
          </w:p>
        </w:tc>
        <w:tc>
          <w:tcPr>
            <w:tcW w:type="dxa" w:w="4536"/>
            <w:shd w:fill="F0F0F0"/>
            <w:vAlign w:val="center"/>
          </w:tcPr>
          <w:p>
            <w:pPr>
              <w:jc w:val="left"/>
            </w:pPr>
            <w:r/>
            <w:r>
              <w:rPr>
                <w:rFonts w:ascii="Calibri" w:hAnsi="Calibri"/>
                <w:color w:val="2D2D2D"/>
                <w:sz w:val="18"/>
              </w:rPr>
              <w:t>`scripts/silver-ab-backtest.py`, `docs/verification/v24.2.1-silver-ab-report.md`, `v24.2.1-silver-ab-results.json`, `historical-prices.csv`</w:t>
            </w:r>
          </w:p>
        </w:tc>
      </w:tr>
      <w:tr>
        <w:tc>
          <w:tcPr>
            <w:tcW w:type="dxa" w:w="4536"/>
            <w:vAlign w:val="center"/>
          </w:tcPr>
          <w:p>
            <w:pPr>
              <w:jc w:val="left"/>
            </w:pPr>
            <w:r/>
            <w:r>
              <w:rPr>
                <w:rFonts w:ascii="Calibri" w:hAnsi="Calibri"/>
                <w:color w:val="2D2D2D"/>
                <w:sz w:val="18"/>
              </w:rPr>
              <w:t>Challenger models (Task 5)</w:t>
            </w:r>
          </w:p>
        </w:tc>
        <w:tc>
          <w:tcPr>
            <w:tcW w:type="dxa" w:w="4536"/>
            <w:vAlign w:val="center"/>
          </w:tcPr>
          <w:p>
            <w:pPr>
              <w:jc w:val="left"/>
            </w:pPr>
            <w:r/>
            <w:r>
              <w:rPr>
                <w:rFonts w:ascii="Calibri" w:hAnsi="Calibri"/>
                <w:color w:val="2D2D2D"/>
                <w:sz w:val="18"/>
              </w:rPr>
              <w:t>`scripts/challenger-models.py`, `docs/verification/v24.2.1-challenger-report.md`, `v24.2.1-challenger-results.json`</w:t>
            </w:r>
          </w:p>
        </w:tc>
      </w:tr>
      <w:tr>
        <w:tc>
          <w:tcPr>
            <w:tcW w:type="dxa" w:w="4536"/>
            <w:shd w:fill="F0F0F0"/>
            <w:vAlign w:val="center"/>
          </w:tcPr>
          <w:p>
            <w:pPr>
              <w:jc w:val="left"/>
            </w:pPr>
            <w:r/>
            <w:r>
              <w:rPr>
                <w:rFonts w:ascii="Calibri" w:hAnsi="Calibri"/>
                <w:color w:val="2D2D2D"/>
                <w:sz w:val="18"/>
              </w:rPr>
              <w:t>Anti-double-counting (Task 6)</w:t>
            </w:r>
          </w:p>
        </w:tc>
        <w:tc>
          <w:tcPr>
            <w:tcW w:type="dxa" w:w="4536"/>
            <w:shd w:fill="F0F0F0"/>
            <w:vAlign w:val="center"/>
          </w:tcPr>
          <w:p>
            <w:pPr>
              <w:jc w:val="left"/>
            </w:pPr>
            <w:r/>
            <w:r>
              <w:rPr>
                <w:rFonts w:ascii="Calibri" w:hAnsi="Calibri"/>
                <w:color w:val="2D2D2D"/>
                <w:sz w:val="18"/>
              </w:rPr>
              <w:t>`scripts/anti-double-counting-verifier.py`, `docs/verification/v24.2.1-anti-double-counting-proof.md`, `v24.2.1-anti-double-counting-verification.json`</w:t>
            </w:r>
          </w:p>
        </w:tc>
      </w:tr>
    </w:tbl>
    <w:p/>
    <w:p>
      <w:r>
        <w:rPr>
          <w:b/>
        </w:rPr>
        <w:t>END OF APPENDIX V24.2.1-V — VALIDATION RESULTS</w:t>
      </w:r>
    </w:p>
    <w:p>
      <w:pPr>
        <w:pBdr>
          <w:bottom w:val="single" w:sz="12" w:space="1" w:color="C59B1E"/>
        </w:pBdr>
      </w:pPr>
    </w:p>
    <w:p>
      <w:pPr>
        <w:pStyle w:val="Heading2"/>
      </w:pPr>
      <w:r>
        <w:t>V24.2.1 CANONICAL CORRECTIONS — §§50-52 NEW SECTIONS</w:t>
      </w:r>
    </w:p>
    <w:p>
      <w:r>
        <w:t>These three sections are the v24.2.1 canonical, governance-approved statements of record for:</w:t>
      </w:r>
    </w:p>
    <w:p>
      <w:pPr>
        <w:pStyle w:val="ListBullet"/>
        <w:ind w:left="425"/>
      </w:pPr>
      <w:r>
        <w:t>§50: Tokenized Allocated Gold Reserve Layer (canonical correction of §V24.2.1.2)</w:t>
      </w:r>
    </w:p>
    <w:p>
      <w:pPr>
        <w:pStyle w:val="ListBullet"/>
        <w:ind w:left="425"/>
      </w:pPr>
      <w:r>
        <w:t>§51: Conditional Silver Reserve Policy (canonical correction of §V24.2.1.3)</w:t>
      </w:r>
    </w:p>
    <w:p>
      <w:pPr>
        <w:pStyle w:val="ListBullet"/>
        <w:ind w:left="425"/>
      </w:pPr>
      <w:r>
        <w:t>§52: Reserve Portfolio A/B Validation &amp; Selection Protocol (canonical correction of §V24.2.1.8 and §V24.2.1.9)</w:t>
      </w:r>
    </w:p>
    <w:p>
      <w:r>
        <w:t>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r>
        <w:t>Each C-section references the implemented source code and validation artifacts produced under the v24.2.1 6-task validation cycle (see Appendix V24.2.1-V).</w:t>
      </w:r>
    </w:p>
    <w:p>
      <w:pPr>
        <w:pBdr>
          <w:bottom w:val="single" w:sz="12" w:space="1" w:color="C59B1E"/>
        </w:pBdr>
      </w:pPr>
    </w:p>
    <w:p>
      <w:pPr>
        <w:pStyle w:val="Heading3"/>
      </w:pPr>
      <w:r>
        <w:t>V24.2.1.C1 — TOKENIZED ALLOCATED GOLD RESERVE LAYER (§50)</w:t>
      </w:r>
    </w:p>
    <w:p>
      <w:r>
        <w:rPr>
          <w:b/>
        </w:rPr>
        <w:t>Status</w:t>
      </w:r>
      <w:r>
        <w:t>: CANONICAL v24.2.1 — supersedes §V24.2.1.2 in case of conflict.</w:t>
      </w:r>
    </w:p>
    <w:p>
      <w:r>
        <w:rPr>
          <w:b/>
        </w:rPr>
        <w:t>Authority</w:t>
      </w:r>
      <w:r>
        <w:t>: COO + CTO + Project Manager (executive decision 2026-08-13).</w:t>
      </w:r>
    </w:p>
    <w:p>
      <w:r>
        <w:rPr>
          <w:b/>
        </w:rPr>
        <w:t>Implemented code</w:t>
      </w:r>
      <w:r>
        <w:t>:</w:t>
      </w:r>
    </w:p>
    <w:p>
      <w:pPr>
        <w:pStyle w:val="ListBullet"/>
        <w:ind w:left="425"/>
      </w:pPr>
      <w:r>
        <w:rPr>
          <w:rFonts w:ascii="Consolas" w:hAnsi="Consolas"/>
          <w:color w:val="6B6B6B"/>
          <w:sz w:val="19"/>
        </w:rPr>
        <w:t>src/lib/v24-2-1-gold-silver.ts</w:t>
      </w:r>
      <w:r>
        <w:t xml:space="preserve"> (983 lines) — TGRS registry, eligibility gate, anti-double-counting runtime guard, monitorTgrs(), enforceAntiDoubleCounting(), APPROVED_PORTFOLIO_B.</w:t>
      </w:r>
    </w:p>
    <w:p>
      <w:pPr>
        <w:pStyle w:val="ListBullet"/>
        <w:ind w:left="425"/>
      </w:pPr>
      <w:r>
        <w:rPr>
          <w:rFonts w:ascii="Consolas" w:hAnsi="Consolas"/>
          <w:color w:val="6B6B6B"/>
          <w:sz w:val="19"/>
        </w:rPr>
        <w:t>src/lib/tokenized-gold-oracle.ts</w:t>
      </w:r>
      <w:r>
        <w:t xml:space="preserve"> (349 lines) — three separated oracles (GoldNAV, TokenizedMarket, RedemptionReference) per §21.</w:t>
      </w:r>
    </w:p>
    <w:p>
      <w:pPr>
        <w:pStyle w:val="ListBullet"/>
        <w:ind w:left="425"/>
      </w:pPr>
      <w:r>
        <w:rPr>
          <w:rFonts w:ascii="Consolas" w:hAnsi="Consolas"/>
          <w:color w:val="6B6B6B"/>
          <w:sz w:val="19"/>
        </w:rPr>
        <w:t>src/lib/multi-oracle.ts</w:t>
      </w:r>
      <w:r>
        <w:t xml:space="preserve"> — 4-source physical-gold spot consensus (gold-api.com + goldprice.org + CoinGecko PAXG + XAUt).</w:t>
      </w:r>
    </w:p>
    <w:p>
      <w:pPr>
        <w:pStyle w:val="ListBullet"/>
        <w:ind w:left="425"/>
      </w:pPr>
      <w:r>
        <w:rPr>
          <w:rFonts w:ascii="Consolas" w:hAnsi="Consolas"/>
          <w:color w:val="6B6B6B"/>
          <w:sz w:val="19"/>
        </w:rPr>
        <w:t>src/components/portfolio-b-panel.tsx</w:t>
      </w:r>
      <w:r>
        <w:t xml:space="preserve"> — UI exposure of the canonical PAXG attestation chain.</w:t>
      </w:r>
    </w:p>
    <w:p>
      <w:pPr>
        <w:pStyle w:val="ListBullet"/>
        <w:ind w:left="425"/>
      </w:pPr>
      <w:r>
        <w:rPr>
          <w:rFonts w:ascii="Consolas" w:hAnsi="Consolas"/>
          <w:color w:val="6B6B6B"/>
          <w:sz w:val="19"/>
        </w:rPr>
        <w:t>src/app/api/v24.2.1/route.ts</w:t>
      </w:r>
      <w:r>
        <w:t xml:space="preserve"> — runtime API exposing approved portfolio + monitor + guard.</w:t>
      </w:r>
    </w:p>
    <w:p>
      <w:pPr>
        <w:pStyle w:val="Heading4"/>
      </w:pPr>
      <w:r>
        <w:t>C1.1 — Objective</w:t>
      </w:r>
    </w:p>
    <w:p>
      <w:r>
        <w:t>The Tokenized Allocated Gold Reserve Layer introduces a *second* legally-distinct allocated-gold bar pool to the reserve portfolio, represented on-chain as a redeemable token, in order to:</w:t>
      </w:r>
    </w:p>
    <w:p>
      <w:pPr>
        <w:pStyle w:val="ListNumber"/>
        <w:ind w:left="425"/>
      </w:pPr>
      <w:r>
        <w:rPr>
          <w:b/>
        </w:rPr>
        <w:t>Operational settlement speed</w:t>
      </w:r>
      <w:r>
        <w:t>: enable 24/7 atomic, programmable gold delivery (T+0 finality on Ethereum ERC-20) without reliance on banking-hour rails or physical bar logistics.</w:t>
      </w:r>
    </w:p>
    <w:p>
      <w:pPr>
        <w:pStyle w:val="ListNumber"/>
        <w:ind w:left="425"/>
      </w:pPr>
      <w:r>
        <w:rPr>
          <w:b/>
        </w:rPr>
        <w:t>Redemption buffer</w:t>
      </w:r>
      <w:r>
        <w:t>: provide 5% of reserves as digital-gold liquidity that can satisfy small/mid-size redemption claims inside the chain's settlement layer before any physical-bar liquidation is required.</w:t>
      </w:r>
    </w:p>
    <w:p>
      <w:pPr>
        <w:pStyle w:val="ListNumber"/>
        <w:ind w:left="425"/>
      </w:pPr>
      <w:r>
        <w:rPr>
          <w:b/>
        </w:rPr>
        <w:t>Bar-pool diversification</w:t>
      </w:r>
      <w:r>
        <w:t>: spread custodial and jurisdictional concentration across two distinct allocated bar pools (MITHQAL's Brink's/Loomis vault vs. Paxos's LBMA vault under separate trustee bailment).</w:t>
      </w:r>
    </w:p>
    <w:p>
      <w:pPr>
        <w:pStyle w:val="ListNumber"/>
        <w:ind w:left="425"/>
      </w:pPr>
      <w:r>
        <w:rPr>
          <w:b/>
        </w:rPr>
        <w:t>Governance alignment</w:t>
      </w:r>
      <w:r>
        <w:t>: implement the v24.2.1 directive (§§10-16) requiring tokenized allocated gold as a canonical pillar component.</w:t>
      </w:r>
    </w:p>
    <w:p>
      <w:pPr>
        <w:pStyle w:val="ListNumber"/>
        <w:ind w:left="425"/>
      </w:pPr>
      <w:r>
        <w:rPr>
          <w:b/>
        </w:rPr>
        <w:t>Implementation readiness</w:t>
      </w:r>
      <w:r>
        <w:t>: all six validation tasks of the v24.2.1 cycle are complete; PAXG is the only tokenized-gold product that satisfies the 13-point eligibility gate.</w:t>
      </w:r>
    </w:p>
    <w:p>
      <w:r>
        <w:t xml:space="preserve">Tokenized allocated gold is </w:t>
      </w:r>
      <w:r>
        <w:rPr>
          <w:b/>
        </w:rPr>
        <w:t>NOT</w:t>
      </w:r>
      <w:r>
        <w:t>:</w:t>
      </w:r>
    </w:p>
    <w:p>
      <w:pPr>
        <w:pStyle w:val="ListBullet"/>
        <w:ind w:left="425"/>
      </w:pPr>
      <w:r>
        <w:t>A second gold "asset class" (it is allocated gold, same underlying asset class as physical).</w:t>
      </w:r>
    </w:p>
    <w:p>
      <w:pPr>
        <w:pStyle w:val="ListBullet"/>
        <w:ind w:left="425"/>
      </w:pPr>
      <w:r>
        <w:t>A "gold-backed token" in the v19 promotional sense (the language is prohibited per §V24.2.1.10).</w:t>
      </w:r>
    </w:p>
    <w:p>
      <w:pPr>
        <w:pStyle w:val="ListBullet"/>
        <w:ind w:left="425"/>
      </w:pPr>
      <w:r>
        <w:t>A substitute for physical gold (physical remains the constitutional anchor, last-resort liquidation asset, and primary bar pool).</w:t>
      </w:r>
    </w:p>
    <w:p>
      <w:pPr>
        <w:pStyle w:val="ListBullet"/>
        <w:ind w:left="425"/>
      </w:pPr>
      <w:r>
        <w:t>A derivative, ETF, futures contract, or unallocated claim (all explicitly REJECTED under §C1.5 below).</w:t>
      </w:r>
    </w:p>
    <w:p>
      <w:pPr>
        <w:pStyle w:val="Heading4"/>
      </w:pPr>
      <w:r>
        <w:t>C1.2 — Scope</w:t>
      </w:r>
    </w:p>
    <w:p>
      <w:r>
        <w:t>This section governs:</w:t>
      </w:r>
    </w:p>
    <w:p>
      <w:pPr>
        <w:pStyle w:val="ListBullet"/>
        <w:ind w:left="425"/>
      </w:pPr>
      <w:r>
        <w:t>Eligibility criteria for tokenized gold products admitted to the reserve.</w:t>
      </w:r>
    </w:p>
    <w:p>
      <w:pPr>
        <w:pStyle w:val="ListBullet"/>
        <w:ind w:left="425"/>
      </w:pPr>
      <w:r>
        <w:t>The Tokenized Gold Reserve Score (TGRS, 10 dimensions).</w:t>
      </w:r>
    </w:p>
    <w:p>
      <w:pPr>
        <w:pStyle w:val="ListBullet"/>
        <w:ind w:left="425"/>
      </w:pPr>
      <w:r>
        <w:t>The Tokenized Gold Liquidity Score (TGLS, 9 dimensions).</w:t>
      </w:r>
    </w:p>
    <w:p>
      <w:pPr>
        <w:pStyle w:val="ListBullet"/>
        <w:ind w:left="425"/>
      </w:pPr>
      <w:r>
        <w:t>The Tokenized Gold Basis Spread (TGBS) monitoring metric.</w:t>
      </w:r>
    </w:p>
    <w:p>
      <w:pPr>
        <w:pStyle w:val="ListBullet"/>
        <w:ind w:left="425"/>
      </w:pPr>
      <w:r>
        <w:t>Dynamic haircut (H_TG) formula.</w:t>
      </w:r>
    </w:p>
    <w:p>
      <w:pPr>
        <w:pStyle w:val="ListBullet"/>
        <w:ind w:left="425"/>
      </w:pPr>
      <w:r>
        <w:t>Three-oracle separated architecture (§21) for valuation.</w:t>
      </w:r>
    </w:p>
    <w:p>
      <w:pPr>
        <w:pStyle w:val="ListBullet"/>
        <w:ind w:left="425"/>
      </w:pPr>
      <w:r>
        <w:t>Anti-rehypothecation, anti-double-counting, and reconciliation requirements.</w:t>
      </w:r>
    </w:p>
    <w:p>
      <w:pPr>
        <w:pStyle w:val="ListBullet"/>
        <w:ind w:left="425"/>
      </w:pPr>
      <w:r>
        <w:t>Impairment handling and fail-closed circuit breakers.</w:t>
      </w:r>
    </w:p>
    <w:p>
      <w:pPr>
        <w:pStyle w:val="ListBullet"/>
        <w:ind w:left="425"/>
      </w:pPr>
      <w:r>
        <w:t>Liquidation precedence (Article X §V24.2.1.6: tokenized gold before physical gold).</w:t>
      </w:r>
    </w:p>
    <w:p>
      <w:r>
        <w:t xml:space="preserve">This section does </w:t>
      </w:r>
      <w:r>
        <w:rPr>
          <w:b/>
        </w:rPr>
        <w:t>NOT</w:t>
      </w:r>
      <w:r>
        <w:t xml:space="preserve"> govern:</w:t>
      </w:r>
    </w:p>
    <w:p>
      <w:pPr>
        <w:pStyle w:val="ListBullet"/>
        <w:ind w:left="425"/>
      </w:pPr>
      <w:r>
        <w:t>Physical allocated gold custody (governed by §2A, §4, and the MITHQAL Custody Policy).</w:t>
      </w:r>
    </w:p>
    <w:p>
      <w:pPr>
        <w:pStyle w:val="ListBullet"/>
        <w:ind w:left="425"/>
      </w:pPr>
      <w:r>
        <w:t>The Gold NAV median computation (governed by §21 multi-oracle).</w:t>
      </w:r>
    </w:p>
    <w:p>
      <w:pPr>
        <w:pStyle w:val="ListBullet"/>
        <w:ind w:left="425"/>
      </w:pPr>
      <w:r>
        <w:t>Stablecoin or digital liquidity sleeve eligibility (governed by §3.16 and the DRQS framework).</w:t>
      </w:r>
    </w:p>
    <w:p>
      <w:pPr>
        <w:pStyle w:val="Heading4"/>
      </w:pPr>
      <w:r>
        <w:t>C1.3 — Eligibility (13-point gate)</w:t>
      </w:r>
    </w:p>
    <w:p>
      <w:r>
        <w:t xml:space="preserve">A tokenized gold product is admitted to the reserve </w:t>
      </w:r>
      <w:r>
        <w:rPr>
          <w:b/>
        </w:rPr>
        <w:t>only if all 13 conditions are PASS</w:t>
      </w:r>
      <w:r>
        <w:t>. Any single FAIL → product REJECTED (no waivers, no partial admission).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Condition</w:t>
            </w:r>
          </w:p>
        </w:tc>
        <w:tc>
          <w:tcPr>
            <w:tcW w:type="dxa" w:w="3024"/>
            <w:shd w:fill="1A365F"/>
            <w:vAlign w:val="center"/>
          </w:tcPr>
          <w:p>
            <w:pPr>
              <w:jc w:val="left"/>
            </w:pPr>
            <w:r/>
            <w:r>
              <w:rPr>
                <w:rFonts w:ascii="Calibri" w:hAnsi="Calibri"/>
                <w:b/>
                <w:color w:val="FFFFFF"/>
                <w:sz w:val="18"/>
              </w:rPr>
              <w:t>Evidence required (renewable annually)</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Identifiable physical gold backing</w:t>
            </w:r>
          </w:p>
        </w:tc>
        <w:tc>
          <w:tcPr>
            <w:tcW w:type="dxa" w:w="3024"/>
            <w:vAlign w:val="center"/>
          </w:tcPr>
          <w:p>
            <w:pPr>
              <w:jc w:val="left"/>
            </w:pPr>
            <w:r/>
            <w:r>
              <w:rPr>
                <w:rFonts w:ascii="Calibri" w:hAnsi="Calibri"/>
                <w:color w:val="2D2D2D"/>
                <w:sz w:val="18"/>
              </w:rPr>
              <w:t>Attestation that each token corresponds to a specific allocated fine-gold troy ounce (or gram) in a listed vault.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Legally enforceable ownership/proprietary interest</w:t>
            </w:r>
          </w:p>
        </w:tc>
        <w:tc>
          <w:tcPr>
            <w:tcW w:type="dxa" w:w="3024"/>
            <w:shd w:fill="F0F0F0"/>
            <w:vAlign w:val="center"/>
          </w:tcPr>
          <w:p>
            <w:pPr>
              <w:jc w:val="left"/>
            </w:pPr>
            <w:r/>
            <w:r>
              <w:rPr>
                <w:rFonts w:ascii="Calibri" w:hAnsi="Calibri"/>
                <w:color w:val="2D2D2D"/>
                <w:sz w:val="18"/>
              </w:rPr>
              <w:t>Legal opinion confirming the token holder has a bailment / direct-ownership interest, NOT a contractual claim against issuer assets.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Allocated custody</w:t>
            </w:r>
          </w:p>
        </w:tc>
        <w:tc>
          <w:tcPr>
            <w:tcW w:type="dxa" w:w="3024"/>
            <w:vAlign w:val="center"/>
          </w:tcPr>
          <w:p>
            <w:pPr>
              <w:jc w:val="left"/>
            </w:pPr>
            <w:r/>
            <w:r>
              <w:rPr>
                <w:rFonts w:ascii="Calibri" w:hAnsi="Calibri"/>
                <w:color w:val="2D2D2D"/>
                <w:sz w:val="18"/>
              </w:rPr>
              <w:t>Vault agreement confirming allocated (segregated, serially-identified) bars; not pooled or unallocated.</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Segregation</w:t>
            </w:r>
          </w:p>
        </w:tc>
        <w:tc>
          <w:tcPr>
            <w:tcW w:type="dxa" w:w="3024"/>
            <w:shd w:fill="F0F0F0"/>
            <w:vAlign w:val="center"/>
          </w:tcPr>
          <w:p>
            <w:pPr>
              <w:jc w:val="left"/>
            </w:pPr>
            <w:r/>
            <w:r>
              <w:rPr>
                <w:rFonts w:ascii="Calibri" w:hAnsi="Calibri"/>
                <w:color w:val="2D2D2D"/>
                <w:sz w:val="18"/>
              </w:rPr>
              <w:t>On-chain and off-chain ledgers that distinguish tokenized-gold bars from issuer operating capital.</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Bankruptcy remoteness</w:t>
            </w:r>
          </w:p>
        </w:tc>
        <w:tc>
          <w:tcPr>
            <w:tcW w:type="dxa" w:w="3024"/>
            <w:vAlign w:val="center"/>
          </w:tcPr>
          <w:p>
            <w:pPr>
              <w:jc w:val="left"/>
            </w:pPr>
            <w:r/>
            <w:r>
              <w:rPr>
                <w:rFonts w:ascii="Calibri" w:hAnsi="Calibri"/>
                <w:color w:val="2D2D2D"/>
                <w:sz w:val="18"/>
              </w:rPr>
              <w:t>Legal opinion confirming the allocated bar pool is bankruptcy-remote from the issuer, custodian, and any parent entity.</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No rehypothecation</w:t>
            </w:r>
          </w:p>
        </w:tc>
        <w:tc>
          <w:tcPr>
            <w:tcW w:type="dxa" w:w="3024"/>
            <w:shd w:fill="F0F0F0"/>
            <w:vAlign w:val="center"/>
          </w:tcPr>
          <w:p>
            <w:pPr>
              <w:jc w:val="left"/>
            </w:pPr>
            <w:r/>
            <w:r>
              <w:rPr>
                <w:rFonts w:ascii="Calibri" w:hAnsi="Calibri"/>
                <w:color w:val="2D2D2D"/>
                <w:sz w:val="18"/>
              </w:rPr>
              <w:t>Custodian contract and issuer prospectus explicitly prohibit lending, pledging, or rehypothecation of the allocated bars.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Independent reconciliation</w:t>
            </w:r>
          </w:p>
        </w:tc>
        <w:tc>
          <w:tcPr>
            <w:tcW w:type="dxa" w:w="3024"/>
            <w:vAlign w:val="center"/>
          </w:tcPr>
          <w:p>
            <w:pPr>
              <w:jc w:val="left"/>
            </w:pPr>
            <w:r/>
            <w:r>
              <w:rPr>
                <w:rFonts w:ascii="Calibri" w:hAnsi="Calibri"/>
                <w:color w:val="2D2D2D"/>
                <w:sz w:val="18"/>
              </w:rPr>
              <w:t>Monthly third-party reconciliation report (e.g., Withum for PAXG) cross-referencing on-chain supply to vault bar list.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Independent valuation</w:t>
            </w:r>
          </w:p>
        </w:tc>
        <w:tc>
          <w:tcPr>
            <w:tcW w:type="dxa" w:w="3024"/>
            <w:shd w:fill="F0F0F0"/>
            <w:vAlign w:val="center"/>
          </w:tcPr>
          <w:p>
            <w:pPr>
              <w:jc w:val="left"/>
            </w:pPr>
            <w:r/>
            <w:r>
              <w:rPr>
                <w:rFonts w:ascii="Calibri" w:hAnsi="Calibri"/>
                <w:color w:val="2D2D2D"/>
                <w:sz w:val="18"/>
              </w:rPr>
              <w:t>Daily independent price feed from at least two unaffiliated sources.</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Redemption rights</w:t>
            </w:r>
          </w:p>
        </w:tc>
        <w:tc>
          <w:tcPr>
            <w:tcW w:type="dxa" w:w="3024"/>
            <w:vAlign w:val="center"/>
          </w:tcPr>
          <w:p>
            <w:pPr>
              <w:jc w:val="left"/>
            </w:pPr>
            <w:r/>
            <w:r>
              <w:rPr>
                <w:rFonts w:ascii="Calibri" w:hAnsi="Calibri"/>
                <w:color w:val="2D2D2D"/>
                <w:sz w:val="18"/>
              </w:rPr>
              <w:t>Documented redemption procedure (physical delivery or cash settlement at holder election) with a defined maximum settlement window.</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Approved oracle/reference pricing</w:t>
            </w:r>
          </w:p>
        </w:tc>
        <w:tc>
          <w:tcPr>
            <w:tcW w:type="dxa" w:w="3024"/>
            <w:shd w:fill="F0F0F0"/>
            <w:vAlign w:val="center"/>
          </w:tcPr>
          <w:p>
            <w:pPr>
              <w:jc w:val="left"/>
            </w:pPr>
            <w:r/>
            <w:r>
              <w:rPr>
                <w:rFonts w:ascii="Calibri" w:hAnsi="Calibri"/>
                <w:color w:val="2D2D2D"/>
                <w:sz w:val="18"/>
              </w:rPr>
              <w:t>Pricing must be available to MITHQAL's oracle architecture (§C1.11) without reliance on a single source.</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Legal review</w:t>
            </w:r>
          </w:p>
        </w:tc>
        <w:tc>
          <w:tcPr>
            <w:tcW w:type="dxa" w:w="3024"/>
            <w:vAlign w:val="center"/>
          </w:tcPr>
          <w:p>
            <w:pPr>
              <w:jc w:val="left"/>
            </w:pPr>
            <w:r/>
            <w:r>
              <w:rPr>
                <w:rFonts w:ascii="Calibri" w:hAnsi="Calibri"/>
                <w:color w:val="2D2D2D"/>
                <w:sz w:val="18"/>
              </w:rPr>
              <w:t>Independent jurisdiction-specific legal opinion covering holder claim, redemption enforceability, and regulatory classification.</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Technology/ledger integrity</w:t>
            </w:r>
          </w:p>
        </w:tc>
        <w:tc>
          <w:tcPr>
            <w:tcW w:type="dxa" w:w="3024"/>
            <w:shd w:fill="F0F0F0"/>
            <w:vAlign w:val="center"/>
          </w:tcPr>
          <w:p>
            <w:pPr>
              <w:jc w:val="left"/>
            </w:pPr>
            <w:r/>
            <w:r>
              <w:rPr>
                <w:rFonts w:ascii="Calibri" w:hAnsi="Calibri"/>
                <w:color w:val="2D2D2D"/>
                <w:sz w:val="18"/>
              </w:rPr>
              <w:t>Independent smart-contract audit (e.g., CertiK) with score ≥ 95 AND no critical/high findings open.</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Operational continuity</w:t>
            </w:r>
          </w:p>
        </w:tc>
        <w:tc>
          <w:tcPr>
            <w:tcW w:type="dxa" w:w="3024"/>
            <w:vAlign w:val="center"/>
          </w:tcPr>
          <w:p>
            <w:pPr>
              <w:jc w:val="left"/>
            </w:pPr>
            <w:r/>
            <w:r>
              <w:rPr>
                <w:rFonts w:ascii="Calibri" w:hAnsi="Calibri"/>
                <w:color w:val="2D2D2D"/>
                <w:sz w:val="18"/>
              </w:rPr>
              <w:t>Documented business-continuity plan for issuer wind-down, custodian change, or chain migration.</w:t>
            </w:r>
          </w:p>
        </w:tc>
      </w:tr>
    </w:tbl>
    <w:p/>
    <w:p>
      <w:r>
        <w:rPr>
          <w:b/>
        </w:rPr>
        <w:t>Implementation</w:t>
      </w:r>
      <w:r>
        <w:t xml:space="preserve">: </w:t>
      </w:r>
      <w:r>
        <w:rPr>
          <w:rFonts w:ascii="Consolas" w:hAnsi="Consolas"/>
          <w:color w:val="6B6B6B"/>
          <w:sz w:val="19"/>
        </w:rPr>
        <w:t>eligibilityGatePassed: boolean</w:t>
      </w:r>
      <w:r>
        <w:t xml:space="preserve"> and </w:t>
      </w:r>
      <w:r>
        <w:rPr>
          <w:rFonts w:ascii="Consolas" w:hAnsi="Consolas"/>
          <w:color w:val="6B6B6B"/>
          <w:sz w:val="19"/>
        </w:rPr>
        <w:t>eligibilityFailures: string[]</w:t>
      </w:r>
      <w:r>
        <w:t xml:space="preserve"> fields in the </w:t>
      </w:r>
      <w:r>
        <w:rPr>
          <w:rFonts w:ascii="Consolas" w:hAnsi="Consolas"/>
          <w:color w:val="6B6B6B"/>
          <w:sz w:val="19"/>
        </w:rPr>
        <w:t>TokenizedGoldProduct</w:t>
      </w:r>
      <w:r>
        <w:t xml:space="preserve"> interface (</w:t>
      </w:r>
      <w:r>
        <w:rPr>
          <w:rFonts w:ascii="Consolas" w:hAnsi="Consolas"/>
          <w:color w:val="6B6B6B"/>
          <w:sz w:val="19"/>
        </w:rPr>
        <w:t>src/lib/v24-2-1-gold-silver.ts:49-62</w:t>
      </w:r>
      <w:r>
        <w:t>). Admission (</w:t>
      </w:r>
      <w:r>
        <w:rPr>
          <w:rFonts w:ascii="Consolas" w:hAnsi="Consolas"/>
          <w:color w:val="6B6B6B"/>
          <w:sz w:val="19"/>
        </w:rPr>
        <w:t>admitted: true</w:t>
      </w:r>
      <w:r>
        <w:t xml:space="preserve">) requires BOTH </w:t>
      </w:r>
      <w:r>
        <w:rPr>
          <w:rFonts w:ascii="Consolas" w:hAnsi="Consolas"/>
          <w:color w:val="6B6B6B"/>
          <w:sz w:val="19"/>
        </w:rPr>
        <w:t>classification === "ELIGIBLE"</w:t>
      </w:r>
      <w:r>
        <w:t xml:space="preserve"> AND </w:t>
      </w:r>
      <w:r>
        <w:rPr>
          <w:rFonts w:ascii="Consolas" w:hAnsi="Consolas"/>
          <w:color w:val="6B6B6B"/>
          <w:sz w:val="19"/>
        </w:rPr>
        <w:t>eligibilityGatePassed === true</w:t>
      </w:r>
      <w:r>
        <w:t xml:space="preserve"> AND </w:t>
      </w:r>
      <w:r>
        <w:rPr>
          <w:rFonts w:ascii="Consolas" w:hAnsi="Consolas"/>
          <w:color w:val="6B6B6B"/>
          <w:sz w:val="19"/>
        </w:rPr>
        <w:t>tgrs ≥ 8.0</w:t>
      </w:r>
      <w:r>
        <w:t>.</w:t>
      </w:r>
    </w:p>
    <w:p>
      <w:pPr>
        <w:pStyle w:val="Heading4"/>
      </w:pPr>
      <w:r>
        <w:t>C1.4 — Legal Title</w:t>
      </w:r>
    </w:p>
    <w:p>
      <w:r>
        <w:t xml:space="preserve">The token holder's legal interest in the underlying gold is a </w:t>
      </w:r>
      <w:r>
        <w:rPr>
          <w:b/>
        </w:rPr>
        <w:t>bailment</w:t>
      </w:r>
      <w:r>
        <w:t xml:space="preserve"> (direct allocated-ownership interest), NOT a debt claim against the issuer. The bailment creates:</w:t>
      </w:r>
    </w:p>
    <w:p>
      <w:pPr>
        <w:pStyle w:val="ListBullet"/>
        <w:ind w:left="425"/>
      </w:pPr>
      <w:r>
        <w:t>A property right in specific serially-identified bars, severable from the issuer's estate in insolvency.</w:t>
      </w:r>
    </w:p>
    <w:p>
      <w:pPr>
        <w:pStyle w:val="ListBullet"/>
        <w:ind w:left="425"/>
      </w:pPr>
      <w:r>
        <w:t>A right of redemption (physical delivery or cash equivalent) directly enforceable against the trustee/custodian.</w:t>
      </w:r>
    </w:p>
    <w:p>
      <w:pPr>
        <w:pStyle w:val="ListBullet"/>
        <w:ind w:left="425"/>
      </w:pPr>
      <w:r>
        <w:t>A right to the bar list (serial numbers, weights, refiner marks) on demand.</w:t>
      </w:r>
    </w:p>
    <w:p>
      <w:pPr>
        <w:pStyle w:val="ListBullet"/>
        <w:ind w:left="425"/>
      </w:pPr>
      <w:r>
        <w:t>No subordination to issuer creditors in a winding-up.</w:t>
      </w:r>
    </w:p>
    <w:p>
      <w:r>
        <w:t>This is the critical distinction from "unallocated gold accounts" (a debt claim) and from "gold-backed tokens" that represent a contractual promise rather than a property interest. Only bailment-based tokenized gold is eligible.</w:t>
      </w:r>
    </w:p>
    <w:p>
      <w:pPr>
        <w:pStyle w:val="Heading4"/>
      </w:pPr>
      <w:r>
        <w:t>C1.5 — Allocation</w:t>
      </w:r>
    </w:p>
    <w:p>
      <w:r>
        <w:t>The tokenized gold allocation in the approved portfolio is:</w:t>
      </w:r>
    </w:p>
    <w:p>
      <w:pPr>
        <w:ind w:left="283"/>
        <w:shd w:fill="F5F5F5"/>
      </w:pPr>
      <w:r>
        <w:rPr>
          <w:rFonts w:ascii="Consolas" w:hAnsi="Consolas"/>
          <w:color w:val="6B6B6B"/>
          <w:sz w:val="18"/>
        </w:rPr>
        <w:t>TokenizedAllocatedGold_weight = 5%   (of total reserves, fixed in APPROVED_PORTFOLIO_B)</w:t>
      </w:r>
    </w:p>
    <w:p>
      <w:r>
        <w:t xml:space="preserve">Constitutional range (per §V24.2.1.2): </w:t>
      </w:r>
      <w:r>
        <w:rPr>
          <w:rFonts w:ascii="Consolas" w:hAnsi="Consolas"/>
          <w:color w:val="6B6B6B"/>
          <w:sz w:val="19"/>
        </w:rPr>
        <w:t>0% ≤ TokenizedAllocatedGold_weight ≤ 7%</w:t>
      </w:r>
      <w:r>
        <w:t>.</w:t>
      </w:r>
    </w:p>
    <w:p>
      <w:r>
        <w:t xml:space="preserve">Approved portfolio uses the midpoint of the operational range; the optimizer may move within </w:t>
      </w:r>
      <w:r>
        <w:rPr>
          <w:rFonts w:ascii="Consolas" w:hAnsi="Consolas"/>
          <w:color w:val="6B6B6B"/>
          <w:sz w:val="19"/>
        </w:rPr>
        <w:t>[0%, 7%]</w:t>
      </w:r>
      <w:r>
        <w:t xml:space="preserve"> subject to:</w:t>
      </w:r>
    </w:p>
    <w:p>
      <w:pPr>
        <w:pStyle w:val="ListBullet"/>
        <w:ind w:left="425"/>
      </w:pPr>
      <w:r>
        <w:t>Total bullion ≤ 25% (constitutional ceiling).</w:t>
      </w:r>
    </w:p>
    <w:p>
      <w:pPr>
        <w:pStyle w:val="ListBullet"/>
        <w:ind w:left="425"/>
      </w:pPr>
      <w:r>
        <w:t>Physical gold ≥ 10% (constitutional floor for the physical layer).</w:t>
      </w:r>
    </w:p>
    <w:p>
      <w:pPr>
        <w:pStyle w:val="ListBullet"/>
        <w:ind w:left="425"/>
      </w:pPr>
      <w:r>
        <w:t>TGRS ≥ 8.0 maintained (fail-closed; otherwise forced to 0%, see §C1.17).</w:t>
      </w:r>
    </w:p>
    <w:p>
      <w:pPr>
        <w:pStyle w:val="Heading4"/>
      </w:pPr>
      <w:r>
        <w:t>C1.6 — Custody</w:t>
      </w:r>
    </w:p>
    <w:p>
      <w:r>
        <w:t xml:space="preserve">The tokenized gold custody stack has </w:t>
      </w:r>
      <w:r>
        <w:rPr>
          <w:b/>
        </w:rPr>
        <w:t>two independent custodial layers</w:t>
      </w:r>
      <w:r>
        <w:t>, both of which must be operating:</w:t>
      </w:r>
    </w:p>
    <w:p>
      <w:pPr>
        <w:pStyle w:val="ListNumber"/>
        <w:ind w:left="425"/>
      </w:pPr>
      <w:r>
        <w:rPr>
          <w:b/>
        </w:rPr>
        <w:t>Issuer custody (Paxos Trust)</w:t>
      </w:r>
      <w:r>
        <w:t>: Paxos as trustee holds the allocated bar pool in an LBMA-vault (Brink's custody subcontract). Subject to NYDFS trust company supervision.</w:t>
      </w:r>
    </w:p>
    <w:p>
      <w:pPr>
        <w:pStyle w:val="ListNumber"/>
        <w:ind w:left="425"/>
      </w:pPr>
      <w:r>
        <w:rPr>
          <w:b/>
        </w:rPr>
        <w:t>Independent reconciliation auditor (Withum)</w:t>
      </w:r>
      <w:r>
        <w:t>: monthly third-party reconciliation of on-chain token supply to vault bar list, published to the issuer's proof-of-reserves page.</w:t>
      </w:r>
    </w:p>
    <w:p>
      <w:r>
        <w:t xml:space="preserve">MITHQAL itself does </w:t>
      </w:r>
      <w:r>
        <w:rPr>
          <w:b/>
        </w:rPr>
        <w:t>NOT</w:t>
      </w:r>
      <w:r>
        <w:t xml:space="preserve"> hold the bars or the tokens in its own vault — it holds a redemption right against Paxos. The MITHQAL treasury wallet (3-of-5 Safe) is the on-chain holder of the PAXG ERC-20 balance.</w:t>
      </w:r>
    </w:p>
    <w:p>
      <w:pPr>
        <w:pStyle w:val="Heading4"/>
      </w:pPr>
      <w:r>
        <w:t>C1.7 — Anti-rehypothecation</w:t>
      </w:r>
    </w:p>
    <w:p>
      <w:r>
        <w:t xml:space="preserve">The allocated bars backing PAXG are </w:t>
      </w:r>
      <w:r>
        <w:rPr>
          <w:b/>
        </w:rPr>
        <w:t>prohibited</w:t>
      </w:r>
      <w:r>
        <w:t xml:space="preserve"> from being lent, pledged, rehypothecated, or used as collateral by Paxos, the custodian (Brink's), or any sub-custodian. This is:</w:t>
      </w:r>
    </w:p>
    <w:p>
      <w:pPr>
        <w:pStyle w:val="ListBullet"/>
        <w:ind w:left="425"/>
      </w:pPr>
      <w:r>
        <w:t>Contractual (Paxos trust agreement and NYDFS charter restrictions).</w:t>
      </w:r>
    </w:p>
    <w:p>
      <w:pPr>
        <w:pStyle w:val="ListBullet"/>
        <w:ind w:left="425"/>
      </w:pPr>
      <w:r>
        <w:t>Operational (allocated bar serial numbers cannot appear in any other bailment).</w:t>
      </w:r>
    </w:p>
    <w:p>
      <w:pPr>
        <w:pStyle w:val="ListBullet"/>
        <w:ind w:left="425"/>
      </w:pPr>
      <w:r>
        <w:t>Verifiable via the bar-list reconciliation (§C1.8) — any serial appearing in another product's bar list is an immediate suspension event.</w:t>
      </w:r>
    </w:p>
    <w:p>
      <w:pPr>
        <w:pStyle w:val="Heading4"/>
      </w:pPr>
      <w:r>
        <w:t>C1.8 — Reconciliation</w:t>
      </w:r>
    </w:p>
    <w:p>
      <w:r>
        <w:rPr>
          <w:b/>
        </w:rPr>
        <w:t>Quarterly bar-list cross-reference</w:t>
      </w:r>
      <w:r>
        <w:t xml:space="preserve"> (operational safeguard #2 in Appendix V24.2.1-V.6):</w:t>
      </w:r>
    </w:p>
    <w:p>
      <w:pPr>
        <w:pStyle w:val="ListNumber"/>
        <w:ind w:left="425"/>
      </w:pPr>
      <w:r>
        <w:t>MITHQAL's auditor retrieves the PAXG bar list from Paxos / Withum.</w:t>
      </w:r>
    </w:p>
    <w:p>
      <w:pPr>
        <w:pStyle w:val="ListNumber"/>
        <w:ind w:left="425"/>
      </w:pPr>
      <w:r>
        <w:t>MITHQAL's auditor retrieves MITHQAL's physical bar list from Brink's/Loomis.</w:t>
      </w:r>
    </w:p>
    <w:p>
      <w:pPr>
        <w:pStyle w:val="ListNumber"/>
        <w:ind w:left="425"/>
      </w:pPr>
      <w:r>
        <w:t>The two lists are compared by serial number.</w:t>
      </w:r>
    </w:p>
    <w:p>
      <w:pPr>
        <w:pStyle w:val="ListNumber"/>
        <w:ind w:left="425"/>
      </w:pPr>
      <w:r>
        <w:rPr>
          <w:b/>
        </w:rPr>
        <w:t>Any serial collision</w:t>
      </w:r>
      <w:r>
        <w:t xml:space="preserve"> (same bar claimed by both pools) → immediate suspension of the tokenized gold weight (forced to 0% within 5 business days) pending investigation.</w:t>
      </w:r>
    </w:p>
    <w:p>
      <w:pPr>
        <w:pStyle w:val="ListNumber"/>
        <w:ind w:left="425"/>
      </w:pPr>
      <w:r>
        <w:t>The reconciliation report is filed with the Risk Committee and published (redacted for security) on the transparency dashboard.</w:t>
      </w:r>
    </w:p>
    <w:p>
      <w:r>
        <w:t>This safeguard is in addition to (not in lieu of) the independent monthly attestation by Withum.</w:t>
      </w:r>
    </w:p>
    <w:p>
      <w:pPr>
        <w:pStyle w:val="Heading4"/>
      </w:pPr>
      <w:r>
        <w:t>C1.9 — TGRS (Tokenized Gold Reserve Score — 10 dimensions)</w:t>
      </w:r>
    </w:p>
    <w:p>
      <w:pPr>
        <w:ind w:left="283"/>
        <w:shd w:fill="F5F5F5"/>
      </w:pPr>
      <w:r>
        <w:rPr>
          <w:rFonts w:ascii="Consolas" w:hAnsi="Consolas"/>
          <w:color w:val="6B6B6B"/>
          <w:sz w:val="18"/>
        </w:rPr>
        <w:t>TGRS = 0.20 × PhysicalBacking</w:t>
        <w:br/>
        <w:t xml:space="preserve">     + 0.15 × LegalTitle</w:t>
        <w:br/>
        <w:t xml:space="preserve">     + 0.15 × Custody</w:t>
        <w:br/>
        <w:t xml:space="preserve">     + 0.10 × Redemption</w:t>
        <w:br/>
        <w:t xml:space="preserve">     + 0.10 × IssuerReliability</w:t>
        <w:br/>
        <w:t xml:space="preserve">     + 0.10 × OracleReliability</w:t>
        <w:br/>
        <w:t xml:space="preserve">     + 0.08 × Settlement</w:t>
        <w:br/>
        <w:t xml:space="preserve">     + 0.05 × Liquidity</w:t>
        <w:br/>
        <w:t xml:space="preserve">     + 0.05 × OperationalResilience</w:t>
        <w:br/>
        <w:t xml:space="preserve">     + 0.02 × Jurisdiction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Dimension</w:t>
            </w:r>
          </w:p>
        </w:tc>
        <w:tc>
          <w:tcPr>
            <w:tcW w:type="dxa" w:w="2268"/>
            <w:shd w:fill="1A365F"/>
            <w:vAlign w:val="center"/>
          </w:tcPr>
          <w:p>
            <w:pPr>
              <w:jc w:val="left"/>
            </w:pPr>
            <w:r/>
            <w:r>
              <w:rPr>
                <w:rFonts w:ascii="Calibri" w:hAnsi="Calibri"/>
                <w:b/>
                <w:color w:val="FFFFFF"/>
                <w:sz w:val="18"/>
              </w:rPr>
              <w:t>Weight</w:t>
            </w:r>
          </w:p>
        </w:tc>
        <w:tc>
          <w:tcPr>
            <w:tcW w:type="dxa" w:w="2268"/>
            <w:shd w:fill="1A365F"/>
            <w:vAlign w:val="center"/>
          </w:tcPr>
          <w:p>
            <w:pPr>
              <w:jc w:val="left"/>
            </w:pPr>
            <w:r/>
            <w:r>
              <w:rPr>
                <w:rFonts w:ascii="Calibri" w:hAnsi="Calibri"/>
                <w:b/>
                <w:color w:val="FFFFFF"/>
                <w:sz w:val="18"/>
              </w:rPr>
              <w:t>What it measures</w:t>
            </w:r>
          </w:p>
        </w:tc>
        <w:tc>
          <w:tcPr>
            <w:tcW w:type="dxa" w:w="2268"/>
            <w:shd w:fill="1A365F"/>
            <w:vAlign w:val="center"/>
          </w:tcPr>
          <w:p>
            <w:pPr>
              <w:jc w:val="left"/>
            </w:pPr>
            <w:r/>
            <w:r>
              <w:rPr>
                <w:rFonts w:ascii="Calibri" w:hAnsi="Calibri"/>
                <w:b/>
                <w:color w:val="FFFFFF"/>
                <w:sz w:val="18"/>
              </w:rPr>
              <w:t>PAXG score (2026-08-13)</w:t>
            </w:r>
          </w:p>
        </w:tc>
      </w:tr>
      <w:tr>
        <w:tc>
          <w:tcPr>
            <w:tcW w:type="dxa" w:w="2268"/>
            <w:vAlign w:val="center"/>
          </w:tcPr>
          <w:p>
            <w:pPr>
              <w:jc w:val="left"/>
            </w:pPr>
            <w:r/>
            <w:r>
              <w:rPr>
                <w:rFonts w:ascii="Calibri" w:hAnsi="Calibri"/>
                <w:color w:val="2D2D2D"/>
                <w:sz w:val="18"/>
              </w:rPr>
              <w:t>PhysicalBacking</w:t>
            </w:r>
          </w:p>
        </w:tc>
        <w:tc>
          <w:tcPr>
            <w:tcW w:type="dxa" w:w="2268"/>
            <w:vAlign w:val="center"/>
          </w:tcPr>
          <w:p>
            <w:pPr>
              <w:jc w:val="left"/>
            </w:pPr>
            <w:r/>
            <w:r>
              <w:rPr>
                <w:rFonts w:ascii="Calibri" w:hAnsi="Calibri"/>
                <w:color w:val="2D2D2D"/>
                <w:sz w:val="18"/>
              </w:rPr>
              <w:t>0.20</w:t>
            </w:r>
          </w:p>
        </w:tc>
        <w:tc>
          <w:tcPr>
            <w:tcW w:type="dxa" w:w="2268"/>
            <w:vAlign w:val="center"/>
          </w:tcPr>
          <w:p>
            <w:pPr>
              <w:jc w:val="left"/>
            </w:pPr>
            <w:r/>
            <w:r>
              <w:rPr>
                <w:rFonts w:ascii="Calibri" w:hAnsi="Calibri"/>
                <w:color w:val="2D2D2D"/>
                <w:sz w:val="18"/>
              </w:rPr>
              <w:t>Allocated bar identification, audit trail</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LegalTitle</w:t>
            </w:r>
          </w:p>
        </w:tc>
        <w:tc>
          <w:tcPr>
            <w:tcW w:type="dxa" w:w="2268"/>
            <w:shd w:fill="F0F0F0"/>
            <w:vAlign w:val="center"/>
          </w:tcPr>
          <w:p>
            <w:pPr>
              <w:jc w:val="left"/>
            </w:pPr>
            <w:r/>
            <w:r>
              <w:rPr>
                <w:rFonts w:ascii="Calibri" w:hAnsi="Calibri"/>
                <w:color w:val="2D2D2D"/>
                <w:sz w:val="18"/>
              </w:rPr>
              <w:t>0.15</w:t>
            </w:r>
          </w:p>
        </w:tc>
        <w:tc>
          <w:tcPr>
            <w:tcW w:type="dxa" w:w="2268"/>
            <w:shd w:fill="F0F0F0"/>
            <w:vAlign w:val="center"/>
          </w:tcPr>
          <w:p>
            <w:pPr>
              <w:jc w:val="left"/>
            </w:pPr>
            <w:r/>
            <w:r>
              <w:rPr>
                <w:rFonts w:ascii="Calibri" w:hAnsi="Calibri"/>
                <w:color w:val="2D2D2D"/>
                <w:sz w:val="18"/>
              </w:rPr>
              <w:t>Bailment enforceability, bankruptcy-remoteness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Custody</w:t>
            </w:r>
          </w:p>
        </w:tc>
        <w:tc>
          <w:tcPr>
            <w:tcW w:type="dxa" w:w="2268"/>
            <w:vAlign w:val="center"/>
          </w:tcPr>
          <w:p>
            <w:pPr>
              <w:jc w:val="left"/>
            </w:pPr>
            <w:r/>
            <w:r>
              <w:rPr>
                <w:rFonts w:ascii="Calibri" w:hAnsi="Calibri"/>
                <w:color w:val="2D2D2D"/>
                <w:sz w:val="18"/>
              </w:rPr>
              <w:t>0.15</w:t>
            </w:r>
          </w:p>
        </w:tc>
        <w:tc>
          <w:tcPr>
            <w:tcW w:type="dxa" w:w="2268"/>
            <w:vAlign w:val="center"/>
          </w:tcPr>
          <w:p>
            <w:pPr>
              <w:jc w:val="left"/>
            </w:pPr>
            <w:r/>
            <w:r>
              <w:rPr>
                <w:rFonts w:ascii="Calibri" w:hAnsi="Calibri"/>
                <w:color w:val="2D2D2D"/>
                <w:sz w:val="18"/>
              </w:rPr>
              <w:t>Vault quality, custodian reputation, segregation</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Redemption</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Redemption procedure, settlement window, fees</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IssuerReliability</w:t>
            </w:r>
          </w:p>
        </w:tc>
        <w:tc>
          <w:tcPr>
            <w:tcW w:type="dxa" w:w="2268"/>
            <w:vAlign w:val="center"/>
          </w:tcPr>
          <w:p>
            <w:pPr>
              <w:jc w:val="left"/>
            </w:pPr>
            <w:r/>
            <w:r>
              <w:rPr>
                <w:rFonts w:ascii="Calibri" w:hAnsi="Calibri"/>
                <w:color w:val="2D2D2D"/>
                <w:sz w:val="18"/>
              </w:rPr>
              <w:t>0.10</w:t>
            </w:r>
          </w:p>
        </w:tc>
        <w:tc>
          <w:tcPr>
            <w:tcW w:type="dxa" w:w="2268"/>
            <w:vAlign w:val="center"/>
          </w:tcPr>
          <w:p>
            <w:pPr>
              <w:jc w:val="left"/>
            </w:pPr>
            <w:r/>
            <w:r>
              <w:rPr>
                <w:rFonts w:ascii="Calibri" w:hAnsi="Calibri"/>
                <w:color w:val="2D2D2D"/>
                <w:sz w:val="18"/>
              </w:rPr>
              <w:t>NYDFS charter, capitalization, operating history</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OracleReliability</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Price-feed diversity, manipulation resistance</w:t>
            </w:r>
          </w:p>
        </w:tc>
        <w:tc>
          <w:tcPr>
            <w:tcW w:type="dxa" w:w="2268"/>
            <w:shd w:fill="F0F0F0"/>
            <w:vAlign w:val="center"/>
          </w:tcPr>
          <w:p>
            <w:pPr>
              <w:jc w:val="left"/>
            </w:pPr>
            <w:r/>
            <w:r>
              <w:rPr>
                <w:rFonts w:ascii="Calibri" w:hAnsi="Calibri"/>
                <w:color w:val="2D2D2D"/>
                <w:sz w:val="18"/>
              </w:rPr>
              <w:t>8.5</w:t>
            </w:r>
          </w:p>
        </w:tc>
      </w:tr>
      <w:tr>
        <w:tc>
          <w:tcPr>
            <w:tcW w:type="dxa" w:w="2268"/>
            <w:vAlign w:val="center"/>
          </w:tcPr>
          <w:p>
            <w:pPr>
              <w:jc w:val="left"/>
            </w:pPr>
            <w:r/>
            <w:r>
              <w:rPr>
                <w:rFonts w:ascii="Calibri" w:hAnsi="Calibri"/>
                <w:color w:val="2D2D2D"/>
                <w:sz w:val="18"/>
              </w:rPr>
              <w:t>Settlement</w:t>
            </w:r>
          </w:p>
        </w:tc>
        <w:tc>
          <w:tcPr>
            <w:tcW w:type="dxa" w:w="2268"/>
            <w:vAlign w:val="center"/>
          </w:tcPr>
          <w:p>
            <w:pPr>
              <w:jc w:val="left"/>
            </w:pPr>
            <w:r/>
            <w:r>
              <w:rPr>
                <w:rFonts w:ascii="Calibri" w:hAnsi="Calibri"/>
                <w:color w:val="2D2D2D"/>
                <w:sz w:val="18"/>
              </w:rPr>
              <w:t>0.08</w:t>
            </w:r>
          </w:p>
        </w:tc>
        <w:tc>
          <w:tcPr>
            <w:tcW w:type="dxa" w:w="2268"/>
            <w:vAlign w:val="center"/>
          </w:tcPr>
          <w:p>
            <w:pPr>
              <w:jc w:val="left"/>
            </w:pPr>
            <w:r/>
            <w:r>
              <w:rPr>
                <w:rFonts w:ascii="Calibri" w:hAnsi="Calibri"/>
                <w:color w:val="2D2D2D"/>
                <w:sz w:val="18"/>
              </w:rPr>
              <w:t>Atomic settlement, chain finality, gas</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Liquidity</w:t>
            </w:r>
          </w:p>
        </w:tc>
        <w:tc>
          <w:tcPr>
            <w:tcW w:type="dxa" w:w="2268"/>
            <w:shd w:fill="F0F0F0"/>
            <w:vAlign w:val="center"/>
          </w:tcPr>
          <w:p>
            <w:pPr>
              <w:jc w:val="left"/>
            </w:pPr>
            <w:r/>
            <w:r>
              <w:rPr>
                <w:rFonts w:ascii="Calibri" w:hAnsi="Calibri"/>
                <w:color w:val="2D2D2D"/>
                <w:sz w:val="18"/>
              </w:rPr>
              <w:t>0.05</w:t>
            </w:r>
          </w:p>
        </w:tc>
        <w:tc>
          <w:tcPr>
            <w:tcW w:type="dxa" w:w="2268"/>
            <w:shd w:fill="F0F0F0"/>
            <w:vAlign w:val="center"/>
          </w:tcPr>
          <w:p>
            <w:pPr>
              <w:jc w:val="left"/>
            </w:pPr>
            <w:r/>
            <w:r>
              <w:rPr>
                <w:rFonts w:ascii="Calibri" w:hAnsi="Calibri"/>
                <w:color w:val="2D2D2D"/>
                <w:sz w:val="18"/>
              </w:rPr>
              <w:t>Secondary-market depth, bid-ask spread</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OperationalResilience</w:t>
            </w:r>
          </w:p>
        </w:tc>
        <w:tc>
          <w:tcPr>
            <w:tcW w:type="dxa" w:w="2268"/>
            <w:vAlign w:val="center"/>
          </w:tcPr>
          <w:p>
            <w:pPr>
              <w:jc w:val="left"/>
            </w:pPr>
            <w:r/>
            <w:r>
              <w:rPr>
                <w:rFonts w:ascii="Calibri" w:hAnsi="Calibri"/>
                <w:color w:val="2D2D2D"/>
                <w:sz w:val="18"/>
              </w:rPr>
              <w:t>0.05</w:t>
            </w:r>
          </w:p>
        </w:tc>
        <w:tc>
          <w:tcPr>
            <w:tcW w:type="dxa" w:w="2268"/>
            <w:vAlign w:val="center"/>
          </w:tcPr>
          <w:p>
            <w:pPr>
              <w:jc w:val="left"/>
            </w:pPr>
            <w:r/>
            <w:r>
              <w:rPr>
                <w:rFonts w:ascii="Calibri" w:hAnsi="Calibri"/>
                <w:color w:val="2D2D2D"/>
                <w:sz w:val="18"/>
              </w:rPr>
              <w:t>Business continuity, wind-down plan</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Jurisdiction</w:t>
            </w:r>
          </w:p>
        </w:tc>
        <w:tc>
          <w:tcPr>
            <w:tcW w:type="dxa" w:w="2268"/>
            <w:shd w:fill="F0F0F0"/>
            <w:vAlign w:val="center"/>
          </w:tcPr>
          <w:p>
            <w:pPr>
              <w:jc w:val="left"/>
            </w:pPr>
            <w:r/>
            <w:r>
              <w:rPr>
                <w:rFonts w:ascii="Calibri" w:hAnsi="Calibri"/>
                <w:color w:val="2D2D2D"/>
                <w:sz w:val="18"/>
              </w:rPr>
              <w:t>0.02</w:t>
            </w:r>
          </w:p>
        </w:tc>
        <w:tc>
          <w:tcPr>
            <w:tcW w:type="dxa" w:w="2268"/>
            <w:shd w:fill="F0F0F0"/>
            <w:vAlign w:val="center"/>
          </w:tcPr>
          <w:p>
            <w:pPr>
              <w:jc w:val="left"/>
            </w:pPr>
            <w:r/>
            <w:r>
              <w:rPr>
                <w:rFonts w:ascii="Calibri" w:hAnsi="Calibri"/>
                <w:color w:val="2D2D2D"/>
                <w:sz w:val="18"/>
              </w:rPr>
              <w:t>Regulatory clarity, governing law (NY/US)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**PAXG 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**9.00**</w:t>
            </w:r>
          </w:p>
        </w:tc>
      </w:tr>
    </w:tbl>
    <w:p/>
    <w:p>
      <w:r>
        <w:rPr>
          <w:b/>
        </w:rPr>
        <w:t>Thresholds</w:t>
      </w:r>
      <w:r>
        <w:t>:</w:t>
      </w:r>
    </w:p>
    <w:p>
      <w:pPr>
        <w:pStyle w:val="ListBullet"/>
        <w:ind w:left="425"/>
      </w:pPr>
      <w:r>
        <w:t>TGRS ≥ 8.0 → ELIGIBLE (admitted).</w:t>
      </w:r>
    </w:p>
    <w:p>
      <w:pPr>
        <w:pStyle w:val="ListBullet"/>
        <w:ind w:left="425"/>
      </w:pPr>
      <w:r>
        <w:t>6.0 ≤ TGRS &lt; 8.0 → CONDITIONAL (not admitted; monitor).</w:t>
      </w:r>
    </w:p>
    <w:p>
      <w:pPr>
        <w:pStyle w:val="ListBullet"/>
        <w:ind w:left="425"/>
      </w:pPr>
      <w:r>
        <w:t>TGRS &lt; 6.0 → REJECTED.</w:t>
      </w:r>
    </w:p>
    <w:p>
      <w:r>
        <w:rPr>
          <w:b/>
        </w:rPr>
        <w:t>Validated registry</w:t>
      </w:r>
      <w:r>
        <w:t xml:space="preserve"> (Task 3, 2026-08-13):</w:t>
      </w:r>
    </w:p>
    <w:p>
      <w:pPr>
        <w:pStyle w:val="ListBullet"/>
        <w:ind w:left="425"/>
      </w:pPr>
      <w:r>
        <w:t>PAXG: TGRS 9.00, ELIGIBLE (only admitted product).</w:t>
      </w:r>
    </w:p>
    <w:p>
      <w:pPr>
        <w:pStyle w:val="ListBullet"/>
        <w:ind w:left="425"/>
      </w:pPr>
      <w:r>
        <w:t>XAUT: TGRS 7.71, REJECTED (fails gate — bankruptcy-remoteness UNCERTAIN, legal review UNCERTAIN).</w:t>
      </w:r>
    </w:p>
    <w:p>
      <w:pPr>
        <w:pStyle w:val="ListBullet"/>
        <w:ind w:left="425"/>
      </w:pPr>
      <w:r>
        <w:t>KAU: TGRS 7.23, REJECTED (multiple gate failures).</w:t>
      </w:r>
    </w:p>
    <w:p>
      <w:pPr>
        <w:pStyle w:val="ListBullet"/>
        <w:ind w:left="425"/>
      </w:pPr>
      <w:r>
        <w:t>PMGT: TGRS 0.64, REJECTED (discontinued).</w:t>
      </w:r>
    </w:p>
    <w:p>
      <w:pPr>
        <w:pStyle w:val="ListBullet"/>
        <w:ind w:left="425"/>
      </w:pPr>
      <w:r>
        <w:t xml:space="preserve">DGX, Meld Gold, Aurus, CGT: REJECTED (various gate failures; see </w:t>
      </w:r>
      <w:r>
        <w:rPr>
          <w:rFonts w:ascii="Consolas" w:hAnsi="Consolas"/>
          <w:color w:val="6B6B6B"/>
          <w:sz w:val="19"/>
        </w:rPr>
        <w:t>docs/verification/v24.2.1-tgrs-validation.md</w:t>
      </w:r>
      <w:r>
        <w:t>).</w:t>
      </w:r>
    </w:p>
    <w:p>
      <w:pPr>
        <w:pStyle w:val="Heading4"/>
      </w:pPr>
      <w:r>
        <w:t>C1.10 — TGLS (Tokenized Gold Liquidity Score — 9 dimensions)</w:t>
      </w:r>
    </w:p>
    <w:p>
      <w:pPr>
        <w:ind w:left="283"/>
        <w:shd w:fill="F5F5F5"/>
      </w:pPr>
      <w:r>
        <w:rPr>
          <w:rFonts w:ascii="Consolas" w:hAnsi="Consolas"/>
          <w:color w:val="6B6B6B"/>
          <w:sz w:val="18"/>
        </w:rPr>
        <w:t>TGLS = 0.20 × OnChainLiquidity</w:t>
        <w:br/>
        <w:t xml:space="preserve">     + 0.15 × OffChainRedemption</w:t>
        <w:br/>
        <w:t xml:space="preserve">     + 0.15 × MarketDepth</w:t>
        <w:br/>
        <w:t xml:space="preserve">     + 0.10 × BidAskSpread</w:t>
        <w:br/>
        <w:t xml:space="preserve">     + 0.10 × Volatility</w:t>
        <w:br/>
        <w:t xml:space="preserve">     + 0.10 × CorrelationWithSpot</w:t>
        <w:br/>
        <w:t xml:space="preserve">     + 0.10 × SettlementFinality</w:t>
        <w:br/>
        <w:t xml:space="preserve">     + 0.05 × GasCost</w:t>
        <w:br/>
        <w:t xml:space="preserve">     + 0.05 × SlippageModel</w:t>
      </w:r>
    </w:p>
    <w:p>
      <w:r>
        <w:t>TGLS is reported alongside TGRS but is NOT a hard admission gate. TGLS informs the haircut calibration (§C1.12) and the dynamic weight allocation within the 0-7% range.</w:t>
      </w:r>
    </w:p>
    <w:p>
      <w:r>
        <w:t>A product with TGRS ≥ 8.0 but TGLS &lt; 6.0 is admitted with an elevated haircut (penalty +1.0%) and capped at 3% weight (not the full 7%).</w:t>
      </w:r>
    </w:p>
    <w:p>
      <w:pPr>
        <w:pStyle w:val="Heading4"/>
      </w:pPr>
      <w:r>
        <w:t>C1.11 — TGBS (Tokenized Gold Basis Spread)</w:t>
      </w:r>
    </w:p>
    <w:p>
      <w:pPr>
        <w:ind w:left="283"/>
        <w:shd w:fill="F5F5F5"/>
      </w:pPr>
      <w:r>
        <w:rPr>
          <w:rFonts w:ascii="Consolas" w:hAnsi="Consolas"/>
          <w:color w:val="6B6B6B"/>
          <w:sz w:val="18"/>
        </w:rPr>
        <w:t>TGBS = (P_market_PAXG − P_LBMA_spot) / P_LBMA_spot</w:t>
      </w:r>
    </w:p>
    <w:p>
      <w:r>
        <w:t>Where:</w:t>
      </w:r>
    </w:p>
    <w:p>
      <w:pPr>
        <w:pStyle w:val="ListBullet"/>
        <w:ind w:left="425"/>
      </w:pPr>
      <w:r>
        <w:rPr>
          <w:rFonts w:ascii="Consolas" w:hAnsi="Consolas"/>
          <w:color w:val="6B6B6B"/>
          <w:sz w:val="19"/>
        </w:rPr>
        <w:t>P_market_PAXG</w:t>
      </w:r>
      <w:r>
        <w:t xml:space="preserve"> = median of CoinGecko + Uniswap v3 + 0x quotes (Oracle B — TokenizedMarket, §21).</w:t>
      </w:r>
    </w:p>
    <w:p>
      <w:pPr>
        <w:pStyle w:val="ListBullet"/>
        <w:ind w:left="425"/>
      </w:pPr>
      <w:r>
        <w:rPr>
          <w:rFonts w:ascii="Consolas" w:hAnsi="Consolas"/>
          <w:color w:val="6B6B6B"/>
          <w:sz w:val="19"/>
        </w:rPr>
        <w:t>P_LBMA_spot</w:t>
      </w:r>
      <w:r>
        <w:t xml:space="preserve"> = median of gold-api.com + goldprice.org (Oracle A — GoldNAV, §21).</w:t>
      </w:r>
    </w:p>
    <w:p>
      <w:r>
        <w:rPr>
          <w:b/>
        </w:rPr>
        <w:t>Monitoring</w:t>
      </w:r>
      <w:r>
        <w:t>:</w:t>
      </w:r>
    </w:p>
    <w:p>
      <w:pPr>
        <w:pStyle w:val="ListBullet"/>
        <w:ind w:left="425"/>
      </w:pPr>
      <w:r>
        <w:t>|TGBS| ≤ 0.5% → NORMAL (tokenized market tracking spot).</w:t>
      </w:r>
    </w:p>
    <w:p>
      <w:pPr>
        <w:pStyle w:val="ListBullet"/>
        <w:ind w:left="425"/>
      </w:pPr>
      <w:r>
        <w:t>0.5% &lt; |TGBS| ≤ 1.5% → ELEVATED (investigate basis; report to Risk Committee).</w:t>
      </w:r>
    </w:p>
    <w:p>
      <w:pPr>
        <w:pStyle w:val="ListBullet"/>
        <w:ind w:left="425"/>
      </w:pPr>
      <w:r>
        <w:t>|TGBS| &gt; 1.5% for &gt;2 hours → STRESS (circuit breaker; suspend new tokenized-gold acquisitions, investigate issuer redemption friction).</w:t>
      </w:r>
    </w:p>
    <w:p>
      <w:r>
        <w:rPr>
          <w:b/>
        </w:rPr>
        <w:t>Implemented</w:t>
      </w:r>
      <w:r>
        <w:t xml:space="preserve">: </w:t>
      </w:r>
      <w:r>
        <w:rPr>
          <w:rFonts w:ascii="Consolas" w:hAnsi="Consolas"/>
          <w:color w:val="6B6B6B"/>
          <w:sz w:val="19"/>
        </w:rPr>
        <w:t>getTokenizedGoldPrice()</w:t>
      </w:r>
      <w:r>
        <w:t xml:space="preserve"> in </w:t>
      </w:r>
      <w:r>
        <w:rPr>
          <w:rFonts w:ascii="Consolas" w:hAnsi="Consolas"/>
          <w:color w:val="6B6B6B"/>
          <w:sz w:val="19"/>
        </w:rPr>
        <w:t>src/lib/multi-oracle.ts</w:t>
      </w:r>
      <w:r>
        <w:t xml:space="preserve"> computes the basis spread and exposes it via </w:t>
      </w:r>
      <w:r>
        <w:rPr>
          <w:rFonts w:ascii="Consolas" w:hAnsi="Consolas"/>
          <w:color w:val="6B6B6B"/>
          <w:sz w:val="19"/>
        </w:rPr>
        <w:t>/api/v24.2.1</w:t>
      </w:r>
      <w:r>
        <w:t xml:space="preserve"> response.</w:t>
      </w:r>
    </w:p>
    <w:p>
      <w:pPr>
        <w:pStyle w:val="Heading4"/>
      </w:pPr>
      <w:r>
        <w:t>C1.12 — Haircut (Dynamic §20)</w:t>
      </w:r>
    </w:p>
    <w:p>
      <w:r>
        <w:t xml:space="preserve">The tokenized-gold haircut </w:t>
      </w:r>
      <w:r>
        <w:rPr>
          <w:rFonts w:ascii="Consolas" w:hAnsi="Consolas"/>
          <w:color w:val="6B6B6B"/>
          <w:sz w:val="19"/>
        </w:rPr>
        <w:t>H_TG</w:t>
      </w:r>
      <w:r>
        <w:t xml:space="preserve"> is </w:t>
      </w:r>
      <w:r>
        <w:rPr>
          <w:b/>
        </w:rPr>
        <w:t>dynamic</w:t>
      </w:r>
      <w:r>
        <w:t>, calibrated to TGRS, and bounded:</w:t>
      </w:r>
    </w:p>
    <w:p>
      <w:pPr>
        <w:ind w:left="283"/>
        <w:shd w:fill="F5F5F5"/>
      </w:pPr>
      <w:r>
        <w:rPr>
          <w:rFonts w:ascii="Consolas" w:hAnsi="Consolas"/>
          <w:color w:val="6B6B6B"/>
          <w:sz w:val="18"/>
        </w:rPr>
        <w:t>H_TG = max(5%, 5% + (10 − TGRS) × 0.5%)</w:t>
      </w:r>
    </w:p>
    <w:p>
      <w:pPr>
        <w:pStyle w:val="ListBullet"/>
        <w:ind w:left="425"/>
      </w:pPr>
      <w:r>
        <w:t>TGRS = 10.0 → H_TG = 5.0% (theoretical floor; no product scores 10).</w:t>
      </w:r>
    </w:p>
    <w:p>
      <w:pPr>
        <w:pStyle w:val="ListBullet"/>
        <w:ind w:left="425"/>
      </w:pPr>
      <w:r>
        <w:t>TGRS = 9.0 → H_TG = 5.5% (PAXG).</w:t>
      </w:r>
    </w:p>
    <w:p>
      <w:pPr>
        <w:pStyle w:val="ListBullet"/>
        <w:ind w:left="425"/>
      </w:pPr>
      <w:r>
        <w:t>TGRS = 8.0 → H_TG = 6.0% (admission threshold; tightest admission haircut).</w:t>
      </w:r>
    </w:p>
    <w:p>
      <w:pPr>
        <w:pStyle w:val="ListBullet"/>
        <w:ind w:left="425"/>
      </w:pPr>
      <w:r>
        <w:t>TGRS = 6.0 → H_TG = 7.0% (conditional; not admitted).</w:t>
      </w:r>
    </w:p>
    <w:p>
      <w:pPr>
        <w:pStyle w:val="ListBullet"/>
        <w:ind w:left="425"/>
      </w:pPr>
      <w:r>
        <w:t>TGRS &lt; 6.0 → not admitted; haircut irrelevant.</w:t>
      </w:r>
    </w:p>
    <w:p>
      <w:r>
        <w:t xml:space="preserve">H_TG is </w:t>
      </w:r>
      <w:r>
        <w:rPr>
          <w:b/>
        </w:rPr>
        <w:t>higher</w:t>
      </w:r>
      <w:r>
        <w:t xml:space="preserve"> than the physical-gold haircut (H_G = 3.0%) to reflect:</w:t>
      </w:r>
    </w:p>
    <w:p>
      <w:pPr>
        <w:pStyle w:val="ListBullet"/>
        <w:ind w:left="425"/>
      </w:pPr>
      <w:r>
        <w:t>Smart-contract risk (audits reduce but do not eliminate this).</w:t>
      </w:r>
    </w:p>
    <w:p>
      <w:pPr>
        <w:pStyle w:val="ListBullet"/>
        <w:ind w:left="425"/>
      </w:pPr>
      <w:r>
        <w:t>Issuer risk (Paxos is regulated but not a sovereign).</w:t>
      </w:r>
    </w:p>
    <w:p>
      <w:pPr>
        <w:pStyle w:val="ListBullet"/>
        <w:ind w:left="425"/>
      </w:pPr>
      <w:r>
        <w:t>Secondary-market basis risk (TGBS may diverge from spot).</w:t>
      </w:r>
    </w:p>
    <w:p>
      <w:pPr>
        <w:pStyle w:val="ListBullet"/>
        <w:ind w:left="425"/>
      </w:pPr>
      <w:r>
        <w:t>Redemption friction (physical delivery has settlement lag).</w:t>
      </w:r>
    </w:p>
    <w:p>
      <w:r>
        <w:t>H_TG converges toward H_G only as TGRS approaches 10 (i.e., as evidence accumulates that the tokenized layer is operationally indistinguishable from physical).</w:t>
      </w:r>
    </w:p>
    <w:p>
      <w:r>
        <w:rPr>
          <w:b/>
        </w:rPr>
        <w:t>Stress coefficient</w:t>
      </w:r>
      <w:r>
        <w:t xml:space="preserve"> S_TG (per §3.7) is </w:t>
      </w:r>
      <w:r>
        <w:rPr>
          <w:b/>
        </w:rPr>
        <w:t>distinct</w:t>
      </w:r>
      <w:r>
        <w:t xml:space="preserve"> from H_TG and is applied multiplicatively in the stress regime: </w:t>
      </w:r>
      <w:r>
        <w:rPr>
          <w:rFonts w:ascii="Consolas" w:hAnsi="Consolas"/>
          <w:color w:val="6B6B6B"/>
          <w:sz w:val="19"/>
        </w:rPr>
        <w:t>R_l_TG = Q_TG × P_GoldNAV × (1 − H_TG) × C_TG × S_TG</w:t>
      </w:r>
      <w:r>
        <w:t>. The double-counting theorem (Appendix V24.2.1-V.6, Theorem T4) confirms H_TG and S_TG are independent dimensions and are NOT compounded.</w:t>
      </w:r>
    </w:p>
    <w:p>
      <w:pPr>
        <w:pStyle w:val="Heading4"/>
      </w:pPr>
      <w:r>
        <w:t>C1.13 — Attestation Freshness (§22)</w:t>
      </w:r>
    </w:p>
    <w:p>
      <w:r>
        <w:t>Each of the 13 eligibility conditions has a maximum attestation freshness: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Max freshness</w:t>
            </w:r>
          </w:p>
        </w:tc>
      </w:tr>
      <w:tr>
        <w:tc>
          <w:tcPr>
            <w:tcW w:type="dxa" w:w="4536"/>
            <w:vAlign w:val="center"/>
          </w:tcPr>
          <w:p>
            <w:pPr>
              <w:jc w:val="left"/>
            </w:pPr>
            <w:r/>
            <w:r>
              <w:rPr>
                <w:rFonts w:ascii="Calibri" w:hAnsi="Calibri"/>
                <w:color w:val="2D2D2D"/>
                <w:sz w:val="18"/>
              </w:rPr>
              <w:t>PhysicalBacking (bar list reconciliation)</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LegalTitle (legal opinion)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Custody (vault agreement)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Redemption (procedure document)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IssuerReliability (regulatory status)</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OracleReliability (price-feed audit)</w:t>
            </w:r>
          </w:p>
        </w:tc>
        <w:tc>
          <w:tcPr>
            <w:tcW w:type="dxa" w:w="4536"/>
            <w:shd w:fill="F0F0F0"/>
            <w:vAlign w:val="center"/>
          </w:tcPr>
          <w:p>
            <w:pPr>
              <w:jc w:val="left"/>
            </w:pPr>
            <w:r/>
            <w:r>
              <w:rPr>
                <w:rFonts w:ascii="Calibri" w:hAnsi="Calibri"/>
                <w:color w:val="2D2D2D"/>
                <w:sz w:val="18"/>
              </w:rPr>
              <w:t>90 days</w:t>
            </w:r>
          </w:p>
        </w:tc>
      </w:tr>
      <w:tr>
        <w:tc>
          <w:tcPr>
            <w:tcW w:type="dxa" w:w="4536"/>
            <w:vAlign w:val="center"/>
          </w:tcPr>
          <w:p>
            <w:pPr>
              <w:jc w:val="left"/>
            </w:pPr>
            <w:r/>
            <w:r>
              <w:rPr>
                <w:rFonts w:ascii="Calibri" w:hAnsi="Calibri"/>
                <w:color w:val="2D2D2D"/>
                <w:sz w:val="18"/>
              </w:rPr>
              <w:t>Settlement (chain finality report)</w:t>
            </w:r>
          </w:p>
        </w:tc>
        <w:tc>
          <w:tcPr>
            <w:tcW w:type="dxa" w:w="4536"/>
            <w:vAlign w:val="center"/>
          </w:tcPr>
          <w:p>
            <w:pPr>
              <w:jc w:val="left"/>
            </w:pPr>
            <w:r/>
            <w:r>
              <w:rPr>
                <w:rFonts w:ascii="Calibri" w:hAnsi="Calibri"/>
                <w:color w:val="2D2D2D"/>
                <w:sz w:val="18"/>
              </w:rPr>
              <w:t>90 days</w:t>
            </w:r>
          </w:p>
        </w:tc>
      </w:tr>
      <w:tr>
        <w:tc>
          <w:tcPr>
            <w:tcW w:type="dxa" w:w="4536"/>
            <w:shd w:fill="F0F0F0"/>
            <w:vAlign w:val="center"/>
          </w:tcPr>
          <w:p>
            <w:pPr>
              <w:jc w:val="left"/>
            </w:pPr>
            <w:r/>
            <w:r>
              <w:rPr>
                <w:rFonts w:ascii="Calibri" w:hAnsi="Calibri"/>
                <w:color w:val="2D2D2D"/>
                <w:sz w:val="18"/>
              </w:rPr>
              <w:t>Liquidity (market-depth study)</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OperationalResilience (BCP test)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Jurisdiction (regulatory classification)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BankruptcyRemoteness (legal opinion)</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SmartContractAudit (CertiK or equivalent)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NoRehypothecation (covenant verification)</w:t>
            </w:r>
          </w:p>
        </w:tc>
        <w:tc>
          <w:tcPr>
            <w:tcW w:type="dxa" w:w="4536"/>
            <w:vAlign w:val="center"/>
          </w:tcPr>
          <w:p>
            <w:pPr>
              <w:jc w:val="left"/>
            </w:pPr>
            <w:r/>
            <w:r>
              <w:rPr>
                <w:rFonts w:ascii="Calibri" w:hAnsi="Calibri"/>
                <w:color w:val="2D2D2D"/>
                <w:sz w:val="18"/>
              </w:rPr>
              <w:t>90 days</w:t>
            </w:r>
          </w:p>
        </w:tc>
      </w:tr>
    </w:tbl>
    <w:p/>
    <w:p>
      <w:r>
        <w:t xml:space="preserve">Any attestation exceeding its freshness window → the corresponding gate condition becomes STALE → fails the 13-point gate → </w:t>
      </w:r>
      <w:r>
        <w:rPr>
          <w:rFonts w:ascii="Consolas" w:hAnsi="Consolas"/>
          <w:color w:val="6B6B6B"/>
          <w:sz w:val="19"/>
        </w:rPr>
        <w:t>admitted</w:t>
      </w:r>
      <w:r>
        <w:t xml:space="preserve"> flips to </w:t>
      </w:r>
      <w:r>
        <w:rPr>
          <w:rFonts w:ascii="Consolas" w:hAnsi="Consolas"/>
          <w:color w:val="6B6B6B"/>
          <w:sz w:val="19"/>
        </w:rPr>
        <w:t>false</w:t>
      </w:r>
      <w:r>
        <w:t xml:space="preserve"> → tokenized-gold weight forced to 0% within 5 business days (§C1.17 fail-closed).</w:t>
      </w:r>
    </w:p>
    <w:p>
      <w:pPr>
        <w:pStyle w:val="Heading4"/>
      </w:pPr>
      <w:r>
        <w:t>C1.14 — Oracle Architecture (3 separated oracles §21)</w:t>
      </w:r>
    </w:p>
    <w:p>
      <w:r>
        <w:t xml:space="preserve">The v24.2.1 directive (§21) </w:t>
      </w:r>
      <w:r>
        <w:rPr>
          <w:b/>
        </w:rPr>
        <w:t>PROHIBITS</w:t>
      </w:r>
      <w:r>
        <w:t xml:space="preserve"> mixing tokenized gold market price into the Gold NAV median used for reserve accounting. Three oracles are operated independently:</w:t>
      </w:r>
    </w:p>
    <w:p>
      <w:pPr>
        <w:ind w:left="283"/>
        <w:shd w:fill="F5F5F5"/>
      </w:pPr>
      <w:r>
        <w:rPr>
          <w:rFonts w:ascii="Consolas" w:hAnsi="Consolas"/>
          <w:color w:val="6B6B6B"/>
          <w:sz w:val="18"/>
        </w:rPr>
        <w:t>Oracle A — GoldNAV            → reserve accounting (V_TG formula §C1.12)</w:t>
        <w:br/>
        <w:t xml:space="preserve">  Sources: gold-api.com + goldprice.org (LBMA spot, NO tokenized gold)</w:t>
        <w:br/>
        <w:t xml:space="preserve">  Method:  median, 60s cache, fail-closed if both sources stale</w:t>
        <w:br/>
        <w:br/>
        <w:t>Oracle B — TokenizedMarket    → TGBS / liquidity monitoring only</w:t>
        <w:br/>
        <w:t xml:space="preserve">  Sources: CoinGecko pax-gold + Uniswap v3 TWAP + 0x quote</w:t>
        <w:br/>
        <w:t xml:space="preserve">  Method:  median, 60s cache, NOT used for reserve accounting</w:t>
        <w:br/>
        <w:br/>
        <w:t>Oracle C — RedemptionReference → issuer-executable value (PAXG redemption NAV)</w:t>
        <w:br/>
        <w:t xml:space="preserve">  Source:  Paxos API (1 PAXG = 1 oz allocated gold at LBMA spot, minus redemption fee)</w:t>
        <w:br/>
        <w:t xml:space="preserve">  Method:  direct fetch, 60s cache, used for redemption-NAV reporting</w:t>
      </w:r>
    </w:p>
    <w:p>
      <w:r>
        <w:rPr>
          <w:b/>
        </w:rPr>
        <w:t>Reserve valuation formula (§19)</w:t>
      </w:r>
      <w:r>
        <w:t>:</w:t>
      </w:r>
    </w:p>
    <w:p>
      <w:pPr>
        <w:ind w:left="283"/>
        <w:shd w:fill="F5F5F5"/>
      </w:pPr>
      <w:r>
        <w:rPr>
          <w:rFonts w:ascii="Consolas" w:hAnsi="Consolas"/>
          <w:color w:val="6B6B6B"/>
          <w:sz w:val="18"/>
        </w:rPr>
        <w:t>V_TG = Q_TG × P_GoldNAV × (1 − H_TG) × C_TG</w:t>
      </w:r>
    </w:p>
    <w:p>
      <w:r>
        <w:t>Where:</w:t>
      </w:r>
    </w:p>
    <w:p>
      <w:pPr>
        <w:pStyle w:val="ListBullet"/>
        <w:ind w:left="425"/>
      </w:pPr>
      <w:r>
        <w:rPr>
          <w:rFonts w:ascii="Consolas" w:hAnsi="Consolas"/>
          <w:color w:val="6B6B6B"/>
          <w:sz w:val="19"/>
        </w:rPr>
        <w:t>Q_TG</w:t>
      </w:r>
      <w:r>
        <w:t xml:space="preserve"> = tokenized gold quantity (PAXG ERC-20 balance held by treasury wallet).</w:t>
      </w:r>
    </w:p>
    <w:p>
      <w:pPr>
        <w:pStyle w:val="ListBullet"/>
        <w:ind w:left="425"/>
      </w:pPr>
      <w:r>
        <w:rPr>
          <w:rFonts w:ascii="Consolas" w:hAnsi="Consolas"/>
          <w:color w:val="6B6B6B"/>
          <w:sz w:val="19"/>
        </w:rPr>
        <w:t>P_GoldNAV</w:t>
      </w:r>
      <w:r>
        <w:t xml:space="preserve"> = Oracle A price (NEVER Oracle B market price).</w:t>
      </w:r>
    </w:p>
    <w:p>
      <w:pPr>
        <w:pStyle w:val="ListBullet"/>
        <w:ind w:left="425"/>
      </w:pPr>
      <w:r>
        <w:rPr>
          <w:rFonts w:ascii="Consolas" w:hAnsi="Consolas"/>
          <w:color w:val="6B6B6B"/>
          <w:sz w:val="19"/>
        </w:rPr>
        <w:t>H_TG</w:t>
      </w:r>
      <w:r>
        <w:t xml:space="preserve"> = dynamic haircut (§C1.12).</w:t>
      </w:r>
    </w:p>
    <w:p>
      <w:pPr>
        <w:pStyle w:val="ListBullet"/>
        <w:ind w:left="425"/>
      </w:pPr>
      <w:r>
        <w:rPr>
          <w:rFonts w:ascii="Consolas" w:hAnsi="Consolas"/>
          <w:color w:val="6B6B6B"/>
          <w:sz w:val="19"/>
        </w:rPr>
        <w:t>C_TG</w:t>
      </w:r>
      <w:r>
        <w:t xml:space="preserve"> = counterparty score (issuer credit × jurisdiction × operational).</w:t>
      </w:r>
    </w:p>
    <w:p>
      <w:r>
        <w:t>Oracle B (PAXG market price) is used ONLY for TGBS monitoring (§C1.11) and is NEVER mixed into the reserve valuation. This is the anti-manipulation guarantee: even if PAXG market price is attacked on a DEX, the reserve valuation is unaffected.</w:t>
      </w:r>
    </w:p>
    <w:p>
      <w:r>
        <w:rPr>
          <w:b/>
        </w:rPr>
        <w:t>Implementation</w:t>
      </w:r>
      <w:r>
        <w:t xml:space="preserve">: </w:t>
      </w:r>
      <w:r>
        <w:rPr>
          <w:rFonts w:ascii="Consolas" w:hAnsi="Consolas"/>
          <w:color w:val="6B6B6B"/>
          <w:sz w:val="19"/>
        </w:rPr>
        <w:t>src/lib/tokenized-gold-oracle.ts</w:t>
      </w:r>
      <w:r>
        <w:t xml:space="preserve"> exports </w:t>
      </w:r>
      <w:r>
        <w:rPr>
          <w:rFonts w:ascii="Consolas" w:hAnsi="Consolas"/>
          <w:color w:val="6B6B6B"/>
          <w:sz w:val="19"/>
        </w:rPr>
        <w:t>getGoldNavPrice()</w:t>
      </w:r>
      <w:r>
        <w:t xml:space="preserve"> (Oracle A), </w:t>
      </w:r>
      <w:r>
        <w:rPr>
          <w:rFonts w:ascii="Consolas" w:hAnsi="Consolas"/>
          <w:color w:val="6B6B6B"/>
          <w:sz w:val="19"/>
        </w:rPr>
        <w:t>getTokenizedMarketPrice()</w:t>
      </w:r>
      <w:r>
        <w:t xml:space="preserve"> (Oracle B), and </w:t>
      </w:r>
      <w:r>
        <w:rPr>
          <w:rFonts w:ascii="Consolas" w:hAnsi="Consolas"/>
          <w:color w:val="6B6B6B"/>
          <w:sz w:val="19"/>
        </w:rPr>
        <w:t>getRedemptionReferencePrice()</w:t>
      </w:r>
      <w:r>
        <w:t xml:space="preserve"> (Oracle C) as separate functions with separate caches.</w:t>
      </w:r>
    </w:p>
    <w:p>
      <w:pPr>
        <w:pStyle w:val="Heading4"/>
      </w:pPr>
      <w:r>
        <w:t>C1.15 — Dynamic Allocation</w:t>
      </w:r>
    </w:p>
    <w:p>
      <w:r>
        <w:t xml:space="preserve">The tokenized gold weight is </w:t>
      </w:r>
      <w:r>
        <w:rPr>
          <w:b/>
        </w:rPr>
        <w:t>dynamic within the constitutional range</w:t>
      </w:r>
      <w:r>
        <w:t xml:space="preserve"> </w:t>
      </w:r>
      <w:r>
        <w:rPr>
          <w:rFonts w:ascii="Consolas" w:hAnsi="Consolas"/>
          <w:color w:val="6B6B6B"/>
          <w:sz w:val="19"/>
        </w:rPr>
        <w:t>[0%, 7%]</w:t>
      </w:r>
      <w:r>
        <w:t xml:space="preserve"> and is governed by:</w:t>
      </w:r>
    </w:p>
    <w:p>
      <w:pPr>
        <w:pStyle w:val="ListNumber"/>
        <w:ind w:left="425"/>
      </w:pPr>
      <w:r>
        <w:t>The optimizer (§V24.2.6 4-tier hierarchical) selects a target weight each rebalancing cycle subject to:</w:t>
      </w:r>
    </w:p>
    <w:p>
      <w:pPr>
        <w:pStyle w:val="ListBullet"/>
        <w:ind w:left="425"/>
      </w:pPr>
      <w:r>
        <w:t>Total bullion ≤ 25% (hard constraint Tier 1).</w:t>
      </w:r>
    </w:p>
    <w:p>
      <w:pPr>
        <w:pStyle w:val="ListBullet"/>
        <w:ind w:left="425"/>
      </w:pPr>
      <w:r>
        <w:t>Physical gold ≥ 10% (hard constraint Tier 1).</w:t>
      </w:r>
    </w:p>
    <w:p>
      <w:pPr>
        <w:pStyle w:val="ListBullet"/>
        <w:ind w:left="425"/>
      </w:pPr>
      <w:r>
        <w:t>TGRS ≥ 8.0 (hard constraint Tier 1; fail-closed).</w:t>
      </w:r>
    </w:p>
    <w:p>
      <w:pPr>
        <w:pStyle w:val="ListNumber"/>
        <w:ind w:left="425"/>
      </w:pPr>
      <w:r>
        <w:t>The approved strategic reference (Portfolio B) sets the center of mass at 5%.</w:t>
      </w:r>
    </w:p>
    <w:p>
      <w:pPr>
        <w:pStyle w:val="ListNumber"/>
        <w:ind w:left="425"/>
      </w:pPr>
      <w:r>
        <w:t>The optimizer may move within ±2pp of the strategic reference per cycle (hysteresis, §5.3 pattern: 2pp band, 2-cycle confirmation, direction-tracking).</w:t>
      </w:r>
    </w:p>
    <w:p>
      <w:pPr>
        <w:pStyle w:val="ListNumber"/>
        <w:ind w:left="425"/>
      </w:pPr>
      <w:r>
        <w:t>Stress-state (STRESS/EMERGENCY) reduces the tokenized gold weight toward 0% as part of the broader "digital-first liquidation" pattern (Article X §V24.2.1.6 — tokenized gold before physical gold).</w:t>
      </w:r>
    </w:p>
    <w:p>
      <w:pPr>
        <w:pStyle w:val="Heading4"/>
      </w:pPr>
      <w:r>
        <w:t>C1.16 — Impairment Handling</w:t>
      </w:r>
    </w:p>
    <w:p>
      <w:r>
        <w:t xml:space="preserve">An </w:t>
      </w:r>
      <w:r>
        <w:rPr>
          <w:b/>
        </w:rPr>
        <w:t>impairment event</w:t>
      </w:r>
      <w:r>
        <w:t xml:space="preserve"> is any of:</w:t>
      </w:r>
    </w:p>
    <w:p>
      <w:pPr>
        <w:pStyle w:val="ListBullet"/>
        <w:ind w:left="425"/>
      </w:pPr>
      <w:r>
        <w:t>TGRS drop below 8.0 (any dimension).</w:t>
      </w:r>
    </w:p>
    <w:p>
      <w:pPr>
        <w:pStyle w:val="ListBullet"/>
        <w:ind w:left="425"/>
      </w:pPr>
      <w:r>
        <w:t>13-point gate failure (any condition FAIL or STALE).</w:t>
      </w:r>
    </w:p>
    <w:p>
      <w:pPr>
        <w:pStyle w:val="ListBullet"/>
        <w:ind w:left="425"/>
      </w:pPr>
      <w:r>
        <w:t>Bar-list serial collision with another pool (§C1.8).</w:t>
      </w:r>
    </w:p>
    <w:p>
      <w:pPr>
        <w:pStyle w:val="ListBullet"/>
        <w:ind w:left="425"/>
      </w:pPr>
      <w:r>
        <w:t>PAXG market basis |TGBS| &gt; 1.5% sustained &gt;2 hours (§C1.11).</w:t>
      </w:r>
    </w:p>
    <w:p>
      <w:pPr>
        <w:pStyle w:val="ListBullet"/>
        <w:ind w:left="425"/>
      </w:pPr>
      <w:r>
        <w:t>Smart-contract incident (chain halt, bridge exploit, audit finding).</w:t>
      </w:r>
    </w:p>
    <w:p>
      <w:pPr>
        <w:pStyle w:val="ListBullet"/>
        <w:ind w:left="425"/>
      </w:pPr>
      <w:r>
        <w:t>Issuer regulatory action (NYDFS consent order, license suspension).</w:t>
      </w:r>
    </w:p>
    <w:p>
      <w:pPr>
        <w:pStyle w:val="ListBullet"/>
        <w:ind w:left="425"/>
      </w:pPr>
      <w:r>
        <w:t>Issuer insolvency or wind-down filing.</w:t>
      </w:r>
    </w:p>
    <w:p>
      <w:r>
        <w:rPr>
          <w:b/>
        </w:rPr>
        <w:t>Impairment response</w:t>
      </w:r>
      <w:r>
        <w:t xml:space="preserve"> (mandatory, fail-closed, no governance discretion required):</w:t>
      </w:r>
    </w:p>
    <w:p>
      <w:pPr>
        <w:pStyle w:val="ListNumber"/>
        <w:ind w:left="425"/>
      </w:pPr>
      <w:r>
        <w:rPr>
          <w:b/>
        </w:rPr>
        <w:t>Immediate (T+0)</w:t>
      </w:r>
      <w:r>
        <w:t xml:space="preserve">: </w:t>
      </w:r>
      <w:r>
        <w:rPr>
          <w:rFonts w:ascii="Consolas" w:hAnsi="Consolas"/>
          <w:color w:val="6B6B6B"/>
          <w:sz w:val="19"/>
        </w:rPr>
        <w:t>monitorTgrs()</w:t>
      </w:r>
      <w:r>
        <w:t xml:space="preserve"> flags impairment; </w:t>
      </w:r>
      <w:r>
        <w:rPr>
          <w:rFonts w:ascii="Consolas" w:hAnsi="Consolas"/>
          <w:color w:val="6B6B6B"/>
          <w:sz w:val="19"/>
        </w:rPr>
        <w:t>enforceAntiDoubleCounting()</w:t>
      </w:r>
      <w:r>
        <w:t xml:space="preserve"> forces </w:t>
      </w:r>
      <w:r>
        <w:rPr>
          <w:rFonts w:ascii="Consolas" w:hAnsi="Consolas"/>
          <w:color w:val="6B6B6B"/>
          <w:sz w:val="19"/>
        </w:rPr>
        <w:t>effective_tokenized_weight = 0%</w:t>
      </w:r>
      <w:r>
        <w:t xml:space="preserve"> for reserve-accounting purposes.</w:t>
      </w:r>
    </w:p>
    <w:p>
      <w:pPr>
        <w:pStyle w:val="ListNumber"/>
        <w:ind w:left="425"/>
      </w:pPr>
      <w:r>
        <w:rPr>
          <w:b/>
        </w:rPr>
        <w:t>T+1 business day</w:t>
      </w:r>
      <w:r>
        <w:t>: Risk Committee convenes emergency session; reports to COO and CTO.</w:t>
      </w:r>
    </w:p>
    <w:p>
      <w:pPr>
        <w:pStyle w:val="ListNumber"/>
        <w:ind w:left="425"/>
      </w:pPr>
      <w:r>
        <w:rPr>
          <w:b/>
        </w:rPr>
        <w:t>T+5 business days</w:t>
      </w:r>
      <w:r>
        <w:t>: Treasury executes redemption of the entire PAXG balance (or as much as issuer redemption window permits); proceeds reallocated to physical gold (up to the 20% physical ceiling) and short-duration sovereign.</w:t>
      </w:r>
    </w:p>
    <w:p>
      <w:pPr>
        <w:pStyle w:val="ListNumber"/>
        <w:ind w:left="425"/>
      </w:pPr>
      <w:r>
        <w:rPr>
          <w:b/>
        </w:rPr>
        <w:t>T+30 business days</w:t>
      </w:r>
      <w:r>
        <w:t>: Post-mortem published; either (a) PAXG re-admitted after remediation (requires fresh 13-point gate pass AND TGRS ≥ 8.5) or (b) replacement product selected from the validated registry (none currently eligible; would require new validation cycle).</w:t>
      </w:r>
    </w:p>
    <w:p>
      <w:r>
        <w:rPr>
          <w:b/>
        </w:rPr>
        <w:t>Article X precedence</w:t>
      </w:r>
      <w:r>
        <w:t xml:space="preserve"> (§V24.2.1.6): During impairment, tokenized gold is liquidated </w:t>
      </w:r>
      <w:r>
        <w:rPr>
          <w:b/>
        </w:rPr>
        <w:t>before</w:t>
      </w:r>
      <w:r>
        <w:t xml:space="preserve"> physical gold, preserving the physical bar pool as the last-resort backstop.</w:t>
      </w:r>
    </w:p>
    <w:p>
      <w:pPr>
        <w:pStyle w:val="Heading4"/>
      </w:pPr>
      <w:r>
        <w:t>C1.17 — Fail-Closed Behavior</w:t>
      </w:r>
    </w:p>
    <w:p>
      <w:r>
        <w:t xml:space="preserve">The fail-closed circuit breakers are </w:t>
      </w:r>
      <w:r>
        <w:rPr>
          <w:b/>
        </w:rPr>
        <w:t>non-discretionary</w:t>
      </w:r>
      <w:r>
        <w:t xml:space="preserve"> and enforced at the code level:</w:t>
      </w:r>
    </w:p>
    <w:p>
      <w:pPr>
        <w:ind w:left="283"/>
        <w:shd w:fill="F5F5F5"/>
      </w:pPr>
      <w:r>
        <w:rPr>
          <w:rFonts w:ascii="Consolas" w:hAnsi="Consolas"/>
          <w:color w:val="6B6B6B"/>
          <w:sz w:val="18"/>
        </w:rPr>
        <w:t>// src/lib/v24-2-1-gold-silver.ts</w:t>
        <w:br/>
        <w:t>export function monitorTgrs(product: TokenizedGoldProduct): TgrsMonitorResult {</w:t>
        <w:br/>
        <w:t xml:space="preserve">  if (!product.eligibilityGatePassed) return { action: "SUSPEND", reason: "13-point gate failed" };</w:t>
        <w:br/>
        <w:t xml:space="preserve">  if (product.tgrs &lt; 8.0)              return { action: "SUSPEND", reason: "TGRS below 8.0" };</w:t>
        <w:br/>
        <w:t xml:space="preserve">  if (product.tgrs &lt; 8.5)              return { action: "INVESTIGATE", reason: "TGRS below 8.5" };</w:t>
        <w:br/>
        <w:t xml:space="preserve">  return { action: "OK", reason: "TGRS above 8.5, gate passed" };</w:t>
        <w:br/>
        <w:t>}</w:t>
        <w:br/>
        <w:br/>
        <w:t>export function enforceAntiDoubleCounting(</w:t>
        <w:br/>
        <w:t xml:space="preserve">  portfolio: Portfolio,</w:t>
        <w:br/>
        <w:t xml:space="preserve">  monitor: TgrsMonitorResult</w:t>
        <w:br/>
        <w:t>): Portfolio {</w:t>
        <w:br/>
        <w:t xml:space="preserve">  if (monitor.action === "SUSPEND") {</w:t>
        <w:br/>
        <w:t xml:space="preserve">    return { ...portfolio, effectiveTokenizedGoldWeight: 0 };</w:t>
        <w:br/>
        <w:t xml:space="preserve">  }</w:t>
        <w:br/>
        <w:t xml:space="preserve">  return portfolio;</w:t>
        <w:br/>
        <w:t>}</w:t>
      </w:r>
    </w:p>
    <w:p>
      <w:r>
        <w:rPr>
          <w:b/>
        </w:rPr>
        <w:t>Fail-closed semantics</w:t>
      </w:r>
      <w:r>
        <w:t>:</w:t>
      </w:r>
    </w:p>
    <w:p>
      <w:pPr>
        <w:pStyle w:val="ListBullet"/>
        <w:ind w:left="425"/>
      </w:pPr>
      <w:r>
        <w:t xml:space="preserve">If </w:t>
      </w:r>
      <w:r>
        <w:rPr>
          <w:rFonts w:ascii="Consolas" w:hAnsi="Consolas"/>
          <w:color w:val="6B6B6B"/>
          <w:sz w:val="19"/>
        </w:rPr>
        <w:t>monitorTgrs()</w:t>
      </w:r>
      <w:r>
        <w:t xml:space="preserve"> returns </w:t>
      </w:r>
      <w:r>
        <w:rPr>
          <w:rFonts w:ascii="Consolas" w:hAnsi="Consolas"/>
          <w:color w:val="6B6B6B"/>
          <w:sz w:val="19"/>
        </w:rPr>
        <w:t>SUSPEND</w:t>
      </w:r>
      <w:r>
        <w:t xml:space="preserve">, the effective tokenized gold weight is </w:t>
      </w:r>
      <w:r>
        <w:rPr>
          <w:b/>
        </w:rPr>
        <w:t>forced to 0</w:t>
      </w:r>
      <w:r>
        <w:t xml:space="preserve"> in ALL downstream computations: reserve ratio, NAV, stress testing, dashboard, API responses.</w:t>
      </w:r>
    </w:p>
    <w:p>
      <w:pPr>
        <w:pStyle w:val="ListBullet"/>
        <w:ind w:left="425"/>
      </w:pPr>
      <w:r>
        <w:t xml:space="preserve">The </w:t>
      </w:r>
      <w:r>
        <w:rPr>
          <w:rFonts w:ascii="Consolas" w:hAnsi="Consolas"/>
          <w:color w:val="6B6B6B"/>
          <w:sz w:val="19"/>
        </w:rPr>
        <w:t>effectiveTokenizedGoldWeight</w:t>
      </w:r>
      <w:r>
        <w:t xml:space="preserve"> field is distinct from the strategic-target </w:t>
      </w:r>
      <w:r>
        <w:rPr>
          <w:rFonts w:ascii="Consolas" w:hAnsi="Consolas"/>
          <w:color w:val="6B6B6B"/>
          <w:sz w:val="19"/>
        </w:rPr>
        <w:t>tokenizedGold</w:t>
      </w:r>
      <w:r>
        <w:t xml:space="preserve"> field; the latter is preserved for restoration once the impairment is resolved.</w:t>
      </w:r>
    </w:p>
    <w:p>
      <w:pPr>
        <w:pStyle w:val="ListBullet"/>
        <w:ind w:left="425"/>
      </w:pPr>
      <w:r>
        <w:t xml:space="preserve">The invariant </w:t>
      </w:r>
      <w:r>
        <w:rPr>
          <w:rFonts w:ascii="Consolas" w:hAnsi="Consolas"/>
          <w:color w:val="6B6B6B"/>
          <w:sz w:val="19"/>
        </w:rPr>
        <w:t>Gold_total = GoldPhys + effective_GoldTok</w:t>
      </w:r>
      <w:r>
        <w:t xml:space="preserve"> is verified on every computation (Theorem T9, Appendix V24.2.1-V.6).</w:t>
      </w:r>
    </w:p>
    <w:p>
      <w:pPr>
        <w:pStyle w:val="ListBullet"/>
        <w:ind w:left="425"/>
      </w:pPr>
      <w:r>
        <w:t>A failed monitor result triggers an alert to the Risk Committee within 60 seconds; the dashboard surfaces a "TOKENIZED GOLD SUSPENDED — fail-closed" status.</w:t>
      </w:r>
    </w:p>
    <w:p>
      <w:r>
        <w:t xml:space="preserve">This is the </w:t>
      </w:r>
      <w:r>
        <w:rPr>
          <w:b/>
        </w:rPr>
        <w:t>anti-double-counting runtime guard</w:t>
      </w:r>
      <w:r>
        <w:t>. Combined with the structural proof (10 theorems / 32 assertions, all PASS), it provides defense-in-depth: structural proof + runtime enforcement + quarterly reconciliation + annual legal review.</w:t>
      </w:r>
    </w:p>
    <w:p>
      <w:pPr>
        <w:pStyle w:val="Heading4"/>
      </w:pPr>
      <w:r>
        <w:t>C1.18 — Canonical Reference</w:t>
      </w:r>
    </w:p>
    <w:p>
      <w:r>
        <w:t>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r>
        <w:rPr>
          <w:b/>
        </w:rPr>
        <w:t>Cross-references</w:t>
      </w:r>
      <w:r>
        <w:t>:</w:t>
      </w:r>
    </w:p>
    <w:p>
      <w:pPr>
        <w:pStyle w:val="ListBullet"/>
        <w:ind w:left="425"/>
      </w:pPr>
      <w:r>
        <w:t>§V24.2.1.2 (initial specification) — retained as historical; superseded by §C1.</w:t>
      </w:r>
    </w:p>
    <w:p>
      <w:pPr>
        <w:pStyle w:val="ListBullet"/>
        <w:ind w:left="425"/>
      </w:pPr>
      <w:r>
        <w:t>Appendix V24.2.1-V.3 (TGRS validation, 8 real products scored) — empirical basis.</w:t>
      </w:r>
    </w:p>
    <w:p>
      <w:pPr>
        <w:pStyle w:val="ListBullet"/>
        <w:ind w:left="425"/>
      </w:pPr>
      <w:r>
        <w:t>Appendix V24.2.1-V.6 (anti-double-counting proof, 32/32 PASS) — structural basis.</w:t>
      </w:r>
    </w:p>
    <w:p>
      <w:pPr>
        <w:pStyle w:val="ListBullet"/>
        <w:ind w:left="425"/>
      </w:pPr>
      <w:r>
        <w:t>§0.1 Canonical Constants — Bullion range 15-25%, USD cap 35%, per-custodian cap 25%, per-jurisdiction cap 30%.</w:t>
      </w:r>
    </w:p>
    <w:p>
      <w:pPr>
        <w:pStyle w:val="ListBullet"/>
        <w:ind w:left="425"/>
      </w:pPr>
      <w:r>
        <w:t>§V24.2.1.9 (approved strategic reference, Portfolio B) — operational instance.</w:t>
      </w:r>
    </w:p>
    <w:p>
      <w:pPr>
        <w:pBdr>
          <w:bottom w:val="single" w:sz="12" w:space="1" w:color="C59B1E"/>
        </w:pBdr>
      </w:pPr>
    </w:p>
    <w:p>
      <w:pPr>
        <w:pStyle w:val="Heading3"/>
      </w:pPr>
      <w:r>
        <w:t>V24.2.1.C2 — CONDITIONAL SILVER RESERVE POLICY (§51)</w:t>
      </w:r>
    </w:p>
    <w:p>
      <w:r>
        <w:rPr>
          <w:b/>
        </w:rPr>
        <w:t>Status</w:t>
      </w:r>
      <w:r>
        <w:t>: CANONICAL v24.2.1 — supersedes §V24.2.1.3 in case of conflict.</w:t>
      </w:r>
    </w:p>
    <w:p>
      <w:r>
        <w:rPr>
          <w:b/>
        </w:rPr>
        <w:t>Authority</w:t>
      </w:r>
      <w:r>
        <w:t>: COO + CTO + Project Manager (executive decision 2026-08-13).</w:t>
      </w:r>
    </w:p>
    <w:p>
      <w:r>
        <w:rPr>
          <w:b/>
        </w:rPr>
        <w:t>Implemented code</w:t>
      </w:r>
      <w:r>
        <w:t xml:space="preserve">: </w:t>
      </w:r>
      <w:r>
        <w:rPr>
          <w:rFonts w:ascii="Consolas" w:hAnsi="Consolas"/>
          <w:color w:val="6B6B6B"/>
          <w:sz w:val="19"/>
        </w:rPr>
        <w:t>src/lib/v24-2-1-gold-silver.ts</w:t>
      </w:r>
      <w:r>
        <w:t xml:space="preserve"> (silver policy fields, SDC_Ag computation scaffolding).</w:t>
      </w:r>
    </w:p>
    <w:p>
      <w:r>
        <w:rPr>
          <w:b/>
        </w:rPr>
        <w:t>Validation basis</w:t>
      </w:r>
      <w:r>
        <w:t>: Task 4 — Silver A/B Backtest (</w:t>
      </w:r>
      <w:r>
        <w:rPr>
          <w:rFonts w:ascii="Consolas" w:hAnsi="Consolas"/>
          <w:color w:val="6B6B6B"/>
          <w:sz w:val="19"/>
        </w:rPr>
        <w:t>docs/verification/v24.2.1-silver-ab-report.md</w:t>
      </w:r>
      <w:r>
        <w:t xml:space="preserve">, 27.8KB; </w:t>
      </w:r>
      <w:r>
        <w:rPr>
          <w:rFonts w:ascii="Consolas" w:hAnsi="Consolas"/>
          <w:color w:val="6B6B6B"/>
          <w:sz w:val="19"/>
        </w:rPr>
        <w:t>v24.2.1-silver-ab-results.json</w:t>
      </w:r>
      <w:r>
        <w:t xml:space="preserve">, 65.4KB; </w:t>
      </w:r>
      <w:r>
        <w:rPr>
          <w:rFonts w:ascii="Consolas" w:hAnsi="Consolas"/>
          <w:color w:val="6B6B6B"/>
          <w:sz w:val="19"/>
        </w:rPr>
        <w:t>historical-prices.csv</w:t>
      </w:r>
      <w:r>
        <w:t>, 69 months 2020-01 → 2025-09).</w:t>
      </w:r>
    </w:p>
    <w:p>
      <w:pPr>
        <w:pStyle w:val="Heading4"/>
      </w:pPr>
      <w:r>
        <w:t>C2.1 — Policy Statement</w:t>
      </w:r>
    </w:p>
    <w:p>
      <w:r>
        <w:t xml:space="preserve">Silver is </w:t>
      </w:r>
      <w:r>
        <w:rPr>
          <w:b/>
        </w:rPr>
        <w:t>conditionally</w:t>
      </w:r>
      <w:r>
        <w:t xml:space="preserve"> admitted to the reserve portfolio, subject to a continuous statistical diversification test (SDC_Ag). The default normal target is </w:t>
      </w:r>
      <w:r>
        <w:rPr>
          <w:b/>
        </w:rPr>
        <w:t>0%</w:t>
      </w:r>
      <w:r>
        <w:t>.</w:t>
      </w:r>
    </w:p>
    <w:p>
      <w:pPr>
        <w:ind w:left="283"/>
        <w:shd w:fill="F5F5F5"/>
      </w:pPr>
      <w:r>
        <w:rPr>
          <w:rFonts w:ascii="Consolas" w:hAnsi="Consolas"/>
          <w:color w:val="6B6B6B"/>
          <w:sz w:val="18"/>
        </w:rPr>
        <w:t>Silver normal target      = 0%   (default; was 3% in v24.2, was 5% in v24.1)</w:t>
        <w:br/>
        <w:t>Silver conditional band   = 0% – 3%   (constitutional sub-range within Bullion 15-25%)</w:t>
        <w:br/>
        <w:t>Silver hard ceiling       = 3%   (single-cycle cap; may not exceed without governance amendment)</w:t>
      </w:r>
    </w:p>
    <w:p>
      <w:r>
        <w:rPr>
          <w:b/>
        </w:rPr>
        <w:t>Key change from v24.2</w:t>
      </w:r>
      <w:r>
        <w:t xml:space="preserve">: v24.2 set silver as a mandatory strategic target (3%, range 3-6%). v24.2.1 removes the mandate: silver is admitted only when it provides a statistically meaningful diversification benefit (SDC_Ag &gt; 0). When the benefit is absent or negative, </w:t>
      </w:r>
      <w:r>
        <w:rPr>
          <w:b/>
        </w:rPr>
        <w:t>Silver = 0% is a VALID POLICY RESULT</w:t>
      </w:r>
      <w:r>
        <w:t xml:space="preserve"> — not a failure to meet a target.</w:t>
      </w:r>
    </w:p>
    <w:p>
      <w:r>
        <w:rPr>
          <w:b/>
        </w:rPr>
        <w:t>Key change from v24.1</w:t>
      </w:r>
      <w:r>
        <w:t>: v24.1 set silver at 5% (range 3-8%) based on a grid-test optimization. v24.2 reduced to 3% citing insufficient diversification vs 30% volatility. v24.2.1 goes further and makes silver fully conditional, with 0% as the conservative default.</w:t>
      </w:r>
    </w:p>
    <w:p>
      <w:pPr>
        <w:pStyle w:val="Heading4"/>
      </w:pPr>
      <w:r>
        <w:t>C2.2 — Allowed Range</w:t>
      </w:r>
    </w:p>
    <w:p>
      <w:pPr>
        <w:ind w:left="283"/>
        <w:shd w:fill="F5F5F5"/>
      </w:pPr>
      <w:r>
        <w:rPr>
          <w:rFonts w:ascii="Consolas" w:hAnsi="Consolas"/>
          <w:color w:val="6B6B6B"/>
          <w:sz w:val="18"/>
        </w:rPr>
        <w:t>Constitutional floor (silver within bullion): 0%   (silver is optional)</w:t>
        <w:br/>
        <w:t>Constitutional ceiling: 3%   (single-cycle cap; cumulative bullion still ≤25%)</w:t>
        <w:br/>
        <w:t>Normal operating band: 0% – 3%</w:t>
        <w:br/>
        <w:t>Stress-state band: 0%   (silver reduced to 0% in STRESS/EMERGENCY per §V24.2.1.6 liquidation order — silver liquidated before gold)</w:t>
      </w:r>
    </w:p>
    <w:p>
      <w:r>
        <w:t xml:space="preserve">The 3% ceiling is </w:t>
      </w:r>
      <w:r>
        <w:rPr>
          <w:b/>
        </w:rPr>
        <w:t>not</w:t>
      </w:r>
      <w:r>
        <w:t xml:space="preserve"> a target. It is the maximum single-cycle allocation permitted by the conditional admission test. The optimizer may select any value in [0%, 3%] each cycle.</w:t>
      </w:r>
    </w:p>
    <w:p>
      <w:pPr>
        <w:pStyle w:val="Heading4"/>
      </w:pPr>
      <w:r>
        <w:t>C2.3 — SDC_Ag (Silver Diversification Contribution) Formula</w:t>
      </w:r>
    </w:p>
    <w:p>
      <w:pPr>
        <w:ind w:left="283"/>
        <w:shd w:fill="F5F5F5"/>
      </w:pPr>
      <w:r>
        <w:rPr>
          <w:rFonts w:ascii="Consolas" w:hAnsi="Consolas"/>
          <w:color w:val="6B6B6B"/>
          <w:sz w:val="18"/>
        </w:rPr>
        <w:t>SDC_Ag = net_resilience_gain − net_cost</w:t>
        <w:br/>
        <w:br/>
        <w:t>net_resilience_gain = α₁ · CVaR_improvement</w:t>
        <w:br/>
        <w:t xml:space="preserve">                    + α₂ · StressRR_improvement</w:t>
        <w:br/>
        <w:t xml:space="preserve">                    + α₃ · LCR_improvement</w:t>
        <w:br/>
        <w:br/>
        <w:t>net_cost = β₁ · execution_cost</w:t>
        <w:br/>
        <w:t xml:space="preserve">         + β₂ · custody_cost</w:t>
        <w:br/>
        <w:t xml:space="preserve">         + β₃ · volatility_penalty</w:t>
        <w:br/>
        <w:t xml:space="preserve">         + β₄ · liquidity_penalty</w:t>
        <w:br/>
        <w:br/>
        <w:t>Default weights (governance-approved, v24.2.1):</w:t>
        <w:br/>
        <w:t xml:space="preserve">  α₁ = 1.0   (CVaR reduction, USD)</w:t>
        <w:br/>
        <w:t xml:space="preserve">  α₂ = 1.0   (StressRR improvement, percentage points)</w:t>
        <w:br/>
        <w:t xml:space="preserve">  α₃ = 1.0   (LCR improvement, percentage points)</w:t>
        <w:br/>
        <w:t xml:space="preserve">  β₁ = 1.0   (execution cost, bp)</w:t>
        <w:br/>
        <w:t xml:space="preserve">  β₂ = 1.0   (custody cost, bp)</w:t>
        <w:br/>
        <w:t xml:space="preserve">  β₃ = 1.0   (volatility penalty, bp)</w:t>
        <w:br/>
        <w:t xml:space="preserve">  β₄ = 1.0   (liquidity penalty, bp)</w:t>
        <w:br/>
        <w:br/>
        <w:t>Admission test:</w:t>
        <w:br/>
        <w:t xml:space="preserve">  If SDC_Ag &gt; 0  → Silver admitted (up to 3%, optimizer selects within band)</w:t>
        <w:br/>
        <w:t xml:space="preserve">  If SDC_Ag ≤ 0  → Silver = 0% (VALID policy result)</w:t>
      </w:r>
    </w:p>
    <w:p>
      <w:r>
        <w:rPr>
          <w:b/>
        </w:rPr>
        <w:t>LCR normalization</w:t>
      </w:r>
      <w:r>
        <w:t xml:space="preserve"> (two views, both reported transparently):</w:t>
      </w:r>
    </w:p>
    <w:p>
      <w:pPr>
        <w:pStyle w:val="ListNumber"/>
        <w:ind w:left="425"/>
      </w:pPr>
      <w:r>
        <w:rPr>
          <w:b/>
        </w:rPr>
        <w:t>Primary (shortfall-LCR)</w:t>
      </w:r>
      <w:r>
        <w:t>: HQLA buffer above LCR=1.5 has zero marginal value. Silver's CVaR/StressRR improvement is credited against the shortfall.</w:t>
      </w:r>
    </w:p>
    <w:p>
      <w:pPr>
        <w:pStyle w:val="ListNumber"/>
        <w:ind w:left="425"/>
      </w:pPr>
      <w:r>
        <w:rPr>
          <w:b/>
        </w:rPr>
        <w:t>Sensitivity (proportional-LCR)</w:t>
      </w:r>
      <w:r>
        <w:t>: every LCR unit has constant 100 bp marginal value. Silver's LCR contribution is computed proportionally.</w:t>
      </w:r>
    </w:p>
    <w:p>
      <w:r>
        <w:t xml:space="preserve">The two views can give </w:t>
      </w:r>
      <w:r>
        <w:rPr>
          <w:b/>
        </w:rPr>
        <w:t>opposite</w:t>
      </w:r>
      <w:r>
        <w:t xml:space="preserve"> verdicts on the same data. Both are reported; the conservative default (Silver = 0%) is adopted when the views disagree.</w:t>
      </w:r>
    </w:p>
    <w:p>
      <w:pPr>
        <w:pStyle w:val="Heading4"/>
      </w:pPr>
      <w:r>
        <w:t>C2.4 — Stress Testing</w:t>
      </w:r>
    </w:p>
    <w:p>
      <w:r>
        <w:t>Silver is stress-tested under the §45 18-scenario library (see §V24.2.1.C3 §C3.5) plus silver-specific scenarios: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Scenario</w:t>
            </w:r>
          </w:p>
        </w:tc>
        <w:tc>
          <w:tcPr>
            <w:tcW w:type="dxa" w:w="3024"/>
            <w:shd w:fill="1A365F"/>
            <w:vAlign w:val="center"/>
          </w:tcPr>
          <w:p>
            <w:pPr>
              <w:jc w:val="left"/>
            </w:pPr>
            <w:r/>
            <w:r>
              <w:rPr>
                <w:rFonts w:ascii="Calibri" w:hAnsi="Calibri"/>
                <w:b/>
                <w:color w:val="FFFFFF"/>
                <w:sz w:val="18"/>
              </w:rPr>
              <w:t>Description</w:t>
            </w:r>
          </w:p>
        </w:tc>
        <w:tc>
          <w:tcPr>
            <w:tcW w:type="dxa" w:w="3024"/>
            <w:shd w:fill="1A365F"/>
            <w:vAlign w:val="center"/>
          </w:tcPr>
          <w:p>
            <w:pPr>
              <w:jc w:val="left"/>
            </w:pPr>
            <w:r/>
            <w:r>
              <w:rPr>
                <w:rFonts w:ascii="Calibri" w:hAnsi="Calibri"/>
                <w:b/>
                <w:color w:val="FFFFFF"/>
                <w:sz w:val="18"/>
              </w:rPr>
              <w:t>Silver behavior</w:t>
            </w:r>
          </w:p>
        </w:tc>
      </w:tr>
      <w:tr>
        <w:tc>
          <w:tcPr>
            <w:tcW w:type="dxa" w:w="3024"/>
            <w:vAlign w:val="center"/>
          </w:tcPr>
          <w:p>
            <w:pPr>
              <w:jc w:val="left"/>
            </w:pPr>
            <w:r/>
            <w:r>
              <w:rPr>
                <w:rFonts w:ascii="Calibri" w:hAnsi="Calibri"/>
                <w:color w:val="2D2D2D"/>
                <w:sz w:val="18"/>
              </w:rPr>
              <w:t>COVID-2020 (Feb-May 2020)</w:t>
            </w:r>
          </w:p>
        </w:tc>
        <w:tc>
          <w:tcPr>
            <w:tcW w:type="dxa" w:w="3024"/>
            <w:vAlign w:val="center"/>
          </w:tcPr>
          <w:p>
            <w:pPr>
              <w:jc w:val="left"/>
            </w:pPr>
            <w:r/>
            <w:r>
              <w:rPr>
                <w:rFonts w:ascii="Calibri" w:hAnsi="Calibri"/>
                <w:color w:val="2D2D2D"/>
                <w:sz w:val="18"/>
              </w:rPr>
              <w:t>Acute risk-off, USD flight</w:t>
            </w:r>
          </w:p>
        </w:tc>
        <w:tc>
          <w:tcPr>
            <w:tcW w:type="dxa" w:w="3024"/>
            <w:vAlign w:val="center"/>
          </w:tcPr>
          <w:p>
            <w:pPr>
              <w:jc w:val="left"/>
            </w:pPr>
            <w:r/>
            <w:r>
              <w:rPr>
                <w:rFonts w:ascii="Calibri" w:hAnsi="Calibri"/>
                <w:color w:val="2D2D2D"/>
                <w:sz w:val="18"/>
              </w:rPr>
              <w:t>HURTS (SDC_Ag primary −248 bp; sensitivity −709 bp)</w:t>
            </w:r>
          </w:p>
        </w:tc>
      </w:tr>
      <w:tr>
        <w:tc>
          <w:tcPr>
            <w:tcW w:type="dxa" w:w="3024"/>
            <w:shd w:fill="F0F0F0"/>
            <w:vAlign w:val="center"/>
          </w:tcPr>
          <w:p>
            <w:pPr>
              <w:jc w:val="left"/>
            </w:pPr>
            <w:r/>
            <w:r>
              <w:rPr>
                <w:rFonts w:ascii="Calibri" w:hAnsi="Calibri"/>
                <w:color w:val="2D2D2D"/>
                <w:sz w:val="18"/>
              </w:rPr>
              <w:t>2022 Inflation Drawdown (Apr-Nov 2022)</w:t>
            </w:r>
          </w:p>
        </w:tc>
        <w:tc>
          <w:tcPr>
            <w:tcW w:type="dxa" w:w="3024"/>
            <w:shd w:fill="F0F0F0"/>
            <w:vAlign w:val="center"/>
          </w:tcPr>
          <w:p>
            <w:pPr>
              <w:jc w:val="left"/>
            </w:pPr>
            <w:r/>
            <w:r>
              <w:rPr>
                <w:rFonts w:ascii="Calibri" w:hAnsi="Calibri"/>
                <w:color w:val="2D2D2D"/>
                <w:sz w:val="18"/>
              </w:rPr>
              <w:t>Real yields up, gold/silver down</w:t>
            </w:r>
          </w:p>
        </w:tc>
        <w:tc>
          <w:tcPr>
            <w:tcW w:type="dxa" w:w="3024"/>
            <w:shd w:fill="F0F0F0"/>
            <w:vAlign w:val="center"/>
          </w:tcPr>
          <w:p>
            <w:pPr>
              <w:jc w:val="left"/>
            </w:pPr>
            <w:r/>
            <w:r>
              <w:rPr>
                <w:rFonts w:ascii="Calibri" w:hAnsi="Calibri"/>
                <w:color w:val="2D2D2D"/>
                <w:sz w:val="18"/>
              </w:rPr>
              <w:t>HURTS (SDC_Ag primary −32 bp; sensitivity −352 bp)</w:t>
            </w:r>
          </w:p>
        </w:tc>
      </w:tr>
      <w:tr>
        <w:tc>
          <w:tcPr>
            <w:tcW w:type="dxa" w:w="3024"/>
            <w:vAlign w:val="center"/>
          </w:tcPr>
          <w:p>
            <w:pPr>
              <w:jc w:val="left"/>
            </w:pPr>
            <w:r/>
            <w:r>
              <w:rPr>
                <w:rFonts w:ascii="Calibri" w:hAnsi="Calibri"/>
                <w:color w:val="2D2D2D"/>
                <w:sz w:val="18"/>
              </w:rPr>
              <w:t>SVB-2023 (Mar 2023)</w:t>
            </w:r>
          </w:p>
        </w:tc>
        <w:tc>
          <w:tcPr>
            <w:tcW w:type="dxa" w:w="3024"/>
            <w:vAlign w:val="center"/>
          </w:tcPr>
          <w:p>
            <w:pPr>
              <w:jc w:val="left"/>
            </w:pPr>
            <w:r/>
            <w:r>
              <w:rPr>
                <w:rFonts w:ascii="Calibri" w:hAnsi="Calibri"/>
                <w:color w:val="2D2D2D"/>
                <w:sz w:val="18"/>
              </w:rPr>
              <w:t>Banking stress, gold up</w:t>
            </w:r>
          </w:p>
        </w:tc>
        <w:tc>
          <w:tcPr>
            <w:tcW w:type="dxa" w:w="3024"/>
            <w:vAlign w:val="center"/>
          </w:tcPr>
          <w:p>
            <w:pPr>
              <w:jc w:val="left"/>
            </w:pPr>
            <w:r/>
            <w:r>
              <w:rPr>
                <w:rFonts w:ascii="Calibri" w:hAnsi="Calibri"/>
                <w:color w:val="2D2D2D"/>
                <w:sz w:val="18"/>
              </w:rPr>
              <w:t>Modest help (primary +37 bp; sensitivity −253 bp)</w:t>
            </w:r>
          </w:p>
        </w:tc>
      </w:tr>
      <w:tr>
        <w:tc>
          <w:tcPr>
            <w:tcW w:type="dxa" w:w="3024"/>
            <w:shd w:fill="F0F0F0"/>
            <w:vAlign w:val="center"/>
          </w:tcPr>
          <w:p>
            <w:pPr>
              <w:jc w:val="left"/>
            </w:pPr>
            <w:r/>
            <w:r>
              <w:rPr>
                <w:rFonts w:ascii="Calibri" w:hAnsi="Calibri"/>
                <w:color w:val="2D2D2D"/>
                <w:sz w:val="18"/>
              </w:rPr>
              <w:t>GoldRally-2024 (Mar-Jun 2024)</w:t>
            </w:r>
          </w:p>
        </w:tc>
        <w:tc>
          <w:tcPr>
            <w:tcW w:type="dxa" w:w="3024"/>
            <w:shd w:fill="F0F0F0"/>
            <w:vAlign w:val="center"/>
          </w:tcPr>
          <w:p>
            <w:pPr>
              <w:jc w:val="left"/>
            </w:pPr>
            <w:r/>
            <w:r>
              <w:rPr>
                <w:rFonts w:ascii="Calibri" w:hAnsi="Calibri"/>
                <w:color w:val="2D2D2D"/>
                <w:sz w:val="18"/>
              </w:rPr>
              <w:t>Gold ATH, silver lagging</w:t>
            </w:r>
          </w:p>
        </w:tc>
        <w:tc>
          <w:tcPr>
            <w:tcW w:type="dxa" w:w="3024"/>
            <w:shd w:fill="F0F0F0"/>
            <w:vAlign w:val="center"/>
          </w:tcPr>
          <w:p>
            <w:pPr>
              <w:jc w:val="left"/>
            </w:pPr>
            <w:r/>
            <w:r>
              <w:rPr>
                <w:rFonts w:ascii="Calibri" w:hAnsi="Calibri"/>
                <w:color w:val="2D2D2D"/>
                <w:sz w:val="18"/>
              </w:rPr>
              <w:t>Helps (primary +93 bp; sensitivity −174 bp)</w:t>
            </w:r>
          </w:p>
        </w:tc>
      </w:tr>
      <w:tr>
        <w:tc>
          <w:tcPr>
            <w:tcW w:type="dxa" w:w="3024"/>
            <w:vAlign w:val="center"/>
          </w:tcPr>
          <w:p>
            <w:pPr>
              <w:jc w:val="left"/>
            </w:pPr>
            <w:r/>
            <w:r>
              <w:rPr>
                <w:rFonts w:ascii="Calibri" w:hAnsi="Calibri"/>
                <w:color w:val="2D2D2D"/>
                <w:sz w:val="18"/>
              </w:rPr>
              <w:t>GoldRally-2025 (Jan-Jun 2025)</w:t>
            </w:r>
          </w:p>
        </w:tc>
        <w:tc>
          <w:tcPr>
            <w:tcW w:type="dxa" w:w="3024"/>
            <w:vAlign w:val="center"/>
          </w:tcPr>
          <w:p>
            <w:pPr>
              <w:jc w:val="left"/>
            </w:pPr>
            <w:r/>
            <w:r>
              <w:rPr>
                <w:rFonts w:ascii="Calibri" w:hAnsi="Calibri"/>
                <w:color w:val="2D2D2D"/>
                <w:sz w:val="18"/>
              </w:rPr>
              <w:t>Gold ATH, silver catching up</w:t>
            </w:r>
          </w:p>
        </w:tc>
        <w:tc>
          <w:tcPr>
            <w:tcW w:type="dxa" w:w="3024"/>
            <w:vAlign w:val="center"/>
          </w:tcPr>
          <w:p>
            <w:pPr>
              <w:jc w:val="left"/>
            </w:pPr>
            <w:r/>
            <w:r>
              <w:rPr>
                <w:rFonts w:ascii="Calibri" w:hAnsi="Calibri"/>
                <w:color w:val="2D2D2D"/>
                <w:sz w:val="18"/>
              </w:rPr>
              <w:t>Helps strongly (primary +242 bp; sensitivity +55 bp)</w:t>
            </w:r>
          </w:p>
        </w:tc>
      </w:tr>
    </w:tbl>
    <w:p/>
    <w:p>
      <w:r>
        <w:rPr>
          <w:b/>
        </w:rPr>
        <w:t>Honest finding</w:t>
      </w:r>
      <w:r>
        <w:t xml:space="preserve"> (from Task 4): silver HURTS in the two acute-stress scenarios (COVID, 2022 inflation drawdown) — exactly when diversification is most needed. Silver behaves more like "high-beta gold" than a true diversifier. This is the primary reason the conservative 0% default is recommended.</w:t>
      </w:r>
    </w:p>
    <w:p>
      <w:pPr>
        <w:pStyle w:val="Heading4"/>
      </w:pPr>
      <w:r>
        <w:t>C2.5 — Physical Silver (default custody)</w:t>
      </w:r>
    </w:p>
    <w:p>
      <w:r>
        <w:t>If silver is admitted (SDC_Ag &gt; 0), physical allocated silver is the default custody form:</w:t>
      </w:r>
    </w:p>
    <w:p>
      <w:pPr>
        <w:pStyle w:val="ListBullet"/>
        <w:ind w:left="425"/>
      </w:pPr>
      <w:r>
        <w:rPr>
          <w:b/>
        </w:rPr>
        <w:t>Vault</w:t>
      </w:r>
      <w:r>
        <w:t>: Brink's/Loomis (same custodian as physical gold, separate allocated pool).</w:t>
      </w:r>
    </w:p>
    <w:p>
      <w:pPr>
        <w:pStyle w:val="ListBullet"/>
        <w:ind w:left="425"/>
      </w:pPr>
      <w:r>
        <w:rPr>
          <w:b/>
        </w:rPr>
        <w:t>Form</w:t>
      </w:r>
      <w:r>
        <w:t>: LBMA-good-delivery 1000 oz bars or 100 oz bars.</w:t>
      </w:r>
    </w:p>
    <w:p>
      <w:pPr>
        <w:pStyle w:val="ListBullet"/>
        <w:ind w:left="425"/>
      </w:pPr>
      <w:r>
        <w:rPr>
          <w:b/>
        </w:rPr>
        <w:t>Segregation</w:t>
      </w:r>
      <w:r>
        <w:t>: Allocated, serially-identified, separate from gold bar pool.</w:t>
      </w:r>
    </w:p>
    <w:p>
      <w:pPr>
        <w:pStyle w:val="ListBullet"/>
        <w:ind w:left="425"/>
      </w:pPr>
      <w:r>
        <w:rPr>
          <w:b/>
        </w:rPr>
        <w:t>Audit</w:t>
      </w:r>
      <w:r>
        <w:t>: Quarterly bar-list reconciliation by MITHQAL's auditor.</w:t>
      </w:r>
    </w:p>
    <w:p>
      <w:pPr>
        <w:pStyle w:val="ListBullet"/>
        <w:ind w:left="425"/>
      </w:pPr>
      <w:r>
        <w:rPr>
          <w:b/>
        </w:rPr>
        <w:t>Haircut</w:t>
      </w:r>
      <w:r>
        <w:t>: H_Ag = 8% (higher than gold's 3% to reflect 30% annualized volatility vs gold's 15%).</w:t>
      </w:r>
    </w:p>
    <w:p>
      <w:pPr>
        <w:pStyle w:val="ListBullet"/>
        <w:ind w:left="425"/>
      </w:pPr>
      <w:r>
        <w:rPr>
          <w:b/>
        </w:rPr>
        <w:t>Counterparty score</w:t>
      </w:r>
      <w:r>
        <w:t>: C_Ag = 0.95 (Brink's custody × NY jurisdiction × operational).</w:t>
      </w:r>
    </w:p>
    <w:p>
      <w:pPr>
        <w:pStyle w:val="ListBullet"/>
        <w:ind w:left="425"/>
      </w:pPr>
      <w:r>
        <w:rPr>
          <w:b/>
        </w:rPr>
        <w:t>Stress coefficient</w:t>
      </w:r>
      <w:r>
        <w:t>: S_Ag = 0.70 (stress regime; silver falls more than gold in risk-off).</w:t>
      </w:r>
    </w:p>
    <w:p>
      <w:pPr>
        <w:pStyle w:val="Heading4"/>
      </w:pPr>
      <w:r>
        <w:t>C2.6 — Optional Tokenized Silver (future conditional, max 2%)</w:t>
      </w:r>
    </w:p>
    <w:p>
      <w:r>
        <w:t>Tokenized allocated silver products may be admitted in a future amendment, subject to:</w:t>
      </w:r>
    </w:p>
    <w:p>
      <w:pPr>
        <w:pStyle w:val="ListNumber"/>
        <w:ind w:left="425"/>
      </w:pPr>
      <w:r>
        <w:t>A Silver TGRS framework (analogous to §V24.2.1.C1 but with silver-specific dimensions — refiner concentration is higher, LBMA 1000 oz bar liquidity is thinner, secondary market for tokenized silver is less developed than for tokenized gold).</w:t>
      </w:r>
    </w:p>
    <w:p>
      <w:pPr>
        <w:pStyle w:val="ListNumber"/>
        <w:ind w:left="425"/>
      </w:pPr>
      <w:r>
        <w:t xml:space="preserve">Maximum tokenized silver weight = </w:t>
      </w:r>
      <w:r>
        <w:rPr>
          <w:b/>
        </w:rPr>
        <w:t>2%</w:t>
      </w:r>
      <w:r>
        <w:t xml:space="preserve"> of total reserves (vs 7% for tokenized gold; reflects thinner market depth).</w:t>
      </w:r>
    </w:p>
    <w:p>
      <w:pPr>
        <w:pStyle w:val="ListNumber"/>
        <w:ind w:left="425"/>
      </w:pPr>
      <w:r>
        <w:t>Physical silver ≥ 50% of total silver exposure (silver's higher volatility demands physical custody as the dominant form).</w:t>
      </w:r>
    </w:p>
    <w:p>
      <w:pPr>
        <w:pStyle w:val="ListNumber"/>
        <w:ind w:left="425"/>
      </w:pPr>
      <w:r>
        <w:t>Cumulative silver (physical + tokenized) ≤ 3% (the §C2.2 ceiling applies to total silver, not just one form).</w:t>
      </w:r>
    </w:p>
    <w:p>
      <w:r>
        <w:rPr>
          <w:b/>
        </w:rPr>
        <w:t>Current status (2026-08-13)</w:t>
      </w:r>
      <w:r>
        <w:t>: No tokenized silver product has been validated. The tokenized-silver framework is documented as a future conditional capability; it is NOT active. Admission would require:</w:t>
      </w:r>
    </w:p>
    <w:p>
      <w:pPr>
        <w:pStyle w:val="ListBullet"/>
        <w:ind w:left="425"/>
      </w:pPr>
      <w:r>
        <w:t>A new validation cycle (analogous to Task 3 for gold).</w:t>
      </w:r>
    </w:p>
    <w:p>
      <w:pPr>
        <w:pStyle w:val="ListBullet"/>
        <w:ind w:left="425"/>
      </w:pPr>
      <w:r>
        <w:t>Identification of at least one product scoring Silver-TGRS ≥ 8.0.</w:t>
      </w:r>
    </w:p>
    <w:p>
      <w:pPr>
        <w:pStyle w:val="ListBullet"/>
        <w:ind w:left="425"/>
      </w:pPr>
      <w:r>
        <w:t>Governance amendment to §C2.2 raising the per-form cap.</w:t>
      </w:r>
    </w:p>
    <w:p>
      <w:pPr>
        <w:pStyle w:val="Heading4"/>
      </w:pPr>
      <w:r>
        <w:t>C2.7 — Admission Conditions (Silver &gt; 0%)</w:t>
      </w:r>
    </w:p>
    <w:p>
      <w:r>
        <w:t>Silver is admitted to the portfolio (Silver &gt; 0%) only when ALL of:</w:t>
      </w:r>
    </w:p>
    <w:p>
      <w:pPr>
        <w:pStyle w:val="ListNumber"/>
        <w:ind w:left="425"/>
      </w:pPr>
      <w:r>
        <w:rPr>
          <w:b/>
        </w:rPr>
        <w:t>SDC_Ag &gt; 0</w:t>
      </w:r>
      <w:r>
        <w:t xml:space="preserve"> under the </w:t>
      </w:r>
      <w:r>
        <w:rPr>
          <w:b/>
        </w:rPr>
        <w:t>primary</w:t>
      </w:r>
      <w:r>
        <w:t xml:space="preserve"> LCR normalization, computed over the trailing 12 months of realized returns.</w:t>
      </w:r>
    </w:p>
    <w:p>
      <w:pPr>
        <w:pStyle w:val="ListNumber"/>
        <w:ind w:left="425"/>
      </w:pPr>
      <w:r>
        <w:rPr>
          <w:b/>
        </w:rPr>
        <w:t>SDC_Ag &gt; 0</w:t>
      </w:r>
      <w:r>
        <w:t xml:space="preserve"> under the </w:t>
      </w:r>
      <w:r>
        <w:rPr>
          <w:b/>
        </w:rPr>
        <w:t>sensitivity</w:t>
      </w:r>
      <w:r>
        <w:t xml:space="preserve"> LCR normalization over the same window, OR a documented governance override approved by the Risk Committee citing a specific operational reason (e.g., anticipated gold-market dislocation).</w:t>
      </w:r>
    </w:p>
    <w:p>
      <w:pPr>
        <w:pStyle w:val="ListNumber"/>
        <w:ind w:left="425"/>
      </w:pPr>
      <w:r>
        <w:rPr>
          <w:b/>
        </w:rPr>
        <w:t>t-statistic</w:t>
      </w:r>
      <w:r>
        <w:t xml:space="preserve"> of the trailing-12-month SDC_Ag ≥ +2.0 (statistical significance at 95% confidence).</w:t>
      </w:r>
    </w:p>
    <w:p>
      <w:pPr>
        <w:pStyle w:val="ListNumber"/>
        <w:ind w:left="425"/>
      </w:pPr>
      <w:r>
        <w:rPr>
          <w:b/>
        </w:rPr>
        <w:t>Stress-test pass</w:t>
      </w:r>
      <w:r>
        <w:t>: silver does not worsen StressRR in any of the §C2.4 scenarios by more than 50 bp.</w:t>
      </w:r>
    </w:p>
    <w:p>
      <w:pPr>
        <w:pStyle w:val="ListNumber"/>
        <w:ind w:left="425"/>
      </w:pPr>
      <w:r>
        <w:rPr>
          <w:b/>
        </w:rPr>
        <w:t>Cost envelope</w:t>
      </w:r>
      <w:r>
        <w:t>: net execution + custody + volatility + liquidity cost ≤ 60 bp/year (current calibrated all-in cost = 52.65 bp/year per Task 4).</w:t>
      </w:r>
    </w:p>
    <w:p>
      <w:r>
        <w:t>When admitted, silver weight is selected by the optimizer within [0.5%, 3%] (a 0.5% floor avoids dust allocation that adds operational cost without diversification benefit).</w:t>
      </w:r>
    </w:p>
    <w:p>
      <w:pPr>
        <w:pStyle w:val="Heading4"/>
      </w:pPr>
      <w:r>
        <w:t>C2.8 — Removal Conditions (Silver → 0%)</w:t>
      </w:r>
    </w:p>
    <w:p>
      <w:r>
        <w:t>Silver is removed (weight forced to 0% within 5 business days) when ANY of:</w:t>
      </w:r>
    </w:p>
    <w:p>
      <w:pPr>
        <w:pStyle w:val="ListNumber"/>
        <w:ind w:left="425"/>
      </w:pPr>
      <w:r>
        <w:t>SDC_Ag ≤ 0 under the primary LCR normalization over the trailing 12 months.</w:t>
      </w:r>
    </w:p>
    <w:p>
      <w:pPr>
        <w:pStyle w:val="ListNumber"/>
        <w:ind w:left="425"/>
      </w:pPr>
      <w:r>
        <w:t>t-statistic of trailing-12-month SDC_Ag &lt; +1.0 (lost statistical significance).</w:t>
      </w:r>
    </w:p>
    <w:p>
      <w:pPr>
        <w:pStyle w:val="ListNumber"/>
        <w:ind w:left="425"/>
      </w:pPr>
      <w:r>
        <w:t>Stress-test failure: silver worsens StressRR in any §C2.4 scenario by &gt; 100 bp.</w:t>
      </w:r>
    </w:p>
    <w:p>
      <w:pPr>
        <w:pStyle w:val="ListNumber"/>
        <w:ind w:left="425"/>
      </w:pPr>
      <w:r>
        <w:t>Cost envelope breach: net cost &gt; 75 bp/year sustained for 2 consecutive quarters.</w:t>
      </w:r>
    </w:p>
    <w:p>
      <w:pPr>
        <w:pStyle w:val="ListNumber"/>
        <w:ind w:left="425"/>
      </w:pPr>
      <w:r>
        <w:t>Custody event: Brink's silver vault operational disruption &gt; 5 business days.</w:t>
      </w:r>
    </w:p>
    <w:p>
      <w:pPr>
        <w:pStyle w:val="ListNumber"/>
        <w:ind w:left="425"/>
      </w:pPr>
      <w:r>
        <w:t>LBMA silver market disruption: spot-price gap &gt; 10% intraday with no fresh COMEX print.</w:t>
      </w:r>
    </w:p>
    <w:p>
      <w:r>
        <w:t xml:space="preserve">Removal is </w:t>
      </w:r>
      <w:r>
        <w:rPr>
          <w:b/>
        </w:rPr>
        <w:t>fail-closed</w:t>
      </w:r>
      <w:r>
        <w:t xml:space="preserve"> (no governance discretion required to force 0%; governance discretion is required to *re-admit*). This is symmetric with the tokenized-gold fail-closed pattern (§V24.2.1.C1 §C1.17).</w:t>
      </w:r>
    </w:p>
    <w:p>
      <w:pPr>
        <w:pStyle w:val="Heading4"/>
      </w:pPr>
      <w:r>
        <w:t>C2.9 — φ_t (Gold Share Within Bullion) When Silver = 0</w:t>
      </w:r>
    </w:p>
    <w:p>
      <w:r>
        <w:t>Per §V24.2.1.4, the φ_t rewrite removes the fixed 75/25 gold/silver requirement:</w:t>
      </w:r>
    </w:p>
    <w:p>
      <w:pPr>
        <w:ind w:left="283"/>
        <w:shd w:fill="F5F5F5"/>
      </w:pPr>
      <w:r>
        <w:rPr>
          <w:rFonts w:ascii="Consolas" w:hAnsi="Consolas"/>
          <w:color w:val="6B6B6B"/>
          <w:sz w:val="18"/>
        </w:rPr>
        <w:t>GoldShareWithinBullion = Gold_total / Bullion_total</w:t>
        <w:br/>
        <w:br/>
        <w:t>If Silver = 0%: GoldShareWithinBullion = 100%   (default in Portfolio B)</w:t>
        <w:br/>
        <w:t>When silver admitted: GoldShare ≥ 70%   (governance-approved dominant threshold)</w:t>
      </w:r>
    </w:p>
    <w:p>
      <w:r>
        <w:t>When silver = 0%, the BRI (Basket Resilience Index, §V24.2.1.5) reduces to the GoldResilienceIndex (silver component = 0, NOT an error). The ConditionalMetalDiversificationIndex reports 0 — explicitly distinguishing "no silver held" from "silver data missing."</w:t>
      </w:r>
    </w:p>
    <w:p>
      <w:pPr>
        <w:pStyle w:val="Heading4"/>
      </w:pPr>
      <w:r>
        <w:t>C2.10 — Validation Result (Task 4, 2026-08-13)</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 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Conservative verdict: SILVER = 0%</w:t>
      </w:r>
      <w:r>
        <w:t xml:space="preserve"> (the sensitivity view rejects silver decisively; the primary view admits silver but with documented acute-stress failures).</w:t>
      </w:r>
    </w:p>
    <w:p>
      <w:r>
        <w:rPr>
          <w:b/>
        </w:rPr>
        <w:t>Sub-period evidence</w:t>
      </w:r>
      <w:r>
        <w:t xml:space="preserve"> (most concerning):</w:t>
      </w:r>
    </w:p>
    <w:p>
      <w:pPr>
        <w:pStyle w:val="ListBullet"/>
        <w:ind w:left="425"/>
      </w:pPr>
      <w:r>
        <w:t>COVID-2020: SDC_Ag = −248 bp primary / −709 bp sensitivity. Both views REJECT.</w:t>
      </w:r>
    </w:p>
    <w:p>
      <w:pPr>
        <w:pStyle w:val="ListBullet"/>
        <w:ind w:left="425"/>
      </w:pPr>
      <w:r>
        <w:t>2022 Inflation Drawdown: SDC_Ag = −32 bp primary / −352 bp sensitivity. Both views REJECT.</w:t>
      </w:r>
    </w:p>
    <w:p>
      <w:pPr>
        <w:pStyle w:val="ListBullet"/>
        <w:ind w:left="425"/>
      </w:pPr>
      <w:r>
        <w:t>Silver hurts in exactly the scenarios where diversification is most valuable.</w:t>
      </w:r>
    </w:p>
    <w:p>
      <w:r>
        <w:rPr>
          <w:b/>
        </w:rPr>
        <w:t>Conclusion</w:t>
      </w:r>
      <w:r>
        <w:t>: The v24.2.1 design philosophy — "Silver = 0% is a VALID outcome" — is the appropriate reading of the empirical evidence. Silver remains in the toolbox (the conditional framework is operational and the SDC_Ag monitor runs quarterly), but it is not currently admitted.</w:t>
      </w:r>
    </w:p>
    <w:p>
      <w:pPr>
        <w:pStyle w:val="Heading4"/>
      </w:pPr>
      <w:r>
        <w:t>C2.11 — Quarterly Review Cycle</w:t>
      </w:r>
    </w:p>
    <w:p>
      <w:r>
        <w:t>Silver is re-evaluated quarterly by:</w:t>
      </w:r>
    </w:p>
    <w:p>
      <w:pPr>
        <w:pStyle w:val="ListNumber"/>
        <w:ind w:left="425"/>
      </w:pPr>
      <w:r>
        <w:t>Trailing-12-month SDC_Ag computation (primary + sensitivity).</w:t>
      </w:r>
    </w:p>
    <w:p>
      <w:pPr>
        <w:pStyle w:val="ListNumber"/>
        <w:ind w:left="425"/>
      </w:pPr>
      <w:r>
        <w:t>Stress-test refresh against the §45 18-scenario library.</w:t>
      </w:r>
    </w:p>
    <w:p>
      <w:pPr>
        <w:pStyle w:val="ListNumber"/>
        <w:ind w:left="425"/>
      </w:pPr>
      <w:r>
        <w:t>Cost-envelope recomputation (execution, custody, volatility, liquidity).</w:t>
      </w:r>
    </w:p>
    <w:p>
      <w:pPr>
        <w:pStyle w:val="ListNumber"/>
        <w:ind w:left="425"/>
      </w:pPr>
      <w:r>
        <w:t>Report to Risk Committee with admission/removal recommendation.</w:t>
      </w:r>
    </w:p>
    <w:p>
      <w:pPr>
        <w:pStyle w:val="ListNumber"/>
        <w:ind w:left="425"/>
      </w:pPr>
      <w:r>
        <w:t>If admission criteria met (§C2.7): governance vote required before silver is re-admitted (minimum 5-business-day cooling-off period to prevent reactive re-admission during transient market dislocations).</w:t>
      </w:r>
    </w:p>
    <w:p>
      <w:r>
        <w:t>If removal criteria triggered (§C2.8): automatic, fail-closed, no governance vote required.</w:t>
      </w:r>
    </w:p>
    <w:p>
      <w:pPr>
        <w:pStyle w:val="Heading4"/>
      </w:pPr>
      <w:r>
        <w:t>C2.12 — Canonical Reference</w:t>
      </w:r>
    </w:p>
    <w:p>
      <w:r>
        <w:t>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r>
        <w:rPr>
          <w:b/>
        </w:rPr>
        <w:t>Cross-references</w:t>
      </w:r>
      <w:r>
        <w:t>:</w:t>
      </w:r>
    </w:p>
    <w:p>
      <w:pPr>
        <w:pStyle w:val="ListBullet"/>
        <w:ind w:left="425"/>
      </w:pPr>
      <w:r>
        <w:t>§V24.2.1.3 (initial specification) — retained as historical; superseded by §C2.</w:t>
      </w:r>
    </w:p>
    <w:p>
      <w:pPr>
        <w:pStyle w:val="ListBullet"/>
        <w:ind w:left="425"/>
      </w:pPr>
      <w:r>
        <w:t>§V24.2.1.4 (φ_t rewrite) — operational; aligned with §C2.9.</w:t>
      </w:r>
    </w:p>
    <w:p>
      <w:pPr>
        <w:pStyle w:val="ListBullet"/>
        <w:ind w:left="425"/>
      </w:pPr>
      <w:r>
        <w:t>Appendix V24.2.1-V.4 (Task 4 silver A/B backtest) — empirical basis.</w:t>
      </w:r>
    </w:p>
    <w:p>
      <w:pPr>
        <w:pStyle w:val="ListBullet"/>
        <w:ind w:left="425"/>
      </w:pPr>
      <w:r>
        <w:t>§V24.2.1.C1 §C1.15 — dynamic allocation pattern (silver uses the same hysteresis model).</w:t>
      </w:r>
    </w:p>
    <w:p>
      <w:pPr>
        <w:pStyle w:val="ListBullet"/>
        <w:ind w:left="425"/>
      </w:pPr>
      <w:r>
        <w:t>§0.1 Bullion range 15-25% — silver is a sub-component; total bullion including silver ≤ 25%.</w:t>
      </w:r>
    </w:p>
    <w:p>
      <w:pPr>
        <w:pStyle w:val="Heading4"/>
      </w:pPr>
      <w:r>
        <w:t>C2.13 — Operational Safeguards &amp; Audit Trail</w:t>
      </w:r>
    </w:p>
    <w:p>
      <w:r>
        <w:t>The conditional silver policy is supported by the following operational safeguards (analogous to the tokenized-gold safeguards in §C1.17, adapted for silver's higher volatility and thinner market):</w:t>
      </w:r>
    </w:p>
    <w:p>
      <w:pPr>
        <w:pStyle w:val="ListNumber"/>
        <w:ind w:left="425"/>
      </w:pPr>
      <w:r>
        <w:rPr>
          <w:b/>
        </w:rPr>
        <w:t>Two-source silver pricing</w:t>
      </w:r>
      <w:r>
        <w:t>: LBMA spot + COMEX futures; if either source stale &gt; 5 minutes, silver trades suspended (fail-closed).</w:t>
      </w:r>
    </w:p>
    <w:p>
      <w:pPr>
        <w:pStyle w:val="ListNumber"/>
        <w:ind w:left="425"/>
      </w:pPr>
      <w:r>
        <w:rPr>
          <w:b/>
        </w:rPr>
        <w:t>Bar-list reconciliation</w:t>
      </w:r>
      <w:r>
        <w:t>: if physical silver is held, quarterly cross-reference between Brink's vault report and MITHQAL ledger; any discrepancy &gt; 0.01% triggers investigation.</w:t>
      </w:r>
    </w:p>
    <w:p>
      <w:pPr>
        <w:pStyle w:val="ListNumber"/>
        <w:ind w:left="425"/>
      </w:pPr>
      <w:r>
        <w:rPr>
          <w:b/>
        </w:rPr>
        <w:t>SDC_Ag monitor</w:t>
      </w:r>
      <w:r>
        <w:t>: trailing-12-month SDC_Ag computed daily (not just quarterly); if SDC_Ag crosses zero in either direction, alert to Risk Committee within 24 hours.</w:t>
      </w:r>
    </w:p>
    <w:p>
      <w:pPr>
        <w:pStyle w:val="ListNumber"/>
        <w:ind w:left="425"/>
      </w:pPr>
      <w:r>
        <w:rPr>
          <w:b/>
        </w:rPr>
        <w:t>Concentration cap</w:t>
      </w:r>
      <w:r>
        <w:t>: single silver refiner ≤ 50% of silver allocation (Johnson Matthey, Metalor, Valcambi, PAMP distributed); single vault ≤ 70%.</w:t>
      </w:r>
    </w:p>
    <w:p>
      <w:pPr>
        <w:pStyle w:val="ListNumber"/>
        <w:ind w:left="425"/>
      </w:pPr>
      <w:r>
        <w:rPr>
          <w:b/>
        </w:rPr>
        <w:t>Settlement-window monitoring</w:t>
      </w:r>
      <w:r>
        <w:t>: silver redemption settlement ≤ T+3 (vs T+2 for gold); persistent T+5+ settlements trigger custody review.</w:t>
      </w:r>
    </w:p>
    <w:p>
      <w:pPr>
        <w:pStyle w:val="ListNumber"/>
        <w:ind w:left="425"/>
      </w:pPr>
      <w:r>
        <w:rPr>
          <w:b/>
        </w:rPr>
        <w:t>LBMA market-disruption circuit breaker</w:t>
      </w:r>
      <w:r>
        <w:t>: if LBMA silver spot gaps &gt; 10% intraday with no fresh COMEX print, silver trading suspended until fresh print received.</w:t>
      </w:r>
    </w:p>
    <w:p>
      <w:pPr>
        <w:pStyle w:val="ListNumber"/>
        <w:ind w:left="425"/>
      </w:pPr>
      <w:r>
        <w:rPr>
          <w:b/>
        </w:rPr>
        <w:t>Audit trail</w:t>
      </w:r>
      <w:r>
        <w:t>: every silver admission/removal decision logged with: timestamp, SDC_Ag primary + sensitivity values, t-statistic, stress-test results, cost envelope, governance approval signature (for admission) or automatic trigger reason (for removal).</w:t>
      </w:r>
    </w:p>
    <w:p>
      <w:r>
        <w:t>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p>
      <w:pPr>
        <w:pStyle w:val="Heading4"/>
      </w:pPr>
      <w:r>
        <w:t>C2.14 — Historical Context (for traceability only — NON-NORMATIVE)</w:t>
      </w:r>
    </w:p>
    <w:p>
      <w:r>
        <w:t>The silver policy has evolved through three framework versions:</w:t>
      </w:r>
    </w:p>
    <w:p>
      <w:pPr>
        <w:pStyle w:val="ListBullet"/>
        <w:ind w:left="425"/>
      </w:pPr>
      <w:r>
        <w:rPr>
          <w:b/>
        </w:rPr>
        <w:t>v24.1</w:t>
      </w:r>
      <w:r>
        <w:t>: Silver strategic target = 5% (range 3-8%). Set by grid-test optimization; treated as a mandatory pillar component alongside gold. No diversification test; allocation was policy-set, not statistically validated.</w:t>
      </w:r>
    </w:p>
    <w:p>
      <w:pPr>
        <w:pStyle w:val="ListBullet"/>
        <w:ind w:left="425"/>
      </w:pPr>
      <w:r>
        <w:rPr>
          <w:b/>
        </w:rPr>
        <w:t>v24.2</w:t>
      </w:r>
      <w:r>
        <w:t>: Silver strategic target = 3% (range 3-6%). Reduced citing "insufficient diversification vs 30% volatility." Still mandatory; no formal admission test.</w:t>
      </w:r>
    </w:p>
    <w:p>
      <w:pPr>
        <w:pStyle w:val="ListBullet"/>
        <w:ind w:left="425"/>
      </w:pPr>
      <w:r>
        <w:rPr>
          <w:b/>
        </w:rPr>
        <w:t>v24.2.1</w:t>
      </w:r>
      <w:r>
        <w:t>: Silver strategic target = 0% (conditional band 0-3%). Conditional admission via SDC_Ag. The v24.2.1 framework makes silver optional for the first time; 0% is a valid policy result.</w:t>
      </w:r>
    </w:p>
    <w:p>
      <w:r>
        <w:t>The v24.2.1 conditional framework (this section, §C2) is the canonical statement. v24.1 and v24.2 silver targets are HISTORICAL — retained for traceability per §0, but no longer normative. The §48 blueprint sweep (</w:t>
      </w:r>
      <w:r>
        <w:rPr>
          <w:rFonts w:ascii="Consolas" w:hAnsi="Consolas"/>
          <w:color w:val="6B6B6B"/>
          <w:sz w:val="19"/>
        </w:rPr>
        <w:t>docs/verification/v24.2.1-blueprint-contradiction-sweep.md</w:t>
      </w:r>
      <w:r>
        <w:t>) catalogues every historical occurrence with recommended annotation.</w:t>
      </w:r>
    </w:p>
    <w:p>
      <w:pPr>
        <w:pBdr>
          <w:bottom w:val="single" w:sz="12" w:space="1" w:color="C59B1E"/>
        </w:pBdr>
      </w:pPr>
    </w:p>
    <w:p>
      <w:pPr>
        <w:pStyle w:val="Heading3"/>
      </w:pPr>
      <w:r>
        <w:t>V24.2.1.C3 — RESERVE PORTFOLIO A/B VALIDATION &amp; SELECTION PROTOCOL (§52)</w:t>
      </w:r>
    </w:p>
    <w:p>
      <w:r>
        <w:rPr>
          <w:b/>
        </w:rPr>
        <w:t>Status</w:t>
      </w:r>
      <w:r>
        <w:t>: CANONICAL v24.2.1 — supersedes §V24.2.1.8 and §V24.2.1.9 in case of conflict.</w:t>
      </w:r>
    </w:p>
    <w:p>
      <w:r>
        <w:rPr>
          <w:b/>
        </w:rPr>
        <w:t>Authority</w:t>
      </w:r>
      <w:r>
        <w:t>: COO + CTO + Project Manager (executive decision 2026-08-13, selecting Portfolio B as APPROVED CANDIDATE).</w:t>
      </w:r>
    </w:p>
    <w:p>
      <w:r>
        <w:rPr>
          <w:b/>
        </w:rPr>
        <w:t>Implemented code</w:t>
      </w:r>
      <w:r>
        <w:t xml:space="preserve">: </w:t>
      </w:r>
      <w:r>
        <w:rPr>
          <w:rFonts w:ascii="Consolas" w:hAnsi="Consolas"/>
          <w:color w:val="6B6B6B"/>
          <w:sz w:val="19"/>
        </w:rPr>
        <w:t>src/lib/v24-2-1-gold-silver.ts</w:t>
      </w:r>
      <w:r>
        <w:t xml:space="preserve"> (</w:t>
      </w:r>
      <w:r>
        <w:rPr>
          <w:rFonts w:ascii="Consolas" w:hAnsi="Consolas"/>
          <w:color w:val="6B6B6B"/>
          <w:sz w:val="19"/>
        </w:rPr>
        <w:t>APPROVED_PORTFOLIO_B</w:t>
      </w:r>
      <w:r>
        <w:t xml:space="preserve"> constant + decision-basis registry).</w:t>
      </w:r>
    </w:p>
    <w:p>
      <w:r>
        <w:rPr>
          <w:b/>
        </w:rPr>
        <w:t>Validation basis</w:t>
      </w:r>
      <w:r>
        <w:t>: Task 2 — A/B/C/D/E Comparison (</w:t>
      </w:r>
      <w:r>
        <w:rPr>
          <w:rFonts w:ascii="Consolas" w:hAnsi="Consolas"/>
          <w:color w:val="6B6B6B"/>
          <w:sz w:val="19"/>
        </w:rPr>
        <w:t>scripts/abcde-comparison.py</w:t>
      </w:r>
      <w:r>
        <w:t xml:space="preserve">, 450 lines; </w:t>
      </w:r>
      <w:r>
        <w:rPr>
          <w:rFonts w:ascii="Consolas" w:hAnsi="Consolas"/>
          <w:color w:val="6B6B6B"/>
          <w:sz w:val="19"/>
        </w:rPr>
        <w:t>docs/verification/v24.2.1-abcde-comparison-results.json</w:t>
      </w:r>
      <w:r>
        <w:t>).</w:t>
      </w:r>
    </w:p>
    <w:p>
      <w:pPr>
        <w:pStyle w:val="Heading4"/>
      </w:pPr>
      <w:r>
        <w:t>C3.1 — Purpose</w:t>
      </w:r>
    </w:p>
    <w:p>
      <w:r>
        <w:t>This protocol defines the canonical procedure for:</w:t>
      </w:r>
    </w:p>
    <w:p>
      <w:pPr>
        <w:pStyle w:val="ListNumber"/>
        <w:ind w:left="425"/>
      </w:pPr>
      <w:r>
        <w:t>Defining candidate reserve portfolios (A/B/C/D/E).</w:t>
      </w:r>
    </w:p>
    <w:p>
      <w:pPr>
        <w:pStyle w:val="ListNumber"/>
        <w:ind w:left="425"/>
      </w:pPr>
      <w:r>
        <w:t>Stress-testing all candidates against a COMMON scenario library, COMMON Monte Carlo seed, and COMMON data feed (apples-to-apples comparison).</w:t>
      </w:r>
    </w:p>
    <w:p>
      <w:pPr>
        <w:pStyle w:val="ListNumber"/>
        <w:ind w:left="425"/>
      </w:pPr>
      <w:r>
        <w:t>Scoring candidates on a multi-dimensional methodology (StressRR → CVaR → model dependency).</w:t>
      </w:r>
    </w:p>
    <w:p>
      <w:pPr>
        <w:pStyle w:val="ListNumber"/>
        <w:ind w:left="425"/>
      </w:pPr>
      <w:r>
        <w:t>Applying hard constraints (RR ≥ 100%, StressRR ≥ scenario min, LCR ≥ 1.0, total reserve = 100%).</w:t>
      </w:r>
    </w:p>
    <w:p>
      <w:pPr>
        <w:pStyle w:val="ListNumber"/>
        <w:ind w:left="425"/>
      </w:pPr>
      <w:r>
        <w:t>Resolving ties via documented tie-break rules.</w:t>
      </w:r>
    </w:p>
    <w:p>
      <w:pPr>
        <w:pStyle w:val="ListNumber"/>
        <w:ind w:left="425"/>
      </w:pPr>
      <w:r>
        <w:t>Performing cost analysis and model-risk analysis.</w:t>
      </w:r>
    </w:p>
    <w:p>
      <w:pPr>
        <w:pStyle w:val="ListNumber"/>
        <w:ind w:left="425"/>
      </w:pPr>
      <w:r>
        <w:t>Selecting the FINAL portfolio via executive decision with full audit trail.</w:t>
      </w:r>
    </w:p>
    <w:p>
      <w:r>
        <w:t xml:space="preserve">This protocol is the binding governance procedure for portfolio selection. The output (selected portfolio) is recorded in §V24.2.1.9 and implemented in </w:t>
      </w:r>
      <w:r>
        <w:rPr>
          <w:rFonts w:ascii="Consolas" w:hAnsi="Consolas"/>
          <w:color w:val="6B6B6B"/>
          <w:sz w:val="19"/>
        </w:rPr>
        <w:t>APPROVED_PORTFOLIO_B</w:t>
      </w:r>
      <w:r>
        <w:t>.</w:t>
      </w:r>
    </w:p>
    <w:p>
      <w:pPr>
        <w:pStyle w:val="Heading4"/>
      </w:pPr>
      <w:r>
        <w:t>C3.2 — Candidate Portfolio Definitions</w:t>
      </w:r>
    </w:p>
    <w:p>
      <w:r>
        <w:t>Five candidate portfolios are evaluated. Each is a complete reserve composition (sums to 100%):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Physical Gold</w:t>
            </w:r>
          </w:p>
        </w:tc>
        <w:tc>
          <w:tcPr>
            <w:tcW w:type="dxa" w:w="1296"/>
            <w:shd w:fill="1A365F"/>
            <w:vAlign w:val="center"/>
          </w:tcPr>
          <w:p>
            <w:pPr>
              <w:jc w:val="left"/>
            </w:pPr>
            <w:r/>
            <w:r>
              <w:rPr>
                <w:rFonts w:ascii="Calibri" w:hAnsi="Calibri"/>
                <w:b/>
                <w:color w:val="FFFFFF"/>
                <w:sz w:val="18"/>
              </w:rPr>
              <w:t>Tokenized Gold</w:t>
            </w:r>
          </w:p>
        </w:tc>
        <w:tc>
          <w:tcPr>
            <w:tcW w:type="dxa" w:w="1296"/>
            <w:shd w:fill="1A365F"/>
            <w:vAlign w:val="center"/>
          </w:tcPr>
          <w:p>
            <w:pPr>
              <w:jc w:val="left"/>
            </w:pPr>
            <w:r/>
            <w:r>
              <w:rPr>
                <w:rFonts w:ascii="Calibri" w:hAnsi="Calibri"/>
                <w:b/>
                <w:color w:val="FFFFFF"/>
                <w:sz w:val="18"/>
              </w:rPr>
              <w:t>Silver</w:t>
            </w:r>
          </w:p>
        </w:tc>
        <w:tc>
          <w:tcPr>
            <w:tcW w:type="dxa" w:w="1296"/>
            <w:shd w:fill="1A365F"/>
            <w:vAlign w:val="center"/>
          </w:tcPr>
          <w:p>
            <w:pPr>
              <w:jc w:val="left"/>
            </w:pPr>
            <w:r/>
            <w:r>
              <w:rPr>
                <w:rFonts w:ascii="Calibri" w:hAnsi="Calibri"/>
                <w:b/>
                <w:color w:val="FFFFFF"/>
                <w:sz w:val="18"/>
              </w:rPr>
              <w:t>Fiat</w:t>
            </w:r>
          </w:p>
        </w:tc>
        <w:tc>
          <w:tcPr>
            <w:tcW w:type="dxa" w:w="1296"/>
            <w:shd w:fill="1A365F"/>
            <w:vAlign w:val="center"/>
          </w:tcPr>
          <w:p>
            <w:pPr>
              <w:jc w:val="left"/>
            </w:pPr>
            <w:r/>
            <w:r>
              <w:rPr>
                <w:rFonts w:ascii="Calibri" w:hAnsi="Calibri"/>
                <w:b/>
                <w:color w:val="FFFFFF"/>
                <w:sz w:val="18"/>
              </w:rPr>
              <w:t>Digital</w:t>
            </w:r>
          </w:p>
        </w:tc>
        <w:tc>
          <w:tcPr>
            <w:tcW w:type="dxa" w:w="1296"/>
            <w:shd w:fill="1A365F"/>
            <w:vAlign w:val="center"/>
          </w:tcPr>
          <w:p>
            <w:pPr>
              <w:jc w:val="left"/>
            </w:pPr>
            <w:r/>
            <w:r>
              <w:rPr>
                <w:rFonts w:ascii="Calibri" w:hAnsi="Calibri"/>
                <w:b/>
                <w:color w:val="FFFFFF"/>
                <w:sz w:val="18"/>
              </w:rPr>
              <w:t>Description</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15%</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79.5%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v24.2 strategic reference; silver mandatory</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15%</w:t>
            </w:r>
          </w:p>
        </w:tc>
        <w:tc>
          <w:tcPr>
            <w:tcW w:type="dxa" w:w="1296"/>
            <w:shd w:fill="F0F0F0"/>
            <w:vAlign w:val="center"/>
          </w:tcPr>
          <w:p>
            <w:pPr>
              <w:jc w:val="left"/>
            </w:pPr>
            <w:r/>
            <w:r>
              <w:rPr>
                <w:rFonts w:ascii="Calibri" w:hAnsi="Calibri"/>
                <w:color w:val="2D2D2D"/>
                <w:sz w:val="18"/>
              </w:rPr>
              <w:t>5%</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Tokenized allocated gold (PAXG); silver conditional default 0%</w:t>
            </w:r>
          </w:p>
        </w:tc>
      </w:tr>
      <w:tr>
        <w:tc>
          <w:tcPr>
            <w:tcW w:type="dxa" w:w="1296"/>
            <w:vAlign w:val="center"/>
          </w:tcPr>
          <w:p>
            <w:pPr>
              <w:jc w:val="left"/>
            </w:pPr>
            <w:r/>
            <w:r>
              <w:rPr>
                <w:rFonts w:ascii="Calibri" w:hAnsi="Calibri"/>
                <w:color w:val="2D2D2D"/>
                <w:sz w:val="18"/>
              </w:rPr>
              <w:t>**C** (v24.2.1 mid-mix)</w:t>
            </w:r>
          </w:p>
        </w:tc>
        <w:tc>
          <w:tcPr>
            <w:tcW w:type="dxa" w:w="1296"/>
            <w:vAlign w:val="center"/>
          </w:tcPr>
          <w:p>
            <w:pPr>
              <w:jc w:val="left"/>
            </w:pPr>
            <w:r/>
            <w:r>
              <w:rPr>
                <w:rFonts w:ascii="Calibri" w:hAnsi="Calibri"/>
                <w:color w:val="2D2D2D"/>
                <w:sz w:val="18"/>
              </w:rPr>
              <w:t>17%</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Higher physical gold, smaller tokenized sleeve</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20%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Maximize physical gold, no tokenized, no silver</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14%</w:t>
            </w:r>
          </w:p>
        </w:tc>
        <w:tc>
          <w:tcPr>
            <w:tcW w:type="dxa" w:w="1296"/>
            <w:vAlign w:val="center"/>
          </w:tcPr>
          <w:p>
            <w:pPr>
              <w:jc w:val="left"/>
            </w:pPr>
            <w:r/>
            <w:r>
              <w:rPr>
                <w:rFonts w:ascii="Calibri" w:hAnsi="Calibri"/>
                <w:color w:val="2D2D2D"/>
                <w:sz w:val="18"/>
              </w:rPr>
              <w:t>4%</w:t>
            </w:r>
          </w:p>
        </w:tc>
        <w:tc>
          <w:tcPr>
            <w:tcW w:type="dxa" w:w="1296"/>
            <w:vAlign w:val="center"/>
          </w:tcPr>
          <w:p>
            <w:pPr>
              <w:jc w:val="left"/>
            </w:pPr>
            <w:r/>
            <w:r>
              <w:rPr>
                <w:rFonts w:ascii="Calibri" w:hAnsi="Calibri"/>
                <w:color w:val="2D2D2D"/>
                <w:sz w:val="18"/>
              </w:rPr>
              <w:t>2%</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Includes small silver sleeve alongside tokenized gold</w:t>
            </w:r>
          </w:p>
        </w:tc>
      </w:tr>
    </w:tbl>
    <w:p/>
    <w:p>
      <w:r>
        <w:t>All candidates satisfy:</w:t>
      </w:r>
    </w:p>
    <w:p>
      <w:pPr>
        <w:pStyle w:val="ListBullet"/>
        <w:ind w:left="425"/>
      </w:pPr>
      <w:r>
        <w:t>Total = 100%.</w:t>
      </w:r>
    </w:p>
    <w:p>
      <w:pPr>
        <w:pStyle w:val="ListBullet"/>
        <w:ind w:left="425"/>
      </w:pPr>
      <w:r>
        <w:t>Bullion = Physical Gold + Tokenized Gold + Silver ∈ [15%, 25%].</w:t>
      </w:r>
    </w:p>
    <w:p>
      <w:pPr>
        <w:pStyle w:val="ListBullet"/>
        <w:ind w:left="425"/>
      </w:pPr>
      <w:r>
        <w:t>Fiat ∈ [70%, 85%].</w:t>
      </w:r>
    </w:p>
    <w:p>
      <w:pPr>
        <w:pStyle w:val="ListBullet"/>
        <w:ind w:left="425"/>
      </w:pPr>
      <w:r>
        <w:t>Digital = 2.5% (within [0%, 5%]).</w:t>
      </w:r>
    </w:p>
    <w:p>
      <w:pPr>
        <w:pStyle w:val="ListBullet"/>
        <w:ind w:left="425"/>
      </w:pPr>
      <w:r>
        <w:t>USD-equivalent exposure ≤ 35% (including AED + SAR pegs).</w:t>
      </w:r>
    </w:p>
    <w:p>
      <w:pPr>
        <w:pStyle w:val="ListBullet"/>
        <w:ind w:left="425"/>
      </w:pPr>
      <w:r>
        <w:t>Per-currency ≤ 60%, per-issuer ≤ 2%, per-custodian ≤ 25%, per-jurisdiction ≤ 30%.</w:t>
      </w:r>
    </w:p>
    <w:p>
      <w:r>
        <w:t>Fiat composition is identical across candidates (10-currency basket, USD-capped at 35%); only bullion composition varies. This isolates the bullion-strategy variable for the comparison.</w:t>
      </w:r>
    </w:p>
    <w:p>
      <w:pPr>
        <w:pStyle w:val="Heading4"/>
      </w:pPr>
      <w:r>
        <w:t>C3.3 — Common Scenario Library (§45 18 scenarios)</w:t>
      </w:r>
    </w:p>
    <w:p>
      <w:r>
        <w:t>All five candidates are stress-tested against the SAME 18-scenario library defined in §45: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Scenario</w:t>
            </w:r>
          </w:p>
        </w:tc>
        <w:tc>
          <w:tcPr>
            <w:tcW w:type="dxa" w:w="2268"/>
            <w:shd w:fill="1A365F"/>
            <w:vAlign w:val="center"/>
          </w:tcPr>
          <w:p>
            <w:pPr>
              <w:jc w:val="left"/>
            </w:pPr>
            <w:r/>
            <w:r>
              <w:rPr>
                <w:rFonts w:ascii="Calibri" w:hAnsi="Calibri"/>
                <w:b/>
                <w:color w:val="FFFFFF"/>
                <w:sz w:val="18"/>
              </w:rPr>
              <w:t>Type</w:t>
            </w:r>
          </w:p>
        </w:tc>
        <w:tc>
          <w:tcPr>
            <w:tcW w:type="dxa" w:w="2268"/>
            <w:shd w:fill="1A365F"/>
            <w:vAlign w:val="center"/>
          </w:tcPr>
          <w:p>
            <w:pPr>
              <w:jc w:val="left"/>
            </w:pPr>
            <w:r/>
            <w:r>
              <w:rPr>
                <w:rFonts w:ascii="Calibri" w:hAnsi="Calibri"/>
                <w:b/>
                <w:color w:val="FFFFFF"/>
                <w:sz w:val="18"/>
              </w:rPr>
              <w:t>Description</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2008 GFC</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Global financial crisis, gold +25%, silver −30%, USD +15%</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2011 Eurozone Crisis</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EUR −10%, CHF +20% (peg break), gold +15%</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2013 Taper Tantrum</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EM FX −15%, US 10y +100bp, gold −25%</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2015 Swiss Franc Shock</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CHF +30% intraday, EUR −15%</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2016 Brexit Vote</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GBP −12%, EUR −3%, gold +8%</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2020 COVID-19 Crash</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Risk-off, USD +8%, gold +5%, silver −25%</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2022 Inflation Drawdown</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Real yields +150bp, gold −20%, silver −35%</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2023 SVB Failure</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Banking stress, gold +10%, USD −2%</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2024 Gold ATH</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Gold +30% (ATH), silver +5% (lagging)</w:t>
            </w:r>
          </w:p>
        </w:tc>
      </w:tr>
      <w:tr>
        <w:tc>
          <w:tcPr>
            <w:tcW w:type="dxa" w:w="2268"/>
            <w:shd w:fill="F0F0F0"/>
            <w:vAlign w:val="center"/>
          </w:tcPr>
          <w:p>
            <w:pPr>
              <w:jc w:val="left"/>
            </w:pPr>
            <w:r/>
            <w:r>
              <w:rPr>
                <w:rFonts w:ascii="Calibri" w:hAnsi="Calibri"/>
                <w:color w:val="2D2D2D"/>
                <w:sz w:val="18"/>
              </w:rPr>
              <w:t>10</w:t>
            </w:r>
          </w:p>
        </w:tc>
        <w:tc>
          <w:tcPr>
            <w:tcW w:type="dxa" w:w="2268"/>
            <w:shd w:fill="F0F0F0"/>
            <w:vAlign w:val="center"/>
          </w:tcPr>
          <w:p>
            <w:pPr>
              <w:jc w:val="left"/>
            </w:pPr>
            <w:r/>
            <w:r>
              <w:rPr>
                <w:rFonts w:ascii="Calibri" w:hAnsi="Calibri"/>
                <w:color w:val="2D2D2D"/>
                <w:sz w:val="18"/>
              </w:rPr>
              <w:t>2025 Gold Rally</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Gold +25%, silver +15% (catching up)</w:t>
            </w:r>
          </w:p>
        </w:tc>
      </w:tr>
      <w:tr>
        <w:tc>
          <w:tcPr>
            <w:tcW w:type="dxa" w:w="2268"/>
            <w:vAlign w:val="center"/>
          </w:tcPr>
          <w:p>
            <w:pPr>
              <w:jc w:val="left"/>
            </w:pPr>
            <w:r/>
            <w:r>
              <w:rPr>
                <w:rFonts w:ascii="Calibri" w:hAnsi="Calibri"/>
                <w:color w:val="2D2D2D"/>
                <w:sz w:val="18"/>
              </w:rPr>
              <w:t>11</w:t>
            </w:r>
          </w:p>
        </w:tc>
        <w:tc>
          <w:tcPr>
            <w:tcW w:type="dxa" w:w="2268"/>
            <w:vAlign w:val="center"/>
          </w:tcPr>
          <w:p>
            <w:pPr>
              <w:jc w:val="left"/>
            </w:pPr>
            <w:r/>
            <w:r>
              <w:rPr>
                <w:rFonts w:ascii="Calibri" w:hAnsi="Calibri"/>
                <w:color w:val="2D2D2D"/>
                <w:sz w:val="18"/>
              </w:rPr>
              <w:t>Stablecoin Depeg (single)</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USDC depeg to 0.95 for 48h, recovery to 1.00</w:t>
            </w:r>
          </w:p>
        </w:tc>
      </w:tr>
      <w:tr>
        <w:tc>
          <w:tcPr>
            <w:tcW w:type="dxa" w:w="2268"/>
            <w:shd w:fill="F0F0F0"/>
            <w:vAlign w:val="center"/>
          </w:tcPr>
          <w:p>
            <w:pPr>
              <w:jc w:val="left"/>
            </w:pPr>
            <w:r/>
            <w:r>
              <w:rPr>
                <w:rFonts w:ascii="Calibri" w:hAnsi="Calibri"/>
                <w:color w:val="2D2D2D"/>
                <w:sz w:val="18"/>
              </w:rPr>
              <w:t>12</w:t>
            </w:r>
          </w:p>
        </w:tc>
        <w:tc>
          <w:tcPr>
            <w:tcW w:type="dxa" w:w="2268"/>
            <w:shd w:fill="F0F0F0"/>
            <w:vAlign w:val="center"/>
          </w:tcPr>
          <w:p>
            <w:pPr>
              <w:jc w:val="left"/>
            </w:pPr>
            <w:r/>
            <w:r>
              <w:rPr>
                <w:rFonts w:ascii="Calibri" w:hAnsi="Calibri"/>
                <w:color w:val="2D2D2D"/>
                <w:sz w:val="18"/>
              </w:rPr>
              <w:t>Stablecoin Depeg (contagion)</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USDC + USDT + DAI simultaneous depeg</w:t>
            </w:r>
          </w:p>
        </w:tc>
      </w:tr>
      <w:tr>
        <w:tc>
          <w:tcPr>
            <w:tcW w:type="dxa" w:w="2268"/>
            <w:vAlign w:val="center"/>
          </w:tcPr>
          <w:p>
            <w:pPr>
              <w:jc w:val="left"/>
            </w:pPr>
            <w:r/>
            <w:r>
              <w:rPr>
                <w:rFonts w:ascii="Calibri" w:hAnsi="Calibri"/>
                <w:color w:val="2D2D2D"/>
                <w:sz w:val="18"/>
              </w:rPr>
              <w:t>13</w:t>
            </w:r>
          </w:p>
        </w:tc>
        <w:tc>
          <w:tcPr>
            <w:tcW w:type="dxa" w:w="2268"/>
            <w:vAlign w:val="center"/>
          </w:tcPr>
          <w:p>
            <w:pPr>
              <w:jc w:val="left"/>
            </w:pPr>
            <w:r/>
            <w:r>
              <w:rPr>
                <w:rFonts w:ascii="Calibri" w:hAnsi="Calibri"/>
                <w:color w:val="2D2D2D"/>
                <w:sz w:val="18"/>
              </w:rPr>
              <w:t>Custody Failure (single custodian)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Brink's operational outage 5 business days</w:t>
            </w:r>
          </w:p>
        </w:tc>
      </w:tr>
      <w:tr>
        <w:tc>
          <w:tcPr>
            <w:tcW w:type="dxa" w:w="2268"/>
            <w:shd w:fill="F0F0F0"/>
            <w:vAlign w:val="center"/>
          </w:tcPr>
          <w:p>
            <w:pPr>
              <w:jc w:val="left"/>
            </w:pPr>
            <w:r/>
            <w:r>
              <w:rPr>
                <w:rFonts w:ascii="Calibri" w:hAnsi="Calibri"/>
                <w:color w:val="2D2D2D"/>
                <w:sz w:val="18"/>
              </w:rPr>
              <w:t>14</w:t>
            </w:r>
          </w:p>
        </w:tc>
        <w:tc>
          <w:tcPr>
            <w:tcW w:type="dxa" w:w="2268"/>
            <w:shd w:fill="F0F0F0"/>
            <w:vAlign w:val="center"/>
          </w:tcPr>
          <w:p>
            <w:pPr>
              <w:jc w:val="left"/>
            </w:pPr>
            <w:r/>
            <w:r>
              <w:rPr>
                <w:rFonts w:ascii="Calibri" w:hAnsi="Calibri"/>
                <w:color w:val="2D2D2D"/>
                <w:sz w:val="18"/>
              </w:rPr>
              <w:t>Custody Failure (issuer)</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Paxos wind-down filing (PAXG redemption freeze)</w:t>
            </w:r>
          </w:p>
        </w:tc>
      </w:tr>
      <w:tr>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Oracle Manipulation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gold-api.com + goldprice.org simultaneous compromise</w:t>
            </w:r>
          </w:p>
        </w:tc>
      </w:tr>
      <w:tr>
        <w:tc>
          <w:tcPr>
            <w:tcW w:type="dxa" w:w="2268"/>
            <w:shd w:fill="F0F0F0"/>
            <w:vAlign w:val="center"/>
          </w:tcPr>
          <w:p>
            <w:pPr>
              <w:jc w:val="left"/>
            </w:pPr>
            <w:r/>
            <w:r>
              <w:rPr>
                <w:rFonts w:ascii="Calibri" w:hAnsi="Calibri"/>
                <w:color w:val="2D2D2D"/>
                <w:sz w:val="18"/>
              </w:rPr>
              <w:t>16</w:t>
            </w:r>
          </w:p>
        </w:tc>
        <w:tc>
          <w:tcPr>
            <w:tcW w:type="dxa" w:w="2268"/>
            <w:shd w:fill="F0F0F0"/>
            <w:vAlign w:val="center"/>
          </w:tcPr>
          <w:p>
            <w:pPr>
              <w:jc w:val="left"/>
            </w:pPr>
            <w:r/>
            <w:r>
              <w:rPr>
                <w:rFonts w:ascii="Calibri" w:hAnsi="Calibri"/>
                <w:color w:val="2D2D2D"/>
                <w:sz w:val="18"/>
              </w:rPr>
              <w:t>USD Confidence Crisis</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 −20% vs major currencies, gold +35%</w:t>
            </w:r>
          </w:p>
        </w:tc>
      </w:tr>
      <w:tr>
        <w:tc>
          <w:tcPr>
            <w:tcW w:type="dxa" w:w="2268"/>
            <w:vAlign w:val="center"/>
          </w:tcPr>
          <w:p>
            <w:pPr>
              <w:jc w:val="left"/>
            </w:pPr>
            <w:r/>
            <w:r>
              <w:rPr>
                <w:rFonts w:ascii="Calibri" w:hAnsi="Calibri"/>
                <w:color w:val="2D2D2D"/>
                <w:sz w:val="18"/>
              </w:rPr>
              <w:t>17</w:t>
            </w:r>
          </w:p>
        </w:tc>
        <w:tc>
          <w:tcPr>
            <w:tcW w:type="dxa" w:w="2268"/>
            <w:vAlign w:val="center"/>
          </w:tcPr>
          <w:p>
            <w:pPr>
              <w:jc w:val="left"/>
            </w:pPr>
            <w:r/>
            <w:r>
              <w:rPr>
                <w:rFonts w:ascii="Calibri" w:hAnsi="Calibri"/>
                <w:color w:val="2D2D2D"/>
                <w:sz w:val="18"/>
              </w:rPr>
              <w:t>China/Taiwan Conflict</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CNY −25%, Asian FX −15%, gold +20%</w:t>
            </w:r>
          </w:p>
        </w:tc>
      </w:tr>
      <w:tr>
        <w:tc>
          <w:tcPr>
            <w:tcW w:type="dxa" w:w="2268"/>
            <w:shd w:fill="F0F0F0"/>
            <w:vAlign w:val="center"/>
          </w:tcPr>
          <w:p>
            <w:pPr>
              <w:jc w:val="left"/>
            </w:pPr>
            <w:r/>
            <w:r>
              <w:rPr>
                <w:rFonts w:ascii="Calibri" w:hAnsi="Calibri"/>
                <w:color w:val="2D2D2D"/>
                <w:sz w:val="18"/>
              </w:rPr>
              <w:t>18</w:t>
            </w:r>
          </w:p>
        </w:tc>
        <w:tc>
          <w:tcPr>
            <w:tcW w:type="dxa" w:w="2268"/>
            <w:shd w:fill="F0F0F0"/>
            <w:vAlign w:val="center"/>
          </w:tcPr>
          <w:p>
            <w:pPr>
              <w:jc w:val="left"/>
            </w:pPr>
            <w:r/>
            <w:r>
              <w:rPr>
                <w:rFonts w:ascii="Calibri" w:hAnsi="Calibri"/>
                <w:color w:val="2D2D2D"/>
                <w:sz w:val="18"/>
              </w:rPr>
              <w:t>Sovereign Default (G7)</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Single G7 sovereign defaults; corresponding sovereign bond haircut 50%</w:t>
            </w:r>
          </w:p>
        </w:tc>
      </w:tr>
    </w:tbl>
    <w:p/>
    <w:p>
      <w:r>
        <w:t>Each scenario specifies: shocked asset, shock magnitude, shock duration, recovery path, correlation regime (normal / crisis / decoupled).</w:t>
      </w:r>
    </w:p>
    <w:p>
      <w:pPr>
        <w:pStyle w:val="Heading4"/>
      </w:pPr>
      <w:r>
        <w:t>C3.4 — Common Monte Carlo Seed</w:t>
      </w:r>
    </w:p>
    <w:p>
      <w:r>
        <w:t>All candidates are evaluated with the SAME Monte Carlo configuration:</w:t>
      </w:r>
    </w:p>
    <w:p>
      <w:pPr>
        <w:ind w:left="283"/>
        <w:shd w:fill="F5F5F5"/>
      </w:pPr>
      <w:r>
        <w:rPr>
          <w:rFonts w:ascii="Consolas" w:hAnsi="Consolas"/>
          <w:color w:val="6B6B6B"/>
          <w:sz w:val="18"/>
        </w:rPr>
        <w:t>N_paths        = 250,000</w:t>
        <w:br/>
        <w:t>seed           = 42        (FIXED — fully reproducible)</w:t>
        <w:br/>
        <w:t>hist_days      = 1,670     (~6.5 years of daily returns 2020-01 → 2025-09)</w:t>
        <w:br/>
        <w:t>block_size     = 20        (for block-bootstrap variants)</w:t>
        <w:br/>
        <w:t>regime_matrix  = [[0.95, 0.05], [0.20, 0.80]]   (normal / stress Markov)</w:t>
        <w:br/>
        <w:t>Merton_lambda  = 2 / year</w:t>
        <w:br/>
        <w:t>Merton_mu      = -5%       (jump mean)</w:t>
        <w:br/>
        <w:t>Merton_sigma   = 10%       (jump size volatility)</w:t>
        <w:br/>
        <w:t>depeg_p        = 2% / year</w:t>
        <w:br/>
        <w:t>asset_corr     = 0.30 baseline, 0.60 stress (CRISIS_CORR_MULT = sqrt(1.5))</w:t>
        <w:br/>
        <w:t>Student-t df   = 5         (fat-tail scaling, variance factor 5/3)</w:t>
      </w:r>
    </w:p>
    <w:p>
      <w:r>
        <w:rPr>
          <w:b/>
        </w:rPr>
        <w:t>Common Random Numbers (CRN)</w:t>
      </w:r>
      <w:r>
        <w:t xml:space="preserve">: All five candidates are evaluated against the </w:t>
      </w:r>
      <w:r>
        <w:rPr>
          <w:b/>
        </w:rPr>
        <w:t>same 250,000-path shock surface</w:t>
      </w:r>
      <w:r>
        <w:t>. This is the key methodology choice that makes the comparison apples-to-apples — any difference in candidate outcomes is attributable to portfolio composition, NOT to RNG noise.</w:t>
      </w:r>
    </w:p>
    <w:p>
      <w:r>
        <w:t xml:space="preserve">Implementation: </w:t>
      </w:r>
      <w:r>
        <w:rPr>
          <w:rFonts w:ascii="Consolas" w:hAnsi="Consolas"/>
          <w:color w:val="6B6B6B"/>
          <w:sz w:val="19"/>
        </w:rPr>
        <w:t>scripts/abcde-comparison.py</w:t>
      </w:r>
      <w:r>
        <w:t xml:space="preserve"> generates the shock surface once (seed=42), then evaluates all 5 portfolios against it. Reproducibility verified (two runs produce byte-identical results).</w:t>
      </w:r>
    </w:p>
    <w:p>
      <w:pPr>
        <w:pStyle w:val="Heading4"/>
      </w:pPr>
      <w:r>
        <w:t>C3.5 — Common Data</w:t>
      </w:r>
    </w:p>
    <w:p>
      <w:r>
        <w:t>All candidates use the same data inputs:</w:t>
      </w:r>
    </w:p>
    <w:p>
      <w:pPr>
        <w:pStyle w:val="ListBullet"/>
        <w:ind w:left="425"/>
      </w:pPr>
      <w:r>
        <w:t xml:space="preserve">Historical prices: </w:t>
      </w:r>
      <w:r>
        <w:rPr>
          <w:rFonts w:ascii="Consolas" w:hAnsi="Consolas"/>
          <w:color w:val="6B6B6B"/>
          <w:sz w:val="19"/>
        </w:rPr>
        <w:t>docs/verification/historical-prices.csv</w:t>
      </w:r>
      <w:r>
        <w:t xml:space="preserve"> (69 months 2020-01 → 2025-09, Yahoo Finance).</w:t>
      </w:r>
    </w:p>
    <w:p>
      <w:pPr>
        <w:pStyle w:val="ListBullet"/>
        <w:ind w:left="425"/>
      </w:pPr>
      <w:r>
        <w:t>Gold spot: GC=F (COMEX futures) gap-filled with GLD ETF (initial ratio 10.60).</w:t>
      </w:r>
    </w:p>
    <w:p>
      <w:pPr>
        <w:pStyle w:val="ListBullet"/>
        <w:ind w:left="425"/>
      </w:pPr>
      <w:r>
        <w:t>Silver spot: SI=F gap-filled with SLV ETF (initial ratio 1.07).</w:t>
      </w:r>
    </w:p>
    <w:p>
      <w:pPr>
        <w:pStyle w:val="ListBullet"/>
        <w:ind w:left="425"/>
      </w:pPr>
      <w:r>
        <w:t>FX basket: EURUSD, JPY=X, GBPUSD, CHFUSD, AUDUSD, CADUSD, SGDUSD, CNYUSD, AEDUSD, SARUSD (10 pairs).</w:t>
      </w:r>
    </w:p>
    <w:p>
      <w:pPr>
        <w:pStyle w:val="ListBullet"/>
        <w:ind w:left="425"/>
      </w:pPr>
      <w:r>
        <w:t>PAXG market price: CoinGecko pax-gold (60s cache).</w:t>
      </w:r>
    </w:p>
    <w:p>
      <w:pPr>
        <w:pStyle w:val="ListBullet"/>
        <w:ind w:left="425"/>
      </w:pPr>
      <w:r>
        <w:t>Cross-validated against gold-api.com live spot ($4,358/oz gold, $64.6/oz silver on 2026-08-13).</w:t>
      </w:r>
    </w:p>
    <w:p>
      <w:r>
        <w:t>No candidate is permitted to use different data sources, different historical windows, or different gap-filling methods. Any data discrepancy would invalidate the comparison.</w:t>
      </w:r>
    </w:p>
    <w:p>
      <w:pPr>
        <w:pStyle w:val="Heading4"/>
      </w:pPr>
      <w:r>
        <w:t>C3.6 — Scoring Methodology</w:t>
      </w:r>
    </w:p>
    <w:p>
      <w:r>
        <w:t xml:space="preserve">Candidates are scored on a </w:t>
      </w:r>
      <w:r>
        <w:rPr>
          <w:b/>
        </w:rPr>
        <w:t>three-tier hierarchy</w:t>
      </w:r>
      <w:r>
        <w:t xml:space="preserve"> (mirrors the §V24.2.6 optimizer structure):</w:t>
      </w:r>
    </w:p>
    <w:p>
      <w:r>
        <w:rPr>
          <w:b/>
        </w:rPr>
        <w:t>Tier 1 — Hard constraints (must ALL pass)</w:t>
      </w:r>
      <w:r>
        <w:t>:</w:t>
      </w:r>
    </w:p>
    <w:p>
      <w:pPr>
        <w:pStyle w:val="ListBullet"/>
        <w:ind w:left="425"/>
      </w:pPr>
      <w:r>
        <w:t>RR ≥ 100% (constitutional floor) in every scenario.</w:t>
      </w:r>
    </w:p>
    <w:p>
      <w:pPr>
        <w:pStyle w:val="ListBullet"/>
        <w:ind w:left="425"/>
      </w:pPr>
      <w:r>
        <w:t>StressRR ≥ scenario-specific minimum (typically 90% for severe scenarios, 100% for moderate).</w:t>
      </w:r>
    </w:p>
    <w:p>
      <w:pPr>
        <w:pStyle w:val="ListBullet"/>
        <w:ind w:left="425"/>
      </w:pPr>
      <w:r>
        <w:t>LCR ≥ 1.0 in every scenario.</w:t>
      </w:r>
    </w:p>
    <w:p>
      <w:pPr>
        <w:pStyle w:val="ListBullet"/>
        <w:ind w:left="425"/>
      </w:pPr>
      <w:r>
        <w:t>Total reserve = 100% (composition identity).</w:t>
      </w:r>
    </w:p>
    <w:p>
      <w:pPr>
        <w:pStyle w:val="ListBullet"/>
        <w:ind w:left="425"/>
      </w:pPr>
      <w:r>
        <w:t>USD-equivalent exposure ≤ 35%.</w:t>
      </w:r>
    </w:p>
    <w:p>
      <w:pPr>
        <w:pStyle w:val="ListBullet"/>
        <w:ind w:left="425"/>
      </w:pPr>
      <w:r>
        <w:t>Per-currency ≤ 60%, per-issuer ≤ 2%, per-custodian ≤ 25%, per-jurisdiction ≤ 30%.</w:t>
      </w:r>
    </w:p>
    <w:p>
      <w:r>
        <w:t>Any candidate failing a Tier-1 constraint is DISQUALIFIED (no further scoring).</w:t>
      </w:r>
    </w:p>
    <w:p>
      <w:r>
        <w:rPr>
          <w:b/>
        </w:rPr>
        <w:t>Tier 2 — Risk metrics (minimize, weighted)</w:t>
      </w:r>
      <w:r>
        <w:t>:</w:t>
      </w:r>
    </w:p>
    <w:p>
      <w:pPr>
        <w:pStyle w:val="ListBullet"/>
        <w:ind w:left="425"/>
      </w:pPr>
      <w:r>
        <w:t>StressRR (mean across 250K paths) → maximize</w:t>
      </w:r>
    </w:p>
    <w:p>
      <w:pPr>
        <w:pStyle w:val="ListBullet"/>
        <w:ind w:left="425"/>
      </w:pPr>
      <w:r>
        <w:t>CVaR_99 (99% conditional value-at-risk, USD) → minimize</w:t>
      </w:r>
    </w:p>
    <w:p>
      <w:pPr>
        <w:pStyle w:val="ListBullet"/>
        <w:ind w:left="425"/>
      </w:pPr>
      <w:r>
        <w:t>P(RR &lt; 100%) → minimize</w:t>
      </w:r>
    </w:p>
    <w:p>
      <w:pPr>
        <w:pStyle w:val="ListBullet"/>
        <w:ind w:left="425"/>
      </w:pPr>
      <w:r>
        <w:t>P(StressRR &lt; 100%) → minimize</w:t>
      </w:r>
    </w:p>
    <w:p>
      <w:pPr>
        <w:pStyle w:val="ListBullet"/>
        <w:ind w:left="425"/>
      </w:pPr>
      <w:r>
        <w:t>Model dependency (variance attributable to model assumptions) → minimize</w:t>
      </w:r>
    </w:p>
    <w:p>
      <w:r>
        <w:rPr>
          <w:b/>
        </w:rPr>
        <w:t>Tier 3 — Operational / governance factors (maximize, weighted)</w:t>
      </w:r>
      <w:r>
        <w:t>:</w:t>
      </w:r>
    </w:p>
    <w:p>
      <w:pPr>
        <w:pStyle w:val="ListBullet"/>
        <w:ind w:left="425"/>
      </w:pPr>
      <w:r>
        <w:t>Settlement speed (T+0 vs T+2)</w:t>
      </w:r>
    </w:p>
    <w:p>
      <w:pPr>
        <w:pStyle w:val="ListBullet"/>
        <w:ind w:left="425"/>
      </w:pPr>
      <w:r>
        <w:t>Redemption buffer (digital-gold liquidity available for small/mid redemptions)</w:t>
      </w:r>
    </w:p>
    <w:p>
      <w:pPr>
        <w:pStyle w:val="ListBullet"/>
        <w:ind w:left="425"/>
      </w:pPr>
      <w:r>
        <w:t>Governance alignment (implements v24.2.1 directive)</w:t>
      </w:r>
    </w:p>
    <w:p>
      <w:pPr>
        <w:pStyle w:val="ListBullet"/>
        <w:ind w:left="425"/>
      </w:pPr>
      <w:r>
        <w:t>Implementation readiness (enablers complete)</w:t>
      </w:r>
    </w:p>
    <w:p>
      <w:pPr>
        <w:pStyle w:val="ListBullet"/>
        <w:ind w:left="425"/>
      </w:pPr>
      <w:r>
        <w:t>Bar-pool diversification (number of distinct allocated bar pools)</w:t>
      </w:r>
    </w:p>
    <w:p>
      <w:pPr>
        <w:pStyle w:val="ListBullet"/>
        <w:ind w:left="425"/>
      </w:pPr>
      <w:r>
        <w:t>Operational resilience (custody redundancy)</w:t>
      </w:r>
    </w:p>
    <w:p>
      <w:r>
        <w:t>Tier-2 and Tier-3 are reported separately; final selection may weigh them per executive judgment (see §C3.10).</w:t>
      </w:r>
    </w:p>
    <w:p>
      <w:pPr>
        <w:pStyle w:val="Heading4"/>
      </w:pPr>
      <w:r>
        <w:t>C3.7 — Tie-Break Rules</w:t>
      </w:r>
    </w:p>
    <w:p>
      <w:r>
        <w:t>If two candidates tie on Tier-1 (both pass) and Tier-2 StressRR within 0.50pp (noise threshold), the following tie-break rules apply in order:</w:t>
      </w:r>
    </w:p>
    <w:p>
      <w:pPr>
        <w:pStyle w:val="ListNumber"/>
        <w:ind w:left="425"/>
      </w:pPr>
      <w:r>
        <w:rPr>
          <w:b/>
        </w:rPr>
        <w:t>Lower CVaR_99</w:t>
      </w:r>
      <w:r>
        <w:t xml:space="preserve"> wins (tail-risk minimization).</w:t>
      </w:r>
    </w:p>
    <w:p>
      <w:pPr>
        <w:pStyle w:val="ListNumber"/>
        <w:ind w:left="425"/>
      </w:pPr>
      <w:r>
        <w:rPr>
          <w:b/>
        </w:rPr>
        <w:t>Lower model dependency</w:t>
      </w:r>
      <w:r>
        <w:t xml:space="preserve"> wins (robustness to model assumption error).</w:t>
      </w:r>
    </w:p>
    <w:p>
      <w:pPr>
        <w:pStyle w:val="ListNumber"/>
        <w:ind w:left="425"/>
      </w:pPr>
      <w:r>
        <w:rPr>
          <w:b/>
        </w:rPr>
        <w:t>Higher operational settlement speed</w:t>
      </w:r>
      <w:r>
        <w:t xml:space="preserve"> wins (redemption-buffer benefit).</w:t>
      </w:r>
    </w:p>
    <w:p>
      <w:pPr>
        <w:pStyle w:val="ListNumber"/>
        <w:ind w:left="425"/>
      </w:pPr>
      <w:r>
        <w:rPr>
          <w:b/>
        </w:rPr>
        <w:t>Higher bar-pool diversification</w:t>
      </w:r>
      <w:r>
        <w:t xml:space="preserve"> wins (custody risk reduction).</w:t>
      </w:r>
    </w:p>
    <w:p>
      <w:pPr>
        <w:pStyle w:val="ListNumber"/>
        <w:ind w:left="425"/>
      </w:pPr>
      <w:r>
        <w:rPr>
          <w:b/>
        </w:rPr>
        <w:t>Higher governance alignment</w:t>
      </w:r>
      <w:r>
        <w:t xml:space="preserve"> wins (implements the v24.2.1 directive).</w:t>
      </w:r>
    </w:p>
    <w:p>
      <w:pPr>
        <w:pStyle w:val="ListNumber"/>
        <w:ind w:left="425"/>
      </w:pPr>
      <w:r>
        <w:t xml:space="preserve">If still tied: </w:t>
      </w:r>
      <w:r>
        <w:rPr>
          <w:b/>
        </w:rPr>
        <w:t>the more conservative candidate wins</w:t>
      </w:r>
      <w:r>
        <w:t xml:space="preserve"> (less tokenized exposure, more physical).</w:t>
      </w:r>
    </w:p>
    <w:p>
      <w:r>
        <w:t>For the 2026-08-13 selection: Portfolios B and D were within 0.16pp StressRR (noise threshold); tie-break rule #1 (CVaR_99) favored B ($15.62M vs D's higher figure); tie-break rules #3, #4, #5 also favored B. Portfolio B was selected as APPROVED CANDIDATE.</w:t>
      </w:r>
    </w:p>
    <w:p>
      <w:pPr>
        <w:pStyle w:val="Heading4"/>
      </w:pPr>
      <w:r>
        <w:t>C3.8 — Cost Analysis</w:t>
      </w:r>
    </w:p>
    <w:p>
      <w:r>
        <w:t>All-in cost per candidate (annualized, bp of AUM):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Cost component</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Execution (turnover × bp)</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3.8</w:t>
            </w:r>
          </w:p>
        </w:tc>
        <w:tc>
          <w:tcPr>
            <w:tcW w:type="dxa" w:w="1512"/>
            <w:vAlign w:val="center"/>
          </w:tcPr>
          <w:p>
            <w:pPr>
              <w:jc w:val="left"/>
            </w:pPr>
            <w:r/>
            <w:r>
              <w:rPr>
                <w:rFonts w:ascii="Calibri" w:hAnsi="Calibri"/>
                <w:color w:val="2D2D2D"/>
                <w:sz w:val="18"/>
              </w:rPr>
              <w:t>4.0</w:t>
            </w:r>
          </w:p>
        </w:tc>
        <w:tc>
          <w:tcPr>
            <w:tcW w:type="dxa" w:w="1512"/>
            <w:vAlign w:val="center"/>
          </w:tcPr>
          <w:p>
            <w:pPr>
              <w:jc w:val="left"/>
            </w:pPr>
            <w:r/>
            <w:r>
              <w:rPr>
                <w:rFonts w:ascii="Calibri" w:hAnsi="Calibri"/>
                <w:color w:val="2D2D2D"/>
                <w:sz w:val="18"/>
              </w:rPr>
              <w:t>4.2</w:t>
            </w:r>
          </w:p>
        </w:tc>
      </w:tr>
      <w:tr>
        <w:tc>
          <w:tcPr>
            <w:tcW w:type="dxa" w:w="1512"/>
            <w:shd w:fill="F0F0F0"/>
            <w:vAlign w:val="center"/>
          </w:tcPr>
          <w:p>
            <w:pPr>
              <w:jc w:val="left"/>
            </w:pPr>
            <w:r/>
            <w:r>
              <w:rPr>
                <w:rFonts w:ascii="Calibri" w:hAnsi="Calibri"/>
                <w:color w:val="2D2D2D"/>
                <w:sz w:val="18"/>
              </w:rPr>
              <w:t>Custody (physical + tokenized)</w:t>
            </w:r>
          </w:p>
        </w:tc>
        <w:tc>
          <w:tcPr>
            <w:tcW w:type="dxa" w:w="1512"/>
            <w:shd w:fill="F0F0F0"/>
            <w:vAlign w:val="center"/>
          </w:tcPr>
          <w:p>
            <w:pPr>
              <w:jc w:val="left"/>
            </w:pPr>
            <w:r/>
            <w:r>
              <w:rPr>
                <w:rFonts w:ascii="Calibri" w:hAnsi="Calibri"/>
                <w:color w:val="2D2D2D"/>
                <w:sz w:val="18"/>
              </w:rPr>
              <w:t>0.45</w:t>
            </w:r>
          </w:p>
        </w:tc>
        <w:tc>
          <w:tcPr>
            <w:tcW w:type="dxa" w:w="1512"/>
            <w:shd w:fill="F0F0F0"/>
            <w:vAlign w:val="center"/>
          </w:tcPr>
          <w:p>
            <w:pPr>
              <w:jc w:val="left"/>
            </w:pPr>
            <w:r/>
            <w:r>
              <w:rPr>
                <w:rFonts w:ascii="Calibri" w:hAnsi="Calibri"/>
                <w:color w:val="2D2D2D"/>
                <w:sz w:val="18"/>
              </w:rPr>
              <w:t>0.55</w:t>
            </w:r>
          </w:p>
        </w:tc>
        <w:tc>
          <w:tcPr>
            <w:tcW w:type="dxa" w:w="1512"/>
            <w:shd w:fill="F0F0F0"/>
            <w:vAlign w:val="center"/>
          </w:tcPr>
          <w:p>
            <w:pPr>
              <w:jc w:val="left"/>
            </w:pPr>
            <w:r/>
            <w:r>
              <w:rPr>
                <w:rFonts w:ascii="Calibri" w:hAnsi="Calibri"/>
                <w:color w:val="2D2D2D"/>
                <w:sz w:val="18"/>
              </w:rPr>
              <w:t>0.50</w:t>
            </w:r>
          </w:p>
        </w:tc>
        <w:tc>
          <w:tcPr>
            <w:tcW w:type="dxa" w:w="1512"/>
            <w:shd w:fill="F0F0F0"/>
            <w:vAlign w:val="center"/>
          </w:tcPr>
          <w:p>
            <w:pPr>
              <w:jc w:val="left"/>
            </w:pPr>
            <w:r/>
            <w:r>
              <w:rPr>
                <w:rFonts w:ascii="Calibri" w:hAnsi="Calibri"/>
                <w:color w:val="2D2D2D"/>
                <w:sz w:val="18"/>
              </w:rPr>
              <w:t>0.40</w:t>
            </w:r>
          </w:p>
        </w:tc>
        <w:tc>
          <w:tcPr>
            <w:tcW w:type="dxa" w:w="1512"/>
            <w:shd w:fill="F0F0F0"/>
            <w:vAlign w:val="center"/>
          </w:tcPr>
          <w:p>
            <w:pPr>
              <w:jc w:val="left"/>
            </w:pPr>
            <w:r/>
            <w:r>
              <w:rPr>
                <w:rFonts w:ascii="Calibri" w:hAnsi="Calibri"/>
                <w:color w:val="2D2D2D"/>
                <w:sz w:val="18"/>
              </w:rPr>
              <w:t>0.55</w:t>
            </w:r>
          </w:p>
        </w:tc>
      </w:tr>
      <w:tr>
        <w:tc>
          <w:tcPr>
            <w:tcW w:type="dxa" w:w="1512"/>
            <w:vAlign w:val="center"/>
          </w:tcPr>
          <w:p>
            <w:pPr>
              <w:jc w:val="left"/>
            </w:pPr>
            <w:r/>
            <w:r>
              <w:rPr>
                <w:rFonts w:ascii="Calibri" w:hAnsi="Calibri"/>
                <w:color w:val="2D2D2D"/>
                <w:sz w:val="18"/>
              </w:rPr>
              <w:t>Volatility penalty (silver vol drag)</w:t>
            </w:r>
          </w:p>
        </w:tc>
        <w:tc>
          <w:tcPr>
            <w:tcW w:type="dxa" w:w="1512"/>
            <w:vAlign w:val="center"/>
          </w:tcPr>
          <w:p>
            <w:pPr>
              <w:jc w:val="left"/>
            </w:pPr>
            <w:r/>
            <w:r>
              <w:rPr>
                <w:rFonts w:ascii="Calibri" w:hAnsi="Calibri"/>
                <w:color w:val="2D2D2D"/>
                <w:sz w:val="18"/>
              </w:rPr>
              <w:t>45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30</w:t>
            </w:r>
          </w:p>
        </w:tc>
      </w:tr>
      <w:tr>
        <w:tc>
          <w:tcPr>
            <w:tcW w:type="dxa" w:w="1512"/>
            <w:shd w:fill="F0F0F0"/>
            <w:vAlign w:val="center"/>
          </w:tcPr>
          <w:p>
            <w:pPr>
              <w:jc w:val="left"/>
            </w:pPr>
            <w:r/>
            <w:r>
              <w:rPr>
                <w:rFonts w:ascii="Calibri" w:hAnsi="Calibri"/>
                <w:color w:val="2D2D2D"/>
                <w:sz w:val="18"/>
              </w:rPr>
              <w:t>Liquidity penalty (bid-ask)</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3.8</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4.0</w:t>
            </w:r>
          </w:p>
        </w:tc>
      </w:tr>
      <w:tr>
        <w:tc>
          <w:tcPr>
            <w:tcW w:type="dxa" w:w="1512"/>
            <w:vAlign w:val="center"/>
          </w:tcPr>
          <w:p>
            <w:pPr>
              <w:jc w:val="left"/>
            </w:pPr>
            <w:r/>
            <w:r>
              <w:rPr>
                <w:rFonts w:ascii="Calibri" w:hAnsi="Calibri"/>
                <w:color w:val="2D2D2D"/>
                <w:sz w:val="18"/>
              </w:rPr>
              <w:t>Tokenized gold platform fee</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4</w:t>
            </w:r>
          </w:p>
        </w:tc>
      </w:tr>
      <w:tr>
        <w:tc>
          <w:tcPr>
            <w:tcW w:type="dxa" w:w="1512"/>
            <w:shd w:fill="F0F0F0"/>
            <w:vAlign w:val="center"/>
          </w:tcPr>
          <w:p>
            <w:pPr>
              <w:jc w:val="left"/>
            </w:pPr>
            <w:r/>
            <w:r>
              <w:rPr>
                <w:rFonts w:ascii="Calibri" w:hAnsi="Calibri"/>
                <w:color w:val="2D2D2D"/>
                <w:sz w:val="18"/>
              </w:rPr>
              <w:t>**Total**</w:t>
            </w:r>
          </w:p>
        </w:tc>
        <w:tc>
          <w:tcPr>
            <w:tcW w:type="dxa" w:w="1512"/>
            <w:shd w:fill="F0F0F0"/>
            <w:vAlign w:val="center"/>
          </w:tcPr>
          <w:p>
            <w:pPr>
              <w:jc w:val="left"/>
            </w:pPr>
            <w:r/>
            <w:r>
              <w:rPr>
                <w:rFonts w:ascii="Calibri" w:hAnsi="Calibri"/>
                <w:color w:val="2D2D2D"/>
                <w:sz w:val="18"/>
              </w:rPr>
              <w:t>**52.65**</w:t>
            </w:r>
          </w:p>
        </w:tc>
        <w:tc>
          <w:tcPr>
            <w:tcW w:type="dxa" w:w="1512"/>
            <w:shd w:fill="F0F0F0"/>
            <w:vAlign w:val="center"/>
          </w:tcPr>
          <w:p>
            <w:pPr>
              <w:jc w:val="left"/>
            </w:pPr>
            <w:r/>
            <w:r>
              <w:rPr>
                <w:rFonts w:ascii="Calibri" w:hAnsi="Calibri"/>
                <w:color w:val="2D2D2D"/>
                <w:sz w:val="18"/>
              </w:rPr>
              <w:t>**12.75**</w:t>
            </w:r>
          </w:p>
        </w:tc>
        <w:tc>
          <w:tcPr>
            <w:tcW w:type="dxa" w:w="1512"/>
            <w:shd w:fill="F0F0F0"/>
            <w:vAlign w:val="center"/>
          </w:tcPr>
          <w:p>
            <w:pPr>
              <w:jc w:val="left"/>
            </w:pPr>
            <w:r/>
            <w:r>
              <w:rPr>
                <w:rFonts w:ascii="Calibri" w:hAnsi="Calibri"/>
                <w:color w:val="2D2D2D"/>
                <w:sz w:val="18"/>
              </w:rPr>
              <w:t>**11.10**</w:t>
            </w:r>
          </w:p>
        </w:tc>
        <w:tc>
          <w:tcPr>
            <w:tcW w:type="dxa" w:w="1512"/>
            <w:shd w:fill="F0F0F0"/>
            <w:vAlign w:val="center"/>
          </w:tcPr>
          <w:p>
            <w:pPr>
              <w:jc w:val="left"/>
            </w:pPr>
            <w:r/>
            <w:r>
              <w:rPr>
                <w:rFonts w:ascii="Calibri" w:hAnsi="Calibri"/>
                <w:color w:val="2D2D2D"/>
                <w:sz w:val="18"/>
              </w:rPr>
              <w:t>**8.00**</w:t>
            </w:r>
          </w:p>
        </w:tc>
        <w:tc>
          <w:tcPr>
            <w:tcW w:type="dxa" w:w="1512"/>
            <w:shd w:fill="F0F0F0"/>
            <w:vAlign w:val="center"/>
          </w:tcPr>
          <w:p>
            <w:pPr>
              <w:jc w:val="left"/>
            </w:pPr>
            <w:r/>
            <w:r>
              <w:rPr>
                <w:rFonts w:ascii="Calibri" w:hAnsi="Calibri"/>
                <w:color w:val="2D2D2D"/>
                <w:sz w:val="18"/>
              </w:rPr>
              <w:t>**42.75**</w:t>
            </w:r>
          </w:p>
        </w:tc>
      </w:tr>
    </w:tbl>
    <w:p/>
    <w:p>
      <w:r>
        <w:t>Cost favors D (no tokenized, no silver). B's incremental cost over D is 4.75 bp/year (≈ $24K/year on a $50M reserve) — a small price for the operational settlement and redemption-buffer benefits.</w:t>
      </w:r>
    </w:p>
    <w:p>
      <w:pPr>
        <w:pStyle w:val="Heading4"/>
      </w:pPr>
      <w:r>
        <w:t>C3.9 — Model Risk Analysis</w:t>
      </w:r>
    </w:p>
    <w:p>
      <w:r>
        <w:t>Each candidate carries model dependency (sensitivity of P(RR&lt;100%) to model assumptions):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Candidate</w:t>
            </w:r>
          </w:p>
        </w:tc>
        <w:tc>
          <w:tcPr>
            <w:tcW w:type="dxa" w:w="3024"/>
            <w:shd w:fill="1A365F"/>
            <w:vAlign w:val="center"/>
          </w:tcPr>
          <w:p>
            <w:pPr>
              <w:jc w:val="left"/>
            </w:pPr>
            <w:r/>
            <w:r>
              <w:rPr>
                <w:rFonts w:ascii="Calibri" w:hAnsi="Calibri"/>
                <w:b/>
                <w:color w:val="FFFFFF"/>
                <w:sz w:val="18"/>
              </w:rPr>
              <w:t>Model dependency</w:t>
            </w:r>
          </w:p>
        </w:tc>
        <w:tc>
          <w:tcPr>
            <w:tcW w:type="dxa" w:w="3024"/>
            <w:shd w:fill="1A365F"/>
            <w:vAlign w:val="center"/>
          </w:tcPr>
          <w:p>
            <w:pPr>
              <w:jc w:val="left"/>
            </w:pPr>
            <w:r/>
            <w:r>
              <w:rPr>
                <w:rFonts w:ascii="Calibri" w:hAnsi="Calibri"/>
                <w:b/>
                <w:color w:val="FFFFFF"/>
                <w:sz w:val="18"/>
              </w:rPr>
              <w:t>Driver</w:t>
            </w:r>
          </w:p>
        </w:tc>
      </w:tr>
      <w:tr>
        <w:tc>
          <w:tcPr>
            <w:tcW w:type="dxa" w:w="3024"/>
            <w:vAlign w:val="center"/>
          </w:tcPr>
          <w:p>
            <w:pPr>
              <w:jc w:val="left"/>
            </w:pPr>
            <w:r/>
            <w:r>
              <w:rPr>
                <w:rFonts w:ascii="Calibri" w:hAnsi="Calibri"/>
                <w:color w:val="2D2D2D"/>
                <w:sz w:val="18"/>
              </w:rPr>
              <w:t>A</w:t>
            </w:r>
          </w:p>
        </w:tc>
        <w:tc>
          <w:tcPr>
            <w:tcW w:type="dxa" w:w="3024"/>
            <w:vAlign w:val="center"/>
          </w:tcPr>
          <w:p>
            <w:pPr>
              <w:jc w:val="left"/>
            </w:pPr>
            <w:r/>
            <w:r>
              <w:rPr>
                <w:rFonts w:ascii="Calibri" w:hAnsi="Calibri"/>
                <w:color w:val="2D2D2D"/>
                <w:sz w:val="18"/>
              </w:rPr>
              <w:t>2.74%</w:t>
            </w:r>
          </w:p>
        </w:tc>
        <w:tc>
          <w:tcPr>
            <w:tcW w:type="dxa" w:w="3024"/>
            <w:vAlign w:val="center"/>
          </w:tcPr>
          <w:p>
            <w:pPr>
              <w:jc w:val="left"/>
            </w:pPr>
            <w:r/>
            <w:r>
              <w:rPr>
                <w:rFonts w:ascii="Calibri" w:hAnsi="Calibri"/>
                <w:color w:val="2D2D2D"/>
                <w:sz w:val="18"/>
              </w:rPr>
              <w:t>Baseline (no tokenized, no PAXG-specific assumptions)</w:t>
            </w:r>
          </w:p>
        </w:tc>
      </w:tr>
      <w:tr>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8.23%</w:t>
            </w:r>
          </w:p>
        </w:tc>
        <w:tc>
          <w:tcPr>
            <w:tcW w:type="dxa" w:w="3024"/>
            <w:shd w:fill="F0F0F0"/>
            <w:vAlign w:val="center"/>
          </w:tcPr>
          <w:p>
            <w:pPr>
              <w:jc w:val="left"/>
            </w:pPr>
            <w:r/>
            <w:r>
              <w:rPr>
                <w:rFonts w:ascii="Calibri" w:hAnsi="Calibri"/>
                <w:color w:val="2D2D2D"/>
                <w:sz w:val="18"/>
              </w:rPr>
              <w:t>Highest — depends on TGRS calibration, PAXG haircut, oracle architecture, basis-spread behavior</w:t>
            </w:r>
          </w:p>
        </w:tc>
      </w:tr>
      <w:tr>
        <w:tc>
          <w:tcPr>
            <w:tcW w:type="dxa" w:w="3024"/>
            <w:vAlign w:val="center"/>
          </w:tcPr>
          <w:p>
            <w:pPr>
              <w:jc w:val="left"/>
            </w:pPr>
            <w:r/>
            <w:r>
              <w:rPr>
                <w:rFonts w:ascii="Calibri" w:hAnsi="Calibri"/>
                <w:color w:val="2D2D2D"/>
                <w:sz w:val="18"/>
              </w:rPr>
              <w:t>C</w:t>
            </w:r>
          </w:p>
        </w:tc>
        <w:tc>
          <w:tcPr>
            <w:tcW w:type="dxa" w:w="3024"/>
            <w:vAlign w:val="center"/>
          </w:tcPr>
          <w:p>
            <w:pPr>
              <w:jc w:val="left"/>
            </w:pPr>
            <w:r/>
            <w:r>
              <w:rPr>
                <w:rFonts w:ascii="Calibri" w:hAnsi="Calibri"/>
                <w:color w:val="2D2D2D"/>
                <w:sz w:val="18"/>
              </w:rPr>
              <w:t>5.41%</w:t>
            </w:r>
          </w:p>
        </w:tc>
        <w:tc>
          <w:tcPr>
            <w:tcW w:type="dxa" w:w="3024"/>
            <w:vAlign w:val="center"/>
          </w:tcPr>
          <w:p>
            <w:pPr>
              <w:jc w:val="left"/>
            </w:pPr>
            <w:r/>
            <w:r>
              <w:rPr>
                <w:rFonts w:ascii="Calibri" w:hAnsi="Calibri"/>
                <w:color w:val="2D2D2D"/>
                <w:sz w:val="18"/>
              </w:rPr>
              <w:t>Moderate — smaller tokenized sleeve</w:t>
            </w:r>
          </w:p>
        </w:tc>
      </w:tr>
      <w:tr>
        <w:tc>
          <w:tcPr>
            <w:tcW w:type="dxa" w:w="3024"/>
            <w:shd w:fill="F0F0F0"/>
            <w:vAlign w:val="center"/>
          </w:tcPr>
          <w:p>
            <w:pPr>
              <w:jc w:val="left"/>
            </w:pPr>
            <w:r/>
            <w:r>
              <w:rPr>
                <w:rFonts w:ascii="Calibri" w:hAnsi="Calibri"/>
                <w:color w:val="2D2D2D"/>
                <w:sz w:val="18"/>
              </w:rPr>
              <w:t>D</w:t>
            </w:r>
          </w:p>
        </w:tc>
        <w:tc>
          <w:tcPr>
            <w:tcW w:type="dxa" w:w="3024"/>
            <w:shd w:fill="F0F0F0"/>
            <w:vAlign w:val="center"/>
          </w:tcPr>
          <w:p>
            <w:pPr>
              <w:jc w:val="left"/>
            </w:pPr>
            <w:r/>
            <w:r>
              <w:rPr>
                <w:rFonts w:ascii="Calibri" w:hAnsi="Calibri"/>
                <w:color w:val="2D2D2D"/>
                <w:sz w:val="18"/>
              </w:rPr>
              <w:t>2.74%</w:t>
            </w:r>
          </w:p>
        </w:tc>
        <w:tc>
          <w:tcPr>
            <w:tcW w:type="dxa" w:w="3024"/>
            <w:shd w:fill="F0F0F0"/>
            <w:vAlign w:val="center"/>
          </w:tcPr>
          <w:p>
            <w:pPr>
              <w:jc w:val="left"/>
            </w:pPr>
            <w:r/>
            <w:r>
              <w:rPr>
                <w:rFonts w:ascii="Calibri" w:hAnsi="Calibri"/>
                <w:color w:val="2D2D2D"/>
                <w:sz w:val="18"/>
              </w:rPr>
              <w:t>Tied-lowest with A — no tokenized assumptions</w:t>
            </w:r>
          </w:p>
        </w:tc>
      </w:tr>
      <w:tr>
        <w:tc>
          <w:tcPr>
            <w:tcW w:type="dxa" w:w="3024"/>
            <w:vAlign w:val="center"/>
          </w:tcPr>
          <w:p>
            <w:pPr>
              <w:jc w:val="left"/>
            </w:pPr>
            <w:r/>
            <w:r>
              <w:rPr>
                <w:rFonts w:ascii="Calibri" w:hAnsi="Calibri"/>
                <w:color w:val="2D2D2D"/>
                <w:sz w:val="18"/>
              </w:rPr>
              <w:t>E</w:t>
            </w:r>
          </w:p>
        </w:tc>
        <w:tc>
          <w:tcPr>
            <w:tcW w:type="dxa" w:w="3024"/>
            <w:vAlign w:val="center"/>
          </w:tcPr>
          <w:p>
            <w:pPr>
              <w:jc w:val="left"/>
            </w:pPr>
            <w:r/>
            <w:r>
              <w:rPr>
                <w:rFonts w:ascii="Calibri" w:hAnsi="Calibri"/>
                <w:color w:val="2D2D2D"/>
                <w:sz w:val="18"/>
              </w:rPr>
              <w:t>6.92%</w:t>
            </w:r>
          </w:p>
        </w:tc>
        <w:tc>
          <w:tcPr>
            <w:tcW w:type="dxa" w:w="3024"/>
            <w:vAlign w:val="center"/>
          </w:tcPr>
          <w:p>
            <w:pPr>
              <w:jc w:val="left"/>
            </w:pPr>
            <w:r/>
            <w:r>
              <w:rPr>
                <w:rFonts w:ascii="Calibri" w:hAnsi="Calibri"/>
                <w:color w:val="2D2D2D"/>
                <w:sz w:val="18"/>
              </w:rPr>
              <w:t>Moderate — tokenized + silver model risk</w:t>
            </w:r>
          </w:p>
        </w:tc>
      </w:tr>
    </w:tbl>
    <w:p/>
    <w:p>
      <w:r>
        <w:t>B's higher model dependency is the chief honest concern. It is mitigated by:</w:t>
      </w:r>
    </w:p>
    <w:p>
      <w:pPr>
        <w:pStyle w:val="ListNumber"/>
        <w:ind w:left="425"/>
      </w:pPr>
      <w:r>
        <w:t>The 13-point eligibility gate (hard pass/fail, no parameter tuning).</w:t>
      </w:r>
    </w:p>
    <w:p>
      <w:pPr>
        <w:pStyle w:val="ListNumber"/>
        <w:ind w:left="425"/>
      </w:pPr>
      <w:r>
        <w:t>The dynamic haircut formula (H_TG = max(5%, 5% + (10−TGRS)×0.5%)).</w:t>
      </w:r>
    </w:p>
    <w:p>
      <w:pPr>
        <w:pStyle w:val="ListNumber"/>
        <w:ind w:left="425"/>
      </w:pPr>
      <w:r>
        <w:t>The fail-closed runtime guard (TGRS &lt; 8.0 → weight forced to 0%).</w:t>
      </w:r>
    </w:p>
    <w:p>
      <w:pPr>
        <w:pStyle w:val="ListNumber"/>
        <w:ind w:left="425"/>
      </w:pPr>
      <w:r>
        <w:t>The anti-double-counting proof (32/32 machine-checked assertions PASS).</w:t>
      </w:r>
    </w:p>
    <w:p>
      <w:pPr>
        <w:pStyle w:val="ListNumber"/>
        <w:ind w:left="425"/>
      </w:pPr>
      <w:r>
        <w:t>The 3-source oracle separation (GoldNAV ≠ TokenizedMarket ≠ RedemptionReference).</w:t>
      </w:r>
    </w:p>
    <w:p>
      <w:r>
        <w:t>Model dependency does not invalidate B; it is a documented, monitored, and bounded risk.</w:t>
      </w:r>
    </w:p>
    <w:p>
      <w:pPr>
        <w:pStyle w:val="Heading4"/>
      </w:pPr>
      <w:r>
        <w:t>C3.10 — Final Selection Process</w:t>
      </w:r>
    </w:p>
    <w:p>
      <w:r>
        <w:t xml:space="preserve">The final selection is an </w:t>
      </w:r>
      <w:r>
        <w:rPr>
          <w:b/>
        </w:rPr>
        <w:t>executive decision</w:t>
      </w:r>
      <w:r>
        <w:t xml:space="preserve"> by COO + CTO + Project Manager, recorded with full audit trail:</w:t>
      </w:r>
    </w:p>
    <w:p>
      <w:pPr>
        <w:pStyle w:val="ListNumber"/>
        <w:ind w:left="425"/>
      </w:pPr>
      <w:r>
        <w:t>Validation team delivers the Tier-1/Tier-2/Tier-3 scoring report (Task 2 results).</w:t>
      </w:r>
    </w:p>
    <w:p>
      <w:pPr>
        <w:pStyle w:val="ListNumber"/>
        <w:ind w:left="425"/>
      </w:pPr>
      <w:r>
        <w:t>Challenger-model validation team delivers independent confirmation of headline metrics (Task 5 results).</w:t>
      </w:r>
    </w:p>
    <w:p>
      <w:pPr>
        <w:pStyle w:val="ListNumber"/>
        <w:ind w:left="425"/>
      </w:pPr>
      <w:r>
        <w:t>Risk Committee reviews and issues recommendation.</w:t>
      </w:r>
    </w:p>
    <w:p>
      <w:pPr>
        <w:pStyle w:val="ListNumber"/>
        <w:ind w:left="425"/>
      </w:pPr>
      <w:r>
        <w:t>COO + CTO + Project Manager convene selection meeting; decision recorded in writing.</w:t>
      </w:r>
    </w:p>
    <w:p>
      <w:pPr>
        <w:pStyle w:val="ListNumber"/>
        <w:ind w:left="425"/>
      </w:pPr>
      <w:r>
        <w:t xml:space="preserve">Selected portfolio is recorded in §V24.2.1.9 ("APPROVED STRATEGIC REFERENCE") and implemented in </w:t>
      </w:r>
      <w:r>
        <w:rPr>
          <w:rFonts w:ascii="Consolas" w:hAnsi="Consolas"/>
          <w:color w:val="6B6B6B"/>
          <w:sz w:val="19"/>
        </w:rPr>
        <w:t>APPROVED_PORTFOLIO_B</w:t>
      </w:r>
      <w:r>
        <w:t>.</w:t>
      </w:r>
    </w:p>
    <w:p>
      <w:pPr>
        <w:pStyle w:val="ListNumber"/>
        <w:ind w:left="425"/>
      </w:pPr>
      <w:r>
        <w:t xml:space="preserve">Decision basis is logged in the </w:t>
      </w:r>
      <w:r>
        <w:rPr>
          <w:rFonts w:ascii="Consolas" w:hAnsi="Consolas"/>
          <w:color w:val="6B6B6B"/>
          <w:sz w:val="19"/>
        </w:rPr>
        <w:t>decisionBasis</w:t>
      </w:r>
      <w:r>
        <w:t xml:space="preserve"> array of </w:t>
      </w:r>
      <w:r>
        <w:rPr>
          <w:rFonts w:ascii="Consolas" w:hAnsi="Consolas"/>
          <w:color w:val="6B6B6B"/>
          <w:sz w:val="19"/>
        </w:rPr>
        <w:t>APPROVED_PORTFOLIO_B</w:t>
      </w:r>
      <w:r>
        <w:t xml:space="preserve"> (6-task validation summary).</w:t>
      </w:r>
    </w:p>
    <w:p>
      <w:r>
        <w:rPr>
          <w:b/>
        </w:rPr>
        <w:t>2026-08-13 decision</w:t>
      </w:r>
      <w:r>
        <w: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Dimension</w:t>
            </w:r>
          </w:p>
        </w:tc>
        <w:tc>
          <w:tcPr>
            <w:tcW w:type="dxa" w:w="3024"/>
            <w:shd w:fill="1A365F"/>
            <w:vAlign w:val="center"/>
          </w:tcPr>
          <w:p>
            <w:pPr>
              <w:jc w:val="left"/>
            </w:pPr>
            <w:r/>
            <w:r>
              <w:rPr>
                <w:rFonts w:ascii="Calibri" w:hAnsi="Calibri"/>
                <w:b/>
                <w:color w:val="FFFFFF"/>
                <w:sz w:val="18"/>
              </w:rPr>
              <w:t>Winner</w:t>
            </w:r>
          </w:p>
        </w:tc>
        <w:tc>
          <w:tcPr>
            <w:tcW w:type="dxa" w:w="3024"/>
            <w:shd w:fill="1A365F"/>
            <w:vAlign w:val="center"/>
          </w:tcPr>
          <w:p>
            <w:pPr>
              <w:jc w:val="left"/>
            </w:pPr>
            <w:r/>
            <w:r>
              <w:rPr>
                <w:rFonts w:ascii="Calibri" w:hAnsi="Calibri"/>
                <w:b/>
                <w:color w:val="FFFFFF"/>
                <w:sz w:val="18"/>
              </w:rPr>
              <w:t>Margin</w:t>
            </w:r>
          </w:p>
        </w:tc>
      </w:tr>
      <w:tr>
        <w:tc>
          <w:tcPr>
            <w:tcW w:type="dxa" w:w="3024"/>
            <w:vAlign w:val="center"/>
          </w:tcPr>
          <w:p>
            <w:pPr>
              <w:jc w:val="left"/>
            </w:pPr>
            <w:r/>
            <w:r>
              <w:rPr>
                <w:rFonts w:ascii="Calibri" w:hAnsi="Calibri"/>
                <w:color w:val="2D2D2D"/>
                <w:sz w:val="18"/>
              </w:rPr>
              <w:t>StressRR (Tier 2 primary)</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0.16pp (noise)</w:t>
            </w:r>
          </w:p>
        </w:tc>
      </w:tr>
      <w:tr>
        <w:tc>
          <w:tcPr>
            <w:tcW w:type="dxa" w:w="3024"/>
            <w:shd w:fill="F0F0F0"/>
            <w:vAlign w:val="center"/>
          </w:tcPr>
          <w:p>
            <w:pPr>
              <w:jc w:val="left"/>
            </w:pPr>
            <w:r/>
            <w:r>
              <w:rPr>
                <w:rFonts w:ascii="Calibri" w:hAnsi="Calibri"/>
                <w:color w:val="2D2D2D"/>
                <w:sz w:val="18"/>
              </w:rPr>
              <w:t>CVaR_99 (Tier 2 secondary)</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$15.62M (lowest)</w:t>
            </w:r>
          </w:p>
        </w:tc>
      </w:tr>
      <w:tr>
        <w:tc>
          <w:tcPr>
            <w:tcW w:type="dxa" w:w="3024"/>
            <w:vAlign w:val="center"/>
          </w:tcPr>
          <w:p>
            <w:pPr>
              <w:jc w:val="left"/>
            </w:pPr>
            <w:r/>
            <w:r>
              <w:rPr>
                <w:rFonts w:ascii="Calibri" w:hAnsi="Calibri"/>
                <w:color w:val="2D2D2D"/>
                <w:sz w:val="18"/>
              </w:rPr>
              <w:t>Model dependency (Tier 2)</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5.49pp lower</w:t>
            </w:r>
          </w:p>
        </w:tc>
      </w:tr>
      <w:tr>
        <w:tc>
          <w:tcPr>
            <w:tcW w:type="dxa" w:w="3024"/>
            <w:shd w:fill="F0F0F0"/>
            <w:vAlign w:val="center"/>
          </w:tcPr>
          <w:p>
            <w:pPr>
              <w:jc w:val="left"/>
            </w:pPr>
            <w:r/>
            <w:r>
              <w:rPr>
                <w:rFonts w:ascii="Calibri" w:hAnsi="Calibri"/>
                <w:color w:val="2D2D2D"/>
                <w:sz w:val="18"/>
              </w:rPr>
              <w:t>Settlement speed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T+0 atomic (D = T+2 banking)</w:t>
            </w:r>
          </w:p>
        </w:tc>
      </w:tr>
      <w:tr>
        <w:tc>
          <w:tcPr>
            <w:tcW w:type="dxa" w:w="3024"/>
            <w:vAlign w:val="center"/>
          </w:tcPr>
          <w:p>
            <w:pPr>
              <w:jc w:val="left"/>
            </w:pPr>
            <w:r/>
            <w:r>
              <w:rPr>
                <w:rFonts w:ascii="Calibri" w:hAnsi="Calibri"/>
                <w:color w:val="2D2D2D"/>
                <w:sz w:val="18"/>
              </w:rPr>
              <w:t>Redemption buffer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5% digital-gold liquidity (D = 0%)</w:t>
            </w:r>
          </w:p>
        </w:tc>
      </w:tr>
      <w:tr>
        <w:tc>
          <w:tcPr>
            <w:tcW w:type="dxa" w:w="3024"/>
            <w:shd w:fill="F0F0F0"/>
            <w:vAlign w:val="center"/>
          </w:tcPr>
          <w:p>
            <w:pPr>
              <w:jc w:val="left"/>
            </w:pPr>
            <w:r/>
            <w:r>
              <w:rPr>
                <w:rFonts w:ascii="Calibri" w:hAnsi="Calibri"/>
                <w:color w:val="2D2D2D"/>
                <w:sz w:val="18"/>
              </w:rPr>
              <w:t>Governance alignment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Implements v24.2.1 directive</w:t>
            </w:r>
          </w:p>
        </w:tc>
      </w:tr>
      <w:tr>
        <w:tc>
          <w:tcPr>
            <w:tcW w:type="dxa" w:w="3024"/>
            <w:vAlign w:val="center"/>
          </w:tcPr>
          <w:p>
            <w:pPr>
              <w:jc w:val="left"/>
            </w:pPr>
            <w:r/>
            <w:r>
              <w:rPr>
                <w:rFonts w:ascii="Calibri" w:hAnsi="Calibri"/>
                <w:color w:val="2D2D2D"/>
                <w:sz w:val="18"/>
              </w:rPr>
              <w:t>Implementation readiness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All enablers complete</w:t>
            </w:r>
          </w:p>
        </w:tc>
      </w:tr>
      <w:tr>
        <w:tc>
          <w:tcPr>
            <w:tcW w:type="dxa" w:w="3024"/>
            <w:shd w:fill="F0F0F0"/>
            <w:vAlign w:val="center"/>
          </w:tcPr>
          <w:p>
            <w:pPr>
              <w:jc w:val="left"/>
            </w:pPr>
            <w:r/>
            <w:r>
              <w:rPr>
                <w:rFonts w:ascii="Calibri" w:hAnsi="Calibri"/>
                <w:color w:val="2D2D2D"/>
                <w:sz w:val="18"/>
              </w:rPr>
              <w:t>Bar-pool diversification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2 distinct pools (D = 1)</w:t>
            </w:r>
          </w:p>
        </w:tc>
      </w:tr>
      <w:tr>
        <w:tc>
          <w:tcPr>
            <w:tcW w:type="dxa" w:w="3024"/>
            <w:vAlign w:val="center"/>
          </w:tcPr>
          <w:p>
            <w:pPr>
              <w:jc w:val="left"/>
            </w:pPr>
            <w:r/>
            <w:r>
              <w:rPr>
                <w:rFonts w:ascii="Calibri" w:hAnsi="Calibri"/>
                <w:color w:val="2D2D2D"/>
                <w:sz w:val="18"/>
              </w:rPr>
              <w:t>**Final selection**</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Wins 6 of 8 dimensions</w:t>
            </w:r>
          </w:p>
        </w:tc>
      </w:tr>
    </w:tbl>
    <w:p/>
    <w:p>
      <w:r>
        <w:rPr>
          <w:b/>
        </w:rPr>
        <w:t>Verdict</w:t>
      </w:r>
      <w:r>
        <w:t>: Portfolio B selected as APPROVED CANDIDATE. D's Monte Carlo margin (0.16pp StressRR) is within the noise threshold; B's operational and governance advantages outweigh the marginal MC disadvantage.</w:t>
      </w:r>
    </w:p>
    <w:p>
      <w:pPr>
        <w:pStyle w:val="Heading4"/>
      </w:pPr>
      <w:r>
        <w:t>C3.11 — Validation Results (Task 2, 2026-08-13)</w:t>
      </w:r>
    </w:p>
    <w:p>
      <w:r>
        <w:t>Full Monte Carlo results across all 5 candidates (250K paths each, common seed=42, common scenarios):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Mean RR</w:t>
            </w:r>
          </w:p>
        </w:tc>
        <w:tc>
          <w:tcPr>
            <w:tcW w:type="dxa" w:w="1296"/>
            <w:shd w:fill="1A365F"/>
            <w:vAlign w:val="center"/>
          </w:tcPr>
          <w:p>
            <w:pPr>
              <w:jc w:val="left"/>
            </w:pPr>
            <w:r/>
            <w:r>
              <w:rPr>
                <w:rFonts w:ascii="Calibri" w:hAnsi="Calibri"/>
                <w:b/>
                <w:color w:val="FFFFFF"/>
                <w:sz w:val="18"/>
              </w:rPr>
              <w:t>Min RR</w:t>
            </w:r>
          </w:p>
        </w:tc>
        <w:tc>
          <w:tcPr>
            <w:tcW w:type="dxa" w:w="1296"/>
            <w:shd w:fill="1A365F"/>
            <w:vAlign w:val="center"/>
          </w:tcPr>
          <w:p>
            <w:pPr>
              <w:jc w:val="left"/>
            </w:pPr>
            <w:r/>
            <w:r>
              <w:rPr>
                <w:rFonts w:ascii="Calibri" w:hAnsi="Calibri"/>
                <w:b/>
                <w:color w:val="FFFFFF"/>
                <w:sz w:val="18"/>
              </w:rPr>
              <w:t>P(RR&lt;100%)</w:t>
            </w:r>
          </w:p>
        </w:tc>
        <w:tc>
          <w:tcPr>
            <w:tcW w:type="dxa" w:w="1296"/>
            <w:shd w:fill="1A365F"/>
            <w:vAlign w:val="center"/>
          </w:tcPr>
          <w:p>
            <w:pPr>
              <w:jc w:val="left"/>
            </w:pPr>
            <w:r/>
            <w:r>
              <w:rPr>
                <w:rFonts w:ascii="Calibri" w:hAnsi="Calibri"/>
                <w:b/>
                <w:color w:val="FFFFFF"/>
                <w:sz w:val="18"/>
              </w:rPr>
              <w:t>Mean StressRR</w:t>
            </w:r>
          </w:p>
        </w:tc>
        <w:tc>
          <w:tcPr>
            <w:tcW w:type="dxa" w:w="1296"/>
            <w:shd w:fill="1A365F"/>
            <w:vAlign w:val="center"/>
          </w:tcPr>
          <w:p>
            <w:pPr>
              <w:jc w:val="left"/>
            </w:pPr>
            <w:r/>
            <w:r>
              <w:rPr>
                <w:rFonts w:ascii="Calibri" w:hAnsi="Calibri"/>
                <w:b/>
                <w:color w:val="FFFFFF"/>
                <w:sz w:val="18"/>
              </w:rPr>
              <w:t>P(StressRR&lt;100%)</w:t>
            </w:r>
          </w:p>
        </w:tc>
        <w:tc>
          <w:tcPr>
            <w:tcW w:type="dxa" w:w="1296"/>
            <w:shd w:fill="1A365F"/>
            <w:vAlign w:val="center"/>
          </w:tcPr>
          <w:p>
            <w:pPr>
              <w:jc w:val="left"/>
            </w:pPr>
            <w:r/>
            <w:r>
              <w:rPr>
                <w:rFonts w:ascii="Calibri" w:hAnsi="Calibri"/>
                <w:b/>
                <w:color w:val="FFFFFF"/>
                <w:sz w:val="18"/>
              </w:rPr>
              <w:t>CVaR_99</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104.21%</w:t>
            </w:r>
          </w:p>
        </w:tc>
        <w:tc>
          <w:tcPr>
            <w:tcW w:type="dxa" w:w="1296"/>
            <w:vAlign w:val="center"/>
          </w:tcPr>
          <w:p>
            <w:pPr>
              <w:jc w:val="left"/>
            </w:pPr>
            <w:r/>
            <w:r>
              <w:rPr>
                <w:rFonts w:ascii="Calibri" w:hAnsi="Calibri"/>
                <w:color w:val="2D2D2D"/>
                <w:sz w:val="18"/>
              </w:rPr>
              <w:t>56.6%</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96.85%</w:t>
            </w:r>
          </w:p>
        </w:tc>
        <w:tc>
          <w:tcPr>
            <w:tcW w:type="dxa" w:w="1296"/>
            <w:vAlign w:val="center"/>
          </w:tcPr>
          <w:p>
            <w:pPr>
              <w:jc w:val="left"/>
            </w:pPr>
            <w:r/>
            <w:r>
              <w:rPr>
                <w:rFonts w:ascii="Calibri" w:hAnsi="Calibri"/>
                <w:color w:val="2D2D2D"/>
                <w:sz w:val="18"/>
              </w:rPr>
              <w:t>12.4%</w:t>
            </w:r>
          </w:p>
        </w:tc>
        <w:tc>
          <w:tcPr>
            <w:tcW w:type="dxa" w:w="1296"/>
            <w:vAlign w:val="center"/>
          </w:tcPr>
          <w:p>
            <w:pPr>
              <w:jc w:val="left"/>
            </w:pPr>
            <w:r/>
            <w:r>
              <w:rPr>
                <w:rFonts w:ascii="Calibri" w:hAnsi="Calibri"/>
                <w:color w:val="2D2D2D"/>
                <w:sz w:val="18"/>
              </w:rPr>
              <w:t>$19.43M</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103.95%</w:t>
            </w:r>
          </w:p>
        </w:tc>
        <w:tc>
          <w:tcPr>
            <w:tcW w:type="dxa" w:w="1296"/>
            <w:shd w:fill="F0F0F0"/>
            <w:vAlign w:val="center"/>
          </w:tcPr>
          <w:p>
            <w:pPr>
              <w:jc w:val="left"/>
            </w:pPr>
            <w:r/>
            <w:r>
              <w:rPr>
                <w:rFonts w:ascii="Calibri" w:hAnsi="Calibri"/>
                <w:color w:val="2D2D2D"/>
                <w:sz w:val="18"/>
              </w:rPr>
              <w:t>55.3%</w:t>
            </w:r>
          </w:p>
        </w:tc>
        <w:tc>
          <w:tcPr>
            <w:tcW w:type="dxa" w:w="1296"/>
            <w:shd w:fill="F0F0F0"/>
            <w:vAlign w:val="center"/>
          </w:tcPr>
          <w:p>
            <w:pPr>
              <w:jc w:val="left"/>
            </w:pPr>
            <w:r/>
            <w:r>
              <w:rPr>
                <w:rFonts w:ascii="Calibri" w:hAnsi="Calibri"/>
                <w:color w:val="2D2D2D"/>
                <w:sz w:val="18"/>
              </w:rPr>
              <w:t>6.73%</w:t>
            </w:r>
          </w:p>
        </w:tc>
        <w:tc>
          <w:tcPr>
            <w:tcW w:type="dxa" w:w="1296"/>
            <w:shd w:fill="F0F0F0"/>
            <w:vAlign w:val="center"/>
          </w:tcPr>
          <w:p>
            <w:pPr>
              <w:jc w:val="left"/>
            </w:pPr>
            <w:r/>
            <w:r>
              <w:rPr>
                <w:rFonts w:ascii="Calibri" w:hAnsi="Calibri"/>
                <w:color w:val="2D2D2D"/>
                <w:sz w:val="18"/>
              </w:rPr>
              <w:t>97.45%</w:t>
            </w:r>
          </w:p>
        </w:tc>
        <w:tc>
          <w:tcPr>
            <w:tcW w:type="dxa" w:w="1296"/>
            <w:shd w:fill="F0F0F0"/>
            <w:vAlign w:val="center"/>
          </w:tcPr>
          <w:p>
            <w:pPr>
              <w:jc w:val="left"/>
            </w:pPr>
            <w:r/>
            <w:r>
              <w:rPr>
                <w:rFonts w:ascii="Calibri" w:hAnsi="Calibri"/>
                <w:color w:val="2D2D2D"/>
                <w:sz w:val="18"/>
              </w:rPr>
              <w:t>10.8%</w:t>
            </w:r>
          </w:p>
        </w:tc>
        <w:tc>
          <w:tcPr>
            <w:tcW w:type="dxa" w:w="1296"/>
            <w:shd w:fill="F0F0F0"/>
            <w:vAlign w:val="center"/>
          </w:tcPr>
          <w:p>
            <w:pPr>
              <w:jc w:val="left"/>
            </w:pPr>
            <w:r/>
            <w:r>
              <w:rPr>
                <w:rFonts w:ascii="Calibri" w:hAnsi="Calibri"/>
                <w:color w:val="2D2D2D"/>
                <w:sz w:val="18"/>
              </w:rPr>
              <w:t>**$15.62M**</w:t>
            </w:r>
          </w:p>
        </w:tc>
      </w:tr>
      <w:tr>
        <w:tc>
          <w:tcPr>
            <w:tcW w:type="dxa" w:w="1296"/>
            <w:vAlign w:val="center"/>
          </w:tcPr>
          <w:p>
            <w:pPr>
              <w:jc w:val="left"/>
            </w:pPr>
            <w:r/>
            <w:r>
              <w:rPr>
                <w:rFonts w:ascii="Calibri" w:hAnsi="Calibri"/>
                <w:color w:val="2D2D2D"/>
                <w:sz w:val="18"/>
              </w:rPr>
              <w:t>C (mid-mix)</w:t>
            </w:r>
          </w:p>
        </w:tc>
        <w:tc>
          <w:tcPr>
            <w:tcW w:type="dxa" w:w="1296"/>
            <w:vAlign w:val="center"/>
          </w:tcPr>
          <w:p>
            <w:pPr>
              <w:jc w:val="left"/>
            </w:pPr>
            <w:r/>
            <w:r>
              <w:rPr>
                <w:rFonts w:ascii="Calibri" w:hAnsi="Calibri"/>
                <w:color w:val="2D2D2D"/>
                <w:sz w:val="18"/>
              </w:rPr>
              <w:t>104.02%</w:t>
            </w:r>
          </w:p>
        </w:tc>
        <w:tc>
          <w:tcPr>
            <w:tcW w:type="dxa" w:w="1296"/>
            <w:vAlign w:val="center"/>
          </w:tcPr>
          <w:p>
            <w:pPr>
              <w:jc w:val="left"/>
            </w:pPr>
            <w:r/>
            <w:r>
              <w:rPr>
                <w:rFonts w:ascii="Calibri" w:hAnsi="Calibri"/>
                <w:color w:val="2D2D2D"/>
                <w:sz w:val="18"/>
              </w:rPr>
              <w:t>55.9%</w:t>
            </w:r>
          </w:p>
        </w:tc>
        <w:tc>
          <w:tcPr>
            <w:tcW w:type="dxa" w:w="1296"/>
            <w:vAlign w:val="center"/>
          </w:tcPr>
          <w:p>
            <w:pPr>
              <w:jc w:val="left"/>
            </w:pPr>
            <w:r/>
            <w:r>
              <w:rPr>
                <w:rFonts w:ascii="Calibri" w:hAnsi="Calibri"/>
                <w:color w:val="2D2D2D"/>
                <w:sz w:val="18"/>
              </w:rPr>
              <w:t>6.72%</w:t>
            </w:r>
          </w:p>
        </w:tc>
        <w:tc>
          <w:tcPr>
            <w:tcW w:type="dxa" w:w="1296"/>
            <w:vAlign w:val="center"/>
          </w:tcPr>
          <w:p>
            <w:pPr>
              <w:jc w:val="left"/>
            </w:pPr>
            <w:r/>
            <w:r>
              <w:rPr>
                <w:rFonts w:ascii="Calibri" w:hAnsi="Calibri"/>
                <w:color w:val="2D2D2D"/>
                <w:sz w:val="18"/>
              </w:rPr>
              <w:t>97.30%</w:t>
            </w:r>
          </w:p>
        </w:tc>
        <w:tc>
          <w:tcPr>
            <w:tcW w:type="dxa" w:w="1296"/>
            <w:vAlign w:val="center"/>
          </w:tcPr>
          <w:p>
            <w:pPr>
              <w:jc w:val="left"/>
            </w:pPr>
            <w:r/>
            <w:r>
              <w:rPr>
                <w:rFonts w:ascii="Calibri" w:hAnsi="Calibri"/>
                <w:color w:val="2D2D2D"/>
                <w:sz w:val="18"/>
              </w:rPr>
              <w:t>11.2%</w:t>
            </w:r>
          </w:p>
        </w:tc>
        <w:tc>
          <w:tcPr>
            <w:tcW w:type="dxa" w:w="1296"/>
            <w:vAlign w:val="center"/>
          </w:tcPr>
          <w:p>
            <w:pPr>
              <w:jc w:val="left"/>
            </w:pPr>
            <w:r/>
            <w:r>
              <w:rPr>
                <w:rFonts w:ascii="Calibri" w:hAnsi="Calibri"/>
                <w:color w:val="2D2D2D"/>
                <w:sz w:val="18"/>
              </w:rPr>
              <w:t>$16.85M</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104.10%</w:t>
            </w:r>
          </w:p>
        </w:tc>
        <w:tc>
          <w:tcPr>
            <w:tcW w:type="dxa" w:w="1296"/>
            <w:shd w:fill="F0F0F0"/>
            <w:vAlign w:val="center"/>
          </w:tcPr>
          <w:p>
            <w:pPr>
              <w:jc w:val="left"/>
            </w:pPr>
            <w:r/>
            <w:r>
              <w:rPr>
                <w:rFonts w:ascii="Calibri" w:hAnsi="Calibri"/>
                <w:color w:val="2D2D2D"/>
                <w:sz w:val="18"/>
              </w:rPr>
              <w:t>56.2%</w:t>
            </w:r>
          </w:p>
        </w:tc>
        <w:tc>
          <w:tcPr>
            <w:tcW w:type="dxa" w:w="1296"/>
            <w:shd w:fill="F0F0F0"/>
            <w:vAlign w:val="center"/>
          </w:tcPr>
          <w:p>
            <w:pPr>
              <w:jc w:val="left"/>
            </w:pPr>
            <w:r/>
            <w:r>
              <w:rPr>
                <w:rFonts w:ascii="Calibri" w:hAnsi="Calibri"/>
                <w:color w:val="2D2D2D"/>
                <w:sz w:val="18"/>
              </w:rPr>
              <w:t>6.70%</w:t>
            </w:r>
          </w:p>
        </w:tc>
        <w:tc>
          <w:tcPr>
            <w:tcW w:type="dxa" w:w="1296"/>
            <w:shd w:fill="F0F0F0"/>
            <w:vAlign w:val="center"/>
          </w:tcPr>
          <w:p>
            <w:pPr>
              <w:jc w:val="left"/>
            </w:pPr>
            <w:r/>
            <w:r>
              <w:rPr>
                <w:rFonts w:ascii="Calibri" w:hAnsi="Calibri"/>
                <w:color w:val="2D2D2D"/>
                <w:sz w:val="18"/>
              </w:rPr>
              <w:t>**97.61%**</w:t>
            </w:r>
          </w:p>
        </w:tc>
        <w:tc>
          <w:tcPr>
            <w:tcW w:type="dxa" w:w="1296"/>
            <w:shd w:fill="F0F0F0"/>
            <w:vAlign w:val="center"/>
          </w:tcPr>
          <w:p>
            <w:pPr>
              <w:jc w:val="left"/>
            </w:pPr>
            <w:r/>
            <w:r>
              <w:rPr>
                <w:rFonts w:ascii="Calibri" w:hAnsi="Calibri"/>
                <w:color w:val="2D2D2D"/>
                <w:sz w:val="18"/>
              </w:rPr>
              <w:t>10.5%</w:t>
            </w:r>
          </w:p>
        </w:tc>
        <w:tc>
          <w:tcPr>
            <w:tcW w:type="dxa" w:w="1296"/>
            <w:shd w:fill="F0F0F0"/>
            <w:vAlign w:val="center"/>
          </w:tcPr>
          <w:p>
            <w:pPr>
              <w:jc w:val="left"/>
            </w:pPr>
            <w:r/>
            <w:r>
              <w:rPr>
                <w:rFonts w:ascii="Calibri" w:hAnsi="Calibri"/>
                <w:color w:val="2D2D2D"/>
                <w:sz w:val="18"/>
              </w:rPr>
              <w:t>$17.20M</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104.05%</w:t>
            </w:r>
          </w:p>
        </w:tc>
        <w:tc>
          <w:tcPr>
            <w:tcW w:type="dxa" w:w="1296"/>
            <w:vAlign w:val="center"/>
          </w:tcPr>
          <w:p>
            <w:pPr>
              <w:jc w:val="left"/>
            </w:pPr>
            <w:r/>
            <w:r>
              <w:rPr>
                <w:rFonts w:ascii="Calibri" w:hAnsi="Calibri"/>
                <w:color w:val="2D2D2D"/>
                <w:sz w:val="18"/>
              </w:rPr>
              <w:t>55.7%</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97.10%</w:t>
            </w:r>
          </w:p>
        </w:tc>
        <w:tc>
          <w:tcPr>
            <w:tcW w:type="dxa" w:w="1296"/>
            <w:vAlign w:val="center"/>
          </w:tcPr>
          <w:p>
            <w:pPr>
              <w:jc w:val="left"/>
            </w:pPr>
            <w:r/>
            <w:r>
              <w:rPr>
                <w:rFonts w:ascii="Calibri" w:hAnsi="Calibri"/>
                <w:color w:val="2D2D2D"/>
                <w:sz w:val="18"/>
              </w:rPr>
              <w:t>11.5%</w:t>
            </w:r>
          </w:p>
        </w:tc>
        <w:tc>
          <w:tcPr>
            <w:tcW w:type="dxa" w:w="1296"/>
            <w:vAlign w:val="center"/>
          </w:tcPr>
          <w:p>
            <w:pPr>
              <w:jc w:val="left"/>
            </w:pPr>
            <w:r/>
            <w:r>
              <w:rPr>
                <w:rFonts w:ascii="Calibri" w:hAnsi="Calibri"/>
                <w:color w:val="2D2D2D"/>
                <w:sz w:val="18"/>
              </w:rPr>
              <w:t>$16.40M</w:t>
            </w:r>
          </w:p>
        </w:tc>
      </w:tr>
    </w:tbl>
    <w:p/>
    <w:p>
      <w:r>
        <w:rPr>
          <w:b/>
        </w:rPr>
        <w:t>Honest disclosure</w:t>
      </w:r>
      <w:r>
        <w:t xml:space="preserve">: The absolute P(RR&lt;100%) values (~6.7%) are NOT directly comparable to the primary MC (P(RR&lt;100%)=21.54%) due to implementation differences (modern NumPy RNG vs legacy; regime-fraction model vs explicit Markov chain). The </w:t>
      </w:r>
      <w:r>
        <w:rPr>
          <w:b/>
        </w:rPr>
        <w:t>relative ranking</w:t>
      </w:r>
      <w:r>
        <w:t xml:space="preserve"> across candidates is valid because all 5 candidates are evaluated against the SAME shock surface (common random numbers). Comparing absolute numbers across the primary MC and the A/B/C/D/E MC would be a methodology error.</w:t>
      </w:r>
    </w:p>
    <w:p>
      <w:pPr>
        <w:pStyle w:val="Heading4"/>
      </w:pPr>
      <w:r>
        <w:t>C3.12 — Re-Selection Triggers</w:t>
      </w:r>
    </w:p>
    <w:p>
      <w:r>
        <w:t>The portfolio selection is NOT immutable. Re-selection is triggered by:</w:t>
      </w:r>
    </w:p>
    <w:p>
      <w:pPr>
        <w:pStyle w:val="ListNumber"/>
        <w:ind w:left="425"/>
      </w:pPr>
      <w:r>
        <w:rPr>
          <w:b/>
        </w:rPr>
        <w:t>Quarterly review</w:t>
      </w:r>
      <w:r>
        <w:t>: SDC_Ag refresh (Task 4); if silver flips to ADMIT, Portfolio C or E may become competitive.</w:t>
      </w:r>
    </w:p>
    <w:p>
      <w:pPr>
        <w:pStyle w:val="ListNumber"/>
        <w:ind w:left="425"/>
      </w:pPr>
      <w:r>
        <w:rPr>
          <w:b/>
        </w:rPr>
        <w:t>TGRS quarterly review</w:t>
      </w:r>
      <w:r>
        <w:t>: if PAXG TGRS drops below 8.5, Portfolio D becomes attractive (no tokenized dependency).</w:t>
      </w:r>
    </w:p>
    <w:p>
      <w:pPr>
        <w:pStyle w:val="ListNumber"/>
        <w:ind w:left="425"/>
      </w:pPr>
      <w:r>
        <w:rPr>
          <w:b/>
        </w:rPr>
        <w:t>New tokenized gold product</w:t>
      </w:r>
      <w:r>
        <w:t>: if a second product achieves TGRS ≥ 8.0, Portfolio C (smaller tokenized sleeve) or a new Portfolio F may be evaluated.</w:t>
      </w:r>
    </w:p>
    <w:p>
      <w:pPr>
        <w:pStyle w:val="ListNumber"/>
        <w:ind w:left="425"/>
      </w:pPr>
      <w:r>
        <w:rPr>
          <w:b/>
        </w:rPr>
        <w:t>Regulatory change</w:t>
      </w:r>
      <w:r>
        <w:t>: if NYDFS restricts PAXG redemption, Portfolio D becomes the fail-over.</w:t>
      </w:r>
    </w:p>
    <w:p>
      <w:pPr>
        <w:pStyle w:val="ListNumber"/>
        <w:ind w:left="425"/>
      </w:pPr>
      <w:r>
        <w:rPr>
          <w:b/>
        </w:rPr>
        <w:t>Annual review</w:t>
      </w:r>
      <w:r>
        <w:t>: full re-run of the §C3.2-C3.10 protocol with refreshed historical data.</w:t>
      </w:r>
    </w:p>
    <w:p>
      <w:r>
        <w:t>Re-selection uses the same protocol (§C3.1-C3.10) — no shortcuts. The output is a new APPROVED CANDIDATE record with full audit trail.</w:t>
      </w:r>
    </w:p>
    <w:p>
      <w:pPr>
        <w:pStyle w:val="Heading4"/>
      </w:pPr>
      <w:r>
        <w:t>C3.13 — Canonical Reference</w:t>
      </w:r>
    </w:p>
    <w:p>
      <w:r>
        <w:t>This section (§V24.2.1.C3) is the canonical reference for the reserve portfolio A/B validation &amp; selection protocol. Where any earlier section conflicts (including §V24.2.1.8 and §V24.2.1.9), this section governs.</w:t>
      </w:r>
    </w:p>
    <w:p>
      <w:r>
        <w:rPr>
          <w:b/>
        </w:rPr>
        <w:t>Cross-references</w:t>
      </w:r>
      <w:r>
        <w:t>:</w:t>
      </w:r>
    </w:p>
    <w:p>
      <w:pPr>
        <w:pStyle w:val="ListBullet"/>
        <w:ind w:left="425"/>
      </w:pPr>
      <w:r>
        <w:t>§V24.2.1.8 (initial A/B/C/D/E comparison specification) — retained as historical; superseded by §C3.</w:t>
      </w:r>
    </w:p>
    <w:p>
      <w:pPr>
        <w:pStyle w:val="ListBullet"/>
        <w:ind w:left="425"/>
      </w:pPr>
      <w:r>
        <w:t>§V24.2.1.9 (approved strategic reference, Portfolio B) — operational instance; the SELECTION OUTPUT of this protocol.</w:t>
      </w:r>
    </w:p>
    <w:p>
      <w:pPr>
        <w:pStyle w:val="ListBullet"/>
        <w:ind w:left="425"/>
      </w:pPr>
      <w:r>
        <w:t>Appendix V24.2.1-V.2 (Task 2 A/B/C/D/E comparison) — empirical basis.</w:t>
      </w:r>
    </w:p>
    <w:p>
      <w:pPr>
        <w:pStyle w:val="ListBullet"/>
        <w:ind w:left="425"/>
      </w:pPr>
      <w:r>
        <w:t>Appendix V24.2.1-V.5 (Task 5 challenger-model validation) — independent confirmation of headline metrics.</w:t>
      </w:r>
    </w:p>
    <w:p>
      <w:pPr>
        <w:pStyle w:val="ListBullet"/>
        <w:ind w:left="425"/>
      </w:pPr>
      <w:r>
        <w:t>§V24.2.6 (4-tier hierarchical optimizer) — Tier-1/Tier-2/Tier-3 hierarchy mirrors the optimizer structure.</w:t>
      </w:r>
    </w:p>
    <w:p>
      <w:pPr>
        <w:pStyle w:val="ListBullet"/>
        <w:ind w:left="425"/>
      </w:pPr>
      <w:r>
        <w:t>§V24.2.8 (Model Validity Gate) — fail-over to LastApprovedDeterministicPolicyPortfolio if model failure.</w:t>
      </w:r>
    </w:p>
    <w:p>
      <w:pPr>
        <w:pBdr>
          <w:bottom w:val="single" w:sz="12" w:space="1" w:color="C59B1E"/>
        </w:pBdr>
      </w:pPr>
    </w:p>
    <w:p>
      <w:r>
        <w:rPr>
          <w:b/>
        </w:rPr>
        <w:t>END OF V24.2.1 CANONICAL CORRECTIONS — §§50-52 (C1/C2/C3)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80"/>
    </w:pPr>
    <w:rPr>
      <w:rFonts w:ascii="Calibri" w:hAnsi="Calibri"/>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6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36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65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2D2D2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36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