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ithqal-master-blueprint"/>
    <w:p>
      <w:pPr>
        <w:pStyle w:val="Heading1"/>
      </w:pPr>
      <w:r>
        <w:t xml:space="preserve">MITHQAL — MASTER BLUEPRINT</w:t>
      </w:r>
    </w:p>
    <w:bookmarkStart w:id="20" w:name="X410b491c594a98644863f3da057d6ff117b87a2"/>
    <w:p>
      <w:pPr>
        <w:pStyle w:val="Heading2"/>
      </w:pPr>
      <w:r>
        <w:t xml:space="preserve">Full Forensic Reconstruction, Reconciliation &amp; Final Consolidation</w:t>
      </w:r>
    </w:p>
    <w:bookmarkEnd w:id="20"/>
    <w:bookmarkStart w:id="21" w:name="version-v25.2-final-controlling"/>
    <w:p>
      <w:pPr>
        <w:pStyle w:val="Heading2"/>
      </w:pPr>
      <w:r>
        <w:t xml:space="preserve">Version: v25.2 (FINAL — CONTROLLING)</w:t>
      </w:r>
    </w:p>
    <w:bookmarkEnd w:id="21"/>
    <w:bookmarkStart w:id="22" w:name="date-2026-08-22"/>
    <w:p>
      <w:pPr>
        <w:pStyle w:val="Heading2"/>
      </w:pPr>
      <w:r>
        <w:t xml:space="preserve">Date: 2026-08-22</w:t>
      </w:r>
    </w:p>
    <w:bookmarkEnd w:id="22"/>
    <w:bookmarkStart w:id="23" w:name="X45a13b88522cbe22aba37726bc2700d990930cf"/>
    <w:p>
      <w:pPr>
        <w:pStyle w:val="Heading2"/>
      </w:pPr>
      <w:r>
        <w:t xml:space="preserve">Status: APPROVED CANDIDATE FOR CONTROLLED TESTING — NOT PRODUCTION-AUTHORIZED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art-a-reconciliation-report"/>
    <w:p>
      <w:pPr>
        <w:pStyle w:val="Heading1"/>
      </w:pPr>
      <w:r>
        <w:t xml:space="preserve">PART A — RECONCILIATION REPORT</w:t>
      </w:r>
    </w:p>
    <w:bookmarkStart w:id="25" w:name="a.1-forensic-review-summary"/>
    <w:p>
      <w:pPr>
        <w:pStyle w:val="Heading2"/>
      </w:pPr>
      <w:r>
        <w:t xml:space="preserve">A.1 Forensic Review Summary</w:t>
      </w:r>
    </w:p>
    <w:p>
      <w:pPr>
        <w:pStyle w:val="FirstParagraph"/>
      </w:pPr>
      <w:r>
        <w:t xml:space="preserve">A complete forensic review was performed comparing the original MITHQAL blueprint (v24.2.1, ~76,000 lines) against all modifications, amendments, and decisions from the project chat history through v25.2.</w:t>
      </w:r>
    </w:p>
    <w:bookmarkEnd w:id="25"/>
    <w:bookmarkStart w:id="26" w:name="a.2-reconciliation-matrix"/>
    <w:p>
      <w:pPr>
        <w:pStyle w:val="Heading2"/>
      </w:pPr>
      <w:r>
        <w:t xml:space="preserve">A.2 Reconciliation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Approved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Ratio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= 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130% 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= 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sleeve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gold + 5% tokenized gold + 2.5%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80% fiat / 18% gold / 2%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80/18/2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liquidity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 2% + USDP 0.5% + EURC 0.5% + BUIDL 0.5% = 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Digital normal =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(individual weights are optimizer outputs)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Per-currency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constitutional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Preferred 15%, Hard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operative (60% retained as sanity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weight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0.35·COFER + 0.25·FXTurnover + 0.20·Trade + 0.20·InstQuality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0.50·COFER + 0.40·SWIFT + 0.10·BIS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11 reserve + 10 settlement-only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reserve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physical + 5% tokenized (PAXG)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18% gold (silver 0%, tokenized conditional)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gold, silver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silver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SDC ≤ 0 →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(conditional)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digital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Excluded from core, external conversion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≤15% separate, non-double-counted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≤15%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USD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USD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direct + AED/SAR peg + synthetic + digital, ceiling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WATCH/REDUCE/SUSPEND/SUBSTITUTE/REINSTATE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5-state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0.5% with Q1-Q4 removal ladder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Proportional (NOT softmax)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EWMA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λ=0.94, attenuation 0.5-1.0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EWMA with attenuation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3/7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7/7 enforced at code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17-field schema, anti-double-count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17-field 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Default &amp;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8-state lifecycle, 11 contractual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8-state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13 dimensions, 8 jurisdictions (ALL 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9×8=72 entries, ALL REQUIRED_NOT_OBTAINED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Three-Book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Book A/B/C, 4 anti-commingling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13 dimensions, concentration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17 patterns, 0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19/23 acceptance, 0/13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10 institutions, 6 types, 33-item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engagement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MTQ 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16-step issuance, MBG, ISO 20022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Monte Carlo, 5 shocks, 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AED↔SGD, 8 rails, 12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4 RWA + 3 digitized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tokenization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§V25.0.D: 5 entities (Foundation, Holding, Operating, Technology, Founder)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all labels updated to v25.2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L_MAX (concentration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 rrTarget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§V25.2: 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</w:tr>
    </w:tbl>
    <w:bookmarkEnd w:id="26"/>
    <w:bookmarkStart w:id="27" w:name="X0a37164d5d637018618bf1c189501cb176aa451"/>
    <w:p>
      <w:pPr>
        <w:pStyle w:val="Heading2"/>
      </w:pPr>
      <w:r>
        <w:t xml:space="preserve">A.3 Unchanged Components (from original blueprint)</w:t>
      </w:r>
    </w:p>
    <w:p>
      <w:pPr>
        <w:pStyle w:val="FirstParagraph"/>
      </w:pPr>
      <w:r>
        <w:t xml:space="preserve">The following core architecture from the original blueprint remains unchanged:</w:t>
      </w:r>
      <w:r>
        <w:t xml:space="preserve"> </w:t>
      </w:r>
      <w:r>
        <w:t xml:space="preserve">- Constitutional settlement institution identity</w:t>
      </w:r>
      <w:r>
        <w:t xml:space="preserve"> </w:t>
      </w:r>
      <w:r>
        <w:t xml:space="preserve">- Gold as constitutional monetary anchor</w:t>
      </w:r>
      <w:r>
        <w:t xml:space="preserve"> </w:t>
      </w:r>
      <w:r>
        <w:t xml:space="preserve">- Bank-mediated settlement model (not direct retail)</w:t>
      </w:r>
      <w:r>
        <w:t xml:space="preserve"> </w:t>
      </w:r>
      <w:r>
        <w:t xml:space="preserve">- KYC/KYB/AML/sanctions compliance (bank-side)</w:t>
      </w:r>
      <w:r>
        <w:t xml:space="preserve"> </w:t>
      </w:r>
      <w:r>
        <w:t xml:space="preserve">- ISO 20022 / SWIFT compatibility (not replacement)</w:t>
      </w:r>
      <w:r>
        <w:t xml:space="preserve"> </w:t>
      </w:r>
      <w:r>
        <w:t xml:space="preserve">- Multi-rail architecture support</w:t>
      </w:r>
      <w:r>
        <w:t xml:space="preserve"> </w:t>
      </w:r>
      <w:r>
        <w:t xml:space="preserve">- Governance structure (Foundation oversight)</w:t>
      </w:r>
      <w:r>
        <w:t xml:space="preserve"> </w:t>
      </w:r>
      <w:r>
        <w:t xml:space="preserve">- Five-way reconciliation framework</w:t>
      </w:r>
      <w:r>
        <w:t xml:space="preserve"> </w:t>
      </w:r>
      <w:r>
        <w:t xml:space="preserve">- Privacy principle (customer identity in bank)</w:t>
      </w:r>
    </w:p>
    <w:bookmarkEnd w:id="27"/>
    <w:bookmarkStart w:id="28" w:name="a.4-contradictions-found-resolved"/>
    <w:p>
      <w:pPr>
        <w:pStyle w:val="Heading2"/>
      </w:pPr>
      <w:r>
        <w:t xml:space="preserve">A.4 Contradictions Found &amp; Resolved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120% vs 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 is controlling; 120% is historical/non-controlling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15%+5% gold vs 18%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is controlling; tokenized gold is conditional 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3.5% vs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is controlling; individual weights are optimizer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cap vs 20%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is operative hard limit; 60% retained as sanity ceiling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formula (0.35/0.25/0.20/0.20) vs new (0.50/0.40/0.10)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formula is controlling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currencies vs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currencies (added SGD, AED, SAR)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 in core vs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USDT excluded from core; external conversion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mandatory vs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SDC ≤ 0 → 0% (conditional)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3/7 finality vs 7/7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enforced at code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v24.2.1 labels vs v25.2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labels updated to v25.2</w:t>
            </w:r>
          </w:p>
        </w:tc>
      </w:tr>
    </w:tbl>
    <w:p>
      <w:pPr>
        <w:pStyle w:val="BodyText"/>
      </w:pPr>
      <w:r>
        <w:t xml:space="preserve">All contradictions:</w:t>
      </w:r>
      <w:r>
        <w:t xml:space="preserve"> </w:t>
      </w:r>
      <w:r>
        <w:rPr>
          <w:b/>
          <w:bCs/>
        </w:rPr>
        <w:t xml:space="preserve">RESOLVED</w:t>
      </w:r>
      <w:r>
        <w:t xml:space="preserve">. Zero unresolved.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art-b-current-canonical-architecture"/>
    <w:p>
      <w:pPr>
        <w:pStyle w:val="Heading1"/>
      </w:pPr>
      <w:r>
        <w:t xml:space="preserve">PART B — CURRENT CANONICAL ARCHITECTURE</w:t>
      </w:r>
    </w:p>
    <w:bookmarkStart w:id="30" w:name="b.1-architecture-overview"/>
    <w:p>
      <w:pPr>
        <w:pStyle w:val="Heading2"/>
      </w:pPr>
      <w:r>
        <w:t xml:space="preserve">B.1 Architecture Overview</w:t>
      </w:r>
    </w:p>
    <w:p>
      <w:pPr>
        <w:pStyle w:val="FirstParagraph"/>
      </w:pPr>
      <w:r>
        <w:t xml:space="preserve">MITHQAL is a</w:t>
      </w:r>
      <w:r>
        <w:t xml:space="preserve"> </w:t>
      </w:r>
      <w:r>
        <w:rPr>
          <w:b/>
          <w:bCs/>
        </w:rPr>
        <w:t xml:space="preserve">Constitutional Monetary and Institutional Settlement Infrastructure</w:t>
      </w:r>
      <w:r>
        <w:t xml:space="preserve"> </w:t>
      </w:r>
      <w:r>
        <w:t xml:space="preserve">operating beside existing banking infrastructure through the MITHQAL Bank Gateway (MBG), following the principle of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TRANSLATION, NOT TRANSFORMATION.</w:t>
      </w:r>
      <w:r>
        <w:rPr>
          <w:b/>
          <w:bCs/>
        </w:rPr>
        <w:t xml:space="preserve">”</w:t>
      </w:r>
    </w:p>
    <w:bookmarkEnd w:id="30"/>
    <w:bookmarkStart w:id="31" w:name="b.2-key-architecture-decisions"/>
    <w:p>
      <w:pPr>
        <w:pStyle w:val="Heading2"/>
      </w:pPr>
      <w:r>
        <w:t xml:space="preserve">B.2 Key Architecture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Constitutional settlement institution (not crypto/bank/stablecoin)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Bank-mediated (not direct retail)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 strategic (not 120%)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fiat / 18% gold / 2%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reserve + 10 settlement-only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Concentration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hard (not 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target, silver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normal, USDT excluded from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layers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(§V25.2)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AUTHORIZED (0/13 gates)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</w:t>
            </w:r>
          </w:p>
        </w:tc>
      </w:tr>
    </w:tbl>
    <w:bookmarkEnd w:id="31"/>
    <w:bookmarkStart w:id="32" w:name="b.3-technology-stack"/>
    <w:p>
      <w:pPr>
        <w:pStyle w:val="Heading2"/>
      </w:pPr>
      <w:r>
        <w:t xml:space="preserve">B.3 Technology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 (App Router, Turbopack)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4 + shadcn/ui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Turso (libsql/SQLite) via Prisma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(mithqal.vercel.app)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(MITHQALMTQ/mithqal)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(Monad Testnet)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part-d-complete-change-register"/>
    <w:p>
      <w:pPr>
        <w:pStyle w:val="Heading1"/>
      </w:pPr>
      <w:r>
        <w:t xml:space="preserve">PART D — COMPLETE CHANGE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Sleeve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15%+5%+2.5%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80/18/2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0.35/0.25/0.20/0.20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0.50/0.40/0.10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15%+5% PAXG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(conditional PAXG)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SDC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2026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CALM rrTarget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§V25.2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17-field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8-state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books + 4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Systemic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Contradiction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institutions + 6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§22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16-step + ISO 20022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+ shocks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Simulator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AED↔SGD + 8 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Corridor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RWA + 3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part-e-contradiction-consistency-audit"/>
    <w:p>
      <w:pPr>
        <w:pStyle w:val="Heading1"/>
      </w:pPr>
      <w:r>
        <w:t xml:space="preserve">PART E — CONTRADICTION &amp; CONSISTENCY AUDIT</w:t>
      </w:r>
    </w:p>
    <w:bookmarkStart w:id="35" w:name="e.1-validation-results"/>
    <w:p>
      <w:pPr>
        <w:pStyle w:val="Heading2"/>
      </w:pPr>
      <w:r>
        <w:t xml:space="preserve">E.1 Validation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every important original component survive?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Modification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every approved modification become integrated?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(35/35)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Non-Contradiction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all sections agree with current architecture?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(0 unresolved)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Terminology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all critical terms used consistently?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— Economic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issuance, reserves, settlement, redemption, accounting reconcile?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— Banking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MBG agree with institutional/settlement architecture?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 — Regulatory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regulatory assumptions separated from architectural capabilities?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— Technical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services, data flows, APIs, events, ledger, security agree?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Operational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workflows operate as described?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 — Version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one clearly identified authoritative version?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(v25.2)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 — Change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every modification be traced?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(35 items in register)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 — Production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implementation and testing requirements complete?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 (19/23 acceptance, 0/13 gates)</w:t>
            </w:r>
          </w:p>
        </w:tc>
      </w:tr>
    </w:tbl>
    <w:bookmarkEnd w:id="35"/>
    <w:bookmarkStart w:id="36" w:name="e.2-contradiction-scan-results"/>
    <w:p>
      <w:pPr>
        <w:pStyle w:val="Heading2"/>
      </w:pPr>
      <w:r>
        <w:t xml:space="preserve">E.2 Contradiction Scan Results</w:t>
      </w:r>
    </w:p>
    <w:p>
      <w:pPr>
        <w:pStyle w:val="Compact"/>
        <w:numPr>
          <w:ilvl w:val="0"/>
          <w:numId w:val="1001"/>
        </w:numPr>
      </w:pPr>
      <w:r>
        <w:t xml:space="preserve">Patterns scanned: 17</w:t>
      </w:r>
    </w:p>
    <w:p>
      <w:pPr>
        <w:pStyle w:val="Compact"/>
        <w:numPr>
          <w:ilvl w:val="0"/>
          <w:numId w:val="1001"/>
        </w:numPr>
      </w:pPr>
      <w:r>
        <w:t xml:space="preserve">Files scanned: entire src/lib/*.ts</w:t>
      </w:r>
    </w:p>
    <w:p>
      <w:pPr>
        <w:pStyle w:val="Compact"/>
        <w:numPr>
          <w:ilvl w:val="0"/>
          <w:numId w:val="1001"/>
        </w:numPr>
      </w:pPr>
      <w:r>
        <w:t xml:space="preserve">True contradictions: 0</w:t>
      </w:r>
    </w:p>
    <w:p>
      <w:pPr>
        <w:pStyle w:val="Compact"/>
        <w:numPr>
          <w:ilvl w:val="0"/>
          <w:numId w:val="1001"/>
        </w:numPr>
      </w:pPr>
      <w:r>
        <w:t xml:space="preserve">False positives: 4 (prohibition/honest-state context)</w:t>
      </w:r>
    </w:p>
    <w:p>
      <w:pPr>
        <w:pStyle w:val="Compact"/>
        <w:numPr>
          <w:ilvl w:val="0"/>
          <w:numId w:val="1001"/>
        </w:numPr>
      </w:pPr>
      <w:r>
        <w:t xml:space="preserve">Unresolved: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0"/>
          <w:numId w:val="1001"/>
        </w:numPr>
      </w:pPr>
      <w:r>
        <w:t xml:space="preserve">Target:</w:t>
      </w:r>
      <w:r>
        <w:t xml:space="preserve"> </w:t>
      </w:r>
      <w:r>
        <w:rPr>
          <w:b/>
          <w:bCs/>
        </w:rPr>
        <w:t xml:space="preserve">MET</w:t>
      </w:r>
    </w:p>
    <w:bookmarkEnd w:id="36"/>
    <w:bookmarkStart w:id="37" w:name="e.3-terminology-audit"/>
    <w:p>
      <w:pPr>
        <w:pStyle w:val="Heading2"/>
      </w:pPr>
      <w:r>
        <w:t xml:space="preserve">E.3 Terminology Audit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institutional cross-border settlement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Cryptocurrency, token, stablecoin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Accounting/settlement reference (1.00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peg, USD-backed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Bank Gateway (translation 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replacement, core banking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Bank-side institutional backing (not MITHQAL-owned)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reserve, owned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constitutional monetary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backing, USD peg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settlement liquidity (2%)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Constitutional anchor, monetary 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part-f-open-items-tbd"/>
    <w:p>
      <w:pPr>
        <w:pStyle w:val="Heading1"/>
      </w:pPr>
      <w:r>
        <w:t xml:space="preserve">PART F — OPEN ITEMS / TBD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classification per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jurisdictions ALL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licensing per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entries ALL REQUIRED_NOT_OBTAINED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contractual default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bankDefaultContractValidated=false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bank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banks contracted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assurance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contracted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pilot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pilot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Three-book operational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accounting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threeBookOperational=false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risk live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live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systemicRiskMonitoringLive=false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live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bank 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protectedBackingLiveCells=0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quantitative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independent reproduction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reservePolicyStatus=CANDIDATE_MODEL_VALIDATION_PENDING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sandbox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conducted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security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conducted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Disaster recovery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— Requires DR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conducted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8" w:name="X90813310f0f06a0cb395e571f4bf42c7e4716ad"/>
    <w:p>
      <w:pPr>
        <w:pStyle w:val="Heading1"/>
      </w:pPr>
      <w:r>
        <w:t xml:space="preserve">PART G — FINAL PRODUCTION-READINESS CHECKLIST</w:t>
      </w:r>
    </w:p>
    <w:bookmarkStart w:id="40" w:name="g.1-architecture"/>
    <w:p>
      <w:pPr>
        <w:pStyle w:val="Heading2"/>
      </w:pPr>
      <w:r>
        <w:t xml:space="preserve">G.1 Architecture</w:t>
      </w:r>
    </w:p>
    <w:p>
      <w:pPr>
        <w:pStyle w:val="Compact"/>
        <w:numPr>
          <w:ilvl w:val="0"/>
          <w:numId w:val="1002"/>
        </w:numPr>
      </w:pPr>
      <w:r>
        <w:t xml:space="preserve">☐ Architecture complete (DESIGNED — all sections documented)</w:t>
      </w:r>
    </w:p>
    <w:p>
      <w:pPr>
        <w:pStyle w:val="Compact"/>
        <w:numPr>
          <w:ilvl w:val="0"/>
          <w:numId w:val="1002"/>
        </w:numPr>
      </w:pPr>
      <w:r>
        <w:t xml:space="preserve">☐ Core ledger complete (IMPLEMENTED — code level)</w:t>
      </w:r>
    </w:p>
    <w:p>
      <w:pPr>
        <w:pStyle w:val="Compact"/>
        <w:numPr>
          <w:ilvl w:val="0"/>
          <w:numId w:val="1002"/>
        </w:numPr>
      </w:pPr>
      <w:r>
        <w:t xml:space="preserve">☐ Bank gateway complete (MBG DESIGNED — translation model)</w:t>
      </w:r>
    </w:p>
    <w:p>
      <w:pPr>
        <w:pStyle w:val="Compact"/>
        <w:numPr>
          <w:ilvl w:val="0"/>
          <w:numId w:val="1002"/>
        </w:numPr>
      </w:pPr>
      <w:r>
        <w:t xml:space="preserve">☒ Single active reserve configuration (130% / 80-18-2 / 20% cap)</w:t>
      </w:r>
    </w:p>
    <w:p>
      <w:pPr>
        <w:pStyle w:val="Compact"/>
        <w:numPr>
          <w:ilvl w:val="0"/>
          <w:numId w:val="1002"/>
        </w:numPr>
      </w:pPr>
      <w:r>
        <w:t xml:space="preserve">☒ No contradictions (17 patterns, 0 unresolved)</w:t>
      </w:r>
    </w:p>
    <w:bookmarkEnd w:id="40"/>
    <w:bookmarkStart w:id="41" w:name="g.2-security"/>
    <w:p>
      <w:pPr>
        <w:pStyle w:val="Heading2"/>
      </w:pPr>
      <w:r>
        <w:t xml:space="preserve">G.2 Security</w:t>
      </w:r>
    </w:p>
    <w:p>
      <w:pPr>
        <w:pStyle w:val="Compact"/>
        <w:numPr>
          <w:ilvl w:val="0"/>
          <w:numId w:val="1003"/>
        </w:numPr>
      </w:pPr>
      <w:r>
        <w:t xml:space="preserve">☒ Finality enforcement (7/7 layers, 10/10 bypass blocked)</w:t>
      </w:r>
    </w:p>
    <w:p>
      <w:pPr>
        <w:pStyle w:val="Compact"/>
        <w:numPr>
          <w:ilvl w:val="0"/>
          <w:numId w:val="1003"/>
        </w:numPr>
      </w:pPr>
      <w:r>
        <w:t xml:space="preserve">☐ Penetration testing completed</w:t>
      </w:r>
    </w:p>
    <w:p>
      <w:pPr>
        <w:pStyle w:val="Compact"/>
        <w:numPr>
          <w:ilvl w:val="0"/>
          <w:numId w:val="1003"/>
        </w:numPr>
      </w:pPr>
      <w:r>
        <w:t xml:space="preserve">☐ Key-management controls validated</w:t>
      </w:r>
    </w:p>
    <w:p>
      <w:pPr>
        <w:pStyle w:val="Compact"/>
        <w:numPr>
          <w:ilvl w:val="0"/>
          <w:numId w:val="1003"/>
        </w:numPr>
      </w:pPr>
      <w:r>
        <w:t xml:space="preserve">☐ Emergency controls validated</w:t>
      </w:r>
    </w:p>
    <w:p>
      <w:pPr>
        <w:pStyle w:val="Compact"/>
        <w:numPr>
          <w:ilvl w:val="0"/>
          <w:numId w:val="1003"/>
        </w:numPr>
      </w:pPr>
      <w:r>
        <w:t xml:space="preserve">☒ Zero secrets in frontend source</w:t>
      </w:r>
    </w:p>
    <w:bookmarkEnd w:id="41"/>
    <w:bookmarkStart w:id="42" w:name="g.3-compliance"/>
    <w:p>
      <w:pPr>
        <w:pStyle w:val="Heading2"/>
      </w:pPr>
      <w:r>
        <w:t xml:space="preserve">G.3 Compliance</w:t>
      </w:r>
    </w:p>
    <w:p>
      <w:pPr>
        <w:pStyle w:val="Compact"/>
        <w:numPr>
          <w:ilvl w:val="0"/>
          <w:numId w:val="1004"/>
        </w:numPr>
      </w:pPr>
      <w:r>
        <w:t xml:space="preserve">☒ KYC/KYB/AML/sanctions model defined (bank-side)</w:t>
      </w:r>
    </w:p>
    <w:p>
      <w:pPr>
        <w:pStyle w:val="Compact"/>
        <w:numPr>
          <w:ilvl w:val="0"/>
          <w:numId w:val="1004"/>
        </w:numPr>
      </w:pPr>
      <w:r>
        <w:t xml:space="preserve">☐ Legal review completed (0/8 jurisdictions)</w:t>
      </w:r>
    </w:p>
    <w:p>
      <w:pPr>
        <w:pStyle w:val="Compact"/>
        <w:numPr>
          <w:ilvl w:val="0"/>
          <w:numId w:val="1004"/>
        </w:numPr>
      </w:pPr>
      <w:r>
        <w:t xml:space="preserve">☐ Regulatory review completed (0 licenses)</w:t>
      </w:r>
    </w:p>
    <w:p>
      <w:pPr>
        <w:pStyle w:val="Compact"/>
        <w:numPr>
          <w:ilvl w:val="0"/>
          <w:numId w:val="1004"/>
        </w:numPr>
      </w:pPr>
      <w:r>
        <w:t xml:space="preserve">☒ Compliance attestation model defined (6 attestations)</w:t>
      </w:r>
    </w:p>
    <w:bookmarkEnd w:id="42"/>
    <w:bookmarkStart w:id="43" w:name="g.4-reserve"/>
    <w:p>
      <w:pPr>
        <w:pStyle w:val="Heading2"/>
      </w:pPr>
      <w:r>
        <w:t xml:space="preserve">G.4 Reserve</w:t>
      </w:r>
    </w:p>
    <w:p>
      <w:pPr>
        <w:pStyle w:val="Compact"/>
        <w:numPr>
          <w:ilvl w:val="0"/>
          <w:numId w:val="1005"/>
        </w:numPr>
      </w:pPr>
      <w:r>
        <w:t xml:space="preserve">☒ Reserve architecture validated (code level)</w:t>
      </w:r>
    </w:p>
    <w:p>
      <w:pPr>
        <w:pStyle w:val="Compact"/>
        <w:numPr>
          <w:ilvl w:val="0"/>
          <w:numId w:val="1005"/>
        </w:numPr>
      </w:pPr>
      <w:r>
        <w:t xml:space="preserve">☐ Backing evidence exists (0 live cells)</w:t>
      </w:r>
    </w:p>
    <w:p>
      <w:pPr>
        <w:pStyle w:val="Compact"/>
        <w:numPr>
          <w:ilvl w:val="0"/>
          <w:numId w:val="1005"/>
        </w:numPr>
      </w:pPr>
      <w:r>
        <w:t xml:space="preserve">☐ Protected backing cell exists (model only)</w:t>
      </w:r>
    </w:p>
    <w:p>
      <w:pPr>
        <w:pStyle w:val="Compact"/>
        <w:numPr>
          <w:ilvl w:val="0"/>
          <w:numId w:val="1005"/>
        </w:numPr>
      </w:pPr>
      <w:r>
        <w:t xml:space="preserve">☒ No double counting (anti-double-count enforced)</w:t>
      </w:r>
    </w:p>
    <w:bookmarkEnd w:id="43"/>
    <w:bookmarkStart w:id="44" w:name="g.5-accounting"/>
    <w:p>
      <w:pPr>
        <w:pStyle w:val="Heading2"/>
      </w:pPr>
      <w:r>
        <w:t xml:space="preserve">G.5 Accounting</w:t>
      </w:r>
    </w:p>
    <w:p>
      <w:pPr>
        <w:pStyle w:val="Compact"/>
        <w:numPr>
          <w:ilvl w:val="0"/>
          <w:numId w:val="1006"/>
        </w:numPr>
      </w:pPr>
      <w:r>
        <w:t xml:space="preserve">☒ Three-book design complete</w:t>
      </w:r>
    </w:p>
    <w:p>
      <w:pPr>
        <w:pStyle w:val="Compact"/>
        <w:numPr>
          <w:ilvl w:val="0"/>
          <w:numId w:val="1006"/>
        </w:numPr>
      </w:pPr>
      <w:r>
        <w:t xml:space="preserve">☐ Three-book operational (false)</w:t>
      </w:r>
    </w:p>
    <w:p>
      <w:pPr>
        <w:pStyle w:val="Compact"/>
        <w:numPr>
          <w:ilvl w:val="0"/>
          <w:numId w:val="1006"/>
        </w:numPr>
      </w:pPr>
      <w:r>
        <w:t xml:space="preserve">☐ Three-book enforced (false)</w:t>
      </w:r>
    </w:p>
    <w:p>
      <w:pPr>
        <w:pStyle w:val="Compact"/>
        <w:numPr>
          <w:ilvl w:val="0"/>
          <w:numId w:val="1006"/>
        </w:numPr>
      </w:pPr>
      <w:r>
        <w:t xml:space="preserve">☒ Five-way reconciliation model defined</w:t>
      </w:r>
    </w:p>
    <w:bookmarkEnd w:id="44"/>
    <w:bookmarkStart w:id="45" w:name="g.6-institutional"/>
    <w:p>
      <w:pPr>
        <w:pStyle w:val="Heading2"/>
      </w:pPr>
      <w:r>
        <w:t xml:space="preserve">G.6 Institutional</w:t>
      </w:r>
    </w:p>
    <w:p>
      <w:pPr>
        <w:pStyle w:val="Compact"/>
        <w:numPr>
          <w:ilvl w:val="0"/>
          <w:numId w:val="1007"/>
        </w:numPr>
      </w:pPr>
      <w:r>
        <w:t xml:space="preserve">☐ Institutional agreements completed (0 banks)</w:t>
      </w:r>
    </w:p>
    <w:p>
      <w:pPr>
        <w:pStyle w:val="Compact"/>
        <w:numPr>
          <w:ilvl w:val="0"/>
          <w:numId w:val="1007"/>
        </w:numPr>
      </w:pPr>
      <w:r>
        <w:t xml:space="preserve">☐ Pilot completed (0/13 gates)</w:t>
      </w:r>
    </w:p>
    <w:p>
      <w:pPr>
        <w:pStyle w:val="Compact"/>
        <w:numPr>
          <w:ilvl w:val="0"/>
          <w:numId w:val="1007"/>
        </w:numPr>
      </w:pPr>
      <w:r>
        <w:t xml:space="preserve">☐ Controlled pilot transactions (0)</w:t>
      </w:r>
    </w:p>
    <w:p>
      <w:pPr>
        <w:pStyle w:val="Compact"/>
        <w:numPr>
          <w:ilvl w:val="0"/>
          <w:numId w:val="1007"/>
        </w:numPr>
      </w:pPr>
      <w:r>
        <w:t xml:space="preserve">☐ Independent assurance (not contracted)</w:t>
      </w:r>
    </w:p>
    <w:p>
      <w:pPr>
        <w:pStyle w:val="Compact"/>
        <w:numPr>
          <w:ilvl w:val="0"/>
          <w:numId w:val="1007"/>
        </w:numPr>
      </w:pPr>
      <w:r>
        <w:t xml:space="preserve">☐ Production acceptance (not authorized)</w:t>
      </w:r>
    </w:p>
    <w:bookmarkEnd w:id="45"/>
    <w:bookmarkStart w:id="46" w:name="g.7-infrastructure"/>
    <w:p>
      <w:pPr>
        <w:pStyle w:val="Heading2"/>
      </w:pPr>
      <w:r>
        <w:t xml:space="preserve">G.7 Infrastructure</w:t>
      </w:r>
    </w:p>
    <w:p>
      <w:pPr>
        <w:pStyle w:val="Compact"/>
        <w:numPr>
          <w:ilvl w:val="0"/>
          <w:numId w:val="1008"/>
        </w:numPr>
      </w:pPr>
      <w:r>
        <w:t xml:space="preserve">☒ GitHub repository (MITHQALMTQ/mithqal)</w:t>
      </w:r>
    </w:p>
    <w:p>
      <w:pPr>
        <w:pStyle w:val="Compact"/>
        <w:numPr>
          <w:ilvl w:val="0"/>
          <w:numId w:val="1008"/>
        </w:numPr>
      </w:pPr>
      <w:r>
        <w:t xml:space="preserve">☒ Vercel deployment (mithqal.vercel.app)</w:t>
      </w:r>
    </w:p>
    <w:p>
      <w:pPr>
        <w:pStyle w:val="Compact"/>
        <w:numPr>
          <w:ilvl w:val="0"/>
          <w:numId w:val="1008"/>
        </w:numPr>
      </w:pPr>
      <w:r>
        <w:t xml:space="preserve">☒ Turso database (44 tables)</w:t>
      </w:r>
    </w:p>
    <w:p>
      <w:pPr>
        <w:pStyle w:val="Compact"/>
        <w:numPr>
          <w:ilvl w:val="0"/>
          <w:numId w:val="1008"/>
        </w:numPr>
      </w:pPr>
      <w:r>
        <w:t xml:space="preserve">☒ Branch protection (enforce_admins=true)</w:t>
      </w:r>
    </w:p>
    <w:p>
      <w:pPr>
        <w:pStyle w:val="Compact"/>
        <w:numPr>
          <w:ilvl w:val="0"/>
          <w:numId w:val="1008"/>
        </w:numPr>
      </w:pPr>
      <w:r>
        <w:t xml:space="preserve">☒ Tag v25.2-final (FROZEN)</w:t>
      </w:r>
    </w:p>
    <w:p>
      <w:pPr>
        <w:pStyle w:val="Compact"/>
        <w:numPr>
          <w:ilvl w:val="0"/>
          <w:numId w:val="1008"/>
        </w:numPr>
      </w:pPr>
      <w:r>
        <w:t xml:space="preserve">☒ Backup branch (v25.2-hardened-backup)</w:t>
      </w:r>
    </w:p>
    <w:p>
      <w:pPr>
        <w:pStyle w:val="Compact"/>
        <w:numPr>
          <w:ilvl w:val="0"/>
          <w:numId w:val="1008"/>
        </w:numPr>
      </w:pPr>
      <w:r>
        <w:t xml:space="preserve">☐ Monitoring live</w:t>
      </w:r>
    </w:p>
    <w:p>
      <w:pPr>
        <w:pStyle w:val="Compact"/>
        <w:numPr>
          <w:ilvl w:val="0"/>
          <w:numId w:val="1008"/>
        </w:numPr>
      </w:pPr>
      <w:r>
        <w:t xml:space="preserve">☐ Incident response tested</w:t>
      </w:r>
    </w:p>
    <w:p>
      <w:pPr>
        <w:pStyle w:val="Compact"/>
        <w:numPr>
          <w:ilvl w:val="0"/>
          <w:numId w:val="1008"/>
        </w:numPr>
      </w:pPr>
      <w:r>
        <w:t xml:space="preserve">☐ Disaster recovery tested</w:t>
      </w:r>
    </w:p>
    <w:bookmarkEnd w:id="46"/>
    <w:bookmarkStart w:id="47" w:name="g.8-overall-status"/>
    <w:p>
      <w:pPr>
        <w:pStyle w:val="Heading2"/>
      </w:pPr>
      <w:r>
        <w:t xml:space="preserve">G.8 Overall Status</w:t>
      </w:r>
    </w:p>
    <w:p>
      <w:pPr>
        <w:pStyle w:val="FirstParagraph"/>
      </w:pPr>
      <w:r>
        <w:rPr>
          <w:b/>
          <w:bCs/>
        </w:rPr>
        <w:t xml:space="preserve">Acceptance criteria: 19/23 met (83%)</w:t>
      </w:r>
      <w:r>
        <w:t xml:space="preserve"> </w:t>
      </w:r>
      <w:r>
        <w:rPr>
          <w:b/>
          <w:bCs/>
        </w:rPr>
        <w:t xml:space="preserve">Institutional gates: 0/13 passed</w:t>
      </w:r>
      <w:r>
        <w:t xml:space="preserve"> </w:t>
      </w:r>
      <w:r>
        <w:rPr>
          <w:b/>
          <w:bCs/>
        </w:rPr>
        <w:t xml:space="preserve">Production authorized: FALSE</w:t>
      </w:r>
    </w:p>
    <w:p>
      <w:pPr>
        <w:pStyle w:val="BodyText"/>
      </w:pPr>
      <w:r>
        <w:rPr>
          <w:b/>
          <w:bCs/>
        </w:rPr>
        <w:t xml:space="preserve">APPROVED CANDIDATE FOR CONTROLLED TESTING — NOT PRODUCTION-AUTHORIZED.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art-c-full-new-mithqal-master-blueprint"/>
    <w:p>
      <w:pPr>
        <w:pStyle w:val="Heading1"/>
      </w:pPr>
      <w:r>
        <w:t xml:space="preserve">PART C — FULL NEW MITHQAL MASTER BLUEPRINT</w:t>
      </w:r>
    </w:p>
    <w:p>
      <w:r>
        <w:pict>
          <v:rect style="width:0;height:1.5pt" o:hralign="center" o:hrstd="t" o:hr="t"/>
        </w:pict>
      </w:r>
    </w:p>
    <w:bookmarkEnd w:id="49"/>
    <w:bookmarkStart w:id="179" w:name="mithqal-master-blueprint-v25.2"/>
    <w:p>
      <w:pPr>
        <w:pStyle w:val="Heading1"/>
      </w:pPr>
      <w:r>
        <w:t xml:space="preserve">MITHQAL — MASTER BLUEPRINT v25.2</w:t>
      </w:r>
    </w:p>
    <w:bookmarkStart w:id="50" w:name="version-v25.2-final-controlling-1"/>
    <w:p>
      <w:pPr>
        <w:pStyle w:val="Heading2"/>
      </w:pPr>
      <w:r>
        <w:t xml:space="preserve">Version: v25.2 (FINAL — CONTROLLING)</w:t>
      </w:r>
    </w:p>
    <w:bookmarkEnd w:id="50"/>
    <w:bookmarkStart w:id="51" w:name="date-2026-08-22-1"/>
    <w:p>
      <w:pPr>
        <w:pStyle w:val="Heading2"/>
      </w:pPr>
      <w:r>
        <w:t xml:space="preserve">Date: 2026-08-22</w:t>
      </w:r>
    </w:p>
    <w:bookmarkEnd w:id="51"/>
    <w:bookmarkStart w:id="52" w:name="Xf97a4f77179ece2de09e8a65aba7b58b9245ea3"/>
    <w:p>
      <w:pPr>
        <w:pStyle w:val="Heading2"/>
      </w:pPr>
      <w:r>
        <w:t xml:space="preserve">Status: APPROVED CANDIDATE FOR CONTROLLED TESTING — NOT PRODUCTION-AUTHORIZED</w:t>
      </w:r>
    </w:p>
    <w:p>
      <w:pPr>
        <w:pStyle w:val="BlockText"/>
      </w:pPr>
      <w:r>
        <w:rPr>
          <w:b/>
          <w:bCs/>
        </w:rPr>
        <w:t xml:space="preserve">CONTROLLED INSTITUTIONAL DOCUMENT • NOT A LICENSE • NOT A LEGAL OPINION.</w:t>
      </w:r>
    </w:p>
    <w:p>
      <w:r>
        <w:pict>
          <v:rect style="width:0;height:1.5pt" o:hralign="center" o:hrstd="t" o:hr="t"/>
        </w:pict>
      </w:r>
    </w:p>
    <w:bookmarkEnd w:id="52"/>
    <w:bookmarkStart w:id="55" w:name="executive-summary"/>
    <w:p>
      <w:pPr>
        <w:pStyle w:val="Heading2"/>
      </w:pPr>
      <w:r>
        <w:t xml:space="preserve">0. EXECUTIVE SUMMARY</w:t>
      </w:r>
    </w:p>
    <w:p>
      <w:pPr>
        <w:pStyle w:val="FirstParagraph"/>
      </w:pPr>
      <w:r>
        <w:t xml:space="preserve">MITHQAL is a</w:t>
      </w:r>
      <w:r>
        <w:t xml:space="preserve"> </w:t>
      </w:r>
      <w:r>
        <w:rPr>
          <w:b/>
          <w:bCs/>
        </w:rPr>
        <w:t xml:space="preserve">Constitutional Monetary and Institutional Settlement Infrastructure</w:t>
      </w:r>
      <w:r>
        <w:t xml:space="preserve"> </w:t>
      </w:r>
      <w:r>
        <w:t xml:space="preserve">— a neutral, fully-reserved, gold-anchored settlement system designed for institutional cross-border trade settlement. It operates beside existing banking infrastructure through the MITHQAL Bank Gateway (MBG), which follows the principle of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TRANSLATION, NOT TRANSFORMATION</w:t>
      </w:r>
      <w:r>
        <w:rPr>
          <w:b/>
          <w:bCs/>
        </w:rPr>
        <w:t xml:space="preserve">”</w:t>
      </w:r>
      <w:r>
        <w:t xml:space="preserve"> </w:t>
      </w:r>
      <w:r>
        <w:t xml:space="preserve">— bank systems remain authoritative.</w:t>
      </w:r>
    </w:p>
    <w:bookmarkStart w:id="53" w:name="current-architecture-v25.2-controlling"/>
    <w:p>
      <w:pPr>
        <w:pStyle w:val="Heading3"/>
      </w:pPr>
      <w:r>
        <w:t xml:space="preserve">Current Architecture (v25.2 — Controlling)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reserve coverage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(pending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composition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80% fiat / 18% gold / 2%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resilience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≤15% (separate, non-double-counted)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reserve + 10 settlement-only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Per-currency hard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(preferred 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 effective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(direct + AED/SAR peg + synthetic + digital)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(corridor 15-25%)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(SDC ≤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normal, ≤3% operational, 5% max, 0%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Finality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layers at code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0/13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authorized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</w:t>
            </w:r>
          </w:p>
        </w:tc>
      </w:tr>
    </w:tbl>
    <w:bookmarkEnd w:id="53"/>
    <w:bookmarkStart w:id="54" w:name="organizational-structure"/>
    <w:p>
      <w:pPr>
        <w:pStyle w:val="Heading3"/>
      </w:pPr>
      <w:r>
        <w:t xml:space="preserve">Organizational Structure</w:t>
      </w:r>
    </w:p>
    <w:p>
      <w:pPr>
        <w:pStyle w:val="SourceCode"/>
      </w:pPr>
      <w:r>
        <w:rPr>
          <w:rStyle w:val="VerbatimChar"/>
        </w:rPr>
        <w:t xml:space="preserve">MITHQAL FOUNDATION (Independent Nonprofit — Constitutional Steward)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MITHQAL HOLDING COMPANY (For-Profit — Owns Operating + Technology)</w:t>
      </w:r>
      <w:r>
        <w:br/>
      </w:r>
      <w:r>
        <w:rPr>
          <w:rStyle w:val="VerbatimChar"/>
        </w:rPr>
        <w:t xml:space="preserve">    ├── MITHQAL OPERATING COMPANY (Institutional/Commercial Operations)</w:t>
      </w:r>
      <w:r>
        <w:br/>
      </w:r>
      <w:r>
        <w:rPr>
          <w:rStyle w:val="VerbatimChar"/>
        </w:rPr>
        <w:t xml:space="preserve">    │       └── Monetary &amp; Reserve Control Division</w:t>
      </w:r>
      <w:r>
        <w:br/>
      </w:r>
      <w:r>
        <w:rPr>
          <w:rStyle w:val="VerbatimChar"/>
        </w:rPr>
        <w:t xml:space="preserve">    └── MITHQAL TECHNOLOGY COMPANY (Technology Infrastructure)</w:t>
      </w:r>
      <w:r>
        <w:br/>
      </w:r>
      <w:r>
        <w:rPr>
          <w:rStyle w:val="VerbatimChar"/>
        </w:rPr>
        <w:t xml:space="preserve">            ├── MITHQAL Core · MBG · Ledger · APIs · Security</w:t>
      </w:r>
    </w:p>
    <w:p>
      <w:pPr>
        <w:pStyle w:val="FirstParagraph"/>
      </w:pPr>
      <w:r>
        <w:rPr>
          <w:b/>
          <w:bCs/>
        </w:rPr>
        <w:t xml:space="preserve">MITHQAL does NOT:</w:t>
      </w:r>
      <w:r>
        <w:t xml:space="preserve"> </w:t>
      </w:r>
      <w:r>
        <w:t xml:space="preserve">- Own MTQ backing</w:t>
      </w:r>
      <w:r>
        <w:t xml:space="preserve"> </w:t>
      </w:r>
      <w:r>
        <w:t xml:space="preserve">- Custody MTQ backing (by default)</w:t>
      </w:r>
      <w:r>
        <w:t xml:space="preserve"> </w:t>
      </w:r>
      <w:r>
        <w:t xml:space="preserve">- Financially guarantee MTQ</w:t>
      </w:r>
      <w:r>
        <w:t xml:space="preserve"> </w:t>
      </w:r>
      <w:r>
        <w:t xml:space="preserve">- Act as a bank</w:t>
      </w:r>
      <w:r>
        <w:t xml:space="preserve"> </w:t>
      </w:r>
      <w:r>
        <w:t xml:space="preserve">- Operate an exchange</w:t>
      </w:r>
      <w:r>
        <w:t xml:space="preserve"> </w:t>
      </w:r>
      <w:r>
        <w:t xml:space="preserve">- Provide banking services</w:t>
      </w:r>
    </w:p>
    <w:p>
      <w:pPr>
        <w:pStyle w:val="BodyText"/>
      </w:pPr>
      <w:r>
        <w:rPr>
          <w:b/>
          <w:bCs/>
        </w:rPr>
        <w:t xml:space="preserve">Bank requests. MITHQAL authorizes. Technical system executes.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mission-vision-strategic-objective"/>
    <w:p>
      <w:pPr>
        <w:pStyle w:val="Heading2"/>
      </w:pPr>
      <w:r>
        <w:t xml:space="preserve">1. MISSION, VISION &amp; STRATEGIC OBJECTIVE</w:t>
      </w:r>
    </w:p>
    <w:bookmarkStart w:id="56" w:name="mission"/>
    <w:p>
      <w:pPr>
        <w:pStyle w:val="Heading3"/>
      </w:pPr>
      <w:r>
        <w:t xml:space="preserve">1.1 Mission</w:t>
      </w:r>
    </w:p>
    <w:p>
      <w:pPr>
        <w:pStyle w:val="FirstParagraph"/>
      </w:pPr>
      <w:r>
        <w:t xml:space="preserve">To provide a neutral, fully-reserved, gold-anchored settlement infrastructure that enables institutional cross-border trade settlement without requiring banks to replace their core banking systems.</w:t>
      </w:r>
    </w:p>
    <w:bookmarkEnd w:id="56"/>
    <w:bookmarkStart w:id="57" w:name="vision"/>
    <w:p>
      <w:pPr>
        <w:pStyle w:val="Heading3"/>
      </w:pPr>
      <w:r>
        <w:t xml:space="preserve">1.2 Vision</w:t>
      </w:r>
    </w:p>
    <w:p>
      <w:pPr>
        <w:pStyle w:val="FirstParagraph"/>
      </w:pPr>
      <w:r>
        <w:t xml:space="preserve">A world where international trade settlement is neutral, verifiable, gold-anchored, and institutionally governed — where no single currency, jurisdiction, or platform dominates settlement.</w:t>
      </w:r>
    </w:p>
    <w:bookmarkEnd w:id="57"/>
    <w:bookmarkStart w:id="58" w:name="strategic-objective"/>
    <w:p>
      <w:pPr>
        <w:pStyle w:val="Heading3"/>
      </w:pPr>
      <w:r>
        <w:t xml:space="preserve">1.3 Strategic Objective</w:t>
      </w:r>
    </w:p>
    <w:p>
      <w:pPr>
        <w:pStyle w:val="FirstParagraph"/>
      </w:pPr>
      <w:r>
        <w:t xml:space="preserve">Build. Test. Validate. — MITHQAL seeks regulated institutions, monetary authorities, regulators, infrastructure providers, and independent assurance institutions for controlled technical review, sandbox testing, integration assessment, and pilot design.</w:t>
      </w:r>
    </w:p>
    <w:bookmarkEnd w:id="58"/>
    <w:bookmarkStart w:id="59" w:name="pilot-model"/>
    <w:p>
      <w:pPr>
        <w:pStyle w:val="Heading3"/>
      </w:pPr>
      <w:r>
        <w:t xml:space="preserve">1.4 Pilot Model</w:t>
      </w:r>
    </w:p>
    <w:p>
      <w:pPr>
        <w:pStyle w:val="FirstParagraph"/>
      </w:pPr>
      <w:r>
        <w:t xml:space="preserve">The initial pilot architecture is intentionally constrained:</w:t>
      </w:r>
    </w:p>
    <w:p>
      <w:pPr>
        <w:pStyle w:val="SourceCode"/>
      </w:pPr>
      <w:r>
        <w:rPr>
          <w:rStyle w:val="VerbatimChar"/>
        </w:rPr>
        <w:t xml:space="preserve">ONE REGULATED INSTITUTION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ONE JURISDICTION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ONE CORRIDOR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INSTITUTIONAL CORPORATES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CONTROLLED TEST ENVIRONMENT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MTQ PASS-THROUGH SETTLEMENT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SECURITY / RESILIENCE TESTING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INDEPENDENT / INSTITUTIONAL REVIEW</w:t>
      </w:r>
    </w:p>
    <w:p>
      <w:pPr>
        <w:pStyle w:val="FirstParagraph"/>
      </w:pPr>
      <w:r>
        <w:t xml:space="preserve">Broader treasury holding is outside the initial pilot scope.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onstitutional-principles"/>
    <w:p>
      <w:pPr>
        <w:pStyle w:val="Heading2"/>
      </w:pPr>
      <w:r>
        <w:t xml:space="preserve">2. CONSTITUTIONAL PRINCIPLES</w:t>
      </w:r>
    </w:p>
    <w:bookmarkStart w:id="61" w:name="non-negotiable-invariants-94"/>
    <w:p>
      <w:pPr>
        <w:pStyle w:val="Heading3"/>
      </w:pPr>
      <w:r>
        <w:t xml:space="preserve">2.1 Non-Negotiable Invariants (§94)</w:t>
      </w:r>
    </w:p>
    <w:p>
      <w:pPr>
        <w:pStyle w:val="Compact"/>
        <w:numPr>
          <w:ilvl w:val="0"/>
          <w:numId w:val="1009"/>
        </w:numPr>
      </w:pPr>
      <w:r>
        <w:t xml:space="preserve">MITHQAL does NOT own MTQ backing (</w:t>
      </w:r>
      <w:r>
        <w:rPr>
          <w:rStyle w:val="VerbatimChar"/>
        </w:rPr>
        <w:t xml:space="preserve">MITHQAL_OWNS_MTQ_BACKING = FALSE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MITHQAL does NOT custody MTQ backing by default (</w:t>
      </w:r>
      <w:r>
        <w:rPr>
          <w:rStyle w:val="VerbatimChar"/>
        </w:rPr>
        <w:t xml:space="preserve">MITHQAL_CUSTODIES_MTQ_BACKING_BY_DEFAULT = FALSE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MITHQAL does NOT financially guarantee MTQ (</w:t>
      </w:r>
      <w:r>
        <w:rPr>
          <w:rStyle w:val="VerbatimChar"/>
        </w:rPr>
        <w:t xml:space="preserve">MITHQAL_FINANCIALLY_GUARANTEES_MTQ = FALSE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No final settlement = no MTQ mint</w:t>
      </w:r>
    </w:p>
    <w:p>
      <w:pPr>
        <w:pStyle w:val="Compact"/>
        <w:numPr>
          <w:ilvl w:val="0"/>
          <w:numId w:val="1009"/>
        </w:numPr>
      </w:pPr>
      <w:r>
        <w:t xml:space="preserve">MTQ is a neutral institutional settlement unit (not a USD peg)</w:t>
      </w:r>
    </w:p>
    <w:p>
      <w:pPr>
        <w:pStyle w:val="Compact"/>
        <w:numPr>
          <w:ilvl w:val="0"/>
          <w:numId w:val="1009"/>
        </w:numPr>
      </w:pPr>
      <w:r>
        <w:t xml:space="preserve">Gold is the primary constitutional monetary anchor</w:t>
      </w:r>
    </w:p>
    <w:p>
      <w:pPr>
        <w:pStyle w:val="Compact"/>
        <w:numPr>
          <w:ilvl w:val="0"/>
          <w:numId w:val="1009"/>
        </w:numPr>
      </w:pPr>
      <w:r>
        <w:t xml:space="preserve">80/18/2 is the current policy center (pending quantitative validation)</w:t>
      </w:r>
    </w:p>
    <w:p>
      <w:pPr>
        <w:pStyle w:val="Compact"/>
        <w:numPr>
          <w:ilvl w:val="0"/>
          <w:numId w:val="1009"/>
        </w:numPr>
      </w:pPr>
      <w:r>
        <w:t xml:space="preserve">130% is the current institutional backing candidate (not a MITHQAL-owned reserve)</w:t>
      </w:r>
    </w:p>
    <w:p>
      <w:pPr>
        <w:pStyle w:val="Compact"/>
        <w:numPr>
          <w:ilvl w:val="0"/>
          <w:numId w:val="1009"/>
        </w:numPr>
      </w:pPr>
      <w:r>
        <w:t xml:space="preserve">The separate 15% emergency resilience capacity must never be double-counted</w:t>
      </w:r>
    </w:p>
    <w:p>
      <w:pPr>
        <w:pStyle w:val="Compact"/>
        <w:numPr>
          <w:ilvl w:val="0"/>
          <w:numId w:val="1009"/>
        </w:numPr>
      </w:pPr>
      <w:r>
        <w:t xml:space="preserve">Historical conflicting configurations remain traceable but have no active runtime authority</w:t>
      </w:r>
    </w:p>
    <w:p>
      <w:pPr>
        <w:pStyle w:val="Compact"/>
        <w:numPr>
          <w:ilvl w:val="0"/>
          <w:numId w:val="1009"/>
        </w:numPr>
      </w:pPr>
      <w:r>
        <w:t xml:space="preserve">No code-only capability may be represented as institutionally validated</w:t>
      </w:r>
    </w:p>
    <w:p>
      <w:pPr>
        <w:pStyle w:val="Compact"/>
        <w:numPr>
          <w:ilvl w:val="0"/>
          <w:numId w:val="1009"/>
        </w:numPr>
      </w:pPr>
      <w:r>
        <w:t xml:space="preserve">No technical capability may be represented as legally authorized without evidence</w:t>
      </w:r>
    </w:p>
    <w:p>
      <w:pPr>
        <w:pStyle w:val="Compact"/>
        <w:numPr>
          <w:ilvl w:val="0"/>
          <w:numId w:val="1009"/>
        </w:numPr>
      </w:pPr>
      <w:r>
        <w:t xml:space="preserve">No bank relationship may be represented as a bank integration until an actual bank integration exists</w:t>
      </w:r>
    </w:p>
    <w:p>
      <w:pPr>
        <w:pStyle w:val="Compact"/>
        <w:numPr>
          <w:ilvl w:val="0"/>
          <w:numId w:val="1009"/>
        </w:numPr>
      </w:pPr>
      <w:r>
        <w:t xml:space="preserve">No reserve claim may be represented as verified without institutional evidence</w:t>
      </w:r>
    </w:p>
    <w:p>
      <w:pPr>
        <w:pStyle w:val="Compact"/>
        <w:numPr>
          <w:ilvl w:val="0"/>
          <w:numId w:val="1009"/>
        </w:numPr>
      </w:pPr>
      <w:r>
        <w:t xml:space="preserve">No production authorization until all defined gates are satisfied</w:t>
      </w:r>
    </w:p>
    <w:p>
      <w:pPr>
        <w:pStyle w:val="Compact"/>
        <w:numPr>
          <w:ilvl w:val="0"/>
          <w:numId w:val="1009"/>
        </w:numPr>
      </w:pPr>
      <w:r>
        <w:t xml:space="preserve">Bank requests. MITHQAL authorizes. Technical system executes.</w:t>
      </w:r>
    </w:p>
    <w:p>
      <w:pPr>
        <w:pStyle w:val="Compact"/>
        <w:numPr>
          <w:ilvl w:val="0"/>
          <w:numId w:val="1009"/>
        </w:numPr>
      </w:pPr>
      <w:r>
        <w:t xml:space="preserve">USDT is not normal core MTQ digital backing (external conversion only)</w:t>
      </w:r>
    </w:p>
    <w:bookmarkEnd w:id="61"/>
    <w:bookmarkStart w:id="62" w:name="evidence-state-discipline-73"/>
    <w:p>
      <w:pPr>
        <w:pStyle w:val="Heading3"/>
      </w:pPr>
      <w:r>
        <w:t xml:space="preserve">2.2 Evidence-State Discipline (§73)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designed, not yet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written, not yet 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to other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in non-production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INSTITUTIONALLY_VALIDATED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by a real institution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production deployment</w:t>
            </w:r>
          </w:p>
        </w:tc>
      </w:tr>
    </w:tbl>
    <w:p>
      <w:pPr>
        <w:pStyle w:val="BodyText"/>
      </w:pPr>
      <w:r>
        <w:t xml:space="preserve">Additional states: MODEL_VALIDATION_PENDING, LEGAL_VALIDATION_PENDING, LICENSING_VALIDATION_PENDING, CONTRACT_VALIDATION_PENDING</w:t>
      </w:r>
    </w:p>
    <w:bookmarkEnd w:id="62"/>
    <w:bookmarkStart w:id="63" w:name="current-honest-state-74"/>
    <w:p>
      <w:pPr>
        <w:pStyle w:val="Heading3"/>
      </w:pPr>
      <w:r>
        <w:t xml:space="preserve">2.3 Current Honest State (§74)</w:t>
      </w:r>
    </w:p>
    <w:p>
      <w:pPr>
        <w:pStyle w:val="SourceCode"/>
      </w:pPr>
      <w:r>
        <w:rPr>
          <w:rStyle w:val="NormalTok"/>
        </w:rPr>
        <w:t xml:space="preserve">honest        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productionAuthorized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noMithqalOwnedReserve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noMithqalFinancialGuarantee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threeBookDesign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threeBookOperational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threeBookEnforced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systemicRiskEngineDesigned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systemicRiskEngineImplemented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systemicRiskMonitoringLive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systemicRiskProductionValidated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finalityPolicyDefined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finalityLayersDesigned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finalityLayersRequired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finalityLayersEnforced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finalityProductionReady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finalityBypassRisk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"MITIGATED_AT_CODE_LEVEL"</w:t>
      </w:r>
      <w:r>
        <w:br/>
      </w:r>
      <w:r>
        <w:rPr>
          <w:rStyle w:val="NormalTok"/>
        </w:rPr>
        <w:t xml:space="preserve">legalRegistryImplemented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legalOpinionsObtained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validatedJurisdictions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licensingMatrixImplemented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licensesObtained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bankDefaultStateModelDesigned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bankDefaultOperationalWorkflow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bankDefaultContractValidated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bankDefaultLegalValidated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bankDefaultProductionReady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protectedBackingModelImplemented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protectedBackingLiveCells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reserveConfigurationCanonical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reserveConfigurationConflicts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reservePolicyStatus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"CANDIDATE_MODEL_VALIDATION_PENDING"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what-mithqal-is"/>
    <w:p>
      <w:pPr>
        <w:pStyle w:val="Heading2"/>
      </w:pPr>
      <w:r>
        <w:t xml:space="preserve">3. WHAT MITHQAL IS</w:t>
      </w:r>
    </w:p>
    <w:p>
      <w:pPr>
        <w:pStyle w:val="FirstParagraph"/>
      </w:pPr>
      <w:r>
        <w:t xml:space="preserve">MITHQAL is a</w:t>
      </w:r>
      <w:r>
        <w:t xml:space="preserve"> </w:t>
      </w:r>
      <w:r>
        <w:rPr>
          <w:b/>
          <w:bCs/>
        </w:rPr>
        <w:t xml:space="preserve">Constitutional Monetary and Institutional Settlement Infrastructure</w:t>
      </w:r>
      <w:r>
        <w:t xml:space="preserve">.</w:t>
      </w:r>
    </w:p>
    <w:bookmarkStart w:id="65" w:name="mithqal"/>
    <w:p>
      <w:pPr>
        <w:pStyle w:val="Heading3"/>
      </w:pPr>
      <w:r>
        <w:t xml:space="preserve">MITHQAL:</w:t>
      </w:r>
    </w:p>
    <w:p>
      <w:pPr>
        <w:pStyle w:val="Compact"/>
        <w:numPr>
          <w:ilvl w:val="0"/>
          <w:numId w:val="1010"/>
        </w:numPr>
      </w:pPr>
      <w:r>
        <w:t xml:space="preserve">Defines eligibility</w:t>
      </w:r>
    </w:p>
    <w:p>
      <w:pPr>
        <w:pStyle w:val="Compact"/>
        <w:numPr>
          <w:ilvl w:val="0"/>
          <w:numId w:val="1010"/>
        </w:numPr>
      </w:pPr>
      <w:r>
        <w:t xml:space="preserve">Verifies evidence</w:t>
      </w:r>
    </w:p>
    <w:p>
      <w:pPr>
        <w:pStyle w:val="Compact"/>
        <w:numPr>
          <w:ilvl w:val="0"/>
          <w:numId w:val="1010"/>
        </w:numPr>
      </w:pPr>
      <w:r>
        <w:t xml:space="preserve">Calculates issuance capacity (DMCE)</w:t>
      </w:r>
    </w:p>
    <w:p>
      <w:pPr>
        <w:pStyle w:val="Compact"/>
        <w:numPr>
          <w:ilvl w:val="0"/>
          <w:numId w:val="1010"/>
        </w:numPr>
      </w:pPr>
      <w:r>
        <w:t xml:space="preserve">Enforces concentration rules</w:t>
      </w:r>
    </w:p>
    <w:p>
      <w:pPr>
        <w:pStyle w:val="Compact"/>
        <w:numPr>
          <w:ilvl w:val="0"/>
          <w:numId w:val="1010"/>
        </w:numPr>
      </w:pPr>
      <w:r>
        <w:t xml:space="preserve">Authorizes issuance</w:t>
      </w:r>
    </w:p>
    <w:p>
      <w:pPr>
        <w:pStyle w:val="Compact"/>
        <w:numPr>
          <w:ilvl w:val="0"/>
          <w:numId w:val="1010"/>
        </w:numPr>
      </w:pPr>
      <w:r>
        <w:t xml:space="preserve">Operates settlement infrastructure</w:t>
      </w:r>
    </w:p>
    <w:p>
      <w:pPr>
        <w:pStyle w:val="Compact"/>
        <w:numPr>
          <w:ilvl w:val="0"/>
          <w:numId w:val="1010"/>
        </w:numPr>
      </w:pPr>
      <w:r>
        <w:t xml:space="preserve">Reconciles</w:t>
      </w:r>
    </w:p>
    <w:p>
      <w:pPr>
        <w:pStyle w:val="Compact"/>
        <w:numPr>
          <w:ilvl w:val="0"/>
          <w:numId w:val="1010"/>
        </w:numPr>
      </w:pPr>
      <w:r>
        <w:t xml:space="preserve">Monitors systemic risk</w:t>
      </w:r>
    </w:p>
    <w:p>
      <w:pPr>
        <w:pStyle w:val="Compact"/>
        <w:numPr>
          <w:ilvl w:val="0"/>
          <w:numId w:val="1010"/>
        </w:numPr>
      </w:pPr>
      <w:r>
        <w:t xml:space="preserve">Applies constitutional rules</w:t>
      </w:r>
    </w:p>
    <w:p>
      <w:pPr>
        <w:pStyle w:val="Compact"/>
        <w:numPr>
          <w:ilvl w:val="0"/>
          <w:numId w:val="1010"/>
        </w:numPr>
      </w:pPr>
      <w:r>
        <w:t xml:space="preserve">Monitors systemic concentration</w:t>
      </w:r>
    </w:p>
    <w:bookmarkEnd w:id="65"/>
    <w:bookmarkStart w:id="66" w:name="settlement-flow"/>
    <w:p>
      <w:pPr>
        <w:pStyle w:val="Heading3"/>
      </w:pPr>
      <w:r>
        <w:t xml:space="preserve">Settlement Flow</w:t>
      </w:r>
    </w:p>
    <w:p>
      <w:pPr>
        <w:pStyle w:val="SourceCode"/>
      </w:pPr>
      <w:r>
        <w:rPr>
          <w:rStyle w:val="VerbatimChar"/>
        </w:rPr>
        <w:t xml:space="preserve">Corporate / Institutional Client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Existing Banking System (KYC/KYB/AML/Sanctions/FX/Treasury)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MITHQAL Bank Gateway (MBG) — Translation, NOT Transformation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MITHQAL Core (Eligibility → Jurisdiction → Backing → Risk → DMCE → Authorization → Finality → Mint)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MTQ Settlement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Receiving Institution Gateway (MBG)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Receiving Institution / Bank Systems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what-mithqal-is-not"/>
    <w:p>
      <w:pPr>
        <w:pStyle w:val="Heading2"/>
      </w:pPr>
      <w:r>
        <w:t xml:space="preserve">4. WHAT MITHQAL IS NOT</w:t>
      </w:r>
    </w:p>
    <w:p>
      <w:pPr>
        <w:pStyle w:val="FirstParagraph"/>
      </w:pPr>
      <w:r>
        <w:t xml:space="preserve">MITHQAL must NOT be represented as:</w:t>
      </w:r>
      <w:r>
        <w:t xml:space="preserve"> </w:t>
      </w:r>
      <w:r>
        <w:t xml:space="preserve">- A conventional cryptocurrency</w:t>
      </w:r>
      <w:r>
        <w:t xml:space="preserve"> </w:t>
      </w:r>
      <w:r>
        <w:t xml:space="preserve">- A retail payment app</w:t>
      </w:r>
      <w:r>
        <w:t xml:space="preserve"> </w:t>
      </w:r>
      <w:r>
        <w:t xml:space="preserve">- A commercial bank</w:t>
      </w:r>
      <w:r>
        <w:t xml:space="preserve"> </w:t>
      </w:r>
      <w:r>
        <w:t xml:space="preserve">- A central bank</w:t>
      </w:r>
      <w:r>
        <w:t xml:space="preserve"> </w:t>
      </w:r>
      <w:r>
        <w:t xml:space="preserve">- A deposit-taking institution</w:t>
      </w:r>
      <w:r>
        <w:t xml:space="preserve"> </w:t>
      </w:r>
      <w:r>
        <w:t xml:space="preserve">- An investment fund</w:t>
      </w:r>
      <w:r>
        <w:t xml:space="preserve"> </w:t>
      </w:r>
      <w:r>
        <w:t xml:space="preserve">- A lending institution</w:t>
      </w:r>
      <w:r>
        <w:t xml:space="preserve"> </w:t>
      </w:r>
      <w:r>
        <w:t xml:space="preserve">- A speculative vehicle</w:t>
      </w:r>
      <w:r>
        <w:t xml:space="preserve"> </w:t>
      </w:r>
      <w:r>
        <w:t xml:space="preserve">- A DAO</w:t>
      </w:r>
      <w:r>
        <w:t xml:space="preserve"> </w:t>
      </w:r>
      <w:r>
        <w:t xml:space="preserve">- A permissionless blockchain monetary network</w:t>
      </w:r>
      <w:r>
        <w:t xml:space="preserve"> </w:t>
      </w:r>
      <w:r>
        <w:t xml:space="preserve">- A consumer remittance platform</w:t>
      </w:r>
      <w:r>
        <w:t xml:space="preserve"> </w:t>
      </w:r>
      <w:r>
        <w:t xml:space="preserve">- A retail wallet system</w:t>
      </w:r>
      <w:r>
        <w:t xml:space="preserve"> </w:t>
      </w:r>
      <w:r>
        <w:t xml:space="preserve">- A conventional stablecoin issuer</w:t>
      </w:r>
      <w:r>
        <w:t xml:space="preserve"> </w:t>
      </w:r>
      <w:r>
        <w:t xml:space="preserve">- A replacement for national currencies</w:t>
      </w:r>
      <w:r>
        <w:t xml:space="preserve"> </w:t>
      </w:r>
      <w:r>
        <w:t xml:space="preserve">- A USD peg</w:t>
      </w:r>
      <w:r>
        <w:t xml:space="preserve"> </w:t>
      </w:r>
      <w:r>
        <w:t xml:space="preserve">- A BRICS currency</w:t>
      </w:r>
      <w:r>
        <w:t xml:space="preserve"> </w:t>
      </w:r>
      <w:r>
        <w:t xml:space="preserve">- An anti-dollar currency</w:t>
      </w:r>
      <w:r>
        <w:t xml:space="preserve"> </w:t>
      </w:r>
      <w:r>
        <w:t xml:space="preserve">- A replacement for SWIFT</w:t>
      </w:r>
      <w:r>
        <w:t xml:space="preserve"> </w:t>
      </w:r>
      <w:r>
        <w:t xml:space="preserve">- A replacement for core banking</w:t>
      </w:r>
    </w:p>
    <w:p>
      <w:r>
        <w:pict>
          <v:rect style="width:0;height:1.5pt" o:hralign="center" o:hrstd="t" o:hr="t"/>
        </w:pict>
      </w:r>
    </w:p>
    <w:bookmarkEnd w:id="68"/>
    <w:bookmarkStart w:id="73" w:name="institutional-participant-model"/>
    <w:p>
      <w:pPr>
        <w:pStyle w:val="Heading2"/>
      </w:pPr>
      <w:r>
        <w:t xml:space="preserve">5. INSTITUTIONAL PARTICIPANT MODEL</w:t>
      </w:r>
    </w:p>
    <w:bookmarkStart w:id="69" w:name="direct-institutional-participants"/>
    <w:p>
      <w:pPr>
        <w:pStyle w:val="Heading3"/>
      </w:pPr>
      <w:r>
        <w:t xml:space="preserve">5.1 Direct Institutional Participants</w:t>
      </w:r>
    </w:p>
    <w:p>
      <w:pPr>
        <w:pStyle w:val="Compact"/>
        <w:numPr>
          <w:ilvl w:val="0"/>
          <w:numId w:val="1011"/>
        </w:numPr>
      </w:pPr>
      <w:r>
        <w:t xml:space="preserve">Regulated banks</w:t>
      </w:r>
    </w:p>
    <w:p>
      <w:pPr>
        <w:pStyle w:val="Compact"/>
        <w:numPr>
          <w:ilvl w:val="0"/>
          <w:numId w:val="1011"/>
        </w:numPr>
      </w:pPr>
      <w:r>
        <w:t xml:space="preserve">Approved financial institutions</w:t>
      </w:r>
    </w:p>
    <w:p>
      <w:pPr>
        <w:pStyle w:val="Compact"/>
        <w:numPr>
          <w:ilvl w:val="0"/>
          <w:numId w:val="1011"/>
        </w:numPr>
      </w:pPr>
      <w:r>
        <w:t xml:space="preserve">Central banks</w:t>
      </w:r>
    </w:p>
    <w:p>
      <w:pPr>
        <w:pStyle w:val="Compact"/>
        <w:numPr>
          <w:ilvl w:val="0"/>
          <w:numId w:val="1011"/>
        </w:numPr>
      </w:pPr>
      <w:r>
        <w:t xml:space="preserve">Sovereign monetary authorities</w:t>
      </w:r>
    </w:p>
    <w:p>
      <w:pPr>
        <w:pStyle w:val="Compact"/>
        <w:numPr>
          <w:ilvl w:val="0"/>
          <w:numId w:val="1011"/>
        </w:numPr>
      </w:pPr>
      <w:r>
        <w:t xml:space="preserve">Other institutions explicitly permitted under applicable jurisdiction</w:t>
      </w:r>
    </w:p>
    <w:bookmarkEnd w:id="69"/>
    <w:bookmarkStart w:id="70" w:name="excluded-direct-retail-model"/>
    <w:p>
      <w:pPr>
        <w:pStyle w:val="Heading3"/>
      </w:pPr>
      <w:r>
        <w:t xml:space="preserve">5.2 Excluded Direct Retail Model</w:t>
      </w:r>
    </w:p>
    <w:p>
      <w:pPr>
        <w:pStyle w:val="Compact"/>
        <w:numPr>
          <w:ilvl w:val="0"/>
          <w:numId w:val="1012"/>
        </w:numPr>
      </w:pPr>
      <w:r>
        <w:t xml:space="preserve">No individuals directly transacting in MTQ</w:t>
      </w:r>
    </w:p>
    <w:p>
      <w:pPr>
        <w:pStyle w:val="Compact"/>
        <w:numPr>
          <w:ilvl w:val="0"/>
          <w:numId w:val="1012"/>
        </w:numPr>
      </w:pPr>
      <w:r>
        <w:t xml:space="preserve">No retail wallets as the core model</w:t>
      </w:r>
    </w:p>
    <w:p>
      <w:pPr>
        <w:pStyle w:val="Compact"/>
        <w:numPr>
          <w:ilvl w:val="0"/>
          <w:numId w:val="1012"/>
        </w:numPr>
      </w:pPr>
      <w:r>
        <w:t xml:space="preserve">No personal bank-account participation</w:t>
      </w:r>
    </w:p>
    <w:p>
      <w:pPr>
        <w:pStyle w:val="Compact"/>
        <w:numPr>
          <w:ilvl w:val="0"/>
          <w:numId w:val="1012"/>
        </w:numPr>
      </w:pPr>
      <w:r>
        <w:t xml:space="preserve">No retail remittance infrastructure</w:t>
      </w:r>
    </w:p>
    <w:bookmarkEnd w:id="70"/>
    <w:bookmarkStart w:id="71" w:name="customer-modes"/>
    <w:p>
      <w:pPr>
        <w:pStyle w:val="Heading3"/>
      </w:pPr>
      <w:r>
        <w:t xml:space="preserve">5.3 Customer Modes</w:t>
      </w:r>
    </w:p>
    <w:p>
      <w:pPr>
        <w:pStyle w:val="FirstParagraph"/>
      </w:pPr>
      <w:r>
        <w:rPr>
          <w:b/>
          <w:bCs/>
        </w:rPr>
        <w:t xml:space="preserve">Mode A — Pass-Through Settlement:</w:t>
      </w:r>
      <w:r>
        <w:t xml:space="preserve"> </w:t>
      </w:r>
      <w:r>
        <w:t xml:space="preserve">JPY → Bank → MTQ → Receiving Bank → USD. Customer can use MTQ without maintaining a substantial MTQ treasury position.</w:t>
      </w:r>
    </w:p>
    <w:p>
      <w:pPr>
        <w:pStyle w:val="BodyText"/>
      </w:pPr>
      <w:r>
        <w:rPr>
          <w:b/>
          <w:bCs/>
        </w:rPr>
        <w:t xml:space="preserve">Mode B — Institutional MTQ Treasury Holding:</w:t>
      </w:r>
      <w:r>
        <w:t xml:space="preserve"> </w:t>
      </w:r>
      <w:r>
        <w:t xml:space="preserve">Where permitted, Corporate → Bank → MTQ Institutional Position (hold, receive, send, settle, redeem). Availability depends on jurisdiction, bank, customer type, product authorization, legal classification.</w:t>
      </w:r>
    </w:p>
    <w:bookmarkEnd w:id="71"/>
    <w:bookmarkStart w:id="72" w:name="corporate-mtq-settlement-account"/>
    <w:p>
      <w:pPr>
        <w:pStyle w:val="Heading3"/>
      </w:pPr>
      <w:r>
        <w:t xml:space="preserve">5.4 Corporate MTQ Settlement Account</w:t>
      </w:r>
    </w:p>
    <w:p>
      <w:pPr>
        <w:pStyle w:val="FirstParagraph"/>
      </w:pPr>
      <w:r>
        <w:t xml:space="preserve">Bank-linked institutional MTQ settlement position within or alongside the corporate banking experience:</w:t>
      </w:r>
      <w:r>
        <w:t xml:space="preserve"> </w:t>
      </w:r>
      <w:r>
        <w:t xml:space="preserve">- Account/position architecture</w:t>
      </w:r>
      <w:r>
        <w:t xml:space="preserve"> </w:t>
      </w:r>
      <w:r>
        <w:t xml:space="preserve">- Available/reserved/pending balance</w:t>
      </w:r>
      <w:r>
        <w:t xml:space="preserve"> </w:t>
      </w:r>
      <w:r>
        <w:t xml:space="preserve">- Settlement finality</w:t>
      </w:r>
      <w:r>
        <w:t xml:space="preserve"> </w:t>
      </w:r>
      <w:r>
        <w:t xml:space="preserve">- Bank visibility</w:t>
      </w:r>
      <w:r>
        <w:t xml:space="preserve"> </w:t>
      </w:r>
      <w:r>
        <w:t xml:space="preserve">- Reconciliation</w:t>
      </w:r>
      <w:r>
        <w:t xml:space="preserve"> </w:t>
      </w:r>
      <w:r>
        <w:t xml:space="preserve">- Authorization</w:t>
      </w:r>
      <w:r>
        <w:t xml:space="preserve"> </w:t>
      </w:r>
      <w:r>
        <w:t xml:space="preserve">- Multi-signatory corporate controls</w:t>
      </w:r>
      <w:r>
        <w:t xml:space="preserve"> </w:t>
      </w:r>
      <w:r>
        <w:t xml:space="preserve">- Emergency controls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economic-monetary-architecture"/>
    <w:p>
      <w:pPr>
        <w:pStyle w:val="Heading2"/>
      </w:pPr>
      <w:r>
        <w:t xml:space="preserve">6. ECONOMIC &amp; MONETARY ARCHITECTURE</w:t>
      </w:r>
    </w:p>
    <w:bookmarkStart w:id="74" w:name="mtq-economic-functions"/>
    <w:p>
      <w:pPr>
        <w:pStyle w:val="Heading3"/>
      </w:pPr>
      <w:r>
        <w:t xml:space="preserve">6.1 MTQ Economic Functions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unit for institutional cross-border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 institutional backing target (bank-side, not MITHQAL-owned)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Accounting/Reference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= 1.00 USD (accounting convention, NOT a USD peg)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Issuance/Redemption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requests → MITHQAL authorizes → Technical system executes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Front-line (50%) + strategic (30%) + gold (18%) + digital (2%)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Monetary Neutrality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replacement for any national currency</w:t>
            </w:r>
          </w:p>
        </w:tc>
      </w:tr>
    </w:tbl>
    <w:bookmarkEnd w:id="74"/>
    <w:bookmarkStart w:id="75" w:name="par-definition"/>
    <w:p>
      <w:pPr>
        <w:pStyle w:val="Heading3"/>
      </w:pPr>
      <w:r>
        <w:t xml:space="preserve">6.2 PAR Definition</w:t>
      </w:r>
    </w:p>
    <w:p>
      <w:pPr>
        <w:pStyle w:val="FirstParagraph"/>
      </w:pPr>
      <w:r>
        <w:t xml:space="preserve">PAR = 1.00 USD is an</w:t>
      </w:r>
      <w:r>
        <w:t xml:space="preserve"> </w:t>
      </w:r>
      <w:r>
        <w:rPr>
          <w:b/>
          <w:bCs/>
        </w:rPr>
        <w:t xml:space="preserve">accounting/settlement reference convention</w:t>
      </w:r>
      <w:r>
        <w:t xml:space="preserve">. It is:</w:t>
      </w:r>
      <w:r>
        <w:t xml:space="preserve"> </w:t>
      </w:r>
      <w:r>
        <w:t xml:space="preserve">- NOT a promise of redemption into USD</w:t>
      </w:r>
      <w:r>
        <w:t xml:space="preserve"> </w:t>
      </w:r>
      <w:r>
        <w:t xml:space="preserve">- NOT an automatic statement of USD backing</w:t>
      </w:r>
      <w:r>
        <w:t xml:space="preserve"> </w:t>
      </w:r>
      <w:r>
        <w:t xml:space="preserve">- NOT a USD peg</w:t>
      </w:r>
    </w:p>
    <w:bookmarkEnd w:id="75"/>
    <w:bookmarkStart w:id="76" w:name="economic-layers"/>
    <w:p>
      <w:pPr>
        <w:pStyle w:val="Heading3"/>
      </w:pPr>
      <w:r>
        <w:t xml:space="preserve">6.3 Economic Layers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Monetary layer</w:t>
      </w:r>
      <w:r>
        <w:t xml:space="preserve"> </w:t>
      </w:r>
      <w:r>
        <w:t xml:space="preserve">— MTQ as settlement unit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Settlement layer</w:t>
      </w:r>
      <w:r>
        <w:t xml:space="preserve"> </w:t>
      </w:r>
      <w:r>
        <w:t xml:space="preserve">— Atomic settlement via MBG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Reserve layer</w:t>
      </w:r>
      <w:r>
        <w:t xml:space="preserve"> </w:t>
      </w:r>
      <w:r>
        <w:t xml:space="preserve">— 130% backing (80/18/2)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Liquidity layer</w:t>
      </w:r>
      <w:r>
        <w:t xml:space="preserve"> </w:t>
      </w:r>
      <w:r>
        <w:t xml:space="preserve">— Front-line + strategic + emergency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Governance layer</w:t>
      </w:r>
      <w:r>
        <w:t xml:space="preserve"> </w:t>
      </w:r>
      <w:r>
        <w:t xml:space="preserve">— Foundation + Holding + Operating + Technology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Compliance layer</w:t>
      </w:r>
      <w:r>
        <w:t xml:space="preserve"> </w:t>
      </w:r>
      <w:r>
        <w:t xml:space="preserve">— KYC/KYB/AML/sanctions (bank-side)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Accounting layer</w:t>
      </w:r>
      <w:r>
        <w:t xml:space="preserve"> </w:t>
      </w:r>
      <w:r>
        <w:t xml:space="preserve">— Three-book separation (A/B/C)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Banking integration layer</w:t>
      </w:r>
      <w:r>
        <w:t xml:space="preserve"> </w:t>
      </w:r>
      <w:r>
        <w:t xml:space="preserve">— MBG (translation)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Application/transaction layer</w:t>
      </w:r>
      <w:r>
        <w:t xml:space="preserve"> </w:t>
      </w:r>
      <w:r>
        <w:t xml:space="preserve">— Corporate treasury interface</w:t>
      </w:r>
    </w:p>
    <w:bookmarkEnd w:id="76"/>
    <w:bookmarkStart w:id="77" w:name="asset-role-separation-69"/>
    <w:p>
      <w:pPr>
        <w:pStyle w:val="Heading3"/>
      </w:pPr>
      <w:r>
        <w:t xml:space="preserve">6.4 Asset Role Separation (§69)</w:t>
      </w:r>
    </w:p>
    <w:p>
      <w:pPr>
        <w:pStyle w:val="FirstParagraph"/>
      </w:pPr>
      <w:r>
        <w:t xml:space="preserve">Every asset must have independent classification:</w:t>
      </w:r>
      <w:r>
        <w:t xml:space="preserve"> </w:t>
      </w:r>
      <w:r>
        <w:t xml:space="preserve">- QUALIFYING_BACKING</w:t>
      </w:r>
      <w:r>
        <w:t xml:space="preserve"> </w:t>
      </w:r>
      <w:r>
        <w:t xml:space="preserve">- INPUT</w:t>
      </w:r>
      <w:r>
        <w:t xml:space="preserve"> </w:t>
      </w:r>
      <w:r>
        <w:t xml:space="preserve">- SETTLEMENT</w:t>
      </w:r>
      <w:r>
        <w:t xml:space="preserve"> </w:t>
      </w:r>
      <w:r>
        <w:t xml:space="preserve">- LIQUIDITY</w:t>
      </w:r>
      <w:r>
        <w:t xml:space="preserve"> </w:t>
      </w:r>
      <w:r>
        <w:t xml:space="preserve">- CONVERSION_ONLY</w:t>
      </w:r>
      <w:r>
        <w:t xml:space="preserve"> </w:t>
      </w:r>
      <w:r>
        <w:t xml:space="preserve">- PROHIBITED</w:t>
      </w:r>
    </w:p>
    <w:p>
      <w:pPr>
        <w:pStyle w:val="BodyText"/>
      </w:pPr>
      <w:r>
        <w:t xml:space="preserve">Never infer: input = reserve, or settlement = reserve.</w:t>
      </w:r>
    </w:p>
    <w:bookmarkEnd w:id="77"/>
    <w:bookmarkStart w:id="78" w:name="backing-classification-9"/>
    <w:p>
      <w:pPr>
        <w:pStyle w:val="Heading3"/>
      </w:pPr>
      <w:r>
        <w:t xml:space="preserve">6.5 Backing Classification (§9)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QUALIFYING_INSTITUTIONAL_BACKING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Bank-side earmarked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MITHQAL_VERIFICATION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MITHQAL verifies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MITHQAL_RISK_VIEW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MITHQAL_CORPORATE_CASH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capital (NOT MTQ backing)</w:t>
            </w:r>
          </w:p>
        </w:tc>
      </w:tr>
    </w:tbl>
    <w:p>
      <w:pPr>
        <w:pStyle w:val="BodyText"/>
      </w:pPr>
      <w:r>
        <w:t xml:space="preserve">These must never be interchangeable. MITHQAL Corporate Cash is used for salaries, development, infrastructure, legal, audit, cybersecurity, insurance, operating expenses, taxes, disaster recovery. It is NOT MTQ backing.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mtq-architecture"/>
    <w:p>
      <w:pPr>
        <w:pStyle w:val="Heading2"/>
      </w:pPr>
      <w:r>
        <w:t xml:space="preserve">7. MTQ ARCHITECTURE</w:t>
      </w:r>
    </w:p>
    <w:bookmarkStart w:id="80" w:name="mtq-definition"/>
    <w:p>
      <w:pPr>
        <w:pStyle w:val="Heading3"/>
      </w:pPr>
      <w:r>
        <w:t xml:space="preserve">7.1 MTQ Definition</w:t>
      </w:r>
    </w:p>
    <w:p>
      <w:pPr>
        <w:pStyle w:val="FirstParagraph"/>
      </w:pPr>
      <w:r>
        <w:t xml:space="preserve">MTQ is a</w:t>
      </w:r>
      <w:r>
        <w:t xml:space="preserve"> </w:t>
      </w:r>
      <w:r>
        <w:rPr>
          <w:b/>
          <w:bCs/>
        </w:rPr>
        <w:t xml:space="preserve">neutral institutional cross-border settlement unit/instrument</w:t>
      </w:r>
      <w:r>
        <w:t xml:space="preserve">.</w:t>
      </w:r>
    </w:p>
    <w:bookmarkEnd w:id="80"/>
    <w:bookmarkStart w:id="81" w:name="mtq-components"/>
    <w:p>
      <w:pPr>
        <w:pStyle w:val="Heading3"/>
      </w:pPr>
      <w:r>
        <w:t xml:space="preserve">7.2 MTQ Components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cross-border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Gold-referenced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Gold-anchored valuation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Yield-bearing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 holding (where permitted)</w:t>
            </w:r>
          </w:p>
        </w:tc>
      </w:tr>
    </w:tbl>
    <w:bookmarkEnd w:id="81"/>
    <w:bookmarkStart w:id="82" w:name="issuance-principle-10-16-step-pipeline"/>
    <w:p>
      <w:pPr>
        <w:pStyle w:val="Heading3"/>
      </w:pPr>
      <w:r>
        <w:t xml:space="preserve">7.3 Issuance Principle (§10) — 16-Step Pipeline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Receives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KYC/KYB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AML/Sanctions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Establishes 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Requests MTQ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Backing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Bank-Specific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Monetary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 Verification + 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Permanent rule:</w:t>
      </w:r>
      <w:r>
        <w:t xml:space="preserve"> </w:t>
      </w:r>
      <w:r>
        <w:t xml:space="preserve">Bank requests. MITHQAL authorizes. Technical system executes.</w:t>
      </w:r>
    </w:p>
    <w:p>
      <w:pPr>
        <w:pStyle w:val="BodyText"/>
      </w:pPr>
      <w:r>
        <w:t xml:space="preserve">No bank, human, Foundation, Holding, Operating, or Technology Company may arbitrarily mint MTQ.</w:t>
      </w:r>
    </w:p>
    <w:bookmarkEnd w:id="82"/>
    <w:bookmarkStart w:id="83" w:name="finality-before-mint-54"/>
    <w:p>
      <w:pPr>
        <w:pStyle w:val="Heading3"/>
      </w:pPr>
      <w:r>
        <w:t xml:space="preserve">7.4 Finality-Before-Mint (§54)</w:t>
      </w:r>
    </w:p>
    <w:p>
      <w:pPr>
        <w:pStyle w:val="FirstParagraph"/>
      </w:pPr>
      <w:r>
        <w:rPr>
          <w:b/>
          <w:bCs/>
        </w:rPr>
        <w:t xml:space="preserve">Hard invariant:</w:t>
      </w:r>
      <w:r>
        <w:t xml:space="preserve"> </w:t>
      </w:r>
      <w:r>
        <w:rPr>
          <w:rStyle w:val="VerbatimChar"/>
        </w:rPr>
        <w:t xml:space="preserve">NO FINAL SETTLEMENT ⇒ NO MTQ MINT</w:t>
      </w:r>
    </w:p>
    <w:p>
      <w:pPr>
        <w:pStyle w:val="BodyText"/>
      </w:pPr>
      <w:r>
        <w:rPr>
          <w:b/>
          <w:bCs/>
        </w:rPr>
        <w:t xml:space="preserve">7 enforcement layers (ALL ENFORCED at code level):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validation, auth, 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without auth signature + proof-of-finality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16-step BM-01..BM-16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advance to BM-16 without BM-15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Constitutional rules + DMCE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Hard-fail on any 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Monetary Control signed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cannot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→ AUTHORIZED → FINALIZED → MINTED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TX-State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transaction (finality-proof + mint)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writes roll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On-chain finality gate (TESTNET)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mint() requires oracle signature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10 bypass test routes — ALL BLOCKED: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DIRECT_API_CALL_WITHOUT_AUTH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WORKFLOW_SKIP_BM15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POLICY_OVERRIDE_BY_COMMERCIAL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UNSIGNED_AUTHORIZATION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LEDGER_SKIP_FINALIZED_STATE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DATABASE_PARTIAL_WRITE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SMART_CONTRACT_WITHOUT_ORACLE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 Smart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EMERGENCY_OVERRIDE_WITHOUT_GOVERNANCE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ADMIN_BACKDOOR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INTERNAL_API_ROUTE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bypassRisk:</w:t>
      </w:r>
      <w:r>
        <w:t xml:space="preserve"> </w:t>
      </w:r>
      <w:r>
        <w:t xml:space="preserve">MITIGATED_AT_CODE_LEVEL (was HIGH)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reserve-architecture-v25.2-controlling"/>
    <w:p>
      <w:pPr>
        <w:pStyle w:val="Heading2"/>
      </w:pPr>
      <w:r>
        <w:t xml:space="preserve">8. RESERVE ARCHITECTURE (§V25.2 — CONTROLLING)</w:t>
      </w:r>
    </w:p>
    <w:bookmarkStart w:id="85" w:name="strategic-reserve-coverage-target"/>
    <w:p>
      <w:pPr>
        <w:pStyle w:val="Heading3"/>
      </w:pPr>
      <w:r>
        <w:t xml:space="preserve">8.1 Strategic Reserve Coverage Target</w:t>
      </w:r>
    </w:p>
    <w:p>
      <w:pPr>
        <w:pStyle w:val="FirstParagraph"/>
      </w:pPr>
      <w:r>
        <w:rPr>
          <w:b/>
          <w:bCs/>
        </w:rPr>
        <w:t xml:space="preserve">RR_strategic = 1.30 (130%)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policy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Absolute solvency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= insolvent</w:t>
            </w:r>
          </w:p>
        </w:tc>
      </w:tr>
    </w:tbl>
    <w:bookmarkEnd w:id="85"/>
    <w:bookmarkStart w:id="86" w:name="normal-reserve-composition"/>
    <w:p>
      <w:pPr>
        <w:pStyle w:val="Heading3"/>
      </w:pPr>
      <w:r>
        <w:t xml:space="preserve">8.2 Normal Reserve Composition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Sleeve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(S=$100M)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Fiat / monetary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$104.0M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11-currency basket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Front-line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+ HQLA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Strategic fiat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Short-duration sovereign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/ bullion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Allocated physical gold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USDC/USDP/EURC/BUIDL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strategic backing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$130.0M</w:t>
            </w:r>
          </w:p>
        </w:tc>
        <w:tc>
          <w:tcPr/>
          <w:p>
            <w:pPr>
              <w:pStyle w:val="Compact"/>
            </w:pPr>
          </w:p>
        </w:tc>
      </w:tr>
    </w:tbl>
    <w:bookmarkEnd w:id="86"/>
    <w:bookmarkStart w:id="87" w:name="emergency-resilience-capacity-4"/>
    <w:p>
      <w:pPr>
        <w:pStyle w:val="Heading3"/>
      </w:pPr>
      <w:r>
        <w:t xml:space="preserve">8.3 Emergency Resilience Capacity (§4)</w:t>
      </w:r>
    </w:p>
    <w:p>
      <w:pPr>
        <w:pStyle w:val="FirstParagraph"/>
      </w:pPr>
      <w:r>
        <w:t xml:space="preserve">≤15% —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from core reserve. Not auto-added (130% + 15% ≠ 145%).</w:t>
      </w:r>
    </w:p>
    <w:p>
      <w:pPr>
        <w:pStyle w:val="BodyText"/>
      </w:pPr>
      <w:r>
        <w:t xml:space="preserve">Eligible only when:</w:t>
      </w:r>
      <w:r>
        <w:t xml:space="preserve"> </w:t>
      </w:r>
      <w:r>
        <w:t xml:space="preserve">1. Legally enforceable</w:t>
      </w:r>
      <w:r>
        <w:t xml:space="preserve"> </w:t>
      </w:r>
      <w:r>
        <w:t xml:space="preserve">2. Independently verified</w:t>
      </w:r>
      <w:r>
        <w:t xml:space="preserve"> </w:t>
      </w:r>
      <w:r>
        <w:t xml:space="preserve">3. Accessible during stress</w:t>
      </w:r>
      <w:r>
        <w:t xml:space="preserve"> </w:t>
      </w:r>
      <w:r>
        <w:t xml:space="preserve">4. Not already counted elsewhere</w:t>
      </w:r>
      <w:r>
        <w:t xml:space="preserve"> </w:t>
      </w:r>
      <w:r>
        <w:t xml:space="preserve">5. Appropriately haircut-adjusted</w:t>
      </w:r>
    </w:p>
    <w:bookmarkEnd w:id="87"/>
    <w:bookmarkStart w:id="88" w:name="reserve-valuation"/>
    <w:p>
      <w:pPr>
        <w:pStyle w:val="Heading3"/>
      </w:pPr>
      <w:r>
        <w:t xml:space="preserve">8.4 Reserve Valuation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R_m = Σ Q_a · P_a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Mark-to-market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(prudential)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R_a = Σ Q_a · P_a · (1 − H_a) · C_a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haircuts (solvency basis)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(liquidation)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R_l = Σ Q_a · P_a · (1 − H_a) · C_a · S_a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Liquidation scenario</w:t>
            </w:r>
          </w:p>
        </w:tc>
      </w:tr>
    </w:tbl>
    <w:p>
      <w:pPr>
        <w:pStyle w:val="BodyText"/>
      </w:pPr>
      <w:r>
        <w:t xml:space="preserve">Where:</w:t>
      </w:r>
      <w:r>
        <w:t xml:space="preserve"> </w:t>
      </w:r>
      <w:r>
        <w:t xml:space="preserve">- Q_a = quantity</w:t>
      </w:r>
      <w:r>
        <w:t xml:space="preserve"> </w:t>
      </w:r>
      <w:r>
        <w:t xml:space="preserve">- P_a = market price</w:t>
      </w:r>
      <w:r>
        <w:t xml:space="preserve"> </w:t>
      </w:r>
      <w:r>
        <w:t xml:space="preserve">- H_a = constitutional haircut</w:t>
      </w:r>
      <w:r>
        <w:t xml:space="preserve"> </w:t>
      </w:r>
      <w:r>
        <w:t xml:space="preserve">- C_a = counterparty adjustment = Credit_a × Jurisdiction_a × Operational_a (0 &lt; C ≤ 1)</w:t>
      </w:r>
      <w:r>
        <w:t xml:space="preserve"> </w:t>
      </w:r>
      <w:r>
        <w:t xml:space="preserve">- S_a = stress factor</w:t>
      </w:r>
    </w:p>
    <w:bookmarkEnd w:id="88"/>
    <w:bookmarkStart w:id="89" w:name="three-navs"/>
    <w:p>
      <w:pPr>
        <w:pStyle w:val="Heading3"/>
      </w:pPr>
      <w:r>
        <w:t xml:space="preserve">8.5 Three NAVs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NAV_m = R_m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Mark-to-market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Prudential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NAV_l = R_a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haircuts (solvency basis)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NAV_s = R_l /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Liquidation scenario</w:t>
            </w:r>
          </w:p>
        </w:tc>
      </w:tr>
    </w:tbl>
    <w:bookmarkEnd w:id="89"/>
    <w:bookmarkStart w:id="90" w:name="coverage-ratios"/>
    <w:p>
      <w:pPr>
        <w:pStyle w:val="Heading3"/>
      </w:pPr>
      <w:r>
        <w:t xml:space="preserve">8.6 Coverage Ratios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R_a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R_l /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HQLA / 30d net outflow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&lt;100%</w:t>
            </w:r>
          </w:p>
        </w:tc>
      </w:tr>
    </w:tbl>
    <w:bookmarkEnd w:id="90"/>
    <w:bookmarkStart w:id="91" w:name="constitutional-corridors"/>
    <w:p>
      <w:pPr>
        <w:pStyle w:val="Heading3"/>
      </w:pPr>
      <w:r>
        <w:t xml:space="preserve">8.7 Constitutional Corridors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Sleeve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</w:tbl>
    <w:bookmarkEnd w:id="91"/>
    <w:bookmarkStart w:id="92" w:name="backing-breakdown-example-s-100m-mtq"/>
    <w:p>
      <w:pPr>
        <w:pStyle w:val="Heading3"/>
      </w:pPr>
      <w:r>
        <w:t xml:space="preserve">8.8 Backing Breakdown Example (S = $100M MTQ)</w:t>
      </w:r>
    </w:p>
    <w:p>
      <w:pPr>
        <w:pStyle w:val="SourceCode"/>
      </w:pPr>
      <w:r>
        <w:rPr>
          <w:rStyle w:val="VerbatimChar"/>
        </w:rPr>
        <w:t xml:space="preserve">L = S × PAR = $100M</w:t>
      </w:r>
      <w:r>
        <w:br/>
      </w:r>
      <w:r>
        <w:rPr>
          <w:rStyle w:val="VerbatimChar"/>
        </w:rPr>
        <w:t xml:space="preserve">R_target = 1.30 × L = $130M</w:t>
      </w:r>
      <w:r>
        <w:br/>
      </w:r>
      <w:r>
        <w:br/>
      </w:r>
      <w:r>
        <w:rPr>
          <w:rStyle w:val="VerbatimChar"/>
        </w:rPr>
        <w:t xml:space="preserve">Fiat (80%): $104M</w:t>
      </w:r>
      <w:r>
        <w:br/>
      </w:r>
      <w:r>
        <w:rPr>
          <w:rStyle w:val="VerbatimChar"/>
        </w:rPr>
        <w:t xml:space="preserve">  ├── Front-line (50%): $65M</w:t>
      </w:r>
      <w:r>
        <w:br/>
      </w:r>
      <w:r>
        <w:rPr>
          <w:rStyle w:val="VerbatimChar"/>
        </w:rPr>
        <w:t xml:space="preserve">  └── Strategic (30%): $39M</w:t>
      </w:r>
      <w:r>
        <w:br/>
      </w:r>
      <w:r>
        <w:rPr>
          <w:rStyle w:val="VerbatimChar"/>
        </w:rPr>
        <w:t xml:space="preserve">Gold (18%): $23.4M</w:t>
      </w:r>
      <w:r>
        <w:br/>
      </w:r>
      <w:r>
        <w:rPr>
          <w:rStyle w:val="VerbatimChar"/>
        </w:rPr>
        <w:t xml:space="preserve">Digital (2%): $2.6M</w:t>
      </w:r>
      <w:r>
        <w:br/>
      </w:r>
      <w:r>
        <w:rPr>
          <w:rStyle w:val="VerbatimChar"/>
        </w:rPr>
        <w:t xml:space="preserve">Total: $130M</w:t>
      </w:r>
    </w:p>
    <w:bookmarkEnd w:id="92"/>
    <w:bookmarkStart w:id="93" w:name="what-if-scenarios-45"/>
    <w:p>
      <w:pPr>
        <w:pStyle w:val="Heading3"/>
      </w:pPr>
      <w:r>
        <w:t xml:space="preserve">8.9 What-If Scenarios (§45)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RR’ (from 122.29%)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 15%-currency falls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(1 − 0.15×0.20)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 Gold falls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(1 − 0.18×0.20)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C: Digital sleeve loses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(1 − 0.02×0.50)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121.07%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D: Digital sleeve →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× (1 − 0.02)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10" w:name="currency-weight-engine-7-16"/>
    <w:p>
      <w:pPr>
        <w:pStyle w:val="Heading2"/>
      </w:pPr>
      <w:r>
        <w:t xml:space="preserve">9. CURRENCY WEIGHT ENGINE (§7-16)</w:t>
      </w:r>
    </w:p>
    <w:bookmarkStart w:id="95" w:name="structural-weight"/>
    <w:p>
      <w:pPr>
        <w:pStyle w:val="Heading3"/>
      </w:pPr>
      <w:r>
        <w:t xml:space="preserve">9.1 Structural Weight</w:t>
      </w:r>
    </w:p>
    <w:p>
      <w:pPr>
        <w:pStyle w:val="FirstParagraph"/>
      </w:pPr>
      <w:r>
        <w:t xml:space="preserve">C_i = 0.50·COFER_i + 0.40·SWIFT_i + 0.10·BIS_i</w:t>
      </w:r>
    </w:p>
    <w:bookmarkEnd w:id="95"/>
    <w:bookmarkStart w:id="96" w:name="momentum-factor"/>
    <w:p>
      <w:pPr>
        <w:pStyle w:val="Heading3"/>
      </w:pPr>
      <w:r>
        <w:t xml:space="preserve">9.2 Momentum Factor</w:t>
      </w:r>
    </w:p>
    <w:p>
      <w:pPr>
        <w:pStyle w:val="FirstParagraph"/>
      </w:pPr>
      <w:r>
        <w:t xml:space="preserve">M_i(t) = P_i(t) / P_i(t−12m), bounded 0.95 ≤ M ≤ 1.05</w:t>
      </w:r>
    </w:p>
    <w:bookmarkEnd w:id="96"/>
    <w:bookmarkStart w:id="97" w:name="mean-reversion-factor"/>
    <w:p>
      <w:pPr>
        <w:pStyle w:val="Heading3"/>
      </w:pPr>
      <w:r>
        <w:t xml:space="preserve">9.3 Mean-Reversion Factor</w:t>
      </w:r>
    </w:p>
    <w:p>
      <w:pPr>
        <w:pStyle w:val="FirstParagraph"/>
      </w:pPr>
      <w:r>
        <w:t xml:space="preserve">R_i(t) = 1 + 0.05·(LTA_i − C_i), bounded 0.98 ≤ R ≤ 1.02</w:t>
      </w:r>
    </w:p>
    <w:bookmarkEnd w:id="97"/>
    <w:bookmarkStart w:id="98" w:name="ewma-volatility"/>
    <w:p>
      <w:pPr>
        <w:pStyle w:val="Heading3"/>
      </w:pPr>
      <w:r>
        <w:t xml:space="preserve">9.4 EWMA Volatility</w:t>
      </w:r>
    </w:p>
    <w:p>
      <w:pPr>
        <w:pStyle w:val="FirstParagraph"/>
      </w:pPr>
      <w:r>
        <w:t xml:space="preserve">σ²_t = 0.94·σ²_{t−1} + 0.06·r²_t, where r_t = ln(P_{t−1}/P_t)</w:t>
      </w:r>
    </w:p>
    <w:bookmarkEnd w:id="98"/>
    <w:bookmarkStart w:id="99" w:name="attenuation-factor"/>
    <w:p>
      <w:pPr>
        <w:pStyle w:val="Heading3"/>
      </w:pPr>
      <w:r>
        <w:t xml:space="preserve">9.5 Attenuation Factor</w:t>
      </w:r>
    </w:p>
    <w:p>
      <w:pPr>
        <w:pStyle w:val="Compact"/>
        <w:numPr>
          <w:ilvl w:val="0"/>
          <w:numId w:val="1014"/>
        </w:numPr>
      </w:pPr>
      <w:r>
        <w:t xml:space="preserve">σ ≤ 2% → A = 1.00</w:t>
      </w:r>
    </w:p>
    <w:p>
      <w:pPr>
        <w:pStyle w:val="Compact"/>
        <w:numPr>
          <w:ilvl w:val="0"/>
          <w:numId w:val="1014"/>
        </w:numPr>
      </w:pPr>
      <w:r>
        <w:t xml:space="preserve">2% &lt; σ &lt; 5% → A = 1 − (σ − 0.02)/0.03</w:t>
      </w:r>
    </w:p>
    <w:p>
      <w:pPr>
        <w:pStyle w:val="Compact"/>
        <w:numPr>
          <w:ilvl w:val="0"/>
          <w:numId w:val="1014"/>
        </w:numPr>
      </w:pPr>
      <w:r>
        <w:t xml:space="preserve">σ ≥ 5% → A = 0.50</w:t>
      </w:r>
    </w:p>
    <w:bookmarkEnd w:id="99"/>
    <w:bookmarkStart w:id="100" w:name="combined-adjustment"/>
    <w:p>
      <w:pPr>
        <w:pStyle w:val="Heading3"/>
      </w:pPr>
      <w:r>
        <w:t xml:space="preserve">9.6 Combined Adjustment</w:t>
      </w:r>
    </w:p>
    <w:p>
      <w:pPr>
        <w:pStyle w:val="FirstParagraph"/>
      </w:pPr>
      <w:r>
        <w:t xml:space="preserve">K_i = 1 + A_t·(M_i·R_i − 1)</w:t>
      </w:r>
    </w:p>
    <w:bookmarkEnd w:id="100"/>
    <w:bookmarkStart w:id="101" w:name="liquidity-overlay"/>
    <w:p>
      <w:pPr>
        <w:pStyle w:val="Heading3"/>
      </w:pPr>
      <w:r>
        <w:t xml:space="preserve">9.7 Liquidity Overlay</w:t>
      </w:r>
    </w:p>
    <w:p>
      <w:pPr>
        <w:pStyle w:val="FirstParagraph"/>
      </w:pPr>
      <w:r>
        <w:t xml:space="preserve">L_i = 1 + 0.02·(Liquidity_i / Median − 1), clamped ±5%</w:t>
      </w:r>
    </w:p>
    <w:bookmarkEnd w:id="101"/>
    <w:bookmarkStart w:id="102" w:name="final-weight-pipeline"/>
    <w:p>
      <w:pPr>
        <w:pStyle w:val="Heading3"/>
      </w:pPr>
      <w:r>
        <w:t xml:space="preserve">9.8 Final Weight Pipeline</w:t>
      </w:r>
    </w:p>
    <w:p>
      <w:pPr>
        <w:pStyle w:val="SourceCode"/>
      </w:pPr>
      <w:r>
        <w:rPr>
          <w:rStyle w:val="VerbatimChar"/>
        </w:rPr>
        <w:t xml:space="preserve">W_raw,i = C_i · K_i · L_i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W_i^norm = W_raw,i / Σ_j W_raw,j    (proportional normalization, NOT softmax)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Apply: eligibility → concentration (20% cap) → floor (0.5%) → stress → </w:t>
      </w:r>
      <w:r>
        <w:br/>
      </w:r>
      <w:r>
        <w:rPr>
          <w:rStyle w:val="VerbatimChar"/>
        </w:rPr>
        <w:t xml:space="preserve">       geopolitical → liquidity → jurisdiction → bank/custodian →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W_i^final (Σ = 1.0)</w:t>
      </w:r>
    </w:p>
    <w:bookmarkEnd w:id="102"/>
    <w:bookmarkStart w:id="103" w:name="concentration-policy"/>
    <w:p>
      <w:pPr>
        <w:pStyle w:val="Heading3"/>
      </w:pPr>
      <w:r>
        <w:t xml:space="preserve">9.9 Concentration Policy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maximum (operative)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Constitutional sanity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(cannot override 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 effective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</w:tr>
    </w:tbl>
    <w:bookmarkEnd w:id="103"/>
    <w:bookmarkStart w:id="104" w:name="usd-effective-exposure-17"/>
    <w:p>
      <w:pPr>
        <w:pStyle w:val="Heading3"/>
      </w:pPr>
      <w:r>
        <w:t xml:space="preserve">9.10 USD Effective Exposure (§17)</w:t>
      </w:r>
    </w:p>
    <w:p>
      <w:pPr>
        <w:pStyle w:val="FirstParagraph"/>
      </w:pPr>
      <w:r>
        <w:t xml:space="preserve">USD_effective = USD_direct + AED_USD-equivalent + SAR_USD-equivalent + USD-linked synthetic + USD-linked digital</w:t>
      </w:r>
    </w:p>
    <w:bookmarkEnd w:id="104"/>
    <w:bookmarkStart w:id="105" w:name="core-reserve-currencies-11"/>
    <w:p>
      <w:pPr>
        <w:pStyle w:val="Heading3"/>
      </w:pPr>
      <w:r>
        <w:t xml:space="preserve">9.11 Core Reserve Currencies (11)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global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reserve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 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 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settlement (USD-pegged)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settlement (USD-pegged)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Conditional/geopolitical 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 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Commodity diversification</w:t>
            </w:r>
          </w:p>
        </w:tc>
      </w:tr>
    </w:tbl>
    <w:bookmarkEnd w:id="105"/>
    <w:bookmarkStart w:id="106" w:name="settlement-only-currencies-10"/>
    <w:p>
      <w:pPr>
        <w:pStyle w:val="Heading3"/>
      </w:pPr>
      <w:r>
        <w:t xml:space="preserve">9.12 Settlement-Only Currencies (10)</w:t>
      </w:r>
    </w:p>
    <w:p>
      <w:pPr>
        <w:pStyle w:val="FirstParagraph"/>
      </w:pPr>
      <w:r>
        <w:t xml:space="preserve">EGP, INR, KRW, TRY, BRL, MXN, ZAR, IDR, MYR, THB + future currencies passing settlement-admission.</w:t>
      </w:r>
    </w:p>
    <w:p>
      <w:pPr>
        <w:pStyle w:val="BodyText"/>
      </w:pPr>
      <w:r>
        <w:rPr>
          <w:b/>
          <w:bCs/>
        </w:rPr>
        <w:t xml:space="preserve">Critical rule:</w:t>
      </w:r>
      <w:r>
        <w:t xml:space="preserve"> </w:t>
      </w:r>
      <w:r>
        <w:t xml:space="preserve">Settlement eligibility ≠ reserve eligibility.</w:t>
      </w:r>
    </w:p>
    <w:bookmarkEnd w:id="106"/>
    <w:bookmarkStart w:id="107" w:name="currency-lifecycle-20-22"/>
    <w:p>
      <w:pPr>
        <w:pStyle w:val="Heading3"/>
      </w:pPr>
      <w:r>
        <w:t xml:space="preserve">9.13 Currency Lifecycle (§20-22)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CQS &lt; 6.0, sovereign downgrade, vol &gt; 2σ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CQS &lt; 5.5 for ~20 consecutive readings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CQS &lt; 4.0, sanctions, capital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approves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CQS &gt; 6.5 for 60 consecutive readings</w:t>
            </w:r>
          </w:p>
        </w:tc>
      </w:tr>
    </w:tbl>
    <w:bookmarkEnd w:id="107"/>
    <w:bookmarkStart w:id="108" w:name="minimum-floor-removal-22"/>
    <w:p>
      <w:pPr>
        <w:pStyle w:val="Heading3"/>
      </w:pPr>
      <w:r>
        <w:t xml:space="preserve">9.14 Minimum Floor Removal (§22)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quarters below 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renormalize</w:t>
            </w:r>
          </w:p>
        </w:tc>
      </w:tr>
    </w:tbl>
    <w:bookmarkEnd w:id="108"/>
    <w:bookmarkStart w:id="109" w:name="current-currency-weights"/>
    <w:p>
      <w:pPr>
        <w:pStyle w:val="Heading3"/>
      </w:pPr>
      <w:r>
        <w:t xml:space="preserve">9.15 Current Currency Weights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Sum: 1.000000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USD Effective: 23.54%</w:t>
      </w:r>
      <w:r>
        <w:t xml:space="preserve"> </w:t>
      </w:r>
      <w:r>
        <w:t xml:space="preserve">(ceiling 35%, not breached)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gold-bullion-module-23-29"/>
    <w:p>
      <w:pPr>
        <w:pStyle w:val="Heading2"/>
      </w:pPr>
      <w:r>
        <w:t xml:space="preserve">10. GOLD &amp; BULLION MODULE (§23-29)</w:t>
      </w:r>
    </w:p>
    <w:bookmarkStart w:id="111" w:name="gold-policy"/>
    <w:p>
      <w:pPr>
        <w:pStyle w:val="Heading3"/>
      </w:pPr>
      <w:r>
        <w:t xml:space="preserve">10.1 Gold Policy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upper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~21-22%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Bullion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–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(SDC ≤ 0)</w:t>
            </w:r>
          </w:p>
        </w:tc>
      </w:tr>
    </w:tbl>
    <w:bookmarkEnd w:id="111"/>
    <w:bookmarkStart w:id="112" w:name="gold-value"/>
    <w:p>
      <w:pPr>
        <w:pStyle w:val="Heading3"/>
      </w:pPr>
      <w:r>
        <w:t xml:space="preserve">10.2 Gold Value</w:t>
      </w:r>
    </w:p>
    <w:p>
      <w:pPr>
        <w:pStyle w:val="FirstParagraph"/>
      </w:pPr>
      <w:r>
        <w:t xml:space="preserve">R_G = Q_G × P_G (market)</w:t>
      </w:r>
      <w:r>
        <w:t xml:space="preserve"> </w:t>
      </w:r>
      <w:r>
        <w:t xml:space="preserve">R_G,a = Q_G · P_G · (1 − H_G) · C_G (adjusted)</w:t>
      </w:r>
    </w:p>
    <w:bookmarkEnd w:id="112"/>
    <w:bookmarkStart w:id="113" w:name="silver-sdc-27"/>
    <w:p>
      <w:pPr>
        <w:pStyle w:val="Heading3"/>
      </w:pPr>
      <w:r>
        <w:t xml:space="preserve">10.3 Silver SDC (§27)</w:t>
      </w:r>
    </w:p>
    <w:p>
      <w:pPr>
        <w:pStyle w:val="FirstParagraph"/>
      </w:pPr>
      <w:r>
        <w:t xml:space="preserve">SDC_Ag = (CVaR_improvement + StressRR_improvement + LCR_improvement) − (ExecutionCost + CustodyCost + VolatilityPenalty + LiquidityPenalty)</w:t>
      </w:r>
    </w:p>
    <w:p>
      <w:pPr>
        <w:pStyle w:val="BodyText"/>
      </w:pPr>
      <w:r>
        <w:t xml:space="preserve">If SDC &gt; 0 → admit up to 3%. If SDC ≤ 0 → 0%.</w:t>
      </w:r>
    </w:p>
    <w:p>
      <w:pPr>
        <w:pStyle w:val="BodyText"/>
      </w:pPr>
      <w:r>
        <w:rPr>
          <w:b/>
          <w:bCs/>
        </w:rPr>
        <w:t xml:space="preserve">Current validated result: Silver = 0%.</w:t>
      </w:r>
    </w:p>
    <w:bookmarkEnd w:id="113"/>
    <w:bookmarkStart w:id="114" w:name="bri-28-advisory"/>
    <w:p>
      <w:pPr>
        <w:pStyle w:val="Heading3"/>
      </w:pPr>
      <w:r>
        <w:t xml:space="preserve">10.4 BRI (§28 — Advisory)</w:t>
      </w:r>
    </w:p>
    <w:p>
      <w:pPr>
        <w:pStyle w:val="FirstParagraph"/>
      </w:pPr>
      <w:r>
        <w:t xml:space="preserve">BRI_t = (Gold_0/Gold_t)^0.90 · (Silver_0/Silver_t)^0.10 (if silver held)</w:t>
      </w:r>
    </w:p>
    <w:p>
      <w:pPr>
        <w:pStyle w:val="BodyText"/>
      </w:pPr>
      <w:r>
        <w:t xml:space="preserve">If silver weight = 0, BRI = gold resilience measure. Advisory only — does not independently rebalance.</w:t>
      </w:r>
    </w:p>
    <w:bookmarkEnd w:id="114"/>
    <w:bookmarkStart w:id="115" w:name="tokenized-gold-tgrs-29"/>
    <w:p>
      <w:pPr>
        <w:pStyle w:val="Heading3"/>
      </w:pPr>
      <w:r>
        <w:t xml:space="preserve">10.5 Tokenized Gold TGRS (§29)</w:t>
      </w:r>
    </w:p>
    <w:p>
      <w:pPr>
        <w:pStyle w:val="FirstParagraph"/>
      </w:pPr>
      <w:r>
        <w:t xml:space="preserve">TGRS = 0.20·PhysicalBacking + 0.15·LegalTitle + 0.15·Custody + 0.10·Redemption + 0.10·IssuerReliability + 0.10·OracleReliability + 0.08·Settlement + 0.05·Liquidity + 0.05·OperationalResilience + 0.02·Jurisdiction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</w:tbl>
    <w:p>
      <w:pPr>
        <w:pStyle w:val="BodyText"/>
      </w:pPr>
      <w:r>
        <w:t xml:space="preserve">Haircut: H_TG = max(5%, 5% + (10 − TGRS)·0.5%)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Do NOT auto-add historical</w:t>
      </w:r>
      <w:r>
        <w:t xml:space="preserve"> </w:t>
      </w:r>
      <w:r>
        <w:t xml:space="preserve">“</w:t>
      </w:r>
      <w:r>
        <w:t xml:space="preserve">5% PAXG</w:t>
      </w:r>
      <w:r>
        <w:t xml:space="preserve">”</w:t>
      </w:r>
      <w:r>
        <w:t xml:space="preserve"> </w:t>
      </w:r>
      <w:r>
        <w:t xml:space="preserve">on top of 18% gold. Tokenized gold is conditional separate exposure.</w:t>
      </w:r>
    </w:p>
    <w:bookmarkEnd w:id="115"/>
    <w:bookmarkStart w:id="116" w:name="liquidation-sequence-26-gold-last"/>
    <w:p>
      <w:pPr>
        <w:pStyle w:val="Heading3"/>
      </w:pPr>
      <w:r>
        <w:t xml:space="preserve">10.6 Liquidation Sequence (§26 — gold LAST)</w:t>
      </w:r>
    </w:p>
    <w:p>
      <w:pPr>
        <w:pStyle w:val="Compact"/>
        <w:numPr>
          <w:ilvl w:val="0"/>
          <w:numId w:val="1015"/>
        </w:numPr>
      </w:pPr>
      <w:r>
        <w:t xml:space="preserve">Digital liquidity → 2. Cash → 3. Short-duration sovereign → 4. Non-USD FX → 5. Conditional silver → 6. Tokenized gold → 7.</w:t>
      </w:r>
      <w:r>
        <w:t xml:space="preserve"> </w:t>
      </w:r>
      <w:r>
        <w:rPr>
          <w:b/>
          <w:bCs/>
        </w:rPr>
        <w:t xml:space="preserve">Physical gold (LAST)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4" w:name="digital-liquidity-module-30-36"/>
    <w:p>
      <w:pPr>
        <w:pStyle w:val="Heading2"/>
      </w:pPr>
      <w:r>
        <w:t xml:space="preserve">11. DIGITAL LIQUIDITY MODULE (§30-36)</w:t>
      </w:r>
    </w:p>
    <w:bookmarkStart w:id="118" w:name="digital-tiers"/>
    <w:p>
      <w:pPr>
        <w:pStyle w:val="Heading3"/>
      </w:pPr>
      <w:r>
        <w:t xml:space="preserve">11.1 Digital Tiers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(D_normal)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ceiling (D_operational)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Constitutional maximum (D_max)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(D_emergency)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bookmarkEnd w:id="118"/>
    <w:bookmarkStart w:id="119" w:name="drqs-scoring-39"/>
    <w:p>
      <w:pPr>
        <w:pStyle w:val="Heading3"/>
      </w:pPr>
      <w:r>
        <w:t xml:space="preserve">11.2 DRQS Scoring (§39)</w:t>
      </w:r>
    </w:p>
    <w:p>
      <w:pPr>
        <w:pStyle w:val="FirstParagraph"/>
      </w:pPr>
      <w:r>
        <w:t xml:space="preserve">DRQS_i = 0.20·Issuer + 0.15·Reserve + 0.15·Redemption + 0.15·Depeg + 0.10·Jurisdiction + 0.10·Custody + 0.10·Operational + 0.05·Liquidity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DRQS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</w:tr>
    </w:tbl>
    <w:bookmarkEnd w:id="119"/>
    <w:bookmarkStart w:id="120" w:name="digital-universe"/>
    <w:p>
      <w:pPr>
        <w:pStyle w:val="Heading3"/>
      </w:pPr>
      <w:r>
        <w:t xml:space="preserve">11.3 Digital Universe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digital 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regulated USD 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 U.S. T-bill liquidity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Optional/conditional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conversion only</w:t>
            </w:r>
          </w:p>
        </w:tc>
      </w:tr>
    </w:tbl>
    <w:bookmarkEnd w:id="120"/>
    <w:bookmarkStart w:id="121" w:name="stablecoin-stress-35"/>
    <w:p>
      <w:pPr>
        <w:pStyle w:val="Heading3"/>
      </w:pPr>
      <w:r>
        <w:t xml:space="preserve">11.4 Stablecoin Stress (§35)</w:t>
      </w:r>
    </w:p>
    <w:p>
      <w:pPr>
        <w:pStyle w:val="FirstParagraph"/>
      </w:pPr>
      <w:r>
        <w:t xml:space="preserve">StressDRQS_i = DRQS_i · (1 − SF_i)</w:t>
      </w:r>
    </w:p>
    <w:p>
      <w:pPr>
        <w:pStyle w:val="BodyText"/>
      </w:pPr>
      <w:r>
        <w:t xml:space="preserve">SF_i = 0.20·DepegShock + 0.20·RedemptionStress + 0.15·LiquidityStress + 0.15·CounterpartyStress + 0.10·CustodyStress + 0.10·JurisdictionStress + 0.10·SettlementDelayStress</w:t>
      </w:r>
    </w:p>
    <w:p>
      <w:pPr>
        <w:pStyle w:val="BodyText"/>
      </w:pPr>
      <w:r>
        <w:t xml:space="preserve">EffectiveDRQS_i = min(DRQS_i, StressDRQS_i)</w:t>
      </w:r>
    </w:p>
    <w:bookmarkEnd w:id="121"/>
    <w:bookmarkStart w:id="122" w:name="digital-state-machine-36"/>
    <w:p>
      <w:pPr>
        <w:pStyle w:val="Heading3"/>
      </w:pPr>
      <w:r>
        <w:t xml:space="preserve">11.5 Digital State Machine (§36)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 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deviation, frozen redemption, failed reserve, sanctions</w:t>
            </w:r>
          </w:p>
        </w:tc>
      </w:tr>
    </w:tbl>
    <w:bookmarkEnd w:id="122"/>
    <w:bookmarkStart w:id="123" w:name="usdt-architecture-48"/>
    <w:p>
      <w:pPr>
        <w:pStyle w:val="Heading3"/>
      </w:pPr>
      <w:r>
        <w:t xml:space="preserve">11.6 USDT Architecture (§48)</w:t>
      </w:r>
    </w:p>
    <w:p>
      <w:pPr>
        <w:pStyle w:val="FirstParagraph"/>
      </w:pPr>
      <w:r>
        <w:t xml:space="preserve">USDT is NOT core digital backing. It MAY be external input/conversion/bridge/settlement asset when all conditions are met.</w:t>
      </w:r>
      <w:r>
        <w:t xml:space="preserve"> </w:t>
      </w:r>
      <w:r>
        <w:rPr>
          <w:rStyle w:val="VerbatimChar"/>
        </w:rPr>
        <w:t xml:space="preserve">1 USDT ≠ 1 MTQ</w:t>
      </w:r>
      <w:r>
        <w:t xml:space="preserve"> </w:t>
      </w:r>
      <w:r>
        <w:t xml:space="preserve">and never automatically</w:t>
      </w:r>
      <w:r>
        <w:t xml:space="preserve"> </w:t>
      </w:r>
      <w:r>
        <w:rPr>
          <w:rStyle w:val="VerbatimChar"/>
        </w:rPr>
        <w:t xml:space="preserve">1 USDT = 1 USD</w:t>
      </w:r>
      <w:r>
        <w:t xml:space="preserve"> </w:t>
      </w:r>
      <w:r>
        <w:t xml:space="preserve">for MTQ issuance.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bank-gateway-sidecar-architecture-11"/>
    <w:p>
      <w:pPr>
        <w:pStyle w:val="Heading2"/>
      </w:pPr>
      <w:r>
        <w:t xml:space="preserve">12. BANK GATEWAY / SIDECAR ARCHITECTURE (§11)</w:t>
      </w:r>
    </w:p>
    <w:bookmarkStart w:id="125" w:name="mbg-principle"/>
    <w:p>
      <w:pPr>
        <w:pStyle w:val="Heading3"/>
      </w:pPr>
      <w:r>
        <w:t xml:space="preserve">12.1 MBG Principle</w:t>
      </w:r>
    </w:p>
    <w:p>
      <w:pPr>
        <w:pStyle w:val="FirstParagraph"/>
      </w:pPr>
      <w:r>
        <w:rPr>
          <w:b/>
          <w:bCs/>
        </w:rPr>
        <w:t xml:space="preserve">TRANSLATION, NOT TRANSFORMATION.</w:t>
      </w:r>
    </w:p>
    <w:p>
      <w:pPr>
        <w:pStyle w:val="BodyText"/>
      </w:pPr>
      <w:r>
        <w:t xml:space="preserve">Bank systems remain authoritative for: core banking, customer accounts, KYC, KYB, AML/CFT, sanctions, FX, treasury, accounting, SWIFT, ISO 20022.</w:t>
      </w:r>
    </w:p>
    <w:p>
      <w:pPr>
        <w:pStyle w:val="BodyText"/>
      </w:pPr>
      <w:r>
        <w:t xml:space="preserve">MITHQAL must NOT require core banking replacement.</w:t>
      </w:r>
    </w:p>
    <w:bookmarkEnd w:id="125"/>
    <w:bookmarkStart w:id="126" w:name="mbg-architecture-12-nodes"/>
    <w:p>
      <w:pPr>
        <w:pStyle w:val="Heading3"/>
      </w:pPr>
      <w:r>
        <w:t xml:space="preserve">12.2 MBG Architecture (12 Nodes)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Treasury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Banking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KYC/KYB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AML/Sanctions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FX/Treasury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 Adapter (translation)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20022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Host-to-Host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 Gate (7 layers)</w:t>
            </w:r>
          </w:p>
        </w:tc>
      </w:tr>
    </w:tbl>
    <w:bookmarkEnd w:id="126"/>
    <w:bookmarkStart w:id="127" w:name="iso-20022-message-catalog-9"/>
    <w:p>
      <w:pPr>
        <w:pStyle w:val="Heading3"/>
      </w:pPr>
      <w:r>
        <w:t xml:space="preserve">12.3 ISO 20022 Message Catalog (9)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Credit Transfer Initiation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Payment Status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pacs.002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FIToFIPaymentStatusReport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pacs.008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FIToFICustomerCreditTransfer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pacs.009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FItoFICustomerDirectDebit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camt.025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camt.054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BankToCustomerDebitCreditNotification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camt.056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FIToFIPaymentCancellationRequest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BusinessApplicationHeader</w:t>
            </w:r>
          </w:p>
        </w:tc>
      </w:tr>
    </w:tbl>
    <w:bookmarkEnd w:id="127"/>
    <w:bookmarkStart w:id="128" w:name="swift-relationship"/>
    <w:p>
      <w:pPr>
        <w:pStyle w:val="Heading3"/>
      </w:pPr>
      <w:r>
        <w:t xml:space="preserve">12.4 SWIFT Relationship</w:t>
      </w:r>
    </w:p>
    <w:p>
      <w:pPr>
        <w:pStyle w:val="FirstParagraph"/>
      </w:pPr>
      <w:r>
        <w:t xml:space="preserve">MITHQAL is SWIFT-compatible and complementary. MITHQAL is NOT a SWIFT replacement.</w:t>
      </w:r>
    </w:p>
    <w:bookmarkEnd w:id="128"/>
    <w:bookmarkStart w:id="129" w:name="multi-rail-support-15"/>
    <w:p>
      <w:pPr>
        <w:pStyle w:val="Heading3"/>
      </w:pPr>
      <w:r>
        <w:t xml:space="preserve">12.5 Multi-Rail Support (§15)</w:t>
      </w:r>
    </w:p>
    <w:p>
      <w:pPr>
        <w:pStyle w:val="FirstParagraph"/>
      </w:pPr>
      <w:r>
        <w:t xml:space="preserve">SWIFT, ISO 20022, REST/API, Host-to-Host, SFTP, Treasury, ERP, Domestic payment rails, RTGS, Tokenized deposit networks, CBDC infrastructure.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bank-side-compliance-attestation-8"/>
    <w:p>
      <w:pPr>
        <w:pStyle w:val="Heading2"/>
      </w:pPr>
      <w:r>
        <w:t xml:space="preserve">13. BANK-SIDE COMPLIANCE ATTESTATION (§8)</w:t>
      </w:r>
    </w:p>
    <w:bookmarkStart w:id="131" w:name="attestation-model"/>
    <w:p>
      <w:pPr>
        <w:pStyle w:val="Heading3"/>
      </w:pPr>
      <w:r>
        <w:t xml:space="preserve">13.1 Attestation Model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MITHQAL Receives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KYB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SANCTIONS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AUTHORITY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AVAILABLE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attestation</w:t>
            </w:r>
          </w:p>
        </w:tc>
      </w:tr>
    </w:tbl>
    <w:bookmarkEnd w:id="131"/>
    <w:bookmarkStart w:id="132" w:name="privacy-principle"/>
    <w:p>
      <w:pPr>
        <w:pStyle w:val="Heading3"/>
      </w:pPr>
      <w:r>
        <w:t xml:space="preserve">13.2 Privacy Principle</w:t>
      </w:r>
    </w:p>
    <w:p>
      <w:pPr>
        <w:pStyle w:val="FirstParagraph"/>
      </w:pPr>
      <w:r>
        <w:rPr>
          <w:b/>
          <w:bCs/>
        </w:rPr>
        <w:t xml:space="preserve">Customer identity remains inside the regulated bank.</w:t>
      </w:r>
      <w:r>
        <w:t xml:space="preserve"> </w:t>
      </w:r>
      <w:r>
        <w:t xml:space="preserve">MITHQAL receives only what is necessary for institutional settlement and compliance:</w:t>
      </w:r>
      <w:r>
        <w:t xml:space="preserve"> </w:t>
      </w:r>
      <w:r>
        <w:t xml:space="preserve">- Institutional identifiers</w:t>
      </w:r>
      <w:r>
        <w:t xml:space="preserve"> </w:t>
      </w:r>
      <w:r>
        <w:t xml:space="preserve">- Pseudonymous corporate references</w:t>
      </w:r>
      <w:r>
        <w:t xml:space="preserve"> </w:t>
      </w:r>
      <w:r>
        <w:t xml:space="preserve">- Cryptographic attestations</w:t>
      </w:r>
      <w:r>
        <w:t xml:space="preserve"> </w:t>
      </w:r>
      <w:r>
        <w:t xml:space="preserve">- Selective disclosure</w:t>
      </w:r>
      <w:r>
        <w:t xml:space="preserve"> </w:t>
      </w:r>
      <w:r>
        <w:t xml:space="preserve">- Bank-controlled customer data</w:t>
      </w:r>
      <w:r>
        <w:t xml:space="preserve"> </w:t>
      </w:r>
      <w:r>
        <w:t xml:space="preserve">- Minimum necessary disclosure</w:t>
      </w:r>
    </w:p>
    <w:p>
      <w:pPr>
        <w:pStyle w:val="BodyText"/>
      </w:pPr>
      <w:r>
        <w:t xml:space="preserve">MITHQAL is NOT a centralized consumer identity database.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protected-backing-cell-47"/>
    <w:p>
      <w:pPr>
        <w:pStyle w:val="Heading2"/>
      </w:pPr>
      <w:r>
        <w:t xml:space="preserve">14. PROTECTED BACKING CELL (§47)</w:t>
      </w:r>
    </w:p>
    <w:bookmarkStart w:id="134" w:name="formula"/>
    <w:p>
      <w:pPr>
        <w:pStyle w:val="Heading3"/>
      </w:pPr>
      <w:r>
        <w:t xml:space="preserve">14.1 Formula</w:t>
      </w:r>
    </w:p>
    <w:p>
      <w:pPr>
        <w:pStyle w:val="FirstParagraph"/>
      </w:pPr>
      <w:r>
        <w:rPr>
          <w:b/>
          <w:bCs/>
        </w:rPr>
        <w:t xml:space="preserve">AvailableBacking = RecognizedBacking − EncumberedBacking − AlreadyAllocatedBacking</w:t>
      </w:r>
    </w:p>
    <w:bookmarkEnd w:id="134"/>
    <w:bookmarkStart w:id="135" w:name="field-schema"/>
    <w:p>
      <w:pPr>
        <w:pStyle w:val="Heading3"/>
      </w:pPr>
      <w:r>
        <w:t xml:space="preserve">14.2 17-Field Schema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Backing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Haircut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Encumbrance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Utilized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</w:tr>
    </w:tbl>
    <w:bookmarkEnd w:id="135"/>
    <w:bookmarkStart w:id="136" w:name="anti-double-count-rule"/>
    <w:p>
      <w:pPr>
        <w:pStyle w:val="Heading3"/>
      </w:pPr>
      <w:r>
        <w:t xml:space="preserve">14.3 Anti-Double-Count Rule</w:t>
      </w:r>
    </w:p>
    <w:p>
      <w:pPr>
        <w:pStyle w:val="FirstParagraph"/>
      </w:pPr>
      <w:r>
        <w:t xml:space="preserve">Same backing must never support multiple MTQ obligations. Enforced at:</w:t>
      </w:r>
      <w:r>
        <w:t xml:space="preserve"> </w:t>
      </w:r>
      <w:r>
        <w:t xml:space="preserve">- Mutation time (</w:t>
      </w:r>
      <w:r>
        <w:rPr>
          <w:rStyle w:val="VerbatimChar"/>
        </w:rPr>
        <w:t xml:space="preserve">allocateBacking</w:t>
      </w:r>
      <w:r>
        <w:t xml:space="preserve"> </w:t>
      </w:r>
      <w:r>
        <w:t xml:space="preserve">rejects cross-obligation)</w:t>
      </w:r>
      <w:r>
        <w:t xml:space="preserve"> </w:t>
      </w:r>
      <w:r>
        <w:t xml:space="preserve">- Independent audit (</w:t>
      </w:r>
      <w:r>
        <w:rPr>
          <w:rStyle w:val="VerbatimChar"/>
        </w:rPr>
        <w:t xml:space="preserve">verifyNoDoubleCount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protectedBackingModelImplemented = true, protectedBackingLiveCells = 0.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three-book-separation-51"/>
    <w:p>
      <w:pPr>
        <w:pStyle w:val="Heading2"/>
      </w:pPr>
      <w:r>
        <w:t xml:space="preserve">15. THREE-BOOK SEPARATION (§51)</w:t>
      </w:r>
    </w:p>
    <w:bookmarkStart w:id="138" w:name="books"/>
    <w:p>
      <w:pPr>
        <w:pStyle w:val="Heading3"/>
      </w:pPr>
      <w:r>
        <w:t xml:space="preserve">15.1 Books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A — MITHQAL 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expenses, payroll, tax, technology costs, corporate assets/liabilities,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B — Bank MTQ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bank, applicable backing, MTQ originated/outstanding, redemption obligations, liquidity, settlement, bank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C — Corporate 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MTQ balance, available/reserved/pending, sent/received, redemption, settlement history, bank-money linkage</w:t>
            </w:r>
          </w:p>
        </w:tc>
      </w:tr>
    </w:tbl>
    <w:bookmarkEnd w:id="138"/>
    <w:bookmarkStart w:id="139" w:name="anti-commingling-tests-83"/>
    <w:p>
      <w:pPr>
        <w:pStyle w:val="Heading3"/>
      </w:pPr>
      <w:r>
        <w:t xml:space="preserve">15.2 Anti-Commingling Tests (§83)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cash → MTQ backing without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obligation → MITHQAL corporate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MTQ → MITHQAL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gain → Operating Company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threeBookDesign = true, threeBookOperational = false, threeBookEnforced = false.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five-way-reconciliation"/>
    <w:p>
      <w:pPr>
        <w:pStyle w:val="Heading2"/>
      </w:pPr>
      <w:r>
        <w:t xml:space="preserve">16. FIVE-WAY RECONCILIATION</w:t>
      </w:r>
    </w:p>
    <w:p>
      <w:pPr>
        <w:pStyle w:val="Compact"/>
        <w:numPr>
          <w:ilvl w:val="0"/>
          <w:numId w:val="1016"/>
        </w:numPr>
      </w:pPr>
      <w:r>
        <w:t xml:space="preserve">Canonical MITHQAL Ledger</w:t>
      </w:r>
    </w:p>
    <w:p>
      <w:pPr>
        <w:pStyle w:val="Compact"/>
        <w:numPr>
          <w:ilvl w:val="0"/>
          <w:numId w:val="1016"/>
        </w:numPr>
      </w:pPr>
      <w:r>
        <w:t xml:space="preserve">Bank MTQ Subledger</w:t>
      </w:r>
    </w:p>
    <w:p>
      <w:pPr>
        <w:pStyle w:val="Compact"/>
        <w:numPr>
          <w:ilvl w:val="0"/>
          <w:numId w:val="1016"/>
        </w:numPr>
      </w:pPr>
      <w:r>
        <w:t xml:space="preserve">Corporate MTQ Positions</w:t>
      </w:r>
    </w:p>
    <w:p>
      <w:pPr>
        <w:pStyle w:val="Compact"/>
        <w:numPr>
          <w:ilvl w:val="0"/>
          <w:numId w:val="1016"/>
        </w:numPr>
      </w:pPr>
      <w:r>
        <w:t xml:space="preserve">Reserve Ledger</w:t>
      </w:r>
    </w:p>
    <w:p>
      <w:pPr>
        <w:pStyle w:val="Compact"/>
        <w:numPr>
          <w:ilvl w:val="0"/>
          <w:numId w:val="1016"/>
        </w:numPr>
      </w:pPr>
      <w:r>
        <w:t xml:space="preserve">Proof-of-Liabilities</w:t>
      </w:r>
    </w:p>
    <w:p>
      <w:pPr>
        <w:pStyle w:val="FirstParagraph"/>
      </w:pPr>
      <w:r>
        <w:t xml:space="preserve">Includes: frequency, real-time vs batch, deterministic matching, exception handling, break management, accounting treatment, audit records, escalation, settlement suspension rules, remediation workflows.</w:t>
      </w:r>
    </w:p>
    <w:p>
      <w:r>
        <w:pict>
          <v:rect style="width:0;height:1.5pt" o:hralign="center" o:hrstd="t" o:hr="t"/>
        </w:pict>
      </w:r>
    </w:p>
    <w:bookmarkEnd w:id="141"/>
    <w:bookmarkStart w:id="144" w:name="bank-default-resolution-48"/>
    <w:p>
      <w:pPr>
        <w:pStyle w:val="Heading2"/>
      </w:pPr>
      <w:r>
        <w:t xml:space="preserve">17. BANK DEFAULT &amp; RESOLUTION (§48)</w:t>
      </w:r>
    </w:p>
    <w:bookmarkStart w:id="142" w:name="state-lifecycle"/>
    <w:p>
      <w:pPr>
        <w:pStyle w:val="Heading3"/>
      </w:pPr>
      <w:r>
        <w:t xml:space="preserve">17.1 8-State Lifecycle</w:t>
      </w:r>
    </w:p>
    <w:p>
      <w:pPr>
        <w:pStyle w:val="SourceCode"/>
      </w:pPr>
      <w:r>
        <w:rPr>
          <w:rStyle w:val="VerbatimChar"/>
        </w:rPr>
        <w:t xml:space="preserve">ACTIVE → RESTRICTED → LIQUIDITY_STRESS → SUSPENDED → DEFAULT → INSOLVENT → RESOLUTION → EXIT</w:t>
      </w:r>
    </w:p>
    <w:bookmarkEnd w:id="142"/>
    <w:bookmarkStart w:id="143" w:name="contractual-questions-all-pending"/>
    <w:p>
      <w:pPr>
        <w:pStyle w:val="Heading3"/>
      </w:pPr>
      <w:r>
        <w:t xml:space="preserve">17.2 11 Contractual Questions (all PENDING)</w:t>
      </w:r>
    </w:p>
    <w:p>
      <w:pPr>
        <w:pStyle w:val="Compact"/>
        <w:numPr>
          <w:ilvl w:val="0"/>
          <w:numId w:val="1017"/>
        </w:numPr>
      </w:pPr>
      <w:r>
        <w:t xml:space="preserve">Who owes the holder?</w:t>
      </w:r>
    </w:p>
    <w:p>
      <w:pPr>
        <w:pStyle w:val="Compact"/>
        <w:numPr>
          <w:ilvl w:val="0"/>
          <w:numId w:val="1017"/>
        </w:numPr>
      </w:pPr>
      <w:r>
        <w:t xml:space="preserve">Who owes the receiving bank?</w:t>
      </w:r>
    </w:p>
    <w:p>
      <w:pPr>
        <w:pStyle w:val="Compact"/>
        <w:numPr>
          <w:ilvl w:val="0"/>
          <w:numId w:val="1017"/>
        </w:numPr>
      </w:pPr>
      <w:r>
        <w:t xml:space="preserve">What is the holder’s claim?</w:t>
      </w:r>
    </w:p>
    <w:p>
      <w:pPr>
        <w:pStyle w:val="Compact"/>
        <w:numPr>
          <w:ilvl w:val="0"/>
          <w:numId w:val="1017"/>
        </w:numPr>
      </w:pPr>
      <w:r>
        <w:t xml:space="preserve">What happens to existing MTQ?</w:t>
      </w:r>
    </w:p>
    <w:p>
      <w:pPr>
        <w:pStyle w:val="Compact"/>
        <w:numPr>
          <w:ilvl w:val="0"/>
          <w:numId w:val="1017"/>
        </w:numPr>
      </w:pPr>
      <w:r>
        <w:t xml:space="preserve">Can it continue transferring?</w:t>
      </w:r>
    </w:p>
    <w:p>
      <w:pPr>
        <w:pStyle w:val="Compact"/>
        <w:numPr>
          <w:ilvl w:val="0"/>
          <w:numId w:val="1017"/>
        </w:numPr>
      </w:pPr>
      <w:r>
        <w:t xml:space="preserve">Can it redeem?</w:t>
      </w:r>
    </w:p>
    <w:p>
      <w:pPr>
        <w:pStyle w:val="Compact"/>
        <w:numPr>
          <w:ilvl w:val="0"/>
          <w:numId w:val="1017"/>
        </w:numPr>
      </w:pPr>
      <w:r>
        <w:t xml:space="preserve">Who absorbs losses?</w:t>
      </w:r>
    </w:p>
    <w:p>
      <w:pPr>
        <w:pStyle w:val="Compact"/>
        <w:numPr>
          <w:ilvl w:val="0"/>
          <w:numId w:val="1017"/>
        </w:numPr>
      </w:pPr>
      <w:r>
        <w:t xml:space="preserve">What happens to backing?</w:t>
      </w:r>
    </w:p>
    <w:p>
      <w:pPr>
        <w:pStyle w:val="Compact"/>
        <w:numPr>
          <w:ilvl w:val="0"/>
          <w:numId w:val="1017"/>
        </w:numPr>
      </w:pPr>
      <w:r>
        <w:t xml:space="preserve">What does the resolution authority control?</w:t>
      </w:r>
    </w:p>
    <w:p>
      <w:pPr>
        <w:pStyle w:val="Compact"/>
        <w:numPr>
          <w:ilvl w:val="0"/>
          <w:numId w:val="1017"/>
        </w:numPr>
      </w:pPr>
      <w:r>
        <w:t xml:space="preserve">How is reconciliation performed?</w:t>
      </w:r>
    </w:p>
    <w:p>
      <w:pPr>
        <w:pStyle w:val="Compact"/>
        <w:numPr>
          <w:ilvl w:val="0"/>
          <w:numId w:val="1017"/>
        </w:numPr>
      </w:pPr>
      <w:r>
        <w:t xml:space="preserve">What is the customer treatment?</w:t>
      </w:r>
    </w:p>
    <w:p>
      <w:pPr>
        <w:pStyle w:val="FirstParagraph"/>
      </w:pPr>
      <w:r>
        <w:rPr>
          <w:b/>
          <w:bCs/>
        </w:rPr>
        <w:t xml:space="preserve">Principle:</w:t>
      </w:r>
      <w:r>
        <w:t xml:space="preserve"> </w:t>
      </w:r>
      <w:r>
        <w:t xml:space="preserve">MITHQAL is NOT the financial guarantor.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Designed + operational workflow = true. Contract validated = false. Legal validated = false. Production ready = false.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legal-liability-framework-49"/>
    <w:p>
      <w:pPr>
        <w:pStyle w:val="Heading2"/>
      </w:pPr>
      <w:r>
        <w:t xml:space="preserve">18. LEGAL LIABILITY FRAMEWORK (§49)</w:t>
      </w:r>
    </w:p>
    <w:bookmarkStart w:id="145" w:name="dimensions"/>
    <w:p>
      <w:pPr>
        <w:pStyle w:val="Heading3"/>
      </w:pPr>
      <w:r>
        <w:t xml:space="preserve">18.1 13 Dimensions</w:t>
      </w:r>
    </w:p>
    <w:p>
      <w:pPr>
        <w:pStyle w:val="FirstParagraph"/>
      </w:pPr>
      <w:r>
        <w:t xml:space="preserve">Jurisdiction, legal nature, obligor, holder rights, redemption, settlement finality, creditor treatment, insolvency treatment, transferability, pledgeability, governing law, dispute resolution, licensing classification.</w:t>
      </w:r>
    </w:p>
    <w:bookmarkEnd w:id="145"/>
    <w:bookmarkStart w:id="146" w:name="jurisdiction-registry"/>
    <w:p>
      <w:pPr>
        <w:pStyle w:val="Heading3"/>
      </w:pPr>
      <w:r>
        <w:t xml:space="preserve">18.2 Jurisdiction Registry</w:t>
      </w:r>
    </w:p>
    <w:p>
      <w:pPr>
        <w:pStyle w:val="FirstParagraph"/>
      </w:pPr>
      <w:r>
        <w:t xml:space="preserve">8 jurisdictions (US, EU/EEA, UK, CH, SG, AE, SA, JP) — ALL</w:t>
      </w:r>
      <w:r>
        <w:t xml:space="preserve"> </w:t>
      </w:r>
      <w:r>
        <w:rPr>
          <w:rStyle w:val="VerbatimChar"/>
        </w:rPr>
        <w:t xml:space="preserve">JURISDICTION_PENDING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validatedJurisdictions = 0, legalOpinionsObtained = false.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licensing-entity-matrix-50"/>
    <w:p>
      <w:pPr>
        <w:pStyle w:val="Heading2"/>
      </w:pPr>
      <w:r>
        <w:t xml:space="preserve">19. LICENSING / ENTITY MATRIX (§50)</w:t>
      </w:r>
    </w:p>
    <w:bookmarkStart w:id="148" w:name="activities-9"/>
    <w:p>
      <w:pPr>
        <w:pStyle w:val="Heading3"/>
      </w:pPr>
      <w:r>
        <w:t xml:space="preserve">19.1 Activities (9)</w:t>
      </w:r>
    </w:p>
    <w:p>
      <w:pPr>
        <w:pStyle w:val="FirstParagraph"/>
      </w:pPr>
      <w:r>
        <w:t xml:space="preserve">Banking, payment services, custody, FX, digital asset/CASP, securities, commodity, CBDC access, settlement activities.</w:t>
      </w:r>
    </w:p>
    <w:bookmarkEnd w:id="148"/>
    <w:bookmarkStart w:id="149" w:name="jurisdictions-8"/>
    <w:p>
      <w:pPr>
        <w:pStyle w:val="Heading3"/>
      </w:pPr>
      <w:r>
        <w:t xml:space="preserve">19.2 Jurisdictions (8)</w:t>
      </w:r>
    </w:p>
    <w:p>
      <w:pPr>
        <w:pStyle w:val="FirstParagraph"/>
      </w:pPr>
      <w:r>
        <w:t xml:space="preserve">US, UAE, UK, EU, Singapore, Switzerland, Hong Kong, KSA.</w:t>
      </w:r>
    </w:p>
    <w:bookmarkEnd w:id="149"/>
    <w:bookmarkStart w:id="150" w:name="matrix"/>
    <w:p>
      <w:pPr>
        <w:pStyle w:val="Heading3"/>
      </w:pPr>
      <w:r>
        <w:t xml:space="preserve">19.3 Matrix</w:t>
      </w:r>
    </w:p>
    <w:p>
      <w:pPr>
        <w:pStyle w:val="FirstParagraph"/>
      </w:pPr>
      <w:r>
        <w:t xml:space="preserve">72 entries (9 × 8) — ALL</w:t>
      </w:r>
      <w:r>
        <w:t xml:space="preserve"> </w:t>
      </w:r>
      <w:r>
        <w:rPr>
          <w:rStyle w:val="VerbatimChar"/>
        </w:rPr>
        <w:t xml:space="preserve">REQUIRED_NOT_OBTAINED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MITHQAL role:</w:t>
      </w:r>
      <w:r>
        <w:t xml:space="preserve"> </w:t>
      </w:r>
      <w:r>
        <w:t xml:space="preserve">NEVER</w:t>
      </w:r>
      <w:r>
        <w:t xml:space="preserve"> </w:t>
      </w:r>
      <w:r>
        <w:t xml:space="preserve">“</w:t>
      </w:r>
      <w:r>
        <w:t xml:space="preserve">GUARANTOR</w:t>
      </w:r>
      <w:r>
        <w:t xml:space="preserve">”</w:t>
      </w:r>
      <w:r>
        <w:t xml:space="preserve"> </w:t>
      </w:r>
      <w:r>
        <w:t xml:space="preserve">— only NONE/VERIFICATION/ORCHESTRATION/INFRASTRUCTURE.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licensesObtained = 0.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4" w:name="systemic-exposure-engine-52"/>
    <w:p>
      <w:pPr>
        <w:pStyle w:val="Heading2"/>
      </w:pPr>
      <w:r>
        <w:t xml:space="preserve">20. SYSTEMIC EXPOSURE ENGINE (§52)</w:t>
      </w:r>
    </w:p>
    <w:bookmarkStart w:id="152" w:name="concentration-dimensions"/>
    <w:p>
      <w:pPr>
        <w:pStyle w:val="Heading3"/>
      </w:pPr>
      <w:r>
        <w:t xml:space="preserve">20.1 13 Concentration Dimensions</w:t>
      </w:r>
    </w:p>
    <w:p>
      <w:pPr>
        <w:pStyle w:val="Compact"/>
        <w:numPr>
          <w:ilvl w:val="0"/>
          <w:numId w:val="1018"/>
        </w:numPr>
      </w:pPr>
      <w:r>
        <w:t xml:space="preserve">Bank</w:t>
      </w:r>
    </w:p>
    <w:p>
      <w:pPr>
        <w:pStyle w:val="Compact"/>
        <w:numPr>
          <w:ilvl w:val="0"/>
          <w:numId w:val="1018"/>
        </w:numPr>
      </w:pPr>
      <w:r>
        <w:t xml:space="preserve">Banking group</w:t>
      </w:r>
    </w:p>
    <w:p>
      <w:pPr>
        <w:pStyle w:val="Compact"/>
        <w:numPr>
          <w:ilvl w:val="0"/>
          <w:numId w:val="1018"/>
        </w:numPr>
      </w:pPr>
      <w:r>
        <w:t xml:space="preserve">Country</w:t>
      </w:r>
    </w:p>
    <w:p>
      <w:pPr>
        <w:pStyle w:val="Compact"/>
        <w:numPr>
          <w:ilvl w:val="0"/>
          <w:numId w:val="1018"/>
        </w:numPr>
      </w:pPr>
      <w:r>
        <w:t xml:space="preserve">Currency</w:t>
      </w:r>
    </w:p>
    <w:p>
      <w:pPr>
        <w:pStyle w:val="Compact"/>
        <w:numPr>
          <w:ilvl w:val="0"/>
          <w:numId w:val="1018"/>
        </w:numPr>
      </w:pPr>
      <w:r>
        <w:t xml:space="preserve">Custodian</w:t>
      </w:r>
    </w:p>
    <w:p>
      <w:pPr>
        <w:pStyle w:val="Compact"/>
        <w:numPr>
          <w:ilvl w:val="0"/>
          <w:numId w:val="1018"/>
        </w:numPr>
      </w:pPr>
      <w:r>
        <w:t xml:space="preserve">Correspondent</w:t>
      </w:r>
    </w:p>
    <w:p>
      <w:pPr>
        <w:pStyle w:val="Compact"/>
        <w:numPr>
          <w:ilvl w:val="0"/>
          <w:numId w:val="1018"/>
        </w:numPr>
      </w:pPr>
      <w:r>
        <w:t xml:space="preserve">Settlement rail</w:t>
      </w:r>
    </w:p>
    <w:p>
      <w:pPr>
        <w:pStyle w:val="Compact"/>
        <w:numPr>
          <w:ilvl w:val="0"/>
          <w:numId w:val="1018"/>
        </w:numPr>
      </w:pPr>
      <w:r>
        <w:t xml:space="preserve">Liquidity provider</w:t>
      </w:r>
    </w:p>
    <w:p>
      <w:pPr>
        <w:pStyle w:val="Compact"/>
        <w:numPr>
          <w:ilvl w:val="0"/>
          <w:numId w:val="1018"/>
        </w:numPr>
      </w:pPr>
      <w:r>
        <w:t xml:space="preserve">Stablecoin issuer</w:t>
      </w:r>
    </w:p>
    <w:p>
      <w:pPr>
        <w:pStyle w:val="Compact"/>
        <w:numPr>
          <w:ilvl w:val="0"/>
          <w:numId w:val="1018"/>
        </w:numPr>
      </w:pPr>
      <w:r>
        <w:t xml:space="preserve">Technology provider</w:t>
      </w:r>
    </w:p>
    <w:p>
      <w:pPr>
        <w:pStyle w:val="Compact"/>
        <w:numPr>
          <w:ilvl w:val="0"/>
          <w:numId w:val="1018"/>
        </w:numPr>
      </w:pPr>
      <w:r>
        <w:t xml:space="preserve">Geopolitical correlation</w:t>
      </w:r>
    </w:p>
    <w:p>
      <w:pPr>
        <w:pStyle w:val="Compact"/>
        <w:numPr>
          <w:ilvl w:val="0"/>
          <w:numId w:val="1018"/>
        </w:numPr>
      </w:pPr>
      <w:r>
        <w:t xml:space="preserve">Operational correlation</w:t>
      </w:r>
    </w:p>
    <w:p>
      <w:pPr>
        <w:pStyle w:val="Compact"/>
        <w:numPr>
          <w:ilvl w:val="0"/>
          <w:numId w:val="1018"/>
        </w:numPr>
      </w:pPr>
      <w:r>
        <w:t xml:space="preserve">Bank exposure</w:t>
      </w:r>
    </w:p>
    <w:bookmarkEnd w:id="152"/>
    <w:bookmarkStart w:id="153" w:name="concentration-limits"/>
    <w:p>
      <w:pPr>
        <w:pStyle w:val="Heading3"/>
      </w:pPr>
      <w:r>
        <w:t xml:space="preserve">20.2 Concentration Limits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systemicRiskMonitoringLive = false, systemicRiskProductionValidated = false.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7" w:name="cross-border-corridor-aed-sgd"/>
    <w:p>
      <w:pPr>
        <w:pStyle w:val="Heading2"/>
      </w:pPr>
      <w:r>
        <w:t xml:space="preserve">21. CROSS-BORDER CORRIDOR (AED ↔ SGD)</w:t>
      </w:r>
    </w:p>
    <w:bookmarkStart w:id="155" w:name="demo-transaction"/>
    <w:p>
      <w:pPr>
        <w:pStyle w:val="Heading3"/>
      </w:pPr>
      <w:r>
        <w:t xml:space="preserve">21.1 Demo Transaction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 AED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367,365 SGD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USD-bridge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AED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 Deposit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SGD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ATOMICALLY_SETTLED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 Minted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 bps</w:t>
            </w:r>
          </w:p>
        </w:tc>
      </w:tr>
    </w:tbl>
    <w:bookmarkEnd w:id="155"/>
    <w:bookmarkStart w:id="156" w:name="multi-rail-support"/>
    <w:p>
      <w:pPr>
        <w:pStyle w:val="Heading3"/>
      </w:pPr>
      <w:r>
        <w:t xml:space="preserve">21.2 8 Multi-Rail Support</w:t>
      </w:r>
    </w:p>
    <w:p>
      <w:pPr>
        <w:pStyle w:val="FirstParagraph"/>
      </w:pPr>
      <w:r>
        <w:t xml:space="preserve">SWIFT (5000ms, 8bps, non-atomic), ISO 20022 (3000ms, 6bps, non-atomic), REST API (500ms, 3bps, atomic), Host-to-Host (2000ms, 5bps, non-atomic), SFTP (4000ms, 4bps, non-atomic), RTGS (1000ms, 7bps, non-atomic), Tokenized Deposit (300ms, 2bps, atomic), CBDC (200ms, 1bps, atomic).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0" w:name="tokenization"/>
    <w:p>
      <w:pPr>
        <w:pStyle w:val="Heading2"/>
      </w:pPr>
      <w:r>
        <w:t xml:space="preserve">22. TOKENIZATION</w:t>
      </w:r>
    </w:p>
    <w:bookmarkStart w:id="158" w:name="rwa-assets-4"/>
    <w:p>
      <w:pPr>
        <w:pStyle w:val="Heading3"/>
      </w:pPr>
      <w:r>
        <w:t xml:space="preserve">22.1 RWA Assets (4)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Haircut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Paper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RWA_COMMERCIAL_PAPER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Paper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RWA_COMMERCIAL_PAPER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Debt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RWA_ENTERPRISE_DEBT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Debt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RWA_ENTERPRISE_DEBT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</w:tbl>
    <w:bookmarkEnd w:id="158"/>
    <w:bookmarkStart w:id="159" w:name="digitized-coins-3"/>
    <w:p>
      <w:pPr>
        <w:pStyle w:val="Heading3"/>
      </w:pPr>
      <w:r>
        <w:t xml:space="preserve">22.2 Digitized Coins (3)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Tokenized USD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TOKENIZED_DEPOSIT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Tokenized EUR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TOKENIZED_DEPOSIT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 CBDC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WHOLESALE_CBDC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stablecoins</w:t>
      </w:r>
      <w:r>
        <w:t xml:space="preserve"> </w:t>
      </w:r>
      <w:r>
        <w:t xml:space="preserve">(§44, §72) — separate class. Tokenized bank money ≠ stablecoins.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9" w:name="institutional-engagement"/>
    <w:p>
      <w:pPr>
        <w:pStyle w:val="Heading2"/>
      </w:pPr>
      <w:r>
        <w:t xml:space="preserve">23. INSTITUTIONAL ENGAGEMENT</w:t>
      </w:r>
    </w:p>
    <w:bookmarkStart w:id="161" w:name="who-mithqal-is-seeking-10"/>
    <w:p>
      <w:pPr>
        <w:pStyle w:val="Heading3"/>
      </w:pPr>
      <w:r>
        <w:t xml:space="preserve">23.1 Who MITHQAL Is Seeking (10)</w:t>
      </w:r>
    </w:p>
    <w:p>
      <w:pPr>
        <w:pStyle w:val="Compact"/>
        <w:numPr>
          <w:ilvl w:val="0"/>
          <w:numId w:val="1019"/>
        </w:numPr>
      </w:pPr>
      <w:r>
        <w:t xml:space="preserve">Central Banks / Monetary Authorities</w:t>
      </w:r>
    </w:p>
    <w:p>
      <w:pPr>
        <w:pStyle w:val="Compact"/>
        <w:numPr>
          <w:ilvl w:val="0"/>
          <w:numId w:val="1019"/>
        </w:numPr>
      </w:pPr>
      <w:r>
        <w:t xml:space="preserve">Regulated Banks</w:t>
      </w:r>
    </w:p>
    <w:p>
      <w:pPr>
        <w:pStyle w:val="Compact"/>
        <w:numPr>
          <w:ilvl w:val="0"/>
          <w:numId w:val="1019"/>
        </w:numPr>
      </w:pPr>
      <w:r>
        <w:t xml:space="preserve">Regulated Financial Institutions</w:t>
      </w:r>
    </w:p>
    <w:p>
      <w:pPr>
        <w:pStyle w:val="Compact"/>
        <w:numPr>
          <w:ilvl w:val="0"/>
          <w:numId w:val="1019"/>
        </w:numPr>
      </w:pPr>
      <w:r>
        <w:t xml:space="preserve">Payment / Clearing / Settlement Infrastructure</w:t>
      </w:r>
    </w:p>
    <w:p>
      <w:pPr>
        <w:pStyle w:val="Compact"/>
        <w:numPr>
          <w:ilvl w:val="0"/>
          <w:numId w:val="1019"/>
        </w:numPr>
      </w:pPr>
      <w:r>
        <w:t xml:space="preserve">Government / Sovereign Infrastructure Authorities</w:t>
      </w:r>
    </w:p>
    <w:p>
      <w:pPr>
        <w:pStyle w:val="Compact"/>
        <w:numPr>
          <w:ilvl w:val="0"/>
          <w:numId w:val="1019"/>
        </w:numPr>
      </w:pPr>
      <w:r>
        <w:t xml:space="preserve">Financial Regulators / Supervisory Authorities</w:t>
      </w:r>
    </w:p>
    <w:p>
      <w:pPr>
        <w:pStyle w:val="Compact"/>
        <w:numPr>
          <w:ilvl w:val="0"/>
          <w:numId w:val="1019"/>
        </w:numPr>
      </w:pPr>
      <w:r>
        <w:t xml:space="preserve">Banking Technology / Payment-Rail Providers</w:t>
      </w:r>
    </w:p>
    <w:p>
      <w:pPr>
        <w:pStyle w:val="Compact"/>
        <w:numPr>
          <w:ilvl w:val="0"/>
          <w:numId w:val="1019"/>
        </w:numPr>
      </w:pPr>
      <w:r>
        <w:t xml:space="preserve">Cybersecurity / Independent Assurance Institutions</w:t>
      </w:r>
    </w:p>
    <w:p>
      <w:pPr>
        <w:pStyle w:val="Compact"/>
        <w:numPr>
          <w:ilvl w:val="0"/>
          <w:numId w:val="1019"/>
        </w:numPr>
      </w:pPr>
      <w:r>
        <w:t xml:space="preserve">Legal / Regulatory Institutions</w:t>
      </w:r>
    </w:p>
    <w:p>
      <w:pPr>
        <w:pStyle w:val="Compact"/>
        <w:numPr>
          <w:ilvl w:val="0"/>
          <w:numId w:val="1019"/>
        </w:numPr>
      </w:pPr>
      <w:r>
        <w:t xml:space="preserve">Standards / Research Institutions</w:t>
      </w:r>
    </w:p>
    <w:bookmarkEnd w:id="161"/>
    <w:bookmarkStart w:id="162" w:name="engagement-types-6"/>
    <w:p>
      <w:pPr>
        <w:pStyle w:val="Heading3"/>
      </w:pPr>
      <w:r>
        <w:t xml:space="preserve">23.2 Engagement Types (6)</w:t>
      </w:r>
    </w:p>
    <w:p>
      <w:pPr>
        <w:pStyle w:val="Compact"/>
        <w:numPr>
          <w:ilvl w:val="0"/>
          <w:numId w:val="1020"/>
        </w:numPr>
      </w:pPr>
      <w:r>
        <w:t xml:space="preserve">Architecture Review</w:t>
      </w:r>
    </w:p>
    <w:p>
      <w:pPr>
        <w:pStyle w:val="Compact"/>
        <w:numPr>
          <w:ilvl w:val="0"/>
          <w:numId w:val="1020"/>
        </w:numPr>
      </w:pPr>
      <w:r>
        <w:t xml:space="preserve">Regulatory / Legal Review</w:t>
      </w:r>
    </w:p>
    <w:p>
      <w:pPr>
        <w:pStyle w:val="Compact"/>
        <w:numPr>
          <w:ilvl w:val="0"/>
          <w:numId w:val="1020"/>
        </w:numPr>
      </w:pPr>
      <w:r>
        <w:t xml:space="preserve">Sandbox Testing</w:t>
      </w:r>
    </w:p>
    <w:p>
      <w:pPr>
        <w:pStyle w:val="Compact"/>
        <w:numPr>
          <w:ilvl w:val="0"/>
          <w:numId w:val="1020"/>
        </w:numPr>
      </w:pPr>
      <w:r>
        <w:t xml:space="preserve">Bank Integration Pilot</w:t>
      </w:r>
    </w:p>
    <w:p>
      <w:pPr>
        <w:pStyle w:val="Compact"/>
        <w:numPr>
          <w:ilvl w:val="0"/>
          <w:numId w:val="1020"/>
        </w:numPr>
      </w:pPr>
      <w:r>
        <w:t xml:space="preserve">Settlement Pilot</w:t>
      </w:r>
    </w:p>
    <w:p>
      <w:pPr>
        <w:pStyle w:val="Compact"/>
        <w:numPr>
          <w:ilvl w:val="0"/>
          <w:numId w:val="1020"/>
        </w:numPr>
      </w:pPr>
      <w:r>
        <w:t xml:space="preserve">Independent Assurance</w:t>
      </w:r>
    </w:p>
    <w:bookmarkEnd w:id="162"/>
    <w:bookmarkStart w:id="163" w:name="readiness-categories-10"/>
    <w:p>
      <w:pPr>
        <w:pStyle w:val="Heading3"/>
      </w:pPr>
      <w:r>
        <w:t xml:space="preserve">23.3 Readiness Categories (10)</w:t>
      </w:r>
    </w:p>
    <w:p>
      <w:pPr>
        <w:pStyle w:val="Compact"/>
        <w:numPr>
          <w:ilvl w:val="0"/>
          <w:numId w:val="1021"/>
        </w:numPr>
      </w:pPr>
      <w:r>
        <w:t xml:space="preserve">Institutional Authorization — NOT ASSESSED</w:t>
      </w:r>
    </w:p>
    <w:p>
      <w:pPr>
        <w:pStyle w:val="Compact"/>
        <w:numPr>
          <w:ilvl w:val="0"/>
          <w:numId w:val="1021"/>
        </w:numPr>
      </w:pPr>
      <w:r>
        <w:t xml:space="preserve">Legal / Regulatory Path — NOT ASSESSED</w:t>
      </w:r>
    </w:p>
    <w:p>
      <w:pPr>
        <w:pStyle w:val="Compact"/>
        <w:numPr>
          <w:ilvl w:val="0"/>
          <w:numId w:val="1021"/>
        </w:numPr>
      </w:pPr>
      <w:r>
        <w:t xml:space="preserve">Technical Integration — NOT ASSESSED</w:t>
      </w:r>
    </w:p>
    <w:p>
      <w:pPr>
        <w:pStyle w:val="Compact"/>
        <w:numPr>
          <w:ilvl w:val="0"/>
          <w:numId w:val="1021"/>
        </w:numPr>
      </w:pPr>
      <w:r>
        <w:t xml:space="preserve">Compliance Interface — NOT ASSESSED</w:t>
      </w:r>
    </w:p>
    <w:p>
      <w:pPr>
        <w:pStyle w:val="Compact"/>
        <w:numPr>
          <w:ilvl w:val="0"/>
          <w:numId w:val="1021"/>
        </w:numPr>
      </w:pPr>
      <w:r>
        <w:t xml:space="preserve">Security — NOT ASSESSED</w:t>
      </w:r>
    </w:p>
    <w:p>
      <w:pPr>
        <w:pStyle w:val="Compact"/>
        <w:numPr>
          <w:ilvl w:val="0"/>
          <w:numId w:val="1021"/>
        </w:numPr>
      </w:pPr>
      <w:r>
        <w:t xml:space="preserve">Settlement / Finality — NOT ASSESSED</w:t>
      </w:r>
    </w:p>
    <w:p>
      <w:pPr>
        <w:pStyle w:val="Compact"/>
        <w:numPr>
          <w:ilvl w:val="0"/>
          <w:numId w:val="1021"/>
        </w:numPr>
      </w:pPr>
      <w:r>
        <w:t xml:space="preserve">Backing Evidence — NOT ASSESSED</w:t>
      </w:r>
    </w:p>
    <w:p>
      <w:pPr>
        <w:pStyle w:val="Compact"/>
        <w:numPr>
          <w:ilvl w:val="0"/>
          <w:numId w:val="1021"/>
        </w:numPr>
      </w:pPr>
      <w:r>
        <w:t xml:space="preserve">Reconciliation — NOT ASSESSED</w:t>
      </w:r>
    </w:p>
    <w:p>
      <w:pPr>
        <w:pStyle w:val="Compact"/>
        <w:numPr>
          <w:ilvl w:val="0"/>
          <w:numId w:val="1021"/>
        </w:numPr>
      </w:pPr>
      <w:r>
        <w:t xml:space="preserve">Resilience / Disaster Recovery — NOT ASSESSED</w:t>
      </w:r>
    </w:p>
    <w:p>
      <w:pPr>
        <w:pStyle w:val="Compact"/>
        <w:numPr>
          <w:ilvl w:val="0"/>
          <w:numId w:val="1021"/>
        </w:numPr>
      </w:pPr>
      <w:r>
        <w:t xml:space="preserve">Independent Assurance — NOT ASSESSED</w:t>
      </w:r>
    </w:p>
    <w:bookmarkEnd w:id="163"/>
    <w:bookmarkStart w:id="164" w:name="X4d29859e8b34824aff23faf2e95a7cca4aac934"/>
    <w:p>
      <w:pPr>
        <w:pStyle w:val="Heading3"/>
      </w:pPr>
      <w:r>
        <w:t xml:space="preserve">23.4 Institutional Readiness Checklist (33 items)</w:t>
      </w:r>
    </w:p>
    <w:p>
      <w:pPr>
        <w:pStyle w:val="FirstParagraph"/>
      </w:pPr>
      <w:r>
        <w:t xml:space="preserve">1-6: Named institutional/technical/compliance/legal contacts, legal entity, institution type, jurisdiction</w:t>
      </w:r>
      <w:r>
        <w:t xml:space="preserve"> </w:t>
      </w:r>
      <w:r>
        <w:t xml:space="preserve">7-11: Regulatory authority, status, sandbox, legal review path, technical architecture contact</w:t>
      </w:r>
      <w:r>
        <w:t xml:space="preserve"> </w:t>
      </w:r>
      <w:r>
        <w:t xml:space="preserve">12-16: Integration capabilities, sandbox environment, test identities, test accounts</w:t>
      </w:r>
      <w:r>
        <w:t xml:space="preserve"> </w:t>
      </w:r>
      <w:r>
        <w:t xml:space="preserve">17-19: Test corridor, settlement scenario, payment/finality mechanism</w:t>
      </w:r>
      <w:r>
        <w:t xml:space="preserve"> </w:t>
      </w:r>
      <w:r>
        <w:t xml:space="preserve">20-22: KYC/KYB interface, AML/CFT interface, sanctions interface</w:t>
      </w:r>
      <w:r>
        <w:t xml:space="preserve"> </w:t>
      </w:r>
      <w:r>
        <w:t xml:space="preserve">23-24: Authority attestation, funds-availability attestation</w:t>
      </w:r>
      <w:r>
        <w:t xml:space="preserve"> </w:t>
      </w:r>
      <w:r>
        <w:t xml:space="preserve">25-27: mTLS/certificates, HSM/MPC, security/network requirements</w:t>
      </w:r>
      <w:r>
        <w:t xml:space="preserve"> </w:t>
      </w:r>
      <w:r>
        <w:t xml:space="preserve">28-30: Reconciliation, privacy/data-residency, business continuity/DR</w:t>
      </w:r>
      <w:r>
        <w:t xml:space="preserve"> </w:t>
      </w:r>
      <w:r>
        <w:t xml:space="preserve">31-33: Formal pilot authorization, acceptance criteria, responsible signatories</w:t>
      </w:r>
    </w:p>
    <w:bookmarkEnd w:id="164"/>
    <w:bookmarkStart w:id="165" w:name="what-mithqal-provides-20"/>
    <w:p>
      <w:pPr>
        <w:pStyle w:val="Heading3"/>
      </w:pPr>
      <w:r>
        <w:t xml:space="preserve">23.5 What MITHQAL Provides (20)</w:t>
      </w:r>
    </w:p>
    <w:p>
      <w:pPr>
        <w:pStyle w:val="FirstParagraph"/>
      </w:pPr>
      <w:r>
        <w:t xml:space="preserve">Technical Architecture Package, Bank Boundary Architecture, MBG Integration Model, API/Schema Documentation, MTQSettlementInstruction, Issuance State Machine, Finality-Before-Mint Control Specification, Protected Backing Cell Model, Three-Book Separation Model, Five-Way Reconciliation Model, Security Architecture, Privacy Architecture, Resilience and Failure Semantics, Sandbox Test Scenarios, Adversarial Test Scenarios, Reconciliation Test Plan, DR/Failure-Injection Test Plan, Pilot Acceptance Criteria, Institutional Readiness Framework, Jurisdiction-Specific Integration Assessment.</w:t>
      </w:r>
    </w:p>
    <w:bookmarkEnd w:id="165"/>
    <w:bookmarkStart w:id="166" w:name="jurisdiction-workflow"/>
    <w:p>
      <w:pPr>
        <w:pStyle w:val="Heading3"/>
      </w:pPr>
      <w:r>
        <w:t xml:space="preserve">23.6 Jurisdiction Workflow</w:t>
      </w:r>
    </w:p>
    <w:p>
      <w:pPr>
        <w:pStyle w:val="FirstParagraph"/>
      </w:pPr>
      <w:r>
        <w:t xml:space="preserve">SUBMITTED → INITIAL_REVIEW → JURISDICTION_ASSESSMENT → LEGAL_REGULATORY_REVIEW → TECHNICAL_REVIEW → SANDBOX_CANDIDATE → PILOT_CANDIDATE → INSTITUTIONALLY_VALIDATED</w:t>
      </w:r>
    </w:p>
    <w:bookmarkEnd w:id="166"/>
    <w:bookmarkStart w:id="167" w:name="evidence-status"/>
    <w:p>
      <w:pPr>
        <w:pStyle w:val="Heading3"/>
      </w:pPr>
      <w:r>
        <w:t xml:space="preserve">23.7 Evidence Status</w:t>
      </w:r>
    </w:p>
    <w:p>
      <w:pPr>
        <w:pStyle w:val="FirstParagraph"/>
      </w:pPr>
      <w:r>
        <w:t xml:space="preserve">PROPOSED → UNDER_REVIEW → EVIDENCE_REQUIRED → SANDBOX_CANDIDATE → VALIDATED</w:t>
      </w:r>
    </w:p>
    <w:p>
      <w:pPr>
        <w:pStyle w:val="BodyText"/>
      </w:pPr>
      <w:r>
        <w:rPr>
          <w:b/>
          <w:bCs/>
        </w:rPr>
        <w:t xml:space="preserve">Never display:</w:t>
      </w:r>
      <w:r>
        <w:t xml:space="preserve"> </w:t>
      </w:r>
      <w:r>
        <w:t xml:space="preserve">APPROVED, LICENSED, SUPPORTED, LIVE, PRODUCTION READY (unless backed by verified evidence).</w:t>
      </w:r>
    </w:p>
    <w:bookmarkEnd w:id="167"/>
    <w:bookmarkStart w:id="168" w:name="contact"/>
    <w:p>
      <w:pPr>
        <w:pStyle w:val="Heading3"/>
      </w:pPr>
      <w:r>
        <w:t xml:space="preserve">23.8 Contact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meltonsy@icloud.com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blueprint-conflict-reconciliation-49"/>
    <w:p>
      <w:pPr>
        <w:pStyle w:val="Heading2"/>
      </w:pPr>
      <w:r>
        <w:t xml:space="preserve">24. BLUEPRINT CONFLICT RECONCILIATION (§49)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130%; 120% historical/non-controlling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Sleeve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15%+5%+2.5%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80/18/2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80/18/2; tokenized gold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is center; individual weights are optimizer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Per-currency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operative; 60% retained as sanity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contradiction-scan-77"/>
    <w:p>
      <w:pPr>
        <w:pStyle w:val="Heading2"/>
      </w:pPr>
      <w:r>
        <w:t xml:space="preserve">25. CONTRADICTION SCAN (§77)</w:t>
      </w:r>
    </w:p>
    <w:p>
      <w:pPr>
        <w:pStyle w:val="Compact"/>
        <w:numPr>
          <w:ilvl w:val="0"/>
          <w:numId w:val="1022"/>
        </w:numPr>
      </w:pPr>
      <w:r>
        <w:t xml:space="preserve">Patterns scanned: 17</w:t>
      </w:r>
    </w:p>
    <w:p>
      <w:pPr>
        <w:pStyle w:val="Compact"/>
        <w:numPr>
          <w:ilvl w:val="0"/>
          <w:numId w:val="1022"/>
        </w:numPr>
      </w:pPr>
      <w:r>
        <w:t xml:space="preserve">Files scanned: entire src/lib/*.ts</w:t>
      </w:r>
    </w:p>
    <w:p>
      <w:pPr>
        <w:pStyle w:val="Compact"/>
        <w:numPr>
          <w:ilvl w:val="0"/>
          <w:numId w:val="1022"/>
        </w:numPr>
      </w:pPr>
      <w:r>
        <w:t xml:space="preserve">True contradictions: 0</w:t>
      </w:r>
    </w:p>
    <w:p>
      <w:pPr>
        <w:pStyle w:val="Compact"/>
        <w:numPr>
          <w:ilvl w:val="0"/>
          <w:numId w:val="1022"/>
        </w:numPr>
      </w:pPr>
      <w:r>
        <w:t xml:space="preserve">False positives: 4 (prohibition/honest-state context)</w:t>
      </w:r>
    </w:p>
    <w:p>
      <w:pPr>
        <w:pStyle w:val="Compact"/>
        <w:numPr>
          <w:ilvl w:val="0"/>
          <w:numId w:val="1022"/>
        </w:numPr>
      </w:pPr>
      <w:r>
        <w:t xml:space="preserve">Unresolved: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0"/>
          <w:numId w:val="1022"/>
        </w:numPr>
      </w:pPr>
      <w:r>
        <w:t xml:space="preserve">Target:</w:t>
      </w:r>
      <w:r>
        <w:t xml:space="preserve"> </w:t>
      </w:r>
      <w:r>
        <w:rPr>
          <w:b/>
          <w:bCs/>
        </w:rPr>
        <w:t xml:space="preserve">MET</w:t>
      </w:r>
    </w:p>
    <w:p>
      <w:r>
        <w:pict>
          <v:rect style="width:0;height:1.5pt" o:hralign="center" o:hrstd="t" o:hr="t"/>
        </w:pict>
      </w:r>
    </w:p>
    <w:bookmarkEnd w:id="171"/>
    <w:bookmarkStart w:id="175" w:name="implementation-status-87"/>
    <w:p>
      <w:pPr>
        <w:pStyle w:val="Heading2"/>
      </w:pPr>
      <w:r>
        <w:t xml:space="preserve">26. IMPLEMENTATION STATUS (§87)</w:t>
      </w:r>
    </w:p>
    <w:bookmarkStart w:id="172" w:name="acceptance-criteria-1923-met-83"/>
    <w:p>
      <w:pPr>
        <w:pStyle w:val="Heading3"/>
      </w:pPr>
      <w:r>
        <w:t xml:space="preserve">26.1 Acceptance Criteria: 19/23 met (83%)</w:t>
      </w:r>
    </w:p>
    <w:bookmarkEnd w:id="172"/>
    <w:bookmarkStart w:id="173" w:name="institutional-gates-013-passed"/>
    <w:p>
      <w:pPr>
        <w:pStyle w:val="Heading3"/>
      </w:pPr>
      <w:r>
        <w:t xml:space="preserve">26.2 Institutional Gates: 0/13 passed</w:t>
      </w:r>
    </w:p>
    <w:bookmarkEnd w:id="173"/>
    <w:bookmarkStart w:id="174" w:name="status-table"/>
    <w:p>
      <w:pPr>
        <w:pStyle w:val="Heading3"/>
      </w:pPr>
      <w:r>
        <w:t xml:space="preserve">26.3 Status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Default &amp;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Liability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Licensing/Entity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Three-Book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Systemic Exposure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Finality-Before-Mint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Contradiction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§§16-46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Reserve Math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76" w:name="final-equation-system-50"/>
    <w:p>
      <w:pPr>
        <w:pStyle w:val="Heading2"/>
      </w:pPr>
      <w:r>
        <w:t xml:space="preserve">27. FINAL EQUATION SYSTEM (§50)</w:t>
      </w:r>
    </w:p>
    <w:p>
      <w:pPr>
        <w:pStyle w:val="SourceCode"/>
      </w:pPr>
      <w:r>
        <w:rPr>
          <w:rStyle w:val="VerbatimChar"/>
        </w:rPr>
        <w:t xml:space="preserve">Liability:           L = S × PAR</w:t>
      </w:r>
      <w:r>
        <w:br/>
      </w:r>
      <w:r>
        <w:rPr>
          <w:rStyle w:val="VerbatimChar"/>
        </w:rPr>
        <w:t xml:space="preserve">Market Reserve:      R_m = Σ_a Q_a · P_a</w:t>
      </w:r>
      <w:r>
        <w:br/>
      </w:r>
      <w:r>
        <w:rPr>
          <w:rStyle w:val="VerbatimChar"/>
        </w:rPr>
        <w:t xml:space="preserve">Adjusted Reserve:    R_a = Σ_a Q_a · P_a · (1 − H_a) · C_a</w:t>
      </w:r>
      <w:r>
        <w:br/>
      </w:r>
      <w:r>
        <w:rPr>
          <w:rStyle w:val="VerbatimChar"/>
        </w:rPr>
        <w:t xml:space="preserve">Stress Reserve:       R_l = Σ_a Q_a · P_a · (1 − H_a) · C_a · S_a</w:t>
      </w:r>
      <w:r>
        <w:br/>
      </w:r>
      <w:r>
        <w:rPr>
          <w:rStyle w:val="VerbatimChar"/>
        </w:rPr>
        <w:t xml:space="preserve">Reserve Ratio:       RR = R_a / L</w:t>
      </w:r>
      <w:r>
        <w:br/>
      </w:r>
      <w:r>
        <w:rPr>
          <w:rStyle w:val="VerbatimChar"/>
        </w:rPr>
        <w:t xml:space="preserve">FSCR:                FSCR = R_l / L  (coverage interpretation)</w:t>
      </w:r>
      <w:r>
        <w:br/>
      </w:r>
      <w:r>
        <w:rPr>
          <w:rStyle w:val="VerbatimChar"/>
        </w:rPr>
        <w:t xml:space="preserve">LCR:                 LCR = HQLA / (30-day net outflow)</w:t>
      </w:r>
      <w:r>
        <w:br/>
      </w:r>
      <w:r>
        <w:br/>
      </w:r>
      <w:r>
        <w:rPr>
          <w:rStyle w:val="VerbatimChar"/>
        </w:rPr>
        <w:t xml:space="preserve">Counterparty:        C_a = Credit_a × Jurisdiction_a × Operational_a</w:t>
      </w:r>
      <w:r>
        <w:br/>
      </w:r>
      <w:r>
        <w:br/>
      </w:r>
      <w:r>
        <w:rPr>
          <w:rStyle w:val="VerbatimChar"/>
        </w:rPr>
        <w:t xml:space="preserve">Structural Weight:   C_i = 0.50·COFER_i + 0.40·SWIFT_i + 0.10·BIS_i</w:t>
      </w:r>
      <w:r>
        <w:br/>
      </w:r>
      <w:r>
        <w:rPr>
          <w:rStyle w:val="VerbatimChar"/>
        </w:rPr>
        <w:t xml:space="preserve">Momentum:            M_i = P_i(t) / P_i(t−12m)              [0.95, 1.05]</w:t>
      </w:r>
      <w:r>
        <w:br/>
      </w:r>
      <w:r>
        <w:rPr>
          <w:rStyle w:val="VerbatimChar"/>
        </w:rPr>
        <w:t xml:space="preserve">Mean Reversion:      R_i = 1 + 0.05·(LTA_i − C_i)             [0.98, 1.02]</w:t>
      </w:r>
      <w:r>
        <w:br/>
      </w:r>
      <w:r>
        <w:rPr>
          <w:rStyle w:val="VerbatimChar"/>
        </w:rPr>
        <w:t xml:space="preserve">EWMA:                σ²_t = 0.94·σ²_{t−1} + 0.06·r²_t</w:t>
      </w:r>
      <w:r>
        <w:br/>
      </w:r>
      <w:r>
        <w:rPr>
          <w:rStyle w:val="VerbatimChar"/>
        </w:rPr>
        <w:t xml:space="preserve">Attenuation:         A_t = {1.00 if σ≤2%; 1−(σ−0.02)/0.03 if 2%&lt;σ&lt;5%; 0.50 if σ≥5%}</w:t>
      </w:r>
      <w:r>
        <w:br/>
      </w:r>
      <w:r>
        <w:rPr>
          <w:rStyle w:val="VerbatimChar"/>
        </w:rPr>
        <w:t xml:space="preserve">Combined:            K_i = 1 + A_t·(M_i·R_i − 1)</w:t>
      </w:r>
      <w:r>
        <w:br/>
      </w:r>
      <w:r>
        <w:rPr>
          <w:rStyle w:val="VerbatimChar"/>
        </w:rPr>
        <w:t xml:space="preserve">Liquidity:           L_i = 1 + 0.02·(Liquidity_i − Median)  [clamp ±5%]</w:t>
      </w:r>
      <w:r>
        <w:br/>
      </w:r>
      <w:r>
        <w:rPr>
          <w:rStyle w:val="VerbatimChar"/>
        </w:rPr>
        <w:t xml:space="preserve">Raw Weight:          W_raw,i = C_i · K_i · L_i</w:t>
      </w:r>
      <w:r>
        <w:br/>
      </w:r>
      <w:r>
        <w:rPr>
          <w:rStyle w:val="VerbatimChar"/>
        </w:rPr>
        <w:t xml:space="preserve">Normalized:          W_i = W_raw,i / Σ W_raw,j               (proportional)</w:t>
      </w:r>
      <w:r>
        <w:br/>
      </w:r>
      <w:r>
        <w:rPr>
          <w:rStyle w:val="VerbatimChar"/>
        </w:rPr>
        <w:t xml:space="preserve">Final:               W_i^final = apply(eligibility → concentration → floor → stress → </w:t>
      </w:r>
      <w:r>
        <w:br/>
      </w:r>
      <w:r>
        <w:rPr>
          <w:rStyle w:val="VerbatimChar"/>
        </w:rPr>
        <w:t xml:space="preserve">                              geopolitical → liquidity → jurisdiction → verification)</w:t>
      </w:r>
      <w:r>
        <w:br/>
      </w:r>
      <w:r>
        <w:rPr>
          <w:rStyle w:val="VerbatimChar"/>
        </w:rPr>
        <w:t xml:space="preserve">Constraint:          Σ W_i^final = 1</w:t>
      </w:r>
      <w:r>
        <w:br/>
      </w:r>
      <w:r>
        <w:br/>
      </w:r>
      <w:r>
        <w:rPr>
          <w:rStyle w:val="VerbatimChar"/>
        </w:rPr>
        <w:t xml:space="preserve">Composition:         B_t = 80%, G_t = 18%, D_t = 2%</w:t>
      </w:r>
      <w:r>
        <w:br/>
      </w:r>
      <w:r>
        <w:rPr>
          <w:rStyle w:val="VerbatimChar"/>
        </w:rPr>
        <w:t xml:space="preserve">Corridors:           70% ≤ B_t ≤ 85%, 15% ≤ Bullion_t ≤ 25%, 0% ≤ D_t ≤ 5%</w:t>
      </w:r>
      <w:r>
        <w:br/>
      </w:r>
      <w:r>
        <w:br/>
      </w:r>
      <w:r>
        <w:rPr>
          <w:rStyle w:val="VerbatimChar"/>
        </w:rPr>
        <w:t xml:space="preserve">Currency Fall:        RR' = RR · (1 − w_i · d)</w:t>
      </w:r>
      <w:r>
        <w:br/>
      </w:r>
      <w:r>
        <w:rPr>
          <w:rStyle w:val="VerbatimChar"/>
        </w:rPr>
        <w:t xml:space="preserve">Weight Drift:        w_i' = w_i·(1−d) / (1 − w_i·d)</w:t>
      </w:r>
      <w:r>
        <w:br/>
      </w:r>
      <w:r>
        <w:rPr>
          <w:rStyle w:val="VerbatimChar"/>
        </w:rPr>
        <w:t xml:space="preserve">Gold Fall:           RR' = RR · (1 − 0.18 · d_G)</w:t>
      </w:r>
    </w:p>
    <w:p>
      <w:r>
        <w:pict>
          <v:rect style="width:0;height:1.5pt" o:hralign="center" o:hrstd="t" o:hr="t"/>
        </w:pict>
      </w:r>
    </w:p>
    <w:bookmarkEnd w:id="176"/>
    <w:bookmarkStart w:id="177" w:name="version-control"/>
    <w:p>
      <w:pPr>
        <w:pStyle w:val="Heading2"/>
      </w:pPr>
      <w:r>
        <w:t xml:space="preserve">28. VERSION CONTROL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v24.2.1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blueprint (~76,000 lines)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closure, 5-entity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interoperability, geopolitical resilience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2026-08-22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AUTHORITATIVE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reserve math spec, 130% target, 80/18/2, 6 P1 frameworks, 7/7 finality, institutional engagement, OS, simulators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Start w:id="178" w:name="glossary"/>
    <w:p>
      <w:pPr>
        <w:pStyle w:val="Heading2"/>
      </w:pPr>
      <w:r>
        <w:t xml:space="preserve">29. GLOSSARY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 institutional cross-border settlement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Accounting/settlement reference (1.00 USD) — NOT a 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MITHQAL Bank Gateway (translation, not transformation)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Minting Capacity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Backing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Ratio (R_a / 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Funding/Stress Coverage Ratio (R_l / 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Coverage Ratio (HQLA / 30d outflow)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Reserve Quality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Tokenized Gold Reserve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Diversification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Bullion Resilience Index (advisory)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 Currency Composition of Foreign Exchange Reserves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HQLA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High-Quality Liquid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Capital-Adaptive Liability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Reserve Risk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CBGRS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Basket Gold-Relative 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Liquidity Positioning System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MITHQAL MASTER BLUEPRINT v25.2</w:t>
      </w:r>
    </w:p>
    <w:p>
      <w:pPr>
        <w:pStyle w:val="Block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single, definitive, latest, fully expanded MITHQAL Master Blueprint</w:t>
      </w:r>
      <w:r>
        <w:t xml:space="preserve"> </w:t>
      </w:r>
      <w:r>
        <w:t xml:space="preserve">with no internal contradictions and with complete traceability from the original architecture to the current architecture.</w:t>
      </w:r>
    </w:p>
    <w:p>
      <w:pPr>
        <w:pStyle w:val="BlockText"/>
      </w:pPr>
      <w:r>
        <w:rPr>
          <w:b/>
          <w:bCs/>
        </w:rPr>
        <w:t xml:space="preserve">APPROVED CANDIDATE FOR CONTROLLED TESTING — NOT PRODUCTION-AUTHORIZED.</w:t>
      </w:r>
    </w:p>
    <w:p>
      <w:pPr>
        <w:pStyle w:val="BlockText"/>
      </w:pPr>
      <w:r>
        <w:rPr>
          <w:b/>
          <w:bCs/>
        </w:rPr>
        <w:t xml:space="preserve">CONTROLLED INSTITUTIONAL DOCUMENT • NOT A LICENSE • NOT A LEGAL OPINION.</w:t>
      </w:r>
    </w:p>
    <w:bookmarkEnd w:id="178"/>
    <w:bookmarkEnd w:id="1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2026-08-22T14:32:20Z</dcterms:created>
  <dcterms:modified xsi:type="dcterms:W3CDTF">2026-08-22T14:32:20Z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